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C78AD">
      <w:pPr>
        <w:spacing w:line="600" w:lineRule="exact"/>
        <w:rPr>
          <w:rFonts w:hint="eastAsia" w:ascii="黑体" w:hAnsi="黑体" w:eastAsia="黑体" w:cs="黑体"/>
          <w:b w:val="0"/>
          <w:bCs/>
          <w:color w:val="000000"/>
          <w:kern w:val="0"/>
          <w:sz w:val="28"/>
          <w:szCs w:val="28"/>
          <w:shd w:val="clear" w:color="auto" w:fill="FFFFFF"/>
          <w:lang w:eastAsia="zh-CN" w:bidi="ar"/>
        </w:rPr>
      </w:pPr>
      <w:r>
        <w:rPr>
          <w:rFonts w:ascii="Calibri" w:hAnsi="Calibri" w:eastAsia="宋体" w:cs="Times New Roman"/>
          <w:sz w:val="28"/>
          <w:szCs w:val="28"/>
        </w:rPr>
        <mc:AlternateContent>
          <mc:Choice Requires="wpg">
            <w:drawing>
              <wp:anchor distT="0" distB="0" distL="114300" distR="114300" simplePos="0" relativeHeight="251659264" behindDoc="0" locked="0" layoutInCell="1" allowOverlap="1">
                <wp:simplePos x="0" y="0"/>
                <wp:positionH relativeFrom="column">
                  <wp:posOffset>8656955</wp:posOffset>
                </wp:positionH>
                <wp:positionV relativeFrom="paragraph">
                  <wp:posOffset>-17145</wp:posOffset>
                </wp:positionV>
                <wp:extent cx="508635" cy="6308090"/>
                <wp:effectExtent l="0" t="0" r="0" b="16510"/>
                <wp:wrapNone/>
                <wp:docPr id="3" name="组合 3"/>
                <wp:cNvGraphicFramePr/>
                <a:graphic xmlns:a="http://schemas.openxmlformats.org/drawingml/2006/main">
                  <a:graphicData uri="http://schemas.microsoft.com/office/word/2010/wordprocessingGroup">
                    <wpg:wgp>
                      <wpg:cNvGrpSpPr/>
                      <wpg:grpSpPr>
                        <a:xfrm>
                          <a:off x="0" y="0"/>
                          <a:ext cx="508635" cy="6308090"/>
                          <a:chOff x="22642" y="35624"/>
                          <a:chExt cx="801" cy="9934"/>
                        </a:xfrm>
                      </wpg:grpSpPr>
                      <wps:wsp>
                        <wps:cNvPr id="179" name="文本框 58"/>
                        <wps:cNvSpPr txBox="1"/>
                        <wps:spPr>
                          <a:xfrm>
                            <a:off x="22642" y="35624"/>
                            <a:ext cx="801" cy="9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DB675">
                              <w:pPr>
                                <w:jc w:val="right"/>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县委办、县政府办文件</w:t>
                              </w:r>
                            </w:p>
                            <w:p w14:paraId="204BDFFA">
                              <w:pPr>
                                <w:jc w:val="left"/>
                                <w:rPr>
                                  <w:rFonts w:hint="eastAsia" w:ascii="Calibri" w:hAnsi="Calibri" w:eastAsia="宋体" w:cs="Times New Roman"/>
                                  <w:lang w:val="en-US" w:eastAsia="zh-CN"/>
                                </w:rPr>
                              </w:pPr>
                            </w:p>
                            <w:p w14:paraId="4E377B1E">
                              <w:pPr>
                                <w:jc w:val="right"/>
                                <w:rPr>
                                  <w:rFonts w:hint="eastAsia" w:ascii="Calibri" w:hAnsi="Calibri" w:eastAsia="宋体" w:cs="Times New Roman"/>
                                  <w:lang w:val="en-US" w:eastAsia="zh-CN"/>
                                </w:rPr>
                              </w:pPr>
                            </w:p>
                          </w:txbxContent>
                        </wps:txbx>
                        <wps:bodyPr rot="0" spcFirstLastPara="0" vertOverflow="overflow" horzOverflow="overflow" vert="vert" wrap="square" lIns="91440" tIns="45720" rIns="91440" bIns="45720" numCol="1" spcCol="0" rtlCol="0" fromWordArt="0" anchor="t" anchorCtr="0" forceAA="0" compatLnSpc="1">
                          <a:noAutofit/>
                        </wps:bodyPr>
                      </wps:wsp>
                      <wps:wsp>
                        <wps:cNvPr id="180" name="直接连接符 66"/>
                        <wps:cNvCnPr/>
                        <wps:spPr>
                          <a:xfrm>
                            <a:off x="22793" y="35778"/>
                            <a:ext cx="0" cy="9780"/>
                          </a:xfrm>
                          <a:prstGeom prst="line">
                            <a:avLst/>
                          </a:prstGeom>
                          <a:noFill/>
                          <a:ln w="127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681.65pt;margin-top:-1.35pt;height:496.7pt;width:40.05pt;z-index:251659264;mso-width-relative:page;mso-height-relative:page;" coordorigin="22642,35624" coordsize="801,9934" o:gfxdata="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">
                <o:lock v:ext="edit" aspectratio="f"/>
                <v:shape id="文本框 58" o:spid="_x0000_s1026" o:spt="202" type="#_x0000_t202" style="position:absolute;left:22642;top:35624;height:9735;width:801;" filled="f" stroked="f" coordsize="21600,21600" o:gfxdata="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PGbq8AAAA&#10;3AAAAA8AAAAAAAAAAQAgAAAAIgAAAGRycy9kb3ducmV2LnhtbFBLAQIUABQAAAAIAIdO4kAzLwWe&#10;OwAAADkAAAAQAAAAAAAAAAEAIAAAAAsBAABkcnMvc2hhcGV4bWwueG1sUEsFBgAAAAAGAAYAWwEA&#10;ALUDAAAAAA==&#10;">
                  <v:fill on="f" focussize="0,0"/>
                  <v:stroke on="f" weight="0.5pt"/>
                  <v:imagedata o:title=""/>
                  <o:lock v:ext="edit" aspectratio="f"/>
                  <v:textbox style="layout-flow:vertical;">
                    <w:txbxContent>
                      <w:p w14:paraId="028DB675">
                        <w:pPr>
                          <w:jc w:val="right"/>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县委办、县政府办文件</w:t>
                        </w:r>
                      </w:p>
                      <w:p w14:paraId="204BDFFA">
                        <w:pPr>
                          <w:jc w:val="left"/>
                          <w:rPr>
                            <w:rFonts w:hint="eastAsia" w:ascii="Calibri" w:hAnsi="Calibri" w:eastAsia="宋体" w:cs="Times New Roman"/>
                            <w:lang w:val="en-US" w:eastAsia="zh-CN"/>
                          </w:rPr>
                        </w:pPr>
                      </w:p>
                      <w:p w14:paraId="4E377B1E">
                        <w:pPr>
                          <w:jc w:val="right"/>
                          <w:rPr>
                            <w:rFonts w:hint="eastAsia" w:ascii="Calibri" w:hAnsi="Calibri" w:eastAsia="宋体" w:cs="Times New Roman"/>
                            <w:lang w:val="en-US" w:eastAsia="zh-CN"/>
                          </w:rPr>
                        </w:pPr>
                      </w:p>
                    </w:txbxContent>
                  </v:textbox>
                </v:shape>
                <v:line id="直接连接符 66" o:spid="_x0000_s1026" o:spt="20" style="position:absolute;left:22793;top:35778;height:9780;width:0;" filled="f" stroked="t" coordsize="21600,21600" o:gfxdata="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tDAO/&#10;AAAA3AAAAA8AAAAAAAAAAQAgAAAAIgAAAGRycy9kb3ducmV2LnhtbFBLAQIUABQAAAAIAIdO4kAz&#10;LwWeOwAAADkAAAAQAAAAAAAAAAEAIAAAAA4BAABkcnMvc2hhcGV4bWwueG1sUEsFBgAAAAAGAAYA&#10;WwEAALgDAAAAAA==&#10;">
                  <v:fill on="f" focussize="0,0"/>
                  <v:stroke weight="1pt" color="#000000 [3204]" miterlimit="8" joinstyle="miter"/>
                  <v:imagedata o:title=""/>
                  <o:lock v:ext="edit" aspectratio="f"/>
                </v:line>
              </v:group>
            </w:pict>
          </mc:Fallback>
        </mc:AlternateContent>
      </w:r>
      <w:r>
        <w:rPr>
          <w:rFonts w:hint="eastAsia" w:ascii="黑体" w:hAnsi="黑体" w:eastAsia="黑体" w:cs="黑体"/>
          <w:b w:val="0"/>
          <w:bCs/>
          <w:color w:val="000000"/>
          <w:kern w:val="0"/>
          <w:sz w:val="28"/>
          <w:szCs w:val="28"/>
          <w:shd w:val="clear" w:color="auto" w:fill="FFFFFF"/>
          <w:lang w:bidi="ar"/>
        </w:rPr>
        <w:t>附</w:t>
      </w:r>
      <w:r>
        <w:rPr>
          <w:rFonts w:hint="eastAsia" w:ascii="黑体" w:hAnsi="黑体" w:eastAsia="黑体" w:cs="黑体"/>
          <w:b w:val="0"/>
          <w:bCs/>
          <w:color w:val="000000"/>
          <w:kern w:val="0"/>
          <w:sz w:val="28"/>
          <w:szCs w:val="28"/>
          <w:shd w:val="clear" w:color="auto" w:fill="FFFFFF"/>
          <w:lang w:eastAsia="zh-CN" w:bidi="ar"/>
        </w:rPr>
        <w:t xml:space="preserve"> 件</w:t>
      </w:r>
    </w:p>
    <w:p w14:paraId="59EAB795">
      <w:pPr>
        <w:keepNext w:val="0"/>
        <w:keepLines w:val="0"/>
        <w:pageBreakBefore w:val="0"/>
        <w:widowControl w:val="0"/>
        <w:kinsoku/>
        <w:wordWrap/>
        <w:overflowPunct/>
        <w:topLinePunct w:val="0"/>
        <w:autoSpaceDE/>
        <w:autoSpaceDN/>
        <w:bidi w:val="0"/>
        <w:adjustRightInd/>
        <w:snapToGrid/>
        <w:spacing w:after="164" w:afterLines="50" w:line="600" w:lineRule="exact"/>
        <w:jc w:val="center"/>
        <w:textAlignment w:val="auto"/>
        <w:rPr>
          <w:rFonts w:hint="eastAsia" w:ascii="方正小标宋简体" w:hAnsi="方正小标宋简体" w:eastAsia="方正小标宋简体" w:cs="方正小标宋简体"/>
          <w:b w:val="0"/>
          <w:bCs w:val="0"/>
          <w:color w:val="000000"/>
          <w:kern w:val="0"/>
          <w:sz w:val="40"/>
          <w:szCs w:val="40"/>
          <w:lang w:val="en-US" w:eastAsia="zh-CN" w:bidi="ar"/>
        </w:rPr>
      </w:pPr>
      <w:r>
        <w:rPr>
          <w:rFonts w:hint="eastAsia" w:ascii="方正小标宋简体" w:hAnsi="方正小标宋简体" w:eastAsia="方正小标宋简体" w:cs="方正小标宋简体"/>
          <w:b w:val="0"/>
          <w:bCs w:val="0"/>
          <w:color w:val="000000"/>
          <w:kern w:val="0"/>
          <w:sz w:val="40"/>
          <w:szCs w:val="40"/>
          <w:lang w:val="en-US" w:eastAsia="zh-CN" w:bidi="ar"/>
        </w:rPr>
        <w:t>湘阴县2026年促进工程机械再制造产业发展责任分工表</w:t>
      </w:r>
    </w:p>
    <w:tbl>
      <w:tblPr>
        <w:tblStyle w:val="3"/>
        <w:tblW w:w="13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1471"/>
        <w:gridCol w:w="7646"/>
        <w:gridCol w:w="1352"/>
        <w:gridCol w:w="1387"/>
        <w:gridCol w:w="1174"/>
      </w:tblGrid>
      <w:tr w14:paraId="712F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blHeader/>
          <w:jc w:val="center"/>
        </w:trPr>
        <w:tc>
          <w:tcPr>
            <w:tcW w:w="627" w:type="dxa"/>
            <w:noWrap w:val="0"/>
            <w:vAlign w:val="center"/>
          </w:tcPr>
          <w:p w14:paraId="6B4655D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1"/>
                <w:szCs w:val="21"/>
                <w:vertAlign w:val="baseline"/>
                <w:lang w:val="en-US" w:eastAsia="zh-CN" w:bidi="ar"/>
              </w:rPr>
            </w:pPr>
            <w:r>
              <w:rPr>
                <w:rFonts w:hint="eastAsia" w:ascii="黑体" w:hAnsi="黑体" w:eastAsia="黑体" w:cs="黑体"/>
                <w:color w:val="000000"/>
                <w:kern w:val="0"/>
                <w:sz w:val="21"/>
                <w:szCs w:val="21"/>
                <w:vertAlign w:val="baseline"/>
                <w:lang w:val="en-US" w:eastAsia="zh-CN" w:bidi="ar"/>
              </w:rPr>
              <w:t>序号</w:t>
            </w:r>
          </w:p>
        </w:tc>
        <w:tc>
          <w:tcPr>
            <w:tcW w:w="1471" w:type="dxa"/>
            <w:noWrap w:val="0"/>
            <w:vAlign w:val="center"/>
          </w:tcPr>
          <w:p w14:paraId="1A218DC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1"/>
                <w:szCs w:val="21"/>
                <w:vertAlign w:val="baseline"/>
                <w:lang w:val="en-US" w:eastAsia="zh-CN" w:bidi="ar"/>
              </w:rPr>
            </w:pPr>
            <w:r>
              <w:rPr>
                <w:rFonts w:hint="eastAsia" w:ascii="黑体" w:hAnsi="黑体" w:eastAsia="黑体" w:cs="黑体"/>
                <w:color w:val="000000"/>
                <w:kern w:val="0"/>
                <w:sz w:val="21"/>
                <w:szCs w:val="21"/>
                <w:vertAlign w:val="baseline"/>
                <w:lang w:val="en-US" w:eastAsia="zh-CN" w:bidi="ar"/>
              </w:rPr>
              <w:t>事项名称</w:t>
            </w:r>
          </w:p>
        </w:tc>
        <w:tc>
          <w:tcPr>
            <w:tcW w:w="7646" w:type="dxa"/>
            <w:noWrap w:val="0"/>
            <w:vAlign w:val="center"/>
          </w:tcPr>
          <w:p w14:paraId="45E9667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1"/>
                <w:szCs w:val="21"/>
                <w:vertAlign w:val="baseline"/>
                <w:lang w:val="en-US" w:eastAsia="zh-CN" w:bidi="ar"/>
              </w:rPr>
            </w:pPr>
            <w:r>
              <w:rPr>
                <w:rFonts w:hint="eastAsia" w:ascii="黑体" w:hAnsi="黑体" w:eastAsia="黑体" w:cs="黑体"/>
                <w:color w:val="000000"/>
                <w:kern w:val="0"/>
                <w:sz w:val="21"/>
                <w:szCs w:val="21"/>
                <w:vertAlign w:val="baseline"/>
                <w:lang w:val="en-US" w:eastAsia="zh-CN" w:bidi="ar"/>
              </w:rPr>
              <w:t>目标任务</w:t>
            </w:r>
          </w:p>
        </w:tc>
        <w:tc>
          <w:tcPr>
            <w:tcW w:w="1352" w:type="dxa"/>
            <w:noWrap w:val="0"/>
            <w:vAlign w:val="center"/>
          </w:tcPr>
          <w:p w14:paraId="2C250AB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1"/>
                <w:szCs w:val="21"/>
                <w:vertAlign w:val="baseline"/>
                <w:lang w:val="en-US" w:eastAsia="zh-CN" w:bidi="ar"/>
              </w:rPr>
            </w:pPr>
            <w:r>
              <w:rPr>
                <w:rFonts w:hint="eastAsia" w:ascii="黑体" w:hAnsi="黑体" w:eastAsia="黑体" w:cs="黑体"/>
                <w:color w:val="000000"/>
                <w:kern w:val="0"/>
                <w:sz w:val="21"/>
                <w:szCs w:val="21"/>
                <w:vertAlign w:val="baseline"/>
                <w:lang w:val="en-US" w:eastAsia="zh-CN" w:bidi="ar"/>
              </w:rPr>
              <w:t>责任单位</w:t>
            </w:r>
          </w:p>
        </w:tc>
        <w:tc>
          <w:tcPr>
            <w:tcW w:w="1387" w:type="dxa"/>
            <w:noWrap w:val="0"/>
            <w:vAlign w:val="center"/>
          </w:tcPr>
          <w:p w14:paraId="6A70D48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00" w:lineRule="exact"/>
              <w:jc w:val="center"/>
              <w:textAlignment w:val="auto"/>
              <w:rPr>
                <w:rFonts w:hint="default" w:ascii="黑体" w:hAnsi="黑体" w:eastAsia="黑体" w:cs="黑体"/>
                <w:color w:val="000000"/>
                <w:kern w:val="0"/>
                <w:sz w:val="21"/>
                <w:szCs w:val="21"/>
                <w:vertAlign w:val="baseline"/>
                <w:lang w:val="en-US" w:eastAsia="zh-CN" w:bidi="ar"/>
              </w:rPr>
            </w:pPr>
            <w:r>
              <w:rPr>
                <w:rFonts w:hint="eastAsia" w:ascii="黑体" w:hAnsi="黑体" w:eastAsia="黑体" w:cs="黑体"/>
                <w:color w:val="000000"/>
                <w:kern w:val="0"/>
                <w:sz w:val="21"/>
                <w:szCs w:val="21"/>
                <w:vertAlign w:val="baseline"/>
                <w:lang w:val="en-US" w:eastAsia="zh-CN" w:bidi="ar"/>
              </w:rPr>
              <w:t>完成时限</w:t>
            </w:r>
          </w:p>
        </w:tc>
        <w:tc>
          <w:tcPr>
            <w:tcW w:w="1174" w:type="dxa"/>
            <w:noWrap w:val="0"/>
            <w:vAlign w:val="center"/>
          </w:tcPr>
          <w:p w14:paraId="4C33E95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1"/>
                <w:szCs w:val="21"/>
                <w:vertAlign w:val="baseline"/>
                <w:lang w:val="en-US" w:eastAsia="zh-CN" w:bidi="ar"/>
              </w:rPr>
            </w:pPr>
            <w:r>
              <w:rPr>
                <w:rFonts w:hint="eastAsia" w:ascii="黑体" w:hAnsi="黑体" w:eastAsia="黑体" w:cs="黑体"/>
                <w:color w:val="000000"/>
                <w:kern w:val="0"/>
                <w:sz w:val="21"/>
                <w:szCs w:val="21"/>
                <w:vertAlign w:val="baseline"/>
                <w:lang w:val="en-US" w:eastAsia="zh-CN" w:bidi="ar"/>
              </w:rPr>
              <w:t>备注</w:t>
            </w:r>
          </w:p>
        </w:tc>
      </w:tr>
      <w:tr w14:paraId="5B90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7" w:type="dxa"/>
            <w:vMerge w:val="restart"/>
            <w:noWrap w:val="0"/>
            <w:vAlign w:val="center"/>
          </w:tcPr>
          <w:p w14:paraId="7D7D436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b w:val="0"/>
                <w:bCs w:val="0"/>
                <w:color w:val="000000"/>
                <w:kern w:val="0"/>
                <w:sz w:val="22"/>
                <w:szCs w:val="22"/>
                <w:lang w:val="en-US" w:eastAsia="zh-CN" w:bidi="ar"/>
              </w:rPr>
              <w:t>1</w:t>
            </w:r>
          </w:p>
        </w:tc>
        <w:tc>
          <w:tcPr>
            <w:tcW w:w="1471" w:type="dxa"/>
            <w:vMerge w:val="restart"/>
            <w:noWrap w:val="0"/>
            <w:vAlign w:val="center"/>
          </w:tcPr>
          <w:p w14:paraId="53358B0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推动园区基础设施建设</w:t>
            </w:r>
          </w:p>
        </w:tc>
        <w:tc>
          <w:tcPr>
            <w:tcW w:w="7646" w:type="dxa"/>
            <w:noWrap w:val="0"/>
            <w:vAlign w:val="center"/>
          </w:tcPr>
          <w:p w14:paraId="0828DD9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1. 完成一期堆场（100亩临时用地）规划选址，确定范围内拆迁补偿、青苗补偿、土方平整规模及租金标准。</w:t>
            </w:r>
          </w:p>
        </w:tc>
        <w:tc>
          <w:tcPr>
            <w:tcW w:w="1352" w:type="dxa"/>
            <w:noWrap w:val="0"/>
            <w:vAlign w:val="center"/>
          </w:tcPr>
          <w:p w14:paraId="21A72BF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自然资源局</w:t>
            </w:r>
          </w:p>
        </w:tc>
        <w:tc>
          <w:tcPr>
            <w:tcW w:w="1387" w:type="dxa"/>
            <w:noWrap w:val="0"/>
            <w:vAlign w:val="center"/>
          </w:tcPr>
          <w:p w14:paraId="362FB12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4月底前</w:t>
            </w:r>
          </w:p>
        </w:tc>
        <w:tc>
          <w:tcPr>
            <w:tcW w:w="1174" w:type="dxa"/>
            <w:noWrap w:val="0"/>
            <w:vAlign w:val="center"/>
          </w:tcPr>
          <w:p w14:paraId="59BD291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黑体" w:hAnsi="黑体" w:eastAsia="黑体" w:cs="黑体"/>
                <w:color w:val="000000"/>
                <w:kern w:val="0"/>
                <w:sz w:val="24"/>
                <w:szCs w:val="24"/>
                <w:vertAlign w:val="baseline"/>
                <w:lang w:val="en-US" w:eastAsia="zh-CN" w:bidi="ar"/>
              </w:rPr>
            </w:pPr>
          </w:p>
        </w:tc>
      </w:tr>
      <w:tr w14:paraId="26DB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7" w:type="dxa"/>
            <w:vMerge w:val="continue"/>
            <w:noWrap w:val="0"/>
            <w:vAlign w:val="center"/>
          </w:tcPr>
          <w:p w14:paraId="44C2C72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009BAAA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17550B0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 完成项目一期4栋厂房、综合楼以及供水、供电、供气、道路、通信、污水处理等配套基础设施建设，达到企业入驻条件。</w:t>
            </w:r>
          </w:p>
        </w:tc>
        <w:tc>
          <w:tcPr>
            <w:tcW w:w="1352" w:type="dxa"/>
            <w:vMerge w:val="restart"/>
            <w:noWrap w:val="0"/>
            <w:vAlign w:val="center"/>
          </w:tcPr>
          <w:p w14:paraId="04654A1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0"/>
                <w:sz w:val="21"/>
                <w:szCs w:val="21"/>
                <w:vertAlign w:val="baseline"/>
                <w:lang w:val="en-US" w:eastAsia="zh-CN" w:bidi="ar"/>
              </w:rPr>
            </w:pPr>
            <w:r>
              <w:rPr>
                <w:rFonts w:hint="eastAsia" w:ascii="宋体" w:hAnsi="宋体" w:eastAsia="宋体" w:cs="宋体"/>
                <w:b w:val="0"/>
                <w:bCs w:val="0"/>
                <w:color w:val="000000"/>
                <w:kern w:val="0"/>
                <w:sz w:val="21"/>
                <w:szCs w:val="21"/>
                <w:lang w:val="en-US" w:eastAsia="zh-CN" w:bidi="ar"/>
              </w:rPr>
              <w:t>洋沙湖集团</w:t>
            </w:r>
          </w:p>
        </w:tc>
        <w:tc>
          <w:tcPr>
            <w:tcW w:w="1387" w:type="dxa"/>
            <w:noWrap w:val="0"/>
            <w:vAlign w:val="center"/>
          </w:tcPr>
          <w:p w14:paraId="055CEC8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kern w:val="0"/>
                <w:sz w:val="21"/>
                <w:szCs w:val="21"/>
                <w:vertAlign w:val="baseline"/>
                <w:lang w:val="en-US" w:eastAsia="zh-CN" w:bidi="ar"/>
              </w:rPr>
            </w:pPr>
            <w:r>
              <w:rPr>
                <w:rFonts w:hint="eastAsia" w:ascii="宋体" w:hAnsi="宋体" w:eastAsia="宋体" w:cs="宋体"/>
                <w:b w:val="0"/>
                <w:bCs w:val="0"/>
                <w:color w:val="000000"/>
                <w:kern w:val="0"/>
                <w:sz w:val="21"/>
                <w:szCs w:val="21"/>
                <w:lang w:val="en-US" w:eastAsia="zh-CN" w:bidi="ar"/>
              </w:rPr>
              <w:t>5月底前</w:t>
            </w:r>
          </w:p>
        </w:tc>
        <w:tc>
          <w:tcPr>
            <w:tcW w:w="1174" w:type="dxa"/>
            <w:noWrap w:val="0"/>
            <w:vAlign w:val="top"/>
          </w:tcPr>
          <w:p w14:paraId="2961997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62EF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7" w:type="dxa"/>
            <w:vMerge w:val="continue"/>
            <w:noWrap w:val="0"/>
            <w:vAlign w:val="center"/>
          </w:tcPr>
          <w:p w14:paraId="5531E52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4"/>
                <w:szCs w:val="24"/>
                <w:lang w:val="en-US" w:eastAsia="zh-CN" w:bidi="ar"/>
              </w:rPr>
            </w:pPr>
          </w:p>
        </w:tc>
        <w:tc>
          <w:tcPr>
            <w:tcW w:w="1471" w:type="dxa"/>
            <w:vMerge w:val="continue"/>
            <w:noWrap w:val="0"/>
            <w:vAlign w:val="center"/>
          </w:tcPr>
          <w:p w14:paraId="0AB9AFE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1"/>
                <w:szCs w:val="21"/>
                <w:lang w:val="en-US" w:eastAsia="zh-CN" w:bidi="ar"/>
              </w:rPr>
            </w:pPr>
          </w:p>
        </w:tc>
        <w:tc>
          <w:tcPr>
            <w:tcW w:w="7646" w:type="dxa"/>
            <w:noWrap w:val="0"/>
            <w:vAlign w:val="center"/>
          </w:tcPr>
          <w:p w14:paraId="0B78D40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 协调临港产投公司加快虞公路（工程机械再制造产业园段）建设，确保在企业入驻前建成通车。加强招商合作，利用4#厂房建设喷涂中心，完善一期清洗中心建设。</w:t>
            </w:r>
          </w:p>
        </w:tc>
        <w:tc>
          <w:tcPr>
            <w:tcW w:w="1352" w:type="dxa"/>
            <w:vMerge w:val="continue"/>
            <w:noWrap w:val="0"/>
            <w:vAlign w:val="center"/>
          </w:tcPr>
          <w:p w14:paraId="617C5A0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val="0"/>
                <w:color w:val="000000"/>
                <w:kern w:val="0"/>
                <w:sz w:val="21"/>
                <w:szCs w:val="21"/>
                <w:lang w:val="en-US" w:eastAsia="zh-CN" w:bidi="ar"/>
              </w:rPr>
            </w:pPr>
          </w:p>
        </w:tc>
        <w:tc>
          <w:tcPr>
            <w:tcW w:w="1387" w:type="dxa"/>
            <w:noWrap w:val="0"/>
            <w:vAlign w:val="center"/>
          </w:tcPr>
          <w:p w14:paraId="30547C0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6月中旬</w:t>
            </w:r>
          </w:p>
        </w:tc>
        <w:tc>
          <w:tcPr>
            <w:tcW w:w="1174" w:type="dxa"/>
            <w:noWrap w:val="0"/>
            <w:vAlign w:val="top"/>
          </w:tcPr>
          <w:p w14:paraId="358609D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4C57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27" w:type="dxa"/>
            <w:vMerge w:val="continue"/>
            <w:noWrap w:val="0"/>
            <w:vAlign w:val="center"/>
          </w:tcPr>
          <w:p w14:paraId="7797659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4"/>
                <w:szCs w:val="24"/>
                <w:lang w:val="en-US" w:eastAsia="zh-CN" w:bidi="ar"/>
              </w:rPr>
            </w:pPr>
          </w:p>
        </w:tc>
        <w:tc>
          <w:tcPr>
            <w:tcW w:w="1471" w:type="dxa"/>
            <w:vMerge w:val="continue"/>
            <w:noWrap w:val="0"/>
            <w:vAlign w:val="center"/>
          </w:tcPr>
          <w:p w14:paraId="210E0DE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1"/>
                <w:szCs w:val="21"/>
                <w:lang w:val="en-US" w:eastAsia="zh-CN" w:bidi="ar"/>
              </w:rPr>
            </w:pPr>
          </w:p>
        </w:tc>
        <w:tc>
          <w:tcPr>
            <w:tcW w:w="7646" w:type="dxa"/>
            <w:noWrap w:val="0"/>
            <w:vAlign w:val="center"/>
          </w:tcPr>
          <w:p w14:paraId="22BD632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4. 完成一期堆场（100亩临时用地）建设。</w:t>
            </w:r>
          </w:p>
        </w:tc>
        <w:tc>
          <w:tcPr>
            <w:tcW w:w="1352" w:type="dxa"/>
            <w:vMerge w:val="continue"/>
            <w:noWrap w:val="0"/>
            <w:vAlign w:val="center"/>
          </w:tcPr>
          <w:p w14:paraId="7D2C7E2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val="0"/>
                <w:color w:val="000000"/>
                <w:kern w:val="0"/>
                <w:sz w:val="21"/>
                <w:szCs w:val="21"/>
                <w:lang w:val="en-US" w:eastAsia="zh-CN" w:bidi="ar"/>
              </w:rPr>
            </w:pPr>
          </w:p>
        </w:tc>
        <w:tc>
          <w:tcPr>
            <w:tcW w:w="1387" w:type="dxa"/>
            <w:noWrap w:val="0"/>
            <w:vAlign w:val="center"/>
          </w:tcPr>
          <w:p w14:paraId="2DEFC46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6月中旬</w:t>
            </w:r>
          </w:p>
        </w:tc>
        <w:tc>
          <w:tcPr>
            <w:tcW w:w="1174" w:type="dxa"/>
            <w:noWrap w:val="0"/>
            <w:vAlign w:val="top"/>
          </w:tcPr>
          <w:p w14:paraId="3B9F34E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7D36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7" w:type="dxa"/>
            <w:vMerge w:val="continue"/>
            <w:noWrap w:val="0"/>
            <w:vAlign w:val="center"/>
          </w:tcPr>
          <w:p w14:paraId="56E14C2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23F98AD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7E916A3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5. 协调一期喷涂中心、清洗中心环保、消防等部门相关手续办理，实现企业集中清洗、集中喷涂。</w:t>
            </w:r>
          </w:p>
        </w:tc>
        <w:tc>
          <w:tcPr>
            <w:tcW w:w="1352" w:type="dxa"/>
            <w:vMerge w:val="continue"/>
            <w:noWrap w:val="0"/>
            <w:vAlign w:val="center"/>
          </w:tcPr>
          <w:p w14:paraId="28580F8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b w:val="0"/>
                <w:bCs w:val="0"/>
                <w:color w:val="000000"/>
                <w:kern w:val="0"/>
                <w:sz w:val="21"/>
                <w:szCs w:val="21"/>
                <w:lang w:val="en-US" w:eastAsia="zh-CN" w:bidi="ar"/>
              </w:rPr>
            </w:pPr>
          </w:p>
        </w:tc>
        <w:tc>
          <w:tcPr>
            <w:tcW w:w="1387" w:type="dxa"/>
            <w:noWrap w:val="0"/>
            <w:vAlign w:val="center"/>
          </w:tcPr>
          <w:p w14:paraId="0A66F8F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7月底前</w:t>
            </w:r>
          </w:p>
        </w:tc>
        <w:tc>
          <w:tcPr>
            <w:tcW w:w="1174" w:type="dxa"/>
            <w:noWrap w:val="0"/>
            <w:vAlign w:val="top"/>
          </w:tcPr>
          <w:p w14:paraId="7649C7D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28B4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627" w:type="dxa"/>
            <w:vMerge w:val="restart"/>
            <w:noWrap w:val="0"/>
            <w:vAlign w:val="center"/>
          </w:tcPr>
          <w:p w14:paraId="110734A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b w:val="0"/>
                <w:bCs w:val="0"/>
                <w:color w:val="000000"/>
                <w:kern w:val="0"/>
                <w:sz w:val="22"/>
                <w:szCs w:val="22"/>
                <w:lang w:val="en-US" w:eastAsia="zh-CN" w:bidi="ar"/>
              </w:rPr>
              <w:t>2</w:t>
            </w:r>
          </w:p>
        </w:tc>
        <w:tc>
          <w:tcPr>
            <w:tcW w:w="1471" w:type="dxa"/>
            <w:vMerge w:val="restart"/>
            <w:noWrap w:val="0"/>
            <w:vAlign w:val="center"/>
          </w:tcPr>
          <w:p w14:paraId="0E519A5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做好招商项目落地保障</w:t>
            </w:r>
          </w:p>
        </w:tc>
        <w:tc>
          <w:tcPr>
            <w:tcW w:w="7646" w:type="dxa"/>
            <w:noWrap w:val="0"/>
            <w:vAlign w:val="center"/>
          </w:tcPr>
          <w:p w14:paraId="71D4580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 落实工程机械再制造专项招商扶持政策，兑现具体奖免措施，细化厂房租赁方案，完善与企业投产规模、产值、营业额相关的合同内容。</w:t>
            </w:r>
          </w:p>
        </w:tc>
        <w:tc>
          <w:tcPr>
            <w:tcW w:w="1352" w:type="dxa"/>
            <w:vMerge w:val="restart"/>
            <w:noWrap w:val="0"/>
            <w:vAlign w:val="center"/>
          </w:tcPr>
          <w:p w14:paraId="1CEF7B2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洋沙湖集团</w:t>
            </w:r>
          </w:p>
        </w:tc>
        <w:tc>
          <w:tcPr>
            <w:tcW w:w="1387" w:type="dxa"/>
            <w:noWrap w:val="0"/>
            <w:vAlign w:val="center"/>
          </w:tcPr>
          <w:p w14:paraId="531BCCD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4月底前</w:t>
            </w:r>
          </w:p>
        </w:tc>
        <w:tc>
          <w:tcPr>
            <w:tcW w:w="1174" w:type="dxa"/>
            <w:noWrap w:val="0"/>
            <w:vAlign w:val="top"/>
          </w:tcPr>
          <w:p w14:paraId="5FD2A35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76B1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7" w:type="dxa"/>
            <w:vMerge w:val="continue"/>
            <w:noWrap w:val="0"/>
            <w:vAlign w:val="center"/>
          </w:tcPr>
          <w:p w14:paraId="4065530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0"/>
                <w:sz w:val="24"/>
                <w:szCs w:val="24"/>
                <w:lang w:val="en-US" w:eastAsia="zh-CN" w:bidi="ar"/>
              </w:rPr>
            </w:pPr>
          </w:p>
        </w:tc>
        <w:tc>
          <w:tcPr>
            <w:tcW w:w="1471" w:type="dxa"/>
            <w:vMerge w:val="continue"/>
            <w:noWrap w:val="0"/>
            <w:vAlign w:val="center"/>
          </w:tcPr>
          <w:p w14:paraId="0EB3A21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6E5DB8BF">
            <w:pPr>
              <w:keepNext w:val="0"/>
              <w:keepLines w:val="0"/>
              <w:pageBreakBefore w:val="0"/>
              <w:widowControl w:val="0"/>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 加强工作协调，做好跟踪服务，推动创锐机械、昊柏智联以及中械智创合作共建项目落地，实现正式投产。</w:t>
            </w:r>
          </w:p>
        </w:tc>
        <w:tc>
          <w:tcPr>
            <w:tcW w:w="1352" w:type="dxa"/>
            <w:vMerge w:val="continue"/>
            <w:noWrap w:val="0"/>
            <w:vAlign w:val="center"/>
          </w:tcPr>
          <w:p w14:paraId="6A0A583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1387" w:type="dxa"/>
            <w:noWrap w:val="0"/>
            <w:vAlign w:val="center"/>
          </w:tcPr>
          <w:p w14:paraId="0F6C4E7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6月中旬</w:t>
            </w:r>
          </w:p>
        </w:tc>
        <w:tc>
          <w:tcPr>
            <w:tcW w:w="1174" w:type="dxa"/>
            <w:noWrap w:val="0"/>
            <w:vAlign w:val="top"/>
          </w:tcPr>
          <w:p w14:paraId="5F35DE8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300A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27" w:type="dxa"/>
            <w:vMerge w:val="continue"/>
            <w:noWrap w:val="0"/>
            <w:vAlign w:val="center"/>
          </w:tcPr>
          <w:p w14:paraId="158BB23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4"/>
                <w:szCs w:val="24"/>
                <w:lang w:val="en-US" w:eastAsia="zh-CN" w:bidi="ar"/>
              </w:rPr>
            </w:pPr>
          </w:p>
        </w:tc>
        <w:tc>
          <w:tcPr>
            <w:tcW w:w="1471" w:type="dxa"/>
            <w:vMerge w:val="continue"/>
            <w:noWrap w:val="0"/>
            <w:vAlign w:val="center"/>
          </w:tcPr>
          <w:p w14:paraId="59D4A14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20FD0C6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 健全园区运营管理机制，强化日常监管，促进企业合规生产。持续优化营商环境，建立“企业宁静日”、入企检查报备制度，切实减轻企业负担。</w:t>
            </w:r>
          </w:p>
        </w:tc>
        <w:tc>
          <w:tcPr>
            <w:tcW w:w="1352" w:type="dxa"/>
            <w:vMerge w:val="continue"/>
            <w:noWrap w:val="0"/>
            <w:vAlign w:val="center"/>
          </w:tcPr>
          <w:p w14:paraId="4B7FCCC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1387" w:type="dxa"/>
            <w:noWrap w:val="0"/>
            <w:vAlign w:val="center"/>
          </w:tcPr>
          <w:p w14:paraId="7B82F4D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6月中旬</w:t>
            </w:r>
          </w:p>
        </w:tc>
        <w:tc>
          <w:tcPr>
            <w:tcW w:w="1174" w:type="dxa"/>
            <w:noWrap w:val="0"/>
            <w:vAlign w:val="top"/>
          </w:tcPr>
          <w:p w14:paraId="47FFAE4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1A49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jc w:val="center"/>
        </w:trPr>
        <w:tc>
          <w:tcPr>
            <w:tcW w:w="627" w:type="dxa"/>
            <w:vMerge w:val="restart"/>
            <w:noWrap w:val="0"/>
            <w:vAlign w:val="center"/>
          </w:tcPr>
          <w:p w14:paraId="7565F25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p w14:paraId="2FD0E57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p w14:paraId="03BE689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p w14:paraId="0E40D49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p w14:paraId="310D43A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r>
              <w:rPr>
                <w:rFonts w:hint="eastAsia" w:ascii="方正小标宋简体" w:hAnsi="方正小标宋简体" w:eastAsia="方正小标宋简体" w:cs="方正小标宋简体"/>
                <w:kern w:val="0"/>
                <w:sz w:val="40"/>
                <w:szCs w:val="40"/>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-513080</wp:posOffset>
                      </wp:positionH>
                      <wp:positionV relativeFrom="paragraph">
                        <wp:posOffset>876935</wp:posOffset>
                      </wp:positionV>
                      <wp:extent cx="494665" cy="361315"/>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49466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693CC">
                                  <w:pPr>
                                    <w:rPr>
                                      <w:rFonts w:hint="default" w:ascii="宋体" w:hAnsi="宋体" w:eastAsia="宋体" w:cs="宋体"/>
                                      <w:sz w:val="28"/>
                                      <w:szCs w:val="28"/>
                                      <w:lang w:val="en-US" w:eastAsia="zh-CN"/>
                                    </w:rPr>
                                  </w:pPr>
                                  <w:r>
                                    <w:rPr>
                                      <w:rFonts w:hint="eastAsia" w:ascii="宋体" w:hAnsi="宋体" w:eastAsia="宋体" w:cs="宋体"/>
                                      <w:sz w:val="24"/>
                                      <w:szCs w:val="24"/>
                                      <w:lang w:val="en-US" w:eastAsia="zh-CN"/>
                                    </w:rPr>
                                    <w:t>17</w:t>
                                  </w:r>
                                </w:p>
                              </w:txbxContent>
                            </wps:txbx>
                            <wps:bodyPr rot="0" spcFirstLastPara="0" vertOverflow="overflow" horzOverflow="overflow" vert="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4pt;margin-top:69.05pt;height:28.45pt;width:38.95pt;z-index:251660288;mso-width-relative:page;mso-height-relative:page;" filled="f" stroked="f" coordsize="21600,21600" o:gfxdata="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sBe5I2AAAAAoBAAAPAAAAAAAAAAEAIAAAACIA&#10;AABkcnMvZG93bnJldi54bWxQSwECFAAUAAAACACHTuJAWKDIGEICAAB3BAAADgAAAAAAAAABACAA&#10;AAAnAQAAZHJzL2Uyb0RvYy54bWxQSwUGAAAAAAYABgBZAQAA2wUAAAAA&#10;">
                      <v:fill on="f" focussize="0,0"/>
                      <v:stroke on="f" weight="0.5pt"/>
                      <v:imagedata o:title=""/>
                      <o:lock v:ext="edit" aspectratio="f"/>
                      <v:textbox style="layout-flow:vertical;">
                        <w:txbxContent>
                          <w:p w14:paraId="056693CC">
                            <w:pPr>
                              <w:rPr>
                                <w:rFonts w:hint="default" w:ascii="宋体" w:hAnsi="宋体" w:eastAsia="宋体" w:cs="宋体"/>
                                <w:sz w:val="28"/>
                                <w:szCs w:val="28"/>
                                <w:lang w:val="en-US" w:eastAsia="zh-CN"/>
                              </w:rPr>
                            </w:pPr>
                            <w:r>
                              <w:rPr>
                                <w:rFonts w:hint="eastAsia" w:ascii="宋体" w:hAnsi="宋体" w:eastAsia="宋体" w:cs="宋体"/>
                                <w:sz w:val="24"/>
                                <w:szCs w:val="24"/>
                                <w:lang w:val="en-US" w:eastAsia="zh-CN"/>
                              </w:rPr>
                              <w:t>17</w:t>
                            </w:r>
                          </w:p>
                        </w:txbxContent>
                      </v:textbox>
                    </v:shape>
                  </w:pict>
                </mc:Fallback>
              </mc:AlternateContent>
            </w:r>
            <w:r>
              <w:rPr>
                <w:rFonts w:hint="eastAsia" w:ascii="宋体" w:hAnsi="宋体" w:eastAsia="宋体" w:cs="宋体"/>
                <w:b w:val="0"/>
                <w:bCs w:val="0"/>
                <w:color w:val="000000"/>
                <w:kern w:val="0"/>
                <w:sz w:val="22"/>
                <w:szCs w:val="22"/>
                <w:lang w:val="en-US" w:eastAsia="zh-CN" w:bidi="ar"/>
              </w:rPr>
              <w:t>3</w:t>
            </w:r>
          </w:p>
        </w:tc>
        <w:tc>
          <w:tcPr>
            <w:tcW w:w="1471" w:type="dxa"/>
            <w:vMerge w:val="restart"/>
            <w:noWrap w:val="0"/>
            <w:vAlign w:val="center"/>
          </w:tcPr>
          <w:p w14:paraId="725DC0D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完善园区制度体系建设</w:t>
            </w:r>
          </w:p>
        </w:tc>
        <w:tc>
          <w:tcPr>
            <w:tcW w:w="7646" w:type="dxa"/>
            <w:noWrap w:val="0"/>
            <w:vAlign w:val="center"/>
          </w:tcPr>
          <w:p w14:paraId="32F2594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 县金融中心负责引进融资租赁机构、跨境金融机构，县工信局负责引进检测认证机构，县市监局负责引进知识产权代理机构，县商务粮食局负责引进报关服务机构，县税务局负责提供代开发票业务，县贸促会负责提供开具原产地证明业务，县公安局负责提供办理车辆异地销户业务，县数据局负责提供审批代办业务。由县工信局统筹负责在园区设立综合服务窗口，整合人员入驻，为入园企业提供仓单融资、代开发票、检测认证贴标、知识产权授权、开具原产地证、出口信保、代理报关、车辆销户、审批代办等“一站式”服务。</w:t>
            </w:r>
          </w:p>
        </w:tc>
        <w:tc>
          <w:tcPr>
            <w:tcW w:w="1352" w:type="dxa"/>
            <w:noWrap w:val="0"/>
            <w:vAlign w:val="center"/>
          </w:tcPr>
          <w:p w14:paraId="6865C84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工信局</w:t>
            </w:r>
          </w:p>
          <w:p w14:paraId="21BBF08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金融中心</w:t>
            </w:r>
          </w:p>
          <w:p w14:paraId="1F3048E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市监局</w:t>
            </w:r>
          </w:p>
          <w:p w14:paraId="7657162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商务粮食局</w:t>
            </w:r>
          </w:p>
          <w:p w14:paraId="400866D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税务局</w:t>
            </w:r>
          </w:p>
          <w:p w14:paraId="34E040A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贸促会</w:t>
            </w:r>
          </w:p>
          <w:p w14:paraId="14B9758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公安局</w:t>
            </w:r>
          </w:p>
          <w:p w14:paraId="3CECB75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数据局</w:t>
            </w:r>
          </w:p>
        </w:tc>
        <w:tc>
          <w:tcPr>
            <w:tcW w:w="1387" w:type="dxa"/>
            <w:noWrap w:val="0"/>
            <w:vAlign w:val="center"/>
          </w:tcPr>
          <w:p w14:paraId="6C549AF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6月中旬</w:t>
            </w:r>
          </w:p>
        </w:tc>
        <w:tc>
          <w:tcPr>
            <w:tcW w:w="1174" w:type="dxa"/>
            <w:noWrap w:val="0"/>
            <w:vAlign w:val="top"/>
          </w:tcPr>
          <w:p w14:paraId="34A83AB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08A0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27" w:type="dxa"/>
            <w:vMerge w:val="continue"/>
            <w:noWrap w:val="0"/>
            <w:vAlign w:val="center"/>
          </w:tcPr>
          <w:p w14:paraId="3B687FB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1E530EB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1"/>
                <w:szCs w:val="21"/>
                <w:lang w:val="en-US" w:eastAsia="zh-CN" w:bidi="ar"/>
              </w:rPr>
            </w:pPr>
          </w:p>
        </w:tc>
        <w:tc>
          <w:tcPr>
            <w:tcW w:w="7646" w:type="dxa"/>
            <w:noWrap w:val="0"/>
            <w:vAlign w:val="center"/>
          </w:tcPr>
          <w:p w14:paraId="526A608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2. 加强与中资环对接合作，提出共建检验认证中心、再制造研发与培训中心方案，试点开展法务机关资源导入与市场拓展工作，完善并签订相关合作框架协议。</w:t>
            </w:r>
          </w:p>
        </w:tc>
        <w:tc>
          <w:tcPr>
            <w:tcW w:w="1352" w:type="dxa"/>
            <w:noWrap w:val="0"/>
            <w:vAlign w:val="center"/>
          </w:tcPr>
          <w:p w14:paraId="72F38B2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高新区</w:t>
            </w:r>
          </w:p>
        </w:tc>
        <w:tc>
          <w:tcPr>
            <w:tcW w:w="1387" w:type="dxa"/>
            <w:noWrap w:val="0"/>
            <w:vAlign w:val="center"/>
          </w:tcPr>
          <w:p w14:paraId="7F4206C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7月底前</w:t>
            </w:r>
          </w:p>
        </w:tc>
        <w:tc>
          <w:tcPr>
            <w:tcW w:w="1174" w:type="dxa"/>
            <w:noWrap w:val="0"/>
            <w:vAlign w:val="top"/>
          </w:tcPr>
          <w:p w14:paraId="3CD346E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5764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27" w:type="dxa"/>
            <w:noWrap w:val="0"/>
            <w:vAlign w:val="center"/>
          </w:tcPr>
          <w:p w14:paraId="5BE3389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kern w:val="0"/>
                <w:sz w:val="40"/>
                <w:szCs w:val="24"/>
                <w:lang w:val="en-US" w:eastAsia="zh-CN" w:bidi="ar"/>
              </w:rPr>
              <mc:AlternateContent>
                <mc:Choice Requires="wps">
                  <w:drawing>
                    <wp:anchor distT="0" distB="0" distL="114300" distR="114300" simplePos="0" relativeHeight="251662336" behindDoc="0" locked="0" layoutInCell="1" allowOverlap="1">
                      <wp:simplePos x="0" y="0"/>
                      <wp:positionH relativeFrom="column">
                        <wp:posOffset>-477520</wp:posOffset>
                      </wp:positionH>
                      <wp:positionV relativeFrom="paragraph">
                        <wp:posOffset>-786130</wp:posOffset>
                      </wp:positionV>
                      <wp:extent cx="494665" cy="361315"/>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49466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39EDF">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18</w:t>
                                  </w:r>
                                </w:p>
                              </w:txbxContent>
                            </wps:txbx>
                            <wps:bodyPr rot="0" spcFirstLastPara="0" vertOverflow="overflow" horzOverflow="overflow" vert="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pt;margin-top:-61.9pt;height:28.45pt;width:38.95pt;z-index:251662336;mso-width-relative:page;mso-height-relative:page;" filled="f" stroked="f" coordsize="21600,21600" o:gfxdata="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vkqdHZAAAACgEAAA8AAAAAAAAAAQAgAAAA&#10;IgAAAGRycy9kb3ducmV2LnhtbFBLAQIUABQAAAAIAIdO4kB/RwbCQwIAAHUEAAAOAAAAAAAAAAEA&#10;IAAAACgBAABkcnMvZTJvRG9jLnhtbFBLBQYAAAAABgAGAFkBAADdBQAAAAA=&#10;">
                      <v:fill on="f" focussize="0,0"/>
                      <v:stroke on="f" weight="0.5pt"/>
                      <v:imagedata o:title=""/>
                      <o:lock v:ext="edit" aspectratio="f"/>
                      <v:textbox style="layout-flow:vertical;">
                        <w:txbxContent>
                          <w:p w14:paraId="16539EDF">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18</w:t>
                            </w:r>
                          </w:p>
                        </w:txbxContent>
                      </v:textbox>
                    </v:shape>
                  </w:pict>
                </mc:Fallback>
              </mc:AlternateContent>
            </w:r>
            <w:r>
              <w:rPr>
                <w:rFonts w:hint="eastAsia" w:ascii="宋体" w:hAnsi="宋体" w:eastAsia="宋体" w:cs="宋体"/>
                <w:b w:val="0"/>
                <w:bCs w:val="0"/>
                <w:color w:val="000000"/>
                <w:kern w:val="0"/>
                <w:sz w:val="22"/>
                <w:szCs w:val="22"/>
                <w:lang w:val="en-US" w:eastAsia="zh-CN" w:bidi="ar"/>
              </w:rPr>
              <w:t>4</w:t>
            </w:r>
          </w:p>
        </w:tc>
        <w:tc>
          <w:tcPr>
            <w:tcW w:w="1471" w:type="dxa"/>
            <w:noWrap w:val="0"/>
            <w:vAlign w:val="center"/>
          </w:tcPr>
          <w:p w14:paraId="27C2F1F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创建省自贸办创新基地</w:t>
            </w:r>
          </w:p>
        </w:tc>
        <w:tc>
          <w:tcPr>
            <w:tcW w:w="7646" w:type="dxa"/>
            <w:noWrap w:val="0"/>
            <w:vAlign w:val="center"/>
          </w:tcPr>
          <w:p w14:paraId="61EEFCB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积极争取省人民政府批准将湖南（湘阴）工程机械产业园确定为湖南自贸试验区工程机械再制造及维修创新基地。加强与省商务厅、省财政厅对接，争取在对外贸易、招商引资、承接产业转移、平台搭建等方面给予专项政策和资金支持。</w:t>
            </w:r>
          </w:p>
        </w:tc>
        <w:tc>
          <w:tcPr>
            <w:tcW w:w="1352" w:type="dxa"/>
            <w:noWrap w:val="0"/>
            <w:vAlign w:val="center"/>
          </w:tcPr>
          <w:p w14:paraId="5BFC937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政府办</w:t>
            </w:r>
          </w:p>
          <w:p w14:paraId="3323F0C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商务粮食局</w:t>
            </w:r>
          </w:p>
          <w:p w14:paraId="55A4AAA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财政局</w:t>
            </w:r>
          </w:p>
          <w:p w14:paraId="107483E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工信局</w:t>
            </w:r>
          </w:p>
        </w:tc>
        <w:tc>
          <w:tcPr>
            <w:tcW w:w="1387" w:type="dxa"/>
            <w:noWrap w:val="0"/>
            <w:vAlign w:val="center"/>
          </w:tcPr>
          <w:p w14:paraId="64FDD34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8月底前</w:t>
            </w:r>
          </w:p>
        </w:tc>
        <w:tc>
          <w:tcPr>
            <w:tcW w:w="1174" w:type="dxa"/>
            <w:noWrap w:val="0"/>
            <w:vAlign w:val="top"/>
          </w:tcPr>
          <w:p w14:paraId="7F9C2E5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r>
              <w:rPr>
                <w:rFonts w:hint="eastAsia" w:ascii="宋体" w:hAnsi="宋体" w:eastAsia="宋体" w:cs="宋体"/>
                <w:kern w:val="0"/>
                <w:sz w:val="28"/>
                <w:szCs w:val="24"/>
                <w:lang w:val="en-US" w:eastAsia="zh-CN" w:bidi="ar"/>
              </w:rPr>
              <mc:AlternateContent>
                <mc:Choice Requires="wpg">
                  <w:drawing>
                    <wp:anchor distT="0" distB="0" distL="114300" distR="114300" simplePos="0" relativeHeight="251663360" behindDoc="0" locked="0" layoutInCell="1" allowOverlap="1">
                      <wp:simplePos x="0" y="0"/>
                      <wp:positionH relativeFrom="column">
                        <wp:posOffset>772795</wp:posOffset>
                      </wp:positionH>
                      <wp:positionV relativeFrom="paragraph">
                        <wp:posOffset>-534035</wp:posOffset>
                      </wp:positionV>
                      <wp:extent cx="508635" cy="6210300"/>
                      <wp:effectExtent l="0" t="0" r="0" b="0"/>
                      <wp:wrapNone/>
                      <wp:docPr id="4" name="组合 4"/>
                      <wp:cNvGraphicFramePr/>
                      <a:graphic xmlns:a="http://schemas.openxmlformats.org/drawingml/2006/main">
                        <a:graphicData uri="http://schemas.microsoft.com/office/word/2010/wordprocessingGroup">
                          <wpg:wgp>
                            <wpg:cNvGrpSpPr/>
                            <wpg:grpSpPr>
                              <a:xfrm>
                                <a:off x="0" y="0"/>
                                <a:ext cx="508635" cy="6210300"/>
                                <a:chOff x="22642" y="35603"/>
                                <a:chExt cx="801" cy="9780"/>
                              </a:xfrm>
                            </wpg:grpSpPr>
                            <wps:wsp>
                              <wps:cNvPr id="79" name="文本框 58"/>
                              <wps:cNvSpPr txBox="1"/>
                              <wps:spPr>
                                <a:xfrm>
                                  <a:off x="22642" y="35624"/>
                                  <a:ext cx="801" cy="9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9A413">
                                    <w:pPr>
                                      <w:jc w:val="left"/>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县委办、县政府办文件</w:t>
                                    </w:r>
                                  </w:p>
                                  <w:p w14:paraId="4CD4AF9B">
                                    <w:pPr>
                                      <w:jc w:val="left"/>
                                      <w:rPr>
                                        <w:rFonts w:hint="eastAsia" w:ascii="Calibri" w:hAnsi="Calibri" w:eastAsia="宋体" w:cs="Times New Roman"/>
                                        <w:lang w:val="en-US" w:eastAsia="zh-CN"/>
                                      </w:rPr>
                                    </w:pPr>
                                  </w:p>
                                </w:txbxContent>
                              </wps:txbx>
                              <wps:bodyPr rot="0" spcFirstLastPara="0" vertOverflow="overflow" horzOverflow="overflow" vert="vert" wrap="square" lIns="91440" tIns="45720" rIns="91440" bIns="45720" numCol="1" spcCol="0" rtlCol="0" fromWordArt="0" anchor="t" anchorCtr="0" forceAA="0" compatLnSpc="1">
                                <a:noAutofit/>
                              </wps:bodyPr>
                            </wps:wsp>
                            <wps:wsp>
                              <wps:cNvPr id="80" name="直接连接符 66"/>
                              <wps:cNvCnPr/>
                              <wps:spPr>
                                <a:xfrm>
                                  <a:off x="22730" y="35603"/>
                                  <a:ext cx="0" cy="9780"/>
                                </a:xfrm>
                                <a:prstGeom prst="line">
                                  <a:avLst/>
                                </a:prstGeom>
                                <a:noFill/>
                                <a:ln w="12700" cap="flat" cmpd="sng" algn="ctr">
                                  <a:solidFill>
                                    <a:srgbClr val="000000"/>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60.85pt;margin-top:-42.05pt;height:489pt;width:40.05pt;z-index:251663360;mso-width-relative:page;mso-height-relative:page;" coordorigin="22642,35603" coordsize="801,9780" o:gfxdata="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">
                      <o:lock v:ext="edit" aspectratio="f"/>
                      <v:shape id="文本框 58" o:spid="_x0000_s1026" o:spt="202" type="#_x0000_t202" style="position:absolute;left:22642;top:35624;height:9735;width:801;" filled="f" stroked="f" coordsize="21600,21600" o:gfxdata="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awzIvQAA&#10;ANsAAAAPAAAAAAAAAAEAIAAAACIAAABkcnMvZG93bnJldi54bWxQSwECFAAUAAAACACHTuJAMy8F&#10;njsAAAA5AAAAEAAAAAAAAAABACAAAAAMAQAAZHJzL3NoYXBleG1sLnhtbFBLBQYAAAAABgAGAFsB&#10;AAC2AwAAAAA=&#10;">
                        <v:fill on="f" focussize="0,0"/>
                        <v:stroke on="f" weight="0.5pt"/>
                        <v:imagedata o:title=""/>
                        <o:lock v:ext="edit" aspectratio="f"/>
                        <v:textbox style="layout-flow:vertical;">
                          <w:txbxContent>
                            <w:p w14:paraId="1FD9A413">
                              <w:pPr>
                                <w:jc w:val="left"/>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县委办、县政府办文件</w:t>
                              </w:r>
                            </w:p>
                            <w:p w14:paraId="4CD4AF9B">
                              <w:pPr>
                                <w:jc w:val="left"/>
                                <w:rPr>
                                  <w:rFonts w:hint="eastAsia" w:ascii="Calibri" w:hAnsi="Calibri" w:eastAsia="宋体" w:cs="Times New Roman"/>
                                  <w:lang w:val="en-US" w:eastAsia="zh-CN"/>
                                </w:rPr>
                              </w:pPr>
                            </w:p>
                          </w:txbxContent>
                        </v:textbox>
                      </v:shape>
                      <v:line id="直接连接符 66" o:spid="_x0000_s1026" o:spt="20" style="position:absolute;left:22730;top:35603;height:9780;width:0;" filled="f" stroked="t" coordsize="21600,21600" o:gfxdata="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r/oIugAAANsA&#10;AAAPAAAAAAAAAAEAIAAAACIAAABkcnMvZG93bnJldi54bWxQSwECFAAUAAAACACHTuJAMy8FnjsA&#10;AAA5AAAAEAAAAAAAAAABACAAAAAJAQAAZHJzL3NoYXBleG1sLnhtbFBLBQYAAAAABgAGAFsBAACz&#10;AwAAAAA=&#10;">
                        <v:fill on="f" focussize="0,0"/>
                        <v:stroke weight="1pt" color="#000000 [3204]" miterlimit="8" joinstyle="miter"/>
                        <v:imagedata o:title=""/>
                        <o:lock v:ext="edit" aspectratio="f"/>
                      </v:line>
                    </v:group>
                  </w:pict>
                </mc:Fallback>
              </mc:AlternateContent>
            </w:r>
          </w:p>
        </w:tc>
      </w:tr>
      <w:tr w14:paraId="42B5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27" w:type="dxa"/>
            <w:vMerge w:val="restart"/>
            <w:noWrap w:val="0"/>
            <w:vAlign w:val="center"/>
          </w:tcPr>
          <w:p w14:paraId="503B8EA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b w:val="0"/>
                <w:bCs w:val="0"/>
                <w:color w:val="000000"/>
                <w:kern w:val="0"/>
                <w:sz w:val="22"/>
                <w:szCs w:val="22"/>
                <w:lang w:val="en-US" w:eastAsia="zh-CN" w:bidi="ar"/>
              </w:rPr>
              <w:t>5</w:t>
            </w:r>
          </w:p>
        </w:tc>
        <w:tc>
          <w:tcPr>
            <w:tcW w:w="1471" w:type="dxa"/>
            <w:vMerge w:val="restart"/>
            <w:noWrap w:val="0"/>
            <w:vAlign w:val="center"/>
          </w:tcPr>
          <w:p w14:paraId="443A39B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推动主机厂法务机落地</w:t>
            </w:r>
          </w:p>
        </w:tc>
        <w:tc>
          <w:tcPr>
            <w:tcW w:w="7646" w:type="dxa"/>
            <w:noWrap w:val="0"/>
            <w:vAlign w:val="center"/>
          </w:tcPr>
          <w:p w14:paraId="07A01AE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val="0"/>
                <w:bCs w:val="0"/>
                <w:color w:val="000000"/>
                <w:kern w:val="0"/>
                <w:sz w:val="21"/>
                <w:szCs w:val="21"/>
                <w:lang w:val="en-US" w:eastAsia="zh-CN" w:bidi="ar"/>
              </w:rPr>
              <w:t>1. 积极争取省商务厅支持，协调省高院推动主机厂法务机集中在湘阴处置，促推主机厂在湘阴开展法务机再制造业务。</w:t>
            </w:r>
          </w:p>
        </w:tc>
        <w:tc>
          <w:tcPr>
            <w:tcW w:w="1352" w:type="dxa"/>
            <w:noWrap w:val="0"/>
            <w:vAlign w:val="center"/>
          </w:tcPr>
          <w:p w14:paraId="129A443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工信局</w:t>
            </w:r>
          </w:p>
          <w:p w14:paraId="142FA6E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商务粮食局</w:t>
            </w:r>
          </w:p>
        </w:tc>
        <w:tc>
          <w:tcPr>
            <w:tcW w:w="1387" w:type="dxa"/>
            <w:noWrap w:val="0"/>
            <w:vAlign w:val="center"/>
          </w:tcPr>
          <w:p w14:paraId="70633EC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6月中旬</w:t>
            </w:r>
          </w:p>
        </w:tc>
        <w:tc>
          <w:tcPr>
            <w:tcW w:w="1174" w:type="dxa"/>
            <w:vMerge w:val="restart"/>
            <w:noWrap w:val="0"/>
            <w:vAlign w:val="top"/>
          </w:tcPr>
          <w:p w14:paraId="6A32366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019F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627" w:type="dxa"/>
            <w:vMerge w:val="continue"/>
            <w:noWrap w:val="0"/>
            <w:vAlign w:val="center"/>
          </w:tcPr>
          <w:p w14:paraId="4924DDF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4"/>
                <w:szCs w:val="24"/>
                <w:lang w:val="en-US" w:eastAsia="zh-CN" w:bidi="ar"/>
              </w:rPr>
            </w:pPr>
          </w:p>
        </w:tc>
        <w:tc>
          <w:tcPr>
            <w:tcW w:w="1471" w:type="dxa"/>
            <w:vMerge w:val="continue"/>
            <w:noWrap w:val="0"/>
            <w:vAlign w:val="center"/>
          </w:tcPr>
          <w:p w14:paraId="6C56D87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宋体" w:hAnsi="宋体" w:eastAsia="宋体" w:cs="宋体"/>
                <w:kern w:val="0"/>
                <w:sz w:val="21"/>
                <w:szCs w:val="21"/>
                <w:lang w:val="en-US" w:eastAsia="zh-CN" w:bidi="ar"/>
              </w:rPr>
            </w:pPr>
          </w:p>
        </w:tc>
        <w:tc>
          <w:tcPr>
            <w:tcW w:w="7646" w:type="dxa"/>
            <w:noWrap w:val="0"/>
            <w:vAlign w:val="center"/>
          </w:tcPr>
          <w:p w14:paraId="44B97C0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 借鉴长沙自贸片区工作经验，探索建立工程机械法务及司法处置定向询价工作机制，县人民法院可采用定向询价的方式，向发改部门价格认证机构函询确定拍卖标的处置参考价，缩短询价时间，提高成交效率。</w:t>
            </w:r>
          </w:p>
        </w:tc>
        <w:tc>
          <w:tcPr>
            <w:tcW w:w="1352" w:type="dxa"/>
            <w:noWrap w:val="0"/>
            <w:vAlign w:val="center"/>
          </w:tcPr>
          <w:p w14:paraId="2C8CE97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人民法院</w:t>
            </w:r>
          </w:p>
        </w:tc>
        <w:tc>
          <w:tcPr>
            <w:tcW w:w="1387" w:type="dxa"/>
            <w:noWrap w:val="0"/>
            <w:vAlign w:val="center"/>
          </w:tcPr>
          <w:p w14:paraId="76987EE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12月底前</w:t>
            </w:r>
          </w:p>
        </w:tc>
        <w:tc>
          <w:tcPr>
            <w:tcW w:w="1174" w:type="dxa"/>
            <w:vMerge w:val="continue"/>
            <w:noWrap w:val="0"/>
            <w:vAlign w:val="top"/>
          </w:tcPr>
          <w:p w14:paraId="2114CE1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eastAsia" w:ascii="Times New Roman" w:hAnsi="Times New Roman" w:eastAsia="宋体" w:cs="Times New Roman"/>
                <w:b w:val="0"/>
                <w:bCs w:val="0"/>
                <w:color w:val="000000"/>
                <w:kern w:val="0"/>
                <w:sz w:val="22"/>
                <w:szCs w:val="22"/>
                <w:lang w:val="en-US" w:eastAsia="zh-CN" w:bidi="ar"/>
              </w:rPr>
            </w:pPr>
          </w:p>
        </w:tc>
      </w:tr>
      <w:tr w14:paraId="2880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27" w:type="dxa"/>
            <w:vMerge w:val="restart"/>
            <w:noWrap w:val="0"/>
            <w:vAlign w:val="center"/>
          </w:tcPr>
          <w:p w14:paraId="53D08E3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b w:val="0"/>
                <w:bCs w:val="0"/>
                <w:color w:val="000000"/>
                <w:kern w:val="0"/>
                <w:sz w:val="22"/>
                <w:szCs w:val="22"/>
                <w:lang w:val="en-US" w:eastAsia="zh-CN" w:bidi="ar"/>
              </w:rPr>
              <w:t>6</w:t>
            </w:r>
          </w:p>
        </w:tc>
        <w:tc>
          <w:tcPr>
            <w:tcW w:w="1471" w:type="dxa"/>
            <w:vMerge w:val="restart"/>
            <w:noWrap w:val="0"/>
            <w:vAlign w:val="center"/>
          </w:tcPr>
          <w:p w14:paraId="4E3F45C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完善物流服务体系建设</w:t>
            </w:r>
          </w:p>
        </w:tc>
        <w:tc>
          <w:tcPr>
            <w:tcW w:w="7646" w:type="dxa"/>
            <w:noWrap w:val="0"/>
            <w:vAlign w:val="center"/>
          </w:tcPr>
          <w:p w14:paraId="32A4001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 加强与省港口集团对接，开展虞公港二期滚装码头（重滚）前期用地、岸线、通航等调规论证，提出建设方案、投资规模和资金筹措方案，适时启动建设。</w:t>
            </w:r>
          </w:p>
        </w:tc>
        <w:tc>
          <w:tcPr>
            <w:tcW w:w="1352" w:type="dxa"/>
            <w:noWrap w:val="0"/>
            <w:tcMar>
              <w:top w:w="0" w:type="dxa"/>
              <w:left w:w="51" w:type="dxa"/>
              <w:bottom w:w="0" w:type="dxa"/>
              <w:right w:w="51" w:type="dxa"/>
            </w:tcMar>
            <w:vAlign w:val="center"/>
          </w:tcPr>
          <w:p w14:paraId="4179FB1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spacing w:val="-6"/>
                <w:kern w:val="0"/>
                <w:sz w:val="21"/>
                <w:szCs w:val="21"/>
                <w:lang w:val="en-US" w:eastAsia="zh-CN" w:bidi="ar"/>
              </w:rPr>
            </w:pPr>
            <w:r>
              <w:rPr>
                <w:rFonts w:hint="eastAsia" w:ascii="宋体" w:hAnsi="宋体" w:eastAsia="宋体" w:cs="宋体"/>
                <w:b w:val="0"/>
                <w:bCs w:val="0"/>
                <w:color w:val="000000"/>
                <w:spacing w:val="-6"/>
                <w:kern w:val="0"/>
                <w:sz w:val="21"/>
                <w:szCs w:val="21"/>
                <w:lang w:val="en-US" w:eastAsia="zh-CN" w:bidi="ar"/>
              </w:rPr>
              <w:t>临港事务中心</w:t>
            </w:r>
          </w:p>
          <w:p w14:paraId="2D0F9FF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交通局</w:t>
            </w:r>
          </w:p>
        </w:tc>
        <w:tc>
          <w:tcPr>
            <w:tcW w:w="1387" w:type="dxa"/>
            <w:noWrap w:val="0"/>
            <w:vAlign w:val="center"/>
          </w:tcPr>
          <w:p w14:paraId="65FB192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8月底前</w:t>
            </w:r>
          </w:p>
        </w:tc>
        <w:tc>
          <w:tcPr>
            <w:tcW w:w="1174" w:type="dxa"/>
            <w:noWrap w:val="0"/>
            <w:vAlign w:val="top"/>
          </w:tcPr>
          <w:p w14:paraId="6860D09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35F2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27" w:type="dxa"/>
            <w:vMerge w:val="continue"/>
            <w:noWrap w:val="0"/>
            <w:vAlign w:val="center"/>
          </w:tcPr>
          <w:p w14:paraId="2B611F7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113B8B7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0615508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 推进港口铁路专营线建设，扩大港口辐射范围、提升港口吞吐能力，实现水铁公多式联运，争取物流成本下降10-20%。</w:t>
            </w:r>
          </w:p>
        </w:tc>
        <w:tc>
          <w:tcPr>
            <w:tcW w:w="1352" w:type="dxa"/>
            <w:noWrap w:val="0"/>
            <w:vAlign w:val="center"/>
          </w:tcPr>
          <w:p w14:paraId="4CBE793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spacing w:val="-6"/>
                <w:kern w:val="0"/>
                <w:sz w:val="21"/>
                <w:szCs w:val="21"/>
                <w:lang w:val="en-US" w:eastAsia="zh-CN" w:bidi="ar"/>
              </w:rPr>
              <w:t>临港事务中心</w:t>
            </w:r>
          </w:p>
        </w:tc>
        <w:tc>
          <w:tcPr>
            <w:tcW w:w="1387" w:type="dxa"/>
            <w:noWrap w:val="0"/>
            <w:vAlign w:val="center"/>
          </w:tcPr>
          <w:p w14:paraId="21B0AC4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按计划推进</w:t>
            </w:r>
          </w:p>
        </w:tc>
        <w:tc>
          <w:tcPr>
            <w:tcW w:w="1174" w:type="dxa"/>
            <w:noWrap w:val="0"/>
            <w:vAlign w:val="top"/>
          </w:tcPr>
          <w:p w14:paraId="17296A3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26E8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27" w:type="dxa"/>
            <w:vMerge w:val="continue"/>
            <w:noWrap w:val="0"/>
            <w:vAlign w:val="center"/>
          </w:tcPr>
          <w:p w14:paraId="4AF5A21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19CF119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6910104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 鼓励入园企业整合销售渠道、物流资源，共建共享或租赁海外仓，降低物流成本。协调企业健全售后保障体系，设立海外配件中心和本地化服务团队，促进工程机械实现海外现货贸易。</w:t>
            </w:r>
          </w:p>
        </w:tc>
        <w:tc>
          <w:tcPr>
            <w:tcW w:w="1352" w:type="dxa"/>
            <w:noWrap w:val="0"/>
            <w:vAlign w:val="center"/>
          </w:tcPr>
          <w:p w14:paraId="2AB4BF8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商务粮食局</w:t>
            </w:r>
          </w:p>
        </w:tc>
        <w:tc>
          <w:tcPr>
            <w:tcW w:w="1387" w:type="dxa"/>
            <w:noWrap w:val="0"/>
            <w:vAlign w:val="center"/>
          </w:tcPr>
          <w:p w14:paraId="27CC809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12月底前</w:t>
            </w:r>
          </w:p>
        </w:tc>
        <w:tc>
          <w:tcPr>
            <w:tcW w:w="1174" w:type="dxa"/>
            <w:noWrap w:val="0"/>
            <w:vAlign w:val="top"/>
          </w:tcPr>
          <w:p w14:paraId="2294772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1B19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27" w:type="dxa"/>
            <w:vMerge w:val="restart"/>
            <w:noWrap w:val="0"/>
            <w:vAlign w:val="center"/>
          </w:tcPr>
          <w:p w14:paraId="3391AD7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b w:val="0"/>
                <w:bCs w:val="0"/>
                <w:color w:val="000000"/>
                <w:kern w:val="0"/>
                <w:sz w:val="22"/>
                <w:szCs w:val="22"/>
                <w:lang w:val="en-US" w:eastAsia="zh-CN" w:bidi="ar"/>
              </w:rPr>
              <w:t>7</w:t>
            </w:r>
          </w:p>
        </w:tc>
        <w:tc>
          <w:tcPr>
            <w:tcW w:w="1471" w:type="dxa"/>
            <w:vMerge w:val="restart"/>
            <w:noWrap w:val="0"/>
            <w:vAlign w:val="center"/>
          </w:tcPr>
          <w:p w14:paraId="0F99ABF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谋划园区二期功能布局</w:t>
            </w:r>
          </w:p>
        </w:tc>
        <w:tc>
          <w:tcPr>
            <w:tcW w:w="7646" w:type="dxa"/>
            <w:noWrap w:val="0"/>
            <w:vAlign w:val="center"/>
          </w:tcPr>
          <w:p w14:paraId="165B834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 编制园区二期建设规划，适时启动二期建设。</w:t>
            </w:r>
          </w:p>
        </w:tc>
        <w:tc>
          <w:tcPr>
            <w:tcW w:w="1352" w:type="dxa"/>
            <w:noWrap w:val="0"/>
            <w:tcMar>
              <w:top w:w="0" w:type="dxa"/>
              <w:left w:w="51" w:type="dxa"/>
              <w:bottom w:w="0" w:type="dxa"/>
              <w:right w:w="51" w:type="dxa"/>
            </w:tcMar>
            <w:vAlign w:val="center"/>
          </w:tcPr>
          <w:p w14:paraId="27BC548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spacing w:val="-6"/>
                <w:kern w:val="0"/>
                <w:sz w:val="21"/>
                <w:szCs w:val="21"/>
                <w:lang w:val="en-US" w:eastAsia="zh-CN" w:bidi="ar"/>
              </w:rPr>
              <w:t>长沙临港产投</w:t>
            </w:r>
          </w:p>
        </w:tc>
        <w:tc>
          <w:tcPr>
            <w:tcW w:w="1387" w:type="dxa"/>
            <w:noWrap w:val="0"/>
            <w:vAlign w:val="center"/>
          </w:tcPr>
          <w:p w14:paraId="0AA3580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8月底前</w:t>
            </w:r>
          </w:p>
        </w:tc>
        <w:tc>
          <w:tcPr>
            <w:tcW w:w="1174" w:type="dxa"/>
            <w:noWrap w:val="0"/>
            <w:vAlign w:val="top"/>
          </w:tcPr>
          <w:p w14:paraId="057D1B8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6227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627" w:type="dxa"/>
            <w:vMerge w:val="continue"/>
            <w:noWrap w:val="0"/>
            <w:vAlign w:val="center"/>
          </w:tcPr>
          <w:p w14:paraId="6830895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35C5810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04425B4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 加强与省国贸集团、长沙国贸集团对接，根据园区发展需要，完善旧件回收堆场、集中清洗中心、集中喷涂中心、集中检测中心、综合服务中心布局，落实建设规模、投资规模、资金筹措方案等。</w:t>
            </w:r>
          </w:p>
        </w:tc>
        <w:tc>
          <w:tcPr>
            <w:tcW w:w="1352" w:type="dxa"/>
            <w:noWrap w:val="0"/>
            <w:vAlign w:val="center"/>
          </w:tcPr>
          <w:p w14:paraId="598FB1D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商务粮食局</w:t>
            </w:r>
          </w:p>
        </w:tc>
        <w:tc>
          <w:tcPr>
            <w:tcW w:w="1387" w:type="dxa"/>
            <w:noWrap w:val="0"/>
            <w:vAlign w:val="center"/>
          </w:tcPr>
          <w:p w14:paraId="50C97C3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8月底前</w:t>
            </w:r>
          </w:p>
        </w:tc>
        <w:tc>
          <w:tcPr>
            <w:tcW w:w="1174" w:type="dxa"/>
            <w:noWrap w:val="0"/>
            <w:vAlign w:val="top"/>
          </w:tcPr>
          <w:p w14:paraId="4A579C1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1E7D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27" w:type="dxa"/>
            <w:vMerge w:val="continue"/>
            <w:noWrap w:val="0"/>
            <w:vAlign w:val="center"/>
          </w:tcPr>
          <w:p w14:paraId="53233DC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460D0CB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772933E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 落实海关监管场所设立的建设方案、投资规模和资金筹措方案，根据需要适时启动建设。</w:t>
            </w:r>
          </w:p>
        </w:tc>
        <w:tc>
          <w:tcPr>
            <w:tcW w:w="1352" w:type="dxa"/>
            <w:noWrap w:val="0"/>
            <w:vAlign w:val="center"/>
          </w:tcPr>
          <w:p w14:paraId="1FF83F5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虞公港建投</w:t>
            </w:r>
          </w:p>
        </w:tc>
        <w:tc>
          <w:tcPr>
            <w:tcW w:w="1387" w:type="dxa"/>
            <w:noWrap w:val="0"/>
            <w:vAlign w:val="center"/>
          </w:tcPr>
          <w:p w14:paraId="2D9AF69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8月底前</w:t>
            </w:r>
          </w:p>
        </w:tc>
        <w:tc>
          <w:tcPr>
            <w:tcW w:w="1174" w:type="dxa"/>
            <w:noWrap w:val="0"/>
            <w:vAlign w:val="top"/>
          </w:tcPr>
          <w:p w14:paraId="0467416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r w14:paraId="33A0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627" w:type="dxa"/>
            <w:vMerge w:val="continue"/>
            <w:noWrap w:val="0"/>
            <w:vAlign w:val="center"/>
          </w:tcPr>
          <w:p w14:paraId="53DD080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2"/>
                <w:szCs w:val="22"/>
                <w:lang w:val="en-US" w:eastAsia="zh-CN" w:bidi="ar"/>
              </w:rPr>
            </w:pPr>
          </w:p>
        </w:tc>
        <w:tc>
          <w:tcPr>
            <w:tcW w:w="1471" w:type="dxa"/>
            <w:vMerge w:val="continue"/>
            <w:noWrap w:val="0"/>
            <w:vAlign w:val="center"/>
          </w:tcPr>
          <w:p w14:paraId="6CBB7F6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p>
        </w:tc>
        <w:tc>
          <w:tcPr>
            <w:tcW w:w="7646" w:type="dxa"/>
            <w:noWrap w:val="0"/>
            <w:vAlign w:val="center"/>
          </w:tcPr>
          <w:p w14:paraId="1101D8D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ind w:firstLine="210" w:firstLineChars="100"/>
              <w:jc w:val="both"/>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4. 加强与省工信厅对接，推动由国重智联牵头，各大主机厂共同出资，积极争取上级专项建设资金，在湖南（湘阴）工程机械再制造产业园建设主机厂检测中试基地。完善应用场景规划与选址，落实中试基地和应用场景建设方案、投资规模。</w:t>
            </w:r>
          </w:p>
        </w:tc>
        <w:tc>
          <w:tcPr>
            <w:tcW w:w="1352" w:type="dxa"/>
            <w:noWrap w:val="0"/>
            <w:vAlign w:val="center"/>
          </w:tcPr>
          <w:p w14:paraId="1514DB8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工信局</w:t>
            </w:r>
          </w:p>
        </w:tc>
        <w:tc>
          <w:tcPr>
            <w:tcW w:w="1387" w:type="dxa"/>
            <w:noWrap w:val="0"/>
            <w:vAlign w:val="center"/>
          </w:tcPr>
          <w:p w14:paraId="68915DB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center"/>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12月底前</w:t>
            </w:r>
          </w:p>
        </w:tc>
        <w:tc>
          <w:tcPr>
            <w:tcW w:w="1174" w:type="dxa"/>
            <w:noWrap w:val="0"/>
            <w:vAlign w:val="top"/>
          </w:tcPr>
          <w:p w14:paraId="6D1547E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kern w:val="0"/>
                <w:sz w:val="32"/>
                <w:szCs w:val="32"/>
                <w:vertAlign w:val="baseline"/>
                <w:lang w:val="en-US" w:eastAsia="zh-CN" w:bidi="ar"/>
              </w:rPr>
            </w:pPr>
          </w:p>
        </w:tc>
      </w:tr>
    </w:tbl>
    <w:p w14:paraId="1D59FC4F"/>
    <w:sectPr>
      <w:headerReference r:id="rId3" w:type="default"/>
      <w:footerReference r:id="rId4" w:type="default"/>
      <w:pgSz w:w="16838" w:h="11906" w:orient="landscape"/>
      <w:pgMar w:top="1134" w:right="1984" w:bottom="1020"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1CEB">
    <w:pPr>
      <w:spacing w:line="176" w:lineRule="auto"/>
      <w:rPr>
        <w:rFonts w:ascii="宋体" w:hAnsi="宋体" w:eastAsia="宋体" w:cs="宋体"/>
        <w:sz w:val="27"/>
        <w:szCs w:val="27"/>
      </w:rPr>
    </w:pPr>
    <w:r>
      <w:rPr>
        <w:rFonts w:ascii="Calibri" w:hAnsi="Calibri" w:eastAsia="宋体" w:cs="Times New Roman"/>
        <w:sz w:val="27"/>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1" name="文本框 35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AD843">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color="#FFFFFF" filled="t" stroked="f" coordsize="21600,21600" o:gfxdata="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vvBAd0QAAAAUBAAAPAAAAAAAAAAEAIAAA&#10;ACIAAABkcnMvZG93bnJldi54bWxQSwECFAAUAAAACACHTuJAppiiQEwCAACcBAAADgAAAAAAAAAB&#10;ACAAAAAgAQAAZHJzL2Uyb0RvYy54bWxQSwUGAAAAAAYABgBZAQAA3gUAAAAA&#10;">
              <v:fill on="t" focussize="0,0"/>
              <v:stroke on="f" weight="0.5pt"/>
              <v:imagedata o:title=""/>
              <o:lock v:ext="edit" aspectratio="f"/>
              <v:textbox inset="0mm,0mm,0mm,0mm" style="mso-fit-shape-to-text:t;">
                <w:txbxContent>
                  <w:p w14:paraId="76AAD843">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6A3A">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default" w:ascii="Calibri" w:hAnsi="Calibri" w:eastAsia="宋体" w:cs="Times New Roman"/>
        <w:kern w:val="2"/>
        <w:sz w:val="18"/>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C47B6C"/>
    <w:rsid w:val="30C47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2026-08-03T07:52:00Z</dcterms:created>
  <dc:creator>叶宏欢</dc:creator>
  <cp:lastModifiedBy>叶宏欢</cp:lastModifiedBy>
  <dcterms:modified xsi:type="dcterms:W3CDTF">2026-08-03T07:57:53Z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4831212113E149CDB7DE4A6C0454307D_11</vt:lpwstr>
  </property>
  <property fmtid="{D5CDD505-2E9C-101B-9397-08002B2CF9AE}" pid="4" name="KSOTemplateDocerSaveRecord">
    <vt:lpwstr>eyJoZGlkIjoiMWQ2MDNjNzQ2NjVhMmFkYmRiMDUxYTVjMjZjYzU3YjciLCJ1c2VySWQiOiIxNDgxMDAwNDg1In0=</vt:lpwstr>
  </property>
</Properties>
</file>