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仿宋_GB2312" w:hAnsi="仿宋_GB2312" w:eastAsia="仿宋_GB2312" w:cs="仿宋_GB2312"/>
          <w:sz w:val="36"/>
          <w:szCs w:val="36"/>
        </w:rPr>
      </w:pPr>
      <w:bookmarkStart w:id="0" w:name="_Hlk57884087"/>
    </w:p>
    <w:p>
      <w:pPr>
        <w:spacing w:line="240" w:lineRule="auto"/>
        <w:ind w:firstLine="0" w:firstLineChars="0"/>
        <w:jc w:val="center"/>
        <w:rPr>
          <w:rFonts w:hint="eastAsia" w:ascii="仿宋_GB2312" w:hAnsi="仿宋_GB2312" w:eastAsia="仿宋_GB2312" w:cs="仿宋_GB2312"/>
          <w:sz w:val="36"/>
          <w:szCs w:val="36"/>
        </w:rPr>
      </w:pPr>
    </w:p>
    <w:p>
      <w:pPr>
        <w:spacing w:line="240" w:lineRule="auto"/>
        <w:ind w:firstLine="0" w:firstLineChars="0"/>
        <w:jc w:val="center"/>
        <w:rPr>
          <w:rFonts w:hint="eastAsia" w:ascii="仿宋_GB2312" w:hAnsi="仿宋_GB2312" w:eastAsia="仿宋_GB2312" w:cs="仿宋_GB2312"/>
          <w:sz w:val="36"/>
          <w:szCs w:val="36"/>
        </w:rPr>
      </w:pPr>
    </w:p>
    <w:p>
      <w:pPr>
        <w:spacing w:line="240" w:lineRule="auto"/>
        <w:ind w:firstLine="0" w:firstLineChars="0"/>
        <w:jc w:val="center"/>
        <w:rPr>
          <w:rFonts w:hint="eastAsia" w:ascii="仿宋_GB2312" w:hAnsi="仿宋_GB2312" w:eastAsia="仿宋_GB2312" w:cs="仿宋_GB2312"/>
          <w:sz w:val="36"/>
          <w:szCs w:val="36"/>
        </w:rPr>
      </w:pPr>
    </w:p>
    <w:p>
      <w:pPr>
        <w:adjustRightInd w:val="0"/>
        <w:snapToGrid w:val="0"/>
        <w:spacing w:line="240" w:lineRule="auto"/>
        <w:ind w:firstLine="0" w:firstLineChars="0"/>
        <w:jc w:val="center"/>
        <w:outlineLvl w:val="0"/>
        <w:rPr>
          <w:rFonts w:ascii="方正小标宋_GBK" w:eastAsia="方正小标宋_GBK"/>
          <w:bCs/>
          <w:sz w:val="72"/>
          <w:szCs w:val="72"/>
        </w:rPr>
      </w:pPr>
      <w:bookmarkStart w:id="1" w:name="_Toc9832"/>
      <w:bookmarkStart w:id="2" w:name="_Toc15543"/>
      <w:bookmarkStart w:id="3" w:name="_Toc17046"/>
      <w:bookmarkStart w:id="4" w:name="_Toc8314"/>
      <w:bookmarkStart w:id="5" w:name="_Toc14279"/>
      <w:bookmarkStart w:id="6" w:name="_Toc31927"/>
      <w:bookmarkStart w:id="7" w:name="_Toc31880"/>
      <w:bookmarkStart w:id="8" w:name="_Toc6548"/>
      <w:bookmarkStart w:id="9" w:name="_Toc24954"/>
      <w:bookmarkStart w:id="10" w:name="_Toc17817"/>
      <w:bookmarkStart w:id="11" w:name="_Toc8453"/>
      <w:bookmarkStart w:id="12" w:name="_Toc658"/>
      <w:bookmarkStart w:id="13" w:name="_Toc29762"/>
      <w:bookmarkStart w:id="14" w:name="_Toc30589"/>
      <w:bookmarkStart w:id="15" w:name="_Toc17611"/>
      <w:bookmarkStart w:id="16" w:name="_Toc15961"/>
      <w:bookmarkStart w:id="17" w:name="_Toc4680"/>
      <w:bookmarkStart w:id="18" w:name="_Toc7338"/>
      <w:bookmarkStart w:id="19" w:name="_Toc9826"/>
      <w:bookmarkStart w:id="20" w:name="_Toc22512"/>
      <w:bookmarkStart w:id="21" w:name="_Toc784"/>
      <w:bookmarkStart w:id="22" w:name="_Toc13557"/>
      <w:bookmarkStart w:id="23" w:name="_Toc22267"/>
      <w:bookmarkStart w:id="24" w:name="_Toc614"/>
      <w:bookmarkStart w:id="25" w:name="_Toc31614"/>
      <w:r>
        <w:rPr>
          <w:rFonts w:hint="eastAsia" w:ascii="方正小标宋_GBK" w:eastAsia="方正小标宋_GBK"/>
          <w:bCs/>
          <w:sz w:val="72"/>
          <w:szCs w:val="72"/>
        </w:rPr>
        <w:t>建设项目环境影响报告表</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adjustRightInd w:val="0"/>
        <w:snapToGrid w:val="0"/>
        <w:spacing w:line="288" w:lineRule="auto"/>
        <w:ind w:firstLine="0" w:firstLineChars="0"/>
        <w:jc w:val="center"/>
        <w:rPr>
          <w:rFonts w:hint="eastAsia" w:ascii="华文仿宋" w:hAnsi="华文仿宋" w:eastAsia="华文仿宋" w:cs="华文仿宋"/>
          <w:kern w:val="44"/>
          <w:sz w:val="44"/>
          <w:szCs w:val="44"/>
        </w:rPr>
      </w:pPr>
      <w:r>
        <w:rPr>
          <w:rFonts w:hint="eastAsia" w:ascii="楷体_GB2312" w:eastAsia="楷体_GB2312"/>
          <w:bCs/>
          <w:sz w:val="48"/>
          <w:szCs w:val="48"/>
        </w:rPr>
        <w:t>（污染影响类）</w:t>
      </w:r>
    </w:p>
    <w:p>
      <w:pPr>
        <w:ind w:firstLine="0" w:firstLineChars="0"/>
        <w:jc w:val="center"/>
        <w:rPr>
          <w:rFonts w:eastAsia="仿宋"/>
          <w:sz w:val="52"/>
          <w:szCs w:val="52"/>
        </w:rPr>
      </w:pPr>
    </w:p>
    <w:p>
      <w:pPr>
        <w:ind w:firstLine="0" w:firstLineChars="0"/>
        <w:jc w:val="center"/>
        <w:rPr>
          <w:rFonts w:eastAsia="仿宋"/>
          <w:sz w:val="44"/>
          <w:szCs w:val="44"/>
        </w:rPr>
      </w:pPr>
    </w:p>
    <w:p>
      <w:pPr>
        <w:ind w:firstLine="0" w:firstLineChars="0"/>
        <w:jc w:val="center"/>
        <w:rPr>
          <w:rFonts w:eastAsia="仿宋"/>
          <w:sz w:val="44"/>
          <w:szCs w:val="44"/>
        </w:rPr>
      </w:pPr>
    </w:p>
    <w:p>
      <w:pPr>
        <w:ind w:firstLine="0" w:firstLineChars="0"/>
        <w:jc w:val="center"/>
        <w:rPr>
          <w:rFonts w:eastAsia="仿宋"/>
          <w:sz w:val="44"/>
          <w:szCs w:val="44"/>
        </w:rPr>
      </w:pPr>
    </w:p>
    <w:p>
      <w:pPr>
        <w:ind w:firstLine="0" w:firstLineChars="0"/>
        <w:jc w:val="center"/>
        <w:rPr>
          <w:rFonts w:eastAsia="仿宋"/>
          <w:sz w:val="44"/>
          <w:szCs w:val="44"/>
        </w:rPr>
      </w:pPr>
    </w:p>
    <w:p>
      <w:pPr>
        <w:ind w:firstLine="0" w:firstLineChars="0"/>
        <w:jc w:val="center"/>
        <w:rPr>
          <w:rFonts w:eastAsia="仿宋"/>
          <w:sz w:val="44"/>
          <w:szCs w:val="44"/>
        </w:rPr>
      </w:pPr>
    </w:p>
    <w:p>
      <w:pPr>
        <w:ind w:firstLine="0" w:firstLineChars="0"/>
        <w:jc w:val="center"/>
        <w:rPr>
          <w:rFonts w:eastAsia="仿宋"/>
          <w:sz w:val="44"/>
          <w:szCs w:val="44"/>
        </w:rPr>
      </w:pPr>
    </w:p>
    <w:p>
      <w:pPr>
        <w:adjustRightInd w:val="0"/>
        <w:snapToGrid w:val="0"/>
        <w:spacing w:line="288" w:lineRule="auto"/>
        <w:ind w:left="2400" w:leftChars="250" w:hanging="1800" w:hangingChars="500"/>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湖南巨洋科技有限公司</w:t>
      </w:r>
      <w:r>
        <w:rPr>
          <w:rFonts w:hint="eastAsia" w:ascii="仿宋_GB2312" w:eastAsia="仿宋_GB2312"/>
          <w:sz w:val="36"/>
          <w:szCs w:val="36"/>
          <w:u w:val="single"/>
          <w:lang w:eastAsia="zh-CN"/>
        </w:rPr>
        <w:t>年产1000万米预涂膜生产线项目</w:t>
      </w:r>
      <w:r>
        <w:rPr>
          <w:rFonts w:hint="eastAsia" w:ascii="仿宋_GB2312" w:eastAsia="仿宋_GB2312"/>
          <w:sz w:val="36"/>
          <w:szCs w:val="36"/>
          <w:u w:val="single"/>
        </w:rPr>
        <w:t xml:space="preserve"> </w:t>
      </w:r>
    </w:p>
    <w:p>
      <w:pPr>
        <w:adjustRightInd w:val="0"/>
        <w:snapToGrid w:val="0"/>
        <w:spacing w:line="288" w:lineRule="auto"/>
        <w:ind w:left="600" w:leftChars="250" w:firstLine="0" w:firstLineChars="0"/>
        <w:rPr>
          <w:rFonts w:hint="eastAsia" w:ascii="仿宋_GB2312" w:eastAsia="仿宋_GB2312"/>
          <w:sz w:val="36"/>
          <w:szCs w:val="36"/>
          <w:u w:val="single"/>
          <w:lang w:eastAsia="zh-CN"/>
        </w:rPr>
      </w:pPr>
      <w:r>
        <w:rPr>
          <w:rFonts w:hint="eastAsia" w:ascii="仿宋_GB2312" w:eastAsia="仿宋_GB2312"/>
          <w:sz w:val="36"/>
          <w:szCs w:val="36"/>
        </w:rPr>
        <w:t>建设单位（盖章）：</w:t>
      </w:r>
      <w:r>
        <w:rPr>
          <w:rFonts w:hint="eastAsia" w:ascii="仿宋_GB2312" w:eastAsia="仿宋_GB2312"/>
          <w:sz w:val="36"/>
          <w:szCs w:val="36"/>
          <w:u w:val="single"/>
          <w:lang w:eastAsia="zh-CN"/>
        </w:rPr>
        <w:t>湖南巨洋科技有限公司</w:t>
      </w:r>
    </w:p>
    <w:p>
      <w:pPr>
        <w:adjustRightInd w:val="0"/>
        <w:snapToGrid w:val="0"/>
        <w:spacing w:line="288" w:lineRule="auto"/>
        <w:ind w:left="600" w:leftChars="250" w:firstLine="0" w:firstLineChars="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二〇二</w:t>
      </w:r>
      <w:r>
        <w:rPr>
          <w:rFonts w:hint="eastAsia" w:ascii="仿宋_GB2312" w:eastAsia="仿宋_GB2312"/>
          <w:sz w:val="36"/>
          <w:szCs w:val="36"/>
          <w:u w:val="single"/>
          <w:lang w:val="en-US" w:eastAsia="zh-CN"/>
        </w:rPr>
        <w:t>六</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二</w:t>
      </w:r>
      <w:r>
        <w:rPr>
          <w:rFonts w:hint="eastAsia" w:ascii="仿宋_GB2312" w:eastAsia="仿宋_GB2312"/>
          <w:sz w:val="36"/>
          <w:szCs w:val="36"/>
          <w:u w:val="single"/>
        </w:rPr>
        <w:t xml:space="preserve">月          </w:t>
      </w:r>
    </w:p>
    <w:p>
      <w:pPr>
        <w:adjustRightInd w:val="0"/>
        <w:snapToGrid w:val="0"/>
        <w:ind w:firstLine="0" w:firstLineChars="0"/>
        <w:jc w:val="center"/>
        <w:rPr>
          <w:rFonts w:ascii="仿宋_GB2312" w:eastAsia="仿宋_GB2312"/>
          <w:sz w:val="36"/>
          <w:szCs w:val="36"/>
        </w:rPr>
      </w:pPr>
    </w:p>
    <w:p>
      <w:pPr>
        <w:adjustRightInd w:val="0"/>
        <w:snapToGrid w:val="0"/>
        <w:ind w:firstLine="0" w:firstLineChars="0"/>
        <w:jc w:val="center"/>
        <w:rPr>
          <w:rFonts w:ascii="仿宋_GB2312" w:eastAsia="仿宋_GB2312"/>
          <w:sz w:val="36"/>
          <w:szCs w:val="36"/>
        </w:rPr>
      </w:pPr>
    </w:p>
    <w:p>
      <w:pPr>
        <w:ind w:left="0" w:leftChars="0" w:firstLine="2520" w:firstLineChars="700"/>
        <w:sectPr>
          <w:headerReference r:id="rId5" w:type="default"/>
          <w:footerReference r:id="rId6" w:type="default"/>
          <w:pgSz w:w="11906" w:h="16838"/>
          <w:pgMar w:top="1440" w:right="1417" w:bottom="1440" w:left="1417" w:header="851" w:footer="992" w:gutter="0"/>
          <w:pgNumType w:start="1"/>
          <w:cols w:space="425" w:num="1"/>
          <w:docGrid w:type="lines" w:linePitch="312" w:charSpace="0"/>
        </w:sectPr>
      </w:pPr>
      <w:r>
        <w:rPr>
          <w:rFonts w:hint="eastAsia" w:ascii="楷体_GB2312" w:eastAsia="楷体_GB2312"/>
          <w:sz w:val="36"/>
          <w:szCs w:val="36"/>
        </w:rPr>
        <w:t>中华人民共和国生态环境部</w:t>
      </w:r>
      <w:bookmarkEnd w:id="0"/>
    </w:p>
    <w:sdt>
      <w:sdtPr>
        <w:rPr>
          <w:rFonts w:ascii="宋体" w:hAnsi="宋体"/>
          <w:sz w:val="21"/>
        </w:rPr>
        <w:id w:val="147478584"/>
        <w15:color w:val="DBDBDB"/>
        <w:docPartObj>
          <w:docPartGallery w:val="Table of Contents"/>
          <w:docPartUnique/>
        </w:docPartObj>
      </w:sdtPr>
      <w:sdtEndPr>
        <w:rPr>
          <w:rFonts w:hint="eastAsia" w:ascii="Times New Roman" w:hAnsi="Times New Roman"/>
          <w:b/>
          <w:sz w:val="24"/>
        </w:rPr>
      </w:sdtEndPr>
      <w:sdtContent>
        <w:p>
          <w:pPr>
            <w:spacing w:line="240" w:lineRule="auto"/>
            <w:ind w:firstLine="0" w:firstLineChars="0"/>
            <w:jc w:val="cente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pStyle w:val="18"/>
            <w:tabs>
              <w:tab w:val="right" w:leader="dot" w:pos="9072"/>
            </w:tabs>
            <w:ind w:firstLine="0" w:firstLineChars="0"/>
          </w:pPr>
          <w:r>
            <w:rPr>
              <w:rFonts w:hint="eastAsia"/>
              <w:b/>
            </w:rPr>
            <w:fldChar w:fldCharType="begin"/>
          </w:r>
          <w:r>
            <w:rPr>
              <w:rFonts w:hint="eastAsia"/>
              <w:b/>
            </w:rPr>
            <w:instrText xml:space="preserve">TOC \o "1-2" \h \u </w:instrText>
          </w:r>
          <w:r>
            <w:rPr>
              <w:rFonts w:hint="eastAsia"/>
              <w:b/>
            </w:rPr>
            <w:fldChar w:fldCharType="separate"/>
          </w:r>
          <w:r>
            <w:fldChar w:fldCharType="begin"/>
          </w:r>
          <w:r>
            <w:instrText xml:space="preserve"> HYPERLINK \l "_Toc19012" </w:instrText>
          </w:r>
          <w:r>
            <w:fldChar w:fldCharType="separate"/>
          </w:r>
          <w:r>
            <w:rPr>
              <w:rFonts w:hint="eastAsia"/>
            </w:rPr>
            <w:t>一、建设项目基本情况</w:t>
          </w:r>
          <w:r>
            <w:tab/>
          </w:r>
          <w:r>
            <w:fldChar w:fldCharType="begin"/>
          </w:r>
          <w:r>
            <w:instrText xml:space="preserve"> PAGEREF _Toc19012 \h </w:instrText>
          </w:r>
          <w:r>
            <w:fldChar w:fldCharType="separate"/>
          </w:r>
          <w:r>
            <w:t>1</w:t>
          </w:r>
          <w:r>
            <w:fldChar w:fldCharType="end"/>
          </w:r>
          <w:r>
            <w:fldChar w:fldCharType="end"/>
          </w:r>
        </w:p>
        <w:p>
          <w:pPr>
            <w:pStyle w:val="18"/>
            <w:tabs>
              <w:tab w:val="right" w:leader="dot" w:pos="9072"/>
            </w:tabs>
            <w:ind w:firstLine="0" w:firstLineChars="0"/>
          </w:pPr>
          <w:r>
            <w:fldChar w:fldCharType="begin"/>
          </w:r>
          <w:r>
            <w:instrText xml:space="preserve"> HYPERLINK \l "_Toc8700" </w:instrText>
          </w:r>
          <w:r>
            <w:fldChar w:fldCharType="separate"/>
          </w:r>
          <w:r>
            <w:rPr>
              <w:rFonts w:hint="eastAsia"/>
            </w:rPr>
            <w:t>二、建设项目工程分析</w:t>
          </w:r>
          <w:r>
            <w:tab/>
          </w:r>
          <w:r>
            <w:fldChar w:fldCharType="begin"/>
          </w:r>
          <w:r>
            <w:instrText xml:space="preserve"> PAGEREF _Toc8700 \h </w:instrText>
          </w:r>
          <w:r>
            <w:fldChar w:fldCharType="separate"/>
          </w:r>
          <w:r>
            <w:t>14</w:t>
          </w:r>
          <w:r>
            <w:fldChar w:fldCharType="end"/>
          </w:r>
          <w:r>
            <w:fldChar w:fldCharType="end"/>
          </w:r>
        </w:p>
        <w:p>
          <w:pPr>
            <w:pStyle w:val="18"/>
            <w:tabs>
              <w:tab w:val="right" w:leader="dot" w:pos="9072"/>
            </w:tabs>
            <w:ind w:firstLine="0" w:firstLineChars="0"/>
          </w:pPr>
          <w:r>
            <w:fldChar w:fldCharType="begin"/>
          </w:r>
          <w:r>
            <w:instrText xml:space="preserve"> HYPERLINK \l "_Toc18540" </w:instrText>
          </w:r>
          <w:r>
            <w:fldChar w:fldCharType="separate"/>
          </w:r>
          <w:r>
            <w:rPr>
              <w:rFonts w:hint="eastAsia"/>
            </w:rPr>
            <w:t>三、区域环境质量现状、环境保护目标及评价标准</w:t>
          </w:r>
          <w:r>
            <w:tab/>
          </w:r>
          <w:r>
            <w:fldChar w:fldCharType="begin"/>
          </w:r>
          <w:r>
            <w:instrText xml:space="preserve"> PAGEREF _Toc18540 \h </w:instrText>
          </w:r>
          <w:r>
            <w:fldChar w:fldCharType="separate"/>
          </w:r>
          <w:r>
            <w:t>23</w:t>
          </w:r>
          <w:r>
            <w:fldChar w:fldCharType="end"/>
          </w:r>
          <w:r>
            <w:fldChar w:fldCharType="end"/>
          </w:r>
        </w:p>
        <w:p>
          <w:pPr>
            <w:pStyle w:val="18"/>
            <w:tabs>
              <w:tab w:val="right" w:leader="dot" w:pos="9072"/>
            </w:tabs>
            <w:ind w:firstLine="0" w:firstLineChars="0"/>
          </w:pPr>
          <w:r>
            <w:fldChar w:fldCharType="begin"/>
          </w:r>
          <w:r>
            <w:instrText xml:space="preserve"> HYPERLINK \l "_Toc3283" </w:instrText>
          </w:r>
          <w:r>
            <w:fldChar w:fldCharType="separate"/>
          </w:r>
          <w:r>
            <w:rPr>
              <w:rFonts w:hint="eastAsia"/>
            </w:rPr>
            <w:t>四、主要环境影响和保护措施</w:t>
          </w:r>
          <w:r>
            <w:tab/>
          </w:r>
          <w:r>
            <w:fldChar w:fldCharType="begin"/>
          </w:r>
          <w:r>
            <w:instrText xml:space="preserve"> PAGEREF _Toc3283 \h </w:instrText>
          </w:r>
          <w:r>
            <w:fldChar w:fldCharType="separate"/>
          </w:r>
          <w:r>
            <w:t>31</w:t>
          </w:r>
          <w:r>
            <w:fldChar w:fldCharType="end"/>
          </w:r>
          <w:r>
            <w:fldChar w:fldCharType="end"/>
          </w:r>
        </w:p>
        <w:p>
          <w:pPr>
            <w:pStyle w:val="18"/>
            <w:tabs>
              <w:tab w:val="right" w:leader="dot" w:pos="9072"/>
            </w:tabs>
            <w:ind w:firstLine="0" w:firstLineChars="0"/>
          </w:pPr>
          <w:r>
            <w:fldChar w:fldCharType="begin"/>
          </w:r>
          <w:r>
            <w:instrText xml:space="preserve"> HYPERLINK \l "_Toc18363" </w:instrText>
          </w:r>
          <w:r>
            <w:fldChar w:fldCharType="separate"/>
          </w:r>
          <w:r>
            <w:rPr>
              <w:rFonts w:hint="eastAsia"/>
            </w:rPr>
            <w:t>五、环境保护措施监督检查清单</w:t>
          </w:r>
          <w:r>
            <w:tab/>
          </w:r>
          <w:r>
            <w:fldChar w:fldCharType="begin"/>
          </w:r>
          <w:r>
            <w:instrText xml:space="preserve"> PAGEREF _Toc18363 \h </w:instrText>
          </w:r>
          <w:r>
            <w:fldChar w:fldCharType="separate"/>
          </w:r>
          <w:r>
            <w:t>56</w:t>
          </w:r>
          <w:r>
            <w:fldChar w:fldCharType="end"/>
          </w:r>
          <w:r>
            <w:fldChar w:fldCharType="end"/>
          </w:r>
        </w:p>
        <w:p>
          <w:pPr>
            <w:pStyle w:val="18"/>
            <w:tabs>
              <w:tab w:val="right" w:leader="dot" w:pos="9072"/>
            </w:tabs>
            <w:ind w:firstLine="0" w:firstLineChars="0"/>
          </w:pPr>
          <w:r>
            <w:fldChar w:fldCharType="begin"/>
          </w:r>
          <w:r>
            <w:instrText xml:space="preserve"> HYPERLINK \l "_Toc8983" </w:instrText>
          </w:r>
          <w:r>
            <w:fldChar w:fldCharType="separate"/>
          </w:r>
          <w:r>
            <w:rPr>
              <w:rFonts w:hint="eastAsia"/>
            </w:rPr>
            <w:t>六、结论</w:t>
          </w:r>
          <w:r>
            <w:tab/>
          </w:r>
          <w:r>
            <w:fldChar w:fldCharType="begin"/>
          </w:r>
          <w:r>
            <w:instrText xml:space="preserve"> PAGEREF _Toc8983 \h </w:instrText>
          </w:r>
          <w:r>
            <w:fldChar w:fldCharType="separate"/>
          </w:r>
          <w:r>
            <w:t>58</w:t>
          </w:r>
          <w:r>
            <w:fldChar w:fldCharType="end"/>
          </w:r>
          <w:r>
            <w:fldChar w:fldCharType="end"/>
          </w:r>
        </w:p>
        <w:p>
          <w:pPr>
            <w:pStyle w:val="20"/>
            <w:tabs>
              <w:tab w:val="right" w:leader="dot" w:pos="9072"/>
            </w:tabs>
            <w:ind w:left="0" w:leftChars="0" w:firstLine="0" w:firstLineChars="0"/>
          </w:pPr>
          <w:r>
            <w:fldChar w:fldCharType="begin"/>
          </w:r>
          <w:r>
            <w:instrText xml:space="preserve"> HYPERLINK \l "_Toc9978" </w:instrText>
          </w:r>
          <w:r>
            <w:fldChar w:fldCharType="separate"/>
          </w:r>
          <w:r>
            <w:rPr>
              <w:snapToGrid w:val="0"/>
              <w:kern w:val="21"/>
              <w:szCs w:val="28"/>
            </w:rPr>
            <w:t>建设项目污染物排放量汇总表</w:t>
          </w:r>
          <w:r>
            <w:tab/>
          </w:r>
          <w:r>
            <w:fldChar w:fldCharType="begin"/>
          </w:r>
          <w:r>
            <w:instrText xml:space="preserve"> PAGEREF _Toc9978 \h </w:instrText>
          </w:r>
          <w:r>
            <w:fldChar w:fldCharType="separate"/>
          </w:r>
          <w:r>
            <w:t>59</w:t>
          </w:r>
          <w:r>
            <w:fldChar w:fldCharType="end"/>
          </w:r>
          <w:r>
            <w:fldChar w:fldCharType="end"/>
          </w:r>
        </w:p>
        <w:p>
          <w:pPr>
            <w:pStyle w:val="20"/>
            <w:tabs>
              <w:tab w:val="right" w:leader="dot" w:pos="9072"/>
            </w:tabs>
            <w:ind w:left="0" w:leftChars="0" w:firstLine="0" w:firstLineChars="0"/>
          </w:pPr>
          <w:r>
            <w:fldChar w:fldCharType="begin"/>
          </w:r>
          <w:r>
            <w:instrText xml:space="preserve"> HYPERLINK \l "_Toc8901" </w:instrText>
          </w:r>
          <w:r>
            <w:fldChar w:fldCharType="separate"/>
          </w:r>
          <w:r>
            <w:t>附件附图</w:t>
          </w:r>
          <w:r>
            <w:tab/>
          </w:r>
          <w:r>
            <w:fldChar w:fldCharType="begin"/>
          </w:r>
          <w:r>
            <w:instrText xml:space="preserve"> PAGEREF _Toc8901 \h </w:instrText>
          </w:r>
          <w:r>
            <w:fldChar w:fldCharType="separate"/>
          </w:r>
          <w:r>
            <w:t>60</w:t>
          </w:r>
          <w:r>
            <w:fldChar w:fldCharType="end"/>
          </w:r>
          <w:r>
            <w:fldChar w:fldCharType="end"/>
          </w:r>
        </w:p>
        <w:p>
          <w:pPr>
            <w:pStyle w:val="20"/>
            <w:tabs>
              <w:tab w:val="right" w:leader="dot" w:pos="9072"/>
            </w:tabs>
            <w:ind w:left="0" w:leftChars="0" w:firstLine="480"/>
          </w:pPr>
          <w:r>
            <w:fldChar w:fldCharType="begin"/>
          </w:r>
          <w:r>
            <w:instrText xml:space="preserve"> HYPERLINK \l "_Toc8130" </w:instrText>
          </w:r>
          <w:r>
            <w:fldChar w:fldCharType="separate"/>
          </w:r>
          <w:r>
            <w:rPr>
              <w:rFonts w:hint="eastAsia"/>
            </w:rPr>
            <w:t>附件1：委托书</w:t>
          </w:r>
          <w:r>
            <w:tab/>
          </w:r>
          <w:r>
            <w:fldChar w:fldCharType="begin"/>
          </w:r>
          <w:r>
            <w:instrText xml:space="preserve"> PAGEREF _Toc8130 \h </w:instrText>
          </w:r>
          <w:r>
            <w:fldChar w:fldCharType="separate"/>
          </w:r>
          <w:r>
            <w:t>60</w:t>
          </w:r>
          <w:r>
            <w:fldChar w:fldCharType="end"/>
          </w:r>
          <w:r>
            <w:fldChar w:fldCharType="end"/>
          </w:r>
        </w:p>
        <w:p>
          <w:pPr>
            <w:pStyle w:val="20"/>
            <w:tabs>
              <w:tab w:val="right" w:leader="dot" w:pos="9072"/>
            </w:tabs>
            <w:ind w:left="0" w:leftChars="0" w:firstLine="480"/>
          </w:pPr>
          <w:r>
            <w:fldChar w:fldCharType="begin"/>
          </w:r>
          <w:r>
            <w:instrText xml:space="preserve"> HYPERLINK \l "_Toc352" </w:instrText>
          </w:r>
          <w:r>
            <w:fldChar w:fldCharType="separate"/>
          </w:r>
          <w:r>
            <w:rPr>
              <w:rFonts w:hint="eastAsia"/>
            </w:rPr>
            <w:t>附件2：建设单位营业执照</w:t>
          </w:r>
          <w:r>
            <w:tab/>
          </w:r>
          <w:r>
            <w:fldChar w:fldCharType="begin"/>
          </w:r>
          <w:r>
            <w:instrText xml:space="preserve"> PAGEREF _Toc352 \h </w:instrText>
          </w:r>
          <w:r>
            <w:fldChar w:fldCharType="separate"/>
          </w:r>
          <w:r>
            <w:t>61</w:t>
          </w:r>
          <w:r>
            <w:fldChar w:fldCharType="end"/>
          </w:r>
          <w:r>
            <w:fldChar w:fldCharType="end"/>
          </w:r>
        </w:p>
        <w:p>
          <w:pPr>
            <w:pStyle w:val="20"/>
            <w:tabs>
              <w:tab w:val="right" w:leader="dot" w:pos="9072"/>
            </w:tabs>
            <w:ind w:left="0" w:leftChars="0" w:firstLine="480"/>
          </w:pPr>
          <w:r>
            <w:fldChar w:fldCharType="begin"/>
          </w:r>
          <w:r>
            <w:instrText xml:space="preserve"> HYPERLINK \l "_Toc5562" </w:instrText>
          </w:r>
          <w:r>
            <w:fldChar w:fldCharType="separate"/>
          </w:r>
          <w:r>
            <w:rPr>
              <w:rFonts w:hint="eastAsia"/>
            </w:rPr>
            <w:t>附件3：厂房租赁协议</w:t>
          </w:r>
          <w:r>
            <w:tab/>
          </w:r>
          <w:r>
            <w:fldChar w:fldCharType="begin"/>
          </w:r>
          <w:r>
            <w:instrText xml:space="preserve"> PAGEREF _Toc5562 \h </w:instrText>
          </w:r>
          <w:r>
            <w:fldChar w:fldCharType="separate"/>
          </w:r>
          <w:r>
            <w:t>62</w:t>
          </w:r>
          <w:r>
            <w:fldChar w:fldCharType="end"/>
          </w:r>
          <w:r>
            <w:fldChar w:fldCharType="end"/>
          </w:r>
        </w:p>
        <w:p>
          <w:pPr>
            <w:pStyle w:val="20"/>
            <w:tabs>
              <w:tab w:val="right" w:leader="dot" w:pos="9072"/>
            </w:tabs>
            <w:ind w:left="0" w:leftChars="0" w:firstLine="480"/>
          </w:pPr>
          <w:r>
            <w:fldChar w:fldCharType="begin"/>
          </w:r>
          <w:r>
            <w:instrText xml:space="preserve"> HYPERLINK \l "_Toc9278" </w:instrText>
          </w:r>
          <w:r>
            <w:fldChar w:fldCharType="separate"/>
          </w:r>
          <w:r>
            <w:rPr>
              <w:rFonts w:hint="eastAsia"/>
            </w:rPr>
            <w:t>附件4：园区规划环评批复</w:t>
          </w:r>
          <w:r>
            <w:tab/>
          </w:r>
          <w:r>
            <w:fldChar w:fldCharType="begin"/>
          </w:r>
          <w:r>
            <w:instrText xml:space="preserve"> PAGEREF _Toc9278 \h </w:instrText>
          </w:r>
          <w:r>
            <w:fldChar w:fldCharType="separate"/>
          </w:r>
          <w:r>
            <w:t>67</w:t>
          </w:r>
          <w:r>
            <w:fldChar w:fldCharType="end"/>
          </w:r>
          <w:r>
            <w:fldChar w:fldCharType="end"/>
          </w:r>
        </w:p>
        <w:p>
          <w:pPr>
            <w:pStyle w:val="20"/>
            <w:tabs>
              <w:tab w:val="right" w:leader="dot" w:pos="9072"/>
            </w:tabs>
            <w:ind w:left="0" w:leftChars="0" w:firstLine="480"/>
            <w:rPr>
              <w:rFonts w:hint="eastAsia"/>
              <w:lang w:val="en-US" w:eastAsia="zh-CN"/>
            </w:rPr>
          </w:pPr>
          <w:r>
            <w:fldChar w:fldCharType="begin"/>
          </w:r>
          <w:r>
            <w:instrText xml:space="preserve"> HYPERLINK \l "_Toc28775" </w:instrText>
          </w:r>
          <w:r>
            <w:fldChar w:fldCharType="separate"/>
          </w:r>
          <w:r>
            <w:rPr>
              <w:rFonts w:hint="eastAsia" w:cs="宋体"/>
            </w:rPr>
            <w:t>附件5：</w:t>
          </w:r>
          <w:r>
            <w:rPr>
              <w:rFonts w:hint="eastAsia" w:cs="宋体"/>
              <w:lang w:val="en-US" w:eastAsia="zh-CN"/>
            </w:rPr>
            <w:t>水性涂料MSDS</w:t>
          </w:r>
          <w:r>
            <w:tab/>
          </w:r>
          <w:r>
            <w:fldChar w:fldCharType="end"/>
          </w:r>
          <w:r>
            <w:rPr>
              <w:rFonts w:hint="eastAsia"/>
              <w:lang w:val="en-US" w:eastAsia="zh-CN"/>
            </w:rPr>
            <w:t>67</w:t>
          </w:r>
        </w:p>
        <w:p>
          <w:pPr>
            <w:rPr>
              <w:rFonts w:hint="default"/>
              <w:lang w:val="en-US" w:eastAsia="zh-CN"/>
            </w:rPr>
          </w:pPr>
          <w:r>
            <w:rPr>
              <w:rFonts w:hint="eastAsia"/>
              <w:lang w:val="en-US" w:eastAsia="zh-CN"/>
            </w:rPr>
            <w:t>附件6：联审意见............................................................................................................72</w:t>
          </w:r>
        </w:p>
        <w:p>
          <w:pPr>
            <w:rPr>
              <w:rFonts w:hint="default"/>
              <w:lang w:val="en-US" w:eastAsia="zh-CN"/>
            </w:rPr>
          </w:pPr>
          <w:r>
            <w:rPr>
              <w:rFonts w:hint="eastAsia"/>
              <w:lang w:val="en-US" w:eastAsia="zh-CN"/>
            </w:rPr>
            <w:t>附件7：备案文件.............................................................................................................73</w:t>
          </w:r>
        </w:p>
        <w:p>
          <w:pPr>
            <w:pStyle w:val="20"/>
            <w:tabs>
              <w:tab w:val="right" w:leader="dot" w:pos="9072"/>
            </w:tabs>
            <w:ind w:left="0" w:leftChars="0" w:firstLine="480"/>
          </w:pPr>
          <w:r>
            <w:fldChar w:fldCharType="begin"/>
          </w:r>
          <w:r>
            <w:instrText xml:space="preserve"> HYPERLINK \l "_Toc21534" </w:instrText>
          </w:r>
          <w:r>
            <w:fldChar w:fldCharType="separate"/>
          </w:r>
          <w:r>
            <w:rPr>
              <w:rFonts w:hint="eastAsia"/>
            </w:rPr>
            <w:t>附图1：项目地理位置</w:t>
          </w:r>
          <w:r>
            <w:tab/>
          </w:r>
          <w:r>
            <w:fldChar w:fldCharType="begin"/>
          </w:r>
          <w:r>
            <w:instrText xml:space="preserve"> PAGEREF _Toc21534 \h </w:instrText>
          </w:r>
          <w:r>
            <w:fldChar w:fldCharType="separate"/>
          </w:r>
          <w:r>
            <w:t>83</w:t>
          </w:r>
          <w:r>
            <w:fldChar w:fldCharType="end"/>
          </w:r>
          <w:r>
            <w:fldChar w:fldCharType="end"/>
          </w:r>
        </w:p>
        <w:p>
          <w:pPr>
            <w:pStyle w:val="20"/>
            <w:tabs>
              <w:tab w:val="right" w:leader="dot" w:pos="9072"/>
            </w:tabs>
            <w:ind w:left="0" w:leftChars="0" w:firstLine="480"/>
          </w:pPr>
          <w:r>
            <w:fldChar w:fldCharType="begin"/>
          </w:r>
          <w:r>
            <w:instrText xml:space="preserve"> HYPERLINK \l "_Toc5106" </w:instrText>
          </w:r>
          <w:r>
            <w:fldChar w:fldCharType="separate"/>
          </w:r>
          <w:r>
            <w:rPr>
              <w:rFonts w:hint="eastAsia"/>
            </w:rPr>
            <w:t>附图2：项目周边环境保护目标示意图</w:t>
          </w:r>
          <w:r>
            <w:tab/>
          </w:r>
          <w:r>
            <w:fldChar w:fldCharType="begin"/>
          </w:r>
          <w:r>
            <w:instrText xml:space="preserve"> PAGEREF _Toc5106 \h </w:instrText>
          </w:r>
          <w:r>
            <w:fldChar w:fldCharType="separate"/>
          </w:r>
          <w:r>
            <w:t>84</w:t>
          </w:r>
          <w:r>
            <w:fldChar w:fldCharType="end"/>
          </w:r>
          <w:r>
            <w:fldChar w:fldCharType="end"/>
          </w:r>
        </w:p>
        <w:p>
          <w:pPr>
            <w:pStyle w:val="20"/>
            <w:tabs>
              <w:tab w:val="right" w:leader="dot" w:pos="9072"/>
            </w:tabs>
            <w:ind w:left="0" w:leftChars="0" w:firstLine="480"/>
          </w:pPr>
          <w:r>
            <w:fldChar w:fldCharType="begin"/>
          </w:r>
          <w:r>
            <w:instrText xml:space="preserve"> HYPERLINK \l "_Toc15010" </w:instrText>
          </w:r>
          <w:r>
            <w:fldChar w:fldCharType="separate"/>
          </w:r>
          <w:r>
            <w:rPr>
              <w:rFonts w:hint="eastAsia"/>
            </w:rPr>
            <w:t>附图3：项目雨污走向及周边水系图</w:t>
          </w:r>
          <w:r>
            <w:tab/>
          </w:r>
          <w:r>
            <w:fldChar w:fldCharType="begin"/>
          </w:r>
          <w:r>
            <w:instrText xml:space="preserve"> PAGEREF _Toc15010 \h </w:instrText>
          </w:r>
          <w:r>
            <w:fldChar w:fldCharType="separate"/>
          </w:r>
          <w:r>
            <w:t>85</w:t>
          </w:r>
          <w:r>
            <w:fldChar w:fldCharType="end"/>
          </w:r>
          <w:r>
            <w:fldChar w:fldCharType="end"/>
          </w:r>
        </w:p>
        <w:p>
          <w:pPr>
            <w:pStyle w:val="18"/>
            <w:tabs>
              <w:tab w:val="right" w:leader="dot" w:pos="9072"/>
            </w:tabs>
            <w:ind w:firstLine="480"/>
          </w:pPr>
          <w:r>
            <w:fldChar w:fldCharType="begin"/>
          </w:r>
          <w:r>
            <w:instrText xml:space="preserve"> HYPERLINK \l "_Toc7416" </w:instrText>
          </w:r>
          <w:r>
            <w:fldChar w:fldCharType="separate"/>
          </w:r>
          <w:r>
            <w:rPr>
              <w:rFonts w:hint="eastAsia"/>
            </w:rPr>
            <w:t>附图4：总平面布</w:t>
          </w:r>
          <w:r>
            <w:rPr>
              <w:rFonts w:hint="eastAsia"/>
              <w:lang w:val="en-US" w:eastAsia="zh-CN"/>
            </w:rPr>
            <w:t>局级分区防渗图</w:t>
          </w:r>
          <w:r>
            <w:tab/>
          </w:r>
          <w:r>
            <w:fldChar w:fldCharType="begin"/>
          </w:r>
          <w:r>
            <w:instrText xml:space="preserve"> PAGEREF _Toc7416 \h </w:instrText>
          </w:r>
          <w:r>
            <w:fldChar w:fldCharType="separate"/>
          </w:r>
          <w:r>
            <w:t>86</w:t>
          </w:r>
          <w:r>
            <w:fldChar w:fldCharType="end"/>
          </w:r>
          <w:r>
            <w:fldChar w:fldCharType="end"/>
          </w:r>
        </w:p>
        <w:p>
          <w:pPr>
            <w:pStyle w:val="18"/>
            <w:tabs>
              <w:tab w:val="right" w:leader="dot" w:pos="9072"/>
            </w:tabs>
            <w:ind w:firstLine="480"/>
            <w:rPr>
              <w:rFonts w:hint="default" w:eastAsia="宋体"/>
              <w:lang w:val="en-US" w:eastAsia="zh-CN"/>
            </w:rPr>
          </w:pPr>
          <w:r>
            <w:fldChar w:fldCharType="begin"/>
          </w:r>
          <w:r>
            <w:instrText xml:space="preserve"> HYPERLINK \l "_Toc4494" </w:instrText>
          </w:r>
          <w:r>
            <w:fldChar w:fldCharType="separate"/>
          </w:r>
          <w:r>
            <w:rPr>
              <w:rFonts w:hint="eastAsia"/>
            </w:rPr>
            <w:t>附图5</w:t>
          </w:r>
          <w:r>
            <w:rPr>
              <w:rFonts w:hint="eastAsia"/>
              <w:lang w:eastAsia="zh-CN"/>
            </w:rPr>
            <w:t>：</w:t>
          </w:r>
          <w:r>
            <w:rPr>
              <w:rFonts w:hint="eastAsia"/>
            </w:rPr>
            <w:t>园区土地利用规划图</w:t>
          </w:r>
          <w:r>
            <w:tab/>
          </w:r>
          <w:r>
            <w:fldChar w:fldCharType="end"/>
          </w:r>
          <w:r>
            <w:rPr>
              <w:rFonts w:hint="eastAsia"/>
              <w:lang w:val="en-US" w:eastAsia="zh-CN"/>
            </w:rPr>
            <w:t>78</w:t>
          </w:r>
        </w:p>
        <w:p>
          <w:pPr>
            <w:pStyle w:val="18"/>
            <w:tabs>
              <w:tab w:val="right" w:leader="dot" w:pos="9072"/>
            </w:tabs>
            <w:ind w:firstLine="480"/>
          </w:pPr>
          <w:r>
            <w:fldChar w:fldCharType="begin"/>
          </w:r>
          <w:r>
            <w:instrText xml:space="preserve"> HYPERLINK \l "_Toc19790" </w:instrText>
          </w:r>
          <w:r>
            <w:fldChar w:fldCharType="separate"/>
          </w:r>
          <w:r>
            <w:rPr>
              <w:rFonts w:hint="eastAsia"/>
            </w:rPr>
            <w:t>附图</w:t>
          </w:r>
          <w:r>
            <w:rPr>
              <w:rFonts w:hint="eastAsia"/>
              <w:lang w:val="en-US" w:eastAsia="zh-CN"/>
            </w:rPr>
            <w:t>6</w:t>
          </w:r>
          <w:r>
            <w:rPr>
              <w:rFonts w:hint="eastAsia"/>
            </w:rPr>
            <w:t>：现场照片</w:t>
          </w:r>
          <w:r>
            <w:tab/>
          </w:r>
          <w:r>
            <w:fldChar w:fldCharType="begin"/>
          </w:r>
          <w:r>
            <w:instrText xml:space="preserve"> PAGEREF _Toc19790 \h </w:instrText>
          </w:r>
          <w:r>
            <w:fldChar w:fldCharType="separate"/>
          </w:r>
          <w:r>
            <w:t>88</w:t>
          </w:r>
          <w:r>
            <w:fldChar w:fldCharType="end"/>
          </w:r>
          <w:r>
            <w:fldChar w:fldCharType="end"/>
          </w:r>
        </w:p>
        <w:p>
          <w:pPr>
            <w:ind w:firstLine="0" w:firstLineChars="0"/>
            <w:rPr>
              <w:b/>
            </w:rPr>
          </w:pPr>
          <w:r>
            <w:rPr>
              <w:rFonts w:hint="eastAsia"/>
            </w:rPr>
            <w:fldChar w:fldCharType="end"/>
          </w:r>
        </w:p>
      </w:sdtContent>
    </w:sdt>
    <w:p>
      <w:pPr>
        <w:pStyle w:val="8"/>
        <w:rPr>
          <w:rFonts w:hint="default"/>
        </w:rPr>
        <w:sectPr>
          <w:footerReference r:id="rId7" w:type="default"/>
          <w:pgSz w:w="11906" w:h="16838"/>
          <w:pgMar w:top="1440" w:right="1417" w:bottom="1440" w:left="1417" w:header="851" w:footer="992" w:gutter="0"/>
          <w:pgNumType w:start="1"/>
          <w:cols w:space="425" w:num="1"/>
          <w:docGrid w:type="lines" w:linePitch="312" w:charSpace="0"/>
        </w:sectPr>
      </w:pPr>
      <w:bookmarkStart w:id="26" w:name="_Toc19012"/>
      <w:bookmarkStart w:id="27" w:name="_Toc4941"/>
    </w:p>
    <w:p>
      <w:pPr>
        <w:pStyle w:val="8"/>
        <w:rPr>
          <w:rFonts w:hint="default"/>
        </w:rPr>
      </w:pPr>
      <w:r>
        <w:t>一、建设项目基本情况</w:t>
      </w:r>
      <w:bookmarkEnd w:id="26"/>
      <w:bookmarkEnd w:id="2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3442"/>
        <w:gridCol w:w="1178"/>
        <w:gridCol w:w="3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建设项目名称</w:t>
            </w:r>
          </w:p>
        </w:tc>
        <w:tc>
          <w:tcPr>
            <w:tcW w:w="8086" w:type="dxa"/>
            <w:gridSpan w:val="3"/>
            <w:vAlign w:val="center"/>
          </w:tcPr>
          <w:p>
            <w:pPr>
              <w:spacing w:line="240" w:lineRule="auto"/>
              <w:ind w:firstLine="0" w:firstLineChars="0"/>
              <w:jc w:val="center"/>
              <w:rPr>
                <w:rFonts w:hint="eastAsia" w:eastAsia="宋体"/>
                <w:color w:val="000000" w:themeColor="text1"/>
                <w:u w:val="none"/>
                <w:lang w:eastAsia="zh-CN"/>
                <w14:textFill>
                  <w14:solidFill>
                    <w14:schemeClr w14:val="tx1"/>
                  </w14:solidFill>
                </w14:textFill>
              </w:rPr>
            </w:pPr>
            <w:r>
              <w:rPr>
                <w:rFonts w:hint="eastAsia"/>
                <w:color w:val="000000" w:themeColor="text1"/>
                <w:u w:val="none"/>
                <w:lang w:eastAsia="zh-CN"/>
                <w14:textFill>
                  <w14:solidFill>
                    <w14:schemeClr w14:val="tx1"/>
                  </w14:solidFill>
                </w14:textFill>
              </w:rPr>
              <w:t>湖南巨洋科技有限公司</w:t>
            </w:r>
          </w:p>
          <w:p>
            <w:pPr>
              <w:spacing w:line="240" w:lineRule="auto"/>
              <w:ind w:firstLine="0" w:firstLineChars="0"/>
              <w:jc w:val="center"/>
              <w:rPr>
                <w:rFonts w:hint="eastAsia" w:eastAsia="宋体"/>
                <w:color w:val="000000" w:themeColor="text1"/>
                <w:u w:val="none"/>
                <w:lang w:eastAsia="zh-CN"/>
                <w14:textFill>
                  <w14:solidFill>
                    <w14:schemeClr w14:val="tx1"/>
                  </w14:solidFill>
                </w14:textFill>
              </w:rPr>
            </w:pPr>
            <w:r>
              <w:rPr>
                <w:rFonts w:hint="eastAsia"/>
                <w:color w:val="000000" w:themeColor="text1"/>
                <w:u w:val="none"/>
                <w:lang w:eastAsia="zh-CN"/>
                <w14:textFill>
                  <w14:solidFill>
                    <w14:schemeClr w14:val="tx1"/>
                  </w14:solidFill>
                </w14:textFill>
              </w:rPr>
              <w:t>年产1000万米预涂膜生产线项目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项目代码</w:t>
            </w:r>
          </w:p>
        </w:tc>
        <w:tc>
          <w:tcPr>
            <w:tcW w:w="8086" w:type="dxa"/>
            <w:gridSpan w:val="3"/>
            <w:vAlign w:val="center"/>
          </w:tcPr>
          <w:p>
            <w:pPr>
              <w:spacing w:line="240" w:lineRule="auto"/>
              <w:ind w:firstLine="0" w:firstLineChars="0"/>
              <w:jc w:val="center"/>
              <w:rPr>
                <w:rFonts w:hint="eastAsia" w:eastAsia="宋体"/>
                <w:color w:val="000000" w:themeColor="text1"/>
                <w:u w:val="none"/>
                <w:lang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建设单位联系人</w:t>
            </w:r>
          </w:p>
        </w:tc>
        <w:tc>
          <w:tcPr>
            <w:tcW w:w="3442" w:type="dxa"/>
            <w:vAlign w:val="center"/>
          </w:tcPr>
          <w:p>
            <w:pPr>
              <w:spacing w:line="240" w:lineRule="auto"/>
              <w:ind w:firstLine="0" w:firstLineChars="0"/>
              <w:jc w:val="center"/>
              <w:rPr>
                <w:rFonts w:hint="eastAsia" w:eastAsia="宋体"/>
                <w:color w:val="000000" w:themeColor="text1"/>
                <w:u w:val="none"/>
                <w:lang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w:t>
            </w:r>
          </w:p>
        </w:tc>
        <w:tc>
          <w:tcPr>
            <w:tcW w:w="1178"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联系方式</w:t>
            </w:r>
          </w:p>
        </w:tc>
        <w:tc>
          <w:tcPr>
            <w:tcW w:w="3466" w:type="dxa"/>
            <w:vAlign w:val="center"/>
          </w:tcPr>
          <w:p>
            <w:pPr>
              <w:spacing w:line="240" w:lineRule="auto"/>
              <w:ind w:firstLine="0" w:firstLineChars="0"/>
              <w:jc w:val="center"/>
              <w:rPr>
                <w:rFonts w:hint="eastAsia" w:eastAsia="宋体"/>
                <w:color w:val="000000" w:themeColor="text1"/>
                <w:u w:val="none"/>
                <w:lang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建设地点</w:t>
            </w:r>
          </w:p>
        </w:tc>
        <w:tc>
          <w:tcPr>
            <w:tcW w:w="8086" w:type="dxa"/>
            <w:gridSpan w:val="3"/>
            <w:vAlign w:val="center"/>
          </w:tcPr>
          <w:p>
            <w:pPr>
              <w:spacing w:line="240" w:lineRule="auto"/>
              <w:ind w:firstLine="0" w:firstLineChars="0"/>
              <w:jc w:val="center"/>
              <w:rPr>
                <w:rFonts w:hint="eastAsia" w:eastAsia="宋体"/>
                <w:color w:val="000000" w:themeColor="text1"/>
                <w:u w:val="none"/>
                <w:lang w:eastAsia="zh-CN"/>
                <w14:textFill>
                  <w14:solidFill>
                    <w14:schemeClr w14:val="tx1"/>
                  </w14:solidFill>
                </w14:textFill>
              </w:rPr>
            </w:pPr>
            <w:r>
              <w:rPr>
                <w:rFonts w:hint="eastAsia"/>
                <w:color w:val="000000" w:themeColor="text1"/>
                <w:u w:val="none"/>
                <w:lang w:eastAsia="zh-CN"/>
                <w14:textFill>
                  <w14:solidFill>
                    <w14:schemeClr w14:val="tx1"/>
                  </w14:solidFill>
                </w14:textFill>
              </w:rPr>
              <w:t>湖南省岳阳市湘阴县洋沙湖镇高新区洋沙湖片区新华路东侧新华标厂1栋101室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地理坐标</w:t>
            </w:r>
          </w:p>
        </w:tc>
        <w:tc>
          <w:tcPr>
            <w:tcW w:w="8086" w:type="dxa"/>
            <w:gridSpan w:val="3"/>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东经：112度54分59.948秒，北纬：28度3</w:t>
            </w:r>
            <w:r>
              <w:rPr>
                <w:rFonts w:hint="eastAsia"/>
                <w:color w:val="000000" w:themeColor="text1"/>
                <w:u w:val="none"/>
                <w:lang w:val="en-US" w:eastAsia="zh-CN"/>
                <w14:textFill>
                  <w14:solidFill>
                    <w14:schemeClr w14:val="tx1"/>
                  </w14:solidFill>
                </w14:textFill>
              </w:rPr>
              <w:t>8</w:t>
            </w:r>
            <w:r>
              <w:rPr>
                <w:rFonts w:hint="eastAsia"/>
                <w:color w:val="000000" w:themeColor="text1"/>
                <w:u w:val="none"/>
                <w14:textFill>
                  <w14:solidFill>
                    <w14:schemeClr w14:val="tx1"/>
                  </w14:solidFill>
                </w14:textFill>
              </w:rPr>
              <w:t>分53.699秒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国民经济行业类别</w:t>
            </w:r>
          </w:p>
        </w:tc>
        <w:tc>
          <w:tcPr>
            <w:tcW w:w="3442"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C2921塑料薄膜制造</w:t>
            </w:r>
          </w:p>
        </w:tc>
        <w:tc>
          <w:tcPr>
            <w:tcW w:w="1178"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建设项目行业类别</w:t>
            </w:r>
          </w:p>
          <w:p>
            <w:pPr>
              <w:spacing w:line="240" w:lineRule="auto"/>
              <w:ind w:firstLine="0" w:firstLineChars="0"/>
              <w:jc w:val="center"/>
              <w:rPr>
                <w:color w:val="000000" w:themeColor="text1"/>
                <w:u w:val="none"/>
                <w14:textFill>
                  <w14:solidFill>
                    <w14:schemeClr w14:val="tx1"/>
                  </w14:solidFill>
                </w14:textFill>
              </w:rPr>
            </w:pPr>
          </w:p>
        </w:tc>
        <w:tc>
          <w:tcPr>
            <w:tcW w:w="3466" w:type="dxa"/>
            <w:vAlign w:val="center"/>
          </w:tcPr>
          <w:p>
            <w:pPr>
              <w:keepNext w:val="0"/>
              <w:keepLines w:val="0"/>
              <w:widowControl/>
              <w:suppressLineNumbers w:val="0"/>
              <w:spacing w:line="240" w:lineRule="auto"/>
              <w:ind w:left="0" w:leftChars="0" w:firstLine="0" w:firstLineChars="0"/>
              <w:jc w:val="left"/>
              <w:rPr>
                <w:rFonts w:hint="eastAsia" w:eastAsia="宋体"/>
                <w:color w:val="000000" w:themeColor="text1"/>
                <w:u w:val="none"/>
                <w:lang w:eastAsia="zh-CN"/>
                <w14:textFill>
                  <w14:solidFill>
                    <w14:schemeClr w14:val="tx1"/>
                  </w14:solidFill>
                </w14:textFill>
              </w:rPr>
            </w:pPr>
            <w:r>
              <w:rPr>
                <w:rFonts w:hint="eastAsia"/>
                <w:color w:val="000000" w:themeColor="text1"/>
                <w:u w:val="none"/>
                <w14:textFill>
                  <w14:solidFill>
                    <w14:schemeClr w14:val="tx1"/>
                  </w14:solidFill>
                </w14:textFill>
              </w:rPr>
              <w:t>“</w:t>
            </w:r>
            <w:r>
              <w:rPr>
                <w:rFonts w:hint="eastAsia"/>
                <w:color w:val="000000" w:themeColor="text1"/>
                <w:u w:val="none"/>
                <w:lang w:val="en-US" w:eastAsia="zh-CN"/>
                <w14:textFill>
                  <w14:solidFill>
                    <w14:schemeClr w14:val="tx1"/>
                  </w14:solidFill>
                </w14:textFill>
              </w:rPr>
              <w:t>二十六、橡胶和塑料制品业 29</w:t>
            </w:r>
            <w:r>
              <w:rPr>
                <w:rFonts w:hint="eastAsia"/>
                <w:color w:val="000000" w:themeColor="text1"/>
                <w:u w:val="none"/>
                <w14:textFill>
                  <w14:solidFill>
                    <w14:schemeClr w14:val="tx1"/>
                  </w14:solidFill>
                </w14:textFill>
              </w:rPr>
              <w:t>”中“</w:t>
            </w:r>
            <w:r>
              <w:rPr>
                <w:rFonts w:hint="eastAsia"/>
                <w:color w:val="000000" w:themeColor="text1"/>
                <w:u w:val="none"/>
                <w:lang w:val="en-US" w:eastAsia="zh-CN"/>
                <w14:textFill>
                  <w14:solidFill>
                    <w14:schemeClr w14:val="tx1"/>
                  </w14:solidFill>
                </w14:textFill>
              </w:rPr>
              <w:t>塑料制品业 292</w:t>
            </w:r>
            <w:r>
              <w:rPr>
                <w:rFonts w:hint="eastAsia"/>
                <w:color w:val="000000" w:themeColor="text1"/>
                <w:u w:val="none"/>
                <w14:textFill>
                  <w14:solidFill>
                    <w14:schemeClr w14:val="tx1"/>
                  </w14:solidFill>
                </w14:textFill>
              </w:rPr>
              <w:t>”中“其他</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年用非溶剂型低VOCs含量涂料10吨以下的除外</w:t>
            </w:r>
            <w:r>
              <w:rPr>
                <w:rFonts w:hint="eastAsia"/>
                <w:color w:val="000000" w:themeColor="text1"/>
                <w:u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建设性质</w:t>
            </w:r>
          </w:p>
        </w:tc>
        <w:tc>
          <w:tcPr>
            <w:tcW w:w="3442" w:type="dxa"/>
            <w:vAlign w:val="center"/>
          </w:tcPr>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FE"/>
            </w:r>
            <w:r>
              <w:rPr>
                <w:rFonts w:hint="eastAsia"/>
                <w:color w:val="000000" w:themeColor="text1"/>
                <w:u w:val="none"/>
                <w14:textFill>
                  <w14:solidFill>
                    <w14:schemeClr w14:val="tx1"/>
                  </w14:solidFill>
                </w14:textFill>
              </w:rPr>
              <w:t>新建（迁建）</w:t>
            </w:r>
          </w:p>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A8"/>
            </w:r>
            <w:r>
              <w:rPr>
                <w:rFonts w:hint="eastAsia"/>
                <w:color w:val="000000" w:themeColor="text1"/>
                <w:u w:val="none"/>
                <w14:textFill>
                  <w14:solidFill>
                    <w14:schemeClr w14:val="tx1"/>
                  </w14:solidFill>
                </w14:textFill>
              </w:rPr>
              <w:t>改建</w:t>
            </w:r>
          </w:p>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A8"/>
            </w:r>
            <w:r>
              <w:rPr>
                <w:rFonts w:hint="eastAsia"/>
                <w:color w:val="000000" w:themeColor="text1"/>
                <w:u w:val="none"/>
                <w14:textFill>
                  <w14:solidFill>
                    <w14:schemeClr w14:val="tx1"/>
                  </w14:solidFill>
                </w14:textFill>
              </w:rPr>
              <w:t>扩建</w:t>
            </w:r>
          </w:p>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A8"/>
            </w:r>
            <w:r>
              <w:rPr>
                <w:rFonts w:hint="eastAsia"/>
                <w:color w:val="000000" w:themeColor="text1"/>
                <w:u w:val="none"/>
                <w14:textFill>
                  <w14:solidFill>
                    <w14:schemeClr w14:val="tx1"/>
                  </w14:solidFill>
                </w14:textFill>
              </w:rPr>
              <w:t>技改</w:t>
            </w:r>
          </w:p>
        </w:tc>
        <w:tc>
          <w:tcPr>
            <w:tcW w:w="1178"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建设项目申报情形</w:t>
            </w:r>
          </w:p>
        </w:tc>
        <w:tc>
          <w:tcPr>
            <w:tcW w:w="3466" w:type="dxa"/>
            <w:vAlign w:val="center"/>
          </w:tcPr>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FE"/>
            </w:r>
            <w:r>
              <w:rPr>
                <w:rFonts w:hint="eastAsia"/>
                <w:color w:val="000000" w:themeColor="text1"/>
                <w:u w:val="none"/>
                <w14:textFill>
                  <w14:solidFill>
                    <w14:schemeClr w14:val="tx1"/>
                  </w14:solidFill>
                </w14:textFill>
              </w:rPr>
              <w:t>首次申报项目</w:t>
            </w:r>
          </w:p>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A8"/>
            </w:r>
            <w:r>
              <w:rPr>
                <w:rFonts w:hint="eastAsia"/>
                <w:color w:val="000000" w:themeColor="text1"/>
                <w:u w:val="none"/>
                <w14:textFill>
                  <w14:solidFill>
                    <w14:schemeClr w14:val="tx1"/>
                  </w14:solidFill>
                </w14:textFill>
              </w:rPr>
              <w:t>不予批准后再次申报项目</w:t>
            </w:r>
          </w:p>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A8"/>
            </w:r>
            <w:r>
              <w:rPr>
                <w:rFonts w:hint="eastAsia"/>
                <w:color w:val="000000" w:themeColor="text1"/>
                <w:u w:val="none"/>
                <w14:textFill>
                  <w14:solidFill>
                    <w14:schemeClr w14:val="tx1"/>
                  </w14:solidFill>
                </w14:textFill>
              </w:rPr>
              <w:t>超过五年重新审核项目</w:t>
            </w:r>
          </w:p>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A8"/>
            </w:r>
            <w:r>
              <w:rPr>
                <w:rFonts w:hint="eastAsia"/>
                <w:color w:val="000000" w:themeColor="text1"/>
                <w:u w:val="none"/>
                <w14:textFill>
                  <w14:solidFill>
                    <w14:schemeClr w14:val="tx1"/>
                  </w14:solidFill>
                </w14:textFill>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项目审核（核准/备案）部门（选填）</w:t>
            </w:r>
          </w:p>
        </w:tc>
        <w:tc>
          <w:tcPr>
            <w:tcW w:w="3442" w:type="dxa"/>
            <w:shd w:val="clear" w:color="auto" w:fill="auto"/>
            <w:vAlign w:val="center"/>
          </w:tcPr>
          <w:p>
            <w:pPr>
              <w:spacing w:line="240" w:lineRule="auto"/>
              <w:ind w:firstLine="0" w:firstLineChars="0"/>
              <w:jc w:val="center"/>
              <w:rPr>
                <w:rFonts w:hint="eastAsia" w:eastAsia="宋体"/>
                <w:u w:val="none"/>
                <w:lang w:eastAsia="zh-CN"/>
              </w:rPr>
            </w:pPr>
            <w:r>
              <w:rPr>
                <w:rFonts w:hint="eastAsia"/>
                <w:u w:val="none"/>
                <w:lang w:val="en-US" w:eastAsia="zh-CN"/>
              </w:rPr>
              <w:t>/</w:t>
            </w:r>
          </w:p>
        </w:tc>
        <w:tc>
          <w:tcPr>
            <w:tcW w:w="1178" w:type="dxa"/>
            <w:shd w:val="clear" w:color="auto" w:fill="auto"/>
            <w:vAlign w:val="center"/>
          </w:tcPr>
          <w:p>
            <w:pPr>
              <w:spacing w:line="240" w:lineRule="auto"/>
              <w:ind w:firstLine="0" w:firstLineChars="0"/>
              <w:jc w:val="center"/>
              <w:rPr>
                <w:u w:val="none"/>
              </w:rPr>
            </w:pPr>
            <w:r>
              <w:rPr>
                <w:rFonts w:hint="eastAsia"/>
                <w:u w:val="none"/>
              </w:rPr>
              <w:t>项目审批（核准/备案）文号（选填）</w:t>
            </w:r>
          </w:p>
        </w:tc>
        <w:tc>
          <w:tcPr>
            <w:tcW w:w="3466" w:type="dxa"/>
            <w:shd w:val="clear" w:color="auto" w:fill="auto"/>
            <w:vAlign w:val="center"/>
          </w:tcPr>
          <w:p>
            <w:pPr>
              <w:spacing w:line="240" w:lineRule="auto"/>
              <w:ind w:firstLine="0" w:firstLineChars="0"/>
              <w:jc w:val="center"/>
              <w:rPr>
                <w:rFonts w:hint="eastAsia" w:eastAsia="宋体"/>
                <w:u w:val="none"/>
                <w:lang w:val="en-US" w:eastAsia="zh-CN"/>
              </w:rPr>
            </w:pPr>
            <w:r>
              <w:rPr>
                <w:rFonts w:hint="eastAsia"/>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总投资</w:t>
            </w:r>
          </w:p>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（万元）</w:t>
            </w:r>
          </w:p>
        </w:tc>
        <w:tc>
          <w:tcPr>
            <w:tcW w:w="3442" w:type="dxa"/>
            <w:vAlign w:val="center"/>
          </w:tcPr>
          <w:p>
            <w:pPr>
              <w:spacing w:line="240" w:lineRule="auto"/>
              <w:ind w:firstLine="0" w:firstLineChars="0"/>
              <w:jc w:val="center"/>
              <w:rPr>
                <w:rFonts w:hint="default"/>
                <w:color w:val="000000" w:themeColor="text1"/>
                <w:u w:val="none"/>
                <w:lang w:val="en-US"/>
                <w14:textFill>
                  <w14:solidFill>
                    <w14:schemeClr w14:val="tx1"/>
                  </w14:solidFill>
                </w14:textFill>
              </w:rPr>
            </w:pPr>
            <w:r>
              <w:rPr>
                <w:rFonts w:hint="eastAsia"/>
                <w:color w:val="000000" w:themeColor="text1"/>
                <w:u w:val="none"/>
                <w:lang w:val="en-US" w:eastAsia="zh-CN"/>
                <w14:textFill>
                  <w14:solidFill>
                    <w14:schemeClr w14:val="tx1"/>
                  </w14:solidFill>
                </w14:textFill>
              </w:rPr>
              <w:t>200</w:t>
            </w:r>
          </w:p>
        </w:tc>
        <w:tc>
          <w:tcPr>
            <w:tcW w:w="1178"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环保投资</w:t>
            </w:r>
          </w:p>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（万元）</w:t>
            </w:r>
          </w:p>
        </w:tc>
        <w:tc>
          <w:tcPr>
            <w:tcW w:w="3466" w:type="dxa"/>
            <w:vAlign w:val="center"/>
          </w:tcPr>
          <w:p>
            <w:pPr>
              <w:spacing w:line="240" w:lineRule="auto"/>
              <w:ind w:firstLine="0" w:firstLineChars="0"/>
              <w:jc w:val="center"/>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环保投资占比（%）</w:t>
            </w:r>
          </w:p>
        </w:tc>
        <w:tc>
          <w:tcPr>
            <w:tcW w:w="3442" w:type="dxa"/>
            <w:shd w:val="clear" w:color="auto" w:fill="auto"/>
            <w:vAlign w:val="center"/>
          </w:tcPr>
          <w:p>
            <w:pPr>
              <w:spacing w:line="240" w:lineRule="auto"/>
              <w:ind w:firstLine="0" w:firstLineChars="0"/>
              <w:jc w:val="center"/>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10</w:t>
            </w:r>
          </w:p>
        </w:tc>
        <w:tc>
          <w:tcPr>
            <w:tcW w:w="1178"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施工工期</w:t>
            </w:r>
          </w:p>
        </w:tc>
        <w:tc>
          <w:tcPr>
            <w:tcW w:w="3466" w:type="dxa"/>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是否</w:t>
            </w:r>
          </w:p>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开工建设</w:t>
            </w:r>
          </w:p>
        </w:tc>
        <w:tc>
          <w:tcPr>
            <w:tcW w:w="3442" w:type="dxa"/>
            <w:shd w:val="clear" w:color="auto" w:fill="auto"/>
            <w:vAlign w:val="center"/>
          </w:tcPr>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FE"/>
            </w:r>
            <w:r>
              <w:rPr>
                <w:rFonts w:hint="eastAsia"/>
                <w:color w:val="000000" w:themeColor="text1"/>
                <w:u w:val="none"/>
                <w14:textFill>
                  <w14:solidFill>
                    <w14:schemeClr w14:val="tx1"/>
                  </w14:solidFill>
                </w14:textFill>
              </w:rPr>
              <w:t>否</w:t>
            </w:r>
          </w:p>
          <w:p>
            <w:pPr>
              <w:spacing w:line="240" w:lineRule="auto"/>
              <w:ind w:firstLine="0" w:firstLine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sym w:font="Wingdings" w:char="00A8"/>
            </w:r>
            <w:r>
              <w:rPr>
                <w:rFonts w:hint="eastAsia"/>
                <w:color w:val="000000" w:themeColor="text1"/>
                <w:u w:val="none"/>
                <w14:textFill>
                  <w14:solidFill>
                    <w14:schemeClr w14:val="tx1"/>
                  </w14:solidFill>
                </w14:textFill>
              </w:rPr>
              <w:t>是</w:t>
            </w:r>
          </w:p>
        </w:tc>
        <w:tc>
          <w:tcPr>
            <w:tcW w:w="1178"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用地面积</w:t>
            </w:r>
          </w:p>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（m</w:t>
            </w:r>
            <w:r>
              <w:rPr>
                <w:rFonts w:hint="eastAsia"/>
                <w:color w:val="000000" w:themeColor="text1"/>
                <w:u w:val="none"/>
                <w:vertAlign w:val="superscript"/>
                <w14:textFill>
                  <w14:solidFill>
                    <w14:schemeClr w14:val="tx1"/>
                  </w14:solidFill>
                </w14:textFill>
              </w:rPr>
              <w:t>2</w:t>
            </w:r>
            <w:r>
              <w:rPr>
                <w:rFonts w:hint="eastAsia"/>
                <w:color w:val="000000" w:themeColor="text1"/>
                <w:u w:val="none"/>
                <w14:textFill>
                  <w14:solidFill>
                    <w14:schemeClr w14:val="tx1"/>
                  </w14:solidFill>
                </w14:textFill>
              </w:rPr>
              <w:t>）</w:t>
            </w:r>
          </w:p>
        </w:tc>
        <w:tc>
          <w:tcPr>
            <w:tcW w:w="3466" w:type="dxa"/>
            <w:vAlign w:val="center"/>
          </w:tcPr>
          <w:p>
            <w:pPr>
              <w:spacing w:line="240" w:lineRule="auto"/>
              <w:ind w:firstLine="0" w:firstLineChars="0"/>
              <w:jc w:val="center"/>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专项评价设置情况</w:t>
            </w:r>
          </w:p>
        </w:tc>
        <w:tc>
          <w:tcPr>
            <w:tcW w:w="8086" w:type="dxa"/>
            <w:gridSpan w:val="3"/>
            <w:shd w:val="clear" w:color="auto" w:fill="auto"/>
            <w:vAlign w:val="center"/>
          </w:tcPr>
          <w:tbl>
            <w:tblPr>
              <w:tblStyle w:val="24"/>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222"/>
              <w:gridCol w:w="3233"/>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5" w:type="dxa"/>
                  <w:vAlign w:val="center"/>
                </w:tcPr>
                <w:p>
                  <w:pPr>
                    <w:pStyle w:val="37"/>
                    <w:autoSpaceDE w:val="0"/>
                    <w:autoSpaceDN w:val="0"/>
                    <w:ind w:left="0" w:leftChars="0"/>
                    <w:rPr>
                      <w:color w:val="000000"/>
                      <w:u w:val="none"/>
                    </w:rPr>
                  </w:pPr>
                  <w:r>
                    <w:rPr>
                      <w:color w:val="000000"/>
                      <w:u w:val="none"/>
                    </w:rPr>
                    <w:t>专项评价类别</w:t>
                  </w:r>
                </w:p>
              </w:tc>
              <w:tc>
                <w:tcPr>
                  <w:tcW w:w="3222" w:type="dxa"/>
                  <w:vAlign w:val="center"/>
                </w:tcPr>
                <w:p>
                  <w:pPr>
                    <w:pStyle w:val="37"/>
                    <w:autoSpaceDE w:val="0"/>
                    <w:autoSpaceDN w:val="0"/>
                    <w:ind w:left="0" w:leftChars="0"/>
                    <w:rPr>
                      <w:color w:val="000000"/>
                      <w:u w:val="none"/>
                    </w:rPr>
                  </w:pPr>
                  <w:r>
                    <w:rPr>
                      <w:color w:val="000000"/>
                      <w:u w:val="none"/>
                    </w:rPr>
                    <w:t>设置原则</w:t>
                  </w:r>
                </w:p>
              </w:tc>
              <w:tc>
                <w:tcPr>
                  <w:tcW w:w="3233" w:type="dxa"/>
                  <w:vAlign w:val="center"/>
                </w:tcPr>
                <w:p>
                  <w:pPr>
                    <w:pStyle w:val="37"/>
                    <w:autoSpaceDE w:val="0"/>
                    <w:autoSpaceDN w:val="0"/>
                    <w:ind w:left="0" w:leftChars="0"/>
                    <w:rPr>
                      <w:color w:val="000000"/>
                      <w:u w:val="none"/>
                    </w:rPr>
                  </w:pPr>
                  <w:r>
                    <w:rPr>
                      <w:color w:val="000000"/>
                      <w:u w:val="none"/>
                    </w:rPr>
                    <w:t>本项目情况</w:t>
                  </w:r>
                </w:p>
              </w:tc>
              <w:tc>
                <w:tcPr>
                  <w:tcW w:w="667" w:type="dxa"/>
                  <w:vAlign w:val="center"/>
                </w:tcPr>
                <w:p>
                  <w:pPr>
                    <w:pStyle w:val="37"/>
                    <w:autoSpaceDE w:val="0"/>
                    <w:autoSpaceDN w:val="0"/>
                    <w:ind w:left="0" w:leftChars="0"/>
                    <w:rPr>
                      <w:color w:val="000000"/>
                      <w:u w:val="none"/>
                    </w:rPr>
                  </w:pPr>
                  <w:r>
                    <w:rPr>
                      <w:color w:val="000000"/>
                      <w:u w:val="none"/>
                    </w:rPr>
                    <w:t>是否设置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55" w:type="dxa"/>
                  <w:vAlign w:val="center"/>
                </w:tcPr>
                <w:p>
                  <w:pPr>
                    <w:pStyle w:val="37"/>
                    <w:autoSpaceDE w:val="0"/>
                    <w:autoSpaceDN w:val="0"/>
                    <w:ind w:left="0" w:leftChars="0"/>
                    <w:rPr>
                      <w:color w:val="000000"/>
                      <w:u w:val="none"/>
                    </w:rPr>
                  </w:pPr>
                  <w:r>
                    <w:rPr>
                      <w:color w:val="000000"/>
                      <w:u w:val="none"/>
                    </w:rPr>
                    <w:t>大气</w:t>
                  </w:r>
                </w:p>
              </w:tc>
              <w:tc>
                <w:tcPr>
                  <w:tcW w:w="3222" w:type="dxa"/>
                  <w:vAlign w:val="center"/>
                </w:tcPr>
                <w:p>
                  <w:pPr>
                    <w:pStyle w:val="37"/>
                    <w:autoSpaceDE w:val="0"/>
                    <w:autoSpaceDN w:val="0"/>
                    <w:ind w:left="0" w:leftChars="0"/>
                    <w:jc w:val="both"/>
                    <w:rPr>
                      <w:color w:val="000000"/>
                      <w:u w:val="none"/>
                    </w:rPr>
                  </w:pPr>
                  <w:r>
                    <w:rPr>
                      <w:color w:val="000000"/>
                      <w:u w:val="none"/>
                    </w:rPr>
                    <w:t>排放废气含有毒有害污染物、二噁英、苯并[a]芘、氰化物、氯气且厂界外500米</w:t>
                  </w:r>
                  <w:r>
                    <w:rPr>
                      <w:rFonts w:hint="eastAsia"/>
                      <w:color w:val="000000"/>
                      <w:u w:val="none"/>
                      <w:lang w:val="en-US" w:eastAsia="zh-CN"/>
                    </w:rPr>
                    <w:t>范</w:t>
                  </w:r>
                  <w:r>
                    <w:rPr>
                      <w:color w:val="000000"/>
                      <w:u w:val="none"/>
                    </w:rPr>
                    <w:t>围内有环境空气保护目标的建设项目。</w:t>
                  </w:r>
                </w:p>
              </w:tc>
              <w:tc>
                <w:tcPr>
                  <w:tcW w:w="3233" w:type="dxa"/>
                  <w:vAlign w:val="center"/>
                </w:tcPr>
                <w:p>
                  <w:pPr>
                    <w:pStyle w:val="37"/>
                    <w:autoSpaceDE w:val="0"/>
                    <w:autoSpaceDN w:val="0"/>
                    <w:ind w:left="0" w:leftChars="0"/>
                    <w:jc w:val="both"/>
                    <w:rPr>
                      <w:color w:val="000000"/>
                      <w:u w:val="none"/>
                    </w:rPr>
                  </w:pPr>
                  <w:r>
                    <w:rPr>
                      <w:color w:val="000000"/>
                      <w:u w:val="none"/>
                    </w:rPr>
                    <w:t>本项目生产废气主要为</w:t>
                  </w:r>
                  <w:r>
                    <w:rPr>
                      <w:rFonts w:hint="eastAsia"/>
                      <w:color w:val="000000"/>
                      <w:u w:val="none"/>
                    </w:rPr>
                    <w:t>非甲烷总烃，</w:t>
                  </w:r>
                  <w:r>
                    <w:rPr>
                      <w:color w:val="000000"/>
                      <w:u w:val="none"/>
                    </w:rPr>
                    <w:t>不涉及《有毒有害大气污染物名录》的污染物、二噁英、苯并[a]芘、氰化物、氯气。</w:t>
                  </w:r>
                </w:p>
              </w:tc>
              <w:tc>
                <w:tcPr>
                  <w:tcW w:w="667" w:type="dxa"/>
                  <w:vAlign w:val="center"/>
                </w:tcPr>
                <w:p>
                  <w:pPr>
                    <w:pStyle w:val="37"/>
                    <w:autoSpaceDE w:val="0"/>
                    <w:autoSpaceDN w:val="0"/>
                    <w:ind w:left="0" w:leftChars="0"/>
                    <w:rPr>
                      <w:color w:val="000000"/>
                      <w:u w:val="none"/>
                    </w:rPr>
                  </w:pPr>
                  <w:r>
                    <w:rPr>
                      <w:color w:val="000000"/>
                      <w:u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55" w:type="dxa"/>
                  <w:vAlign w:val="center"/>
                </w:tcPr>
                <w:p>
                  <w:pPr>
                    <w:pStyle w:val="37"/>
                    <w:autoSpaceDE w:val="0"/>
                    <w:autoSpaceDN w:val="0"/>
                    <w:ind w:left="0" w:leftChars="0"/>
                    <w:rPr>
                      <w:color w:val="000000"/>
                      <w:u w:val="none"/>
                    </w:rPr>
                  </w:pPr>
                  <w:r>
                    <w:rPr>
                      <w:color w:val="000000"/>
                      <w:u w:val="none"/>
                    </w:rPr>
                    <w:t>地表水</w:t>
                  </w:r>
                </w:p>
              </w:tc>
              <w:tc>
                <w:tcPr>
                  <w:tcW w:w="3222" w:type="dxa"/>
                  <w:vAlign w:val="center"/>
                </w:tcPr>
                <w:p>
                  <w:pPr>
                    <w:pStyle w:val="37"/>
                    <w:autoSpaceDE w:val="0"/>
                    <w:autoSpaceDN w:val="0"/>
                    <w:ind w:left="0" w:leftChars="0"/>
                    <w:jc w:val="both"/>
                    <w:rPr>
                      <w:color w:val="000000"/>
                      <w:u w:val="none"/>
                    </w:rPr>
                  </w:pPr>
                  <w:r>
                    <w:rPr>
                      <w:color w:val="000000"/>
                      <w:u w:val="none"/>
                    </w:rPr>
                    <w:t>新增工业废水直排建设项目（槽罐车外送污水处理厂的除外）；新增废水直排的污水集中处理厂。</w:t>
                  </w:r>
                </w:p>
              </w:tc>
              <w:tc>
                <w:tcPr>
                  <w:tcW w:w="3233" w:type="dxa"/>
                  <w:vAlign w:val="center"/>
                </w:tcPr>
                <w:p>
                  <w:pPr>
                    <w:pStyle w:val="37"/>
                    <w:autoSpaceDE w:val="0"/>
                    <w:autoSpaceDN w:val="0"/>
                    <w:ind w:left="0" w:leftChars="0"/>
                    <w:jc w:val="both"/>
                    <w:rPr>
                      <w:color w:val="000000"/>
                      <w:u w:val="none"/>
                    </w:rPr>
                  </w:pPr>
                  <w:r>
                    <w:rPr>
                      <w:color w:val="000000"/>
                      <w:u w:val="none"/>
                    </w:rPr>
                    <w:t>本项目生活污水</w:t>
                  </w:r>
                  <w:r>
                    <w:rPr>
                      <w:rFonts w:hint="eastAsia"/>
                      <w:color w:val="000000"/>
                      <w:u w:val="none"/>
                      <w:lang w:eastAsia="zh-CN"/>
                    </w:rPr>
                    <w:t>、</w:t>
                  </w:r>
                  <w:r>
                    <w:rPr>
                      <w:rFonts w:hint="eastAsia"/>
                      <w:color w:val="000000"/>
                      <w:u w:val="none"/>
                      <w:lang w:val="en-US" w:eastAsia="zh-CN"/>
                    </w:rPr>
                    <w:t>地面清洁废水</w:t>
                  </w:r>
                  <w:r>
                    <w:rPr>
                      <w:color w:val="000000"/>
                      <w:u w:val="none"/>
                    </w:rPr>
                    <w:t>依托</w:t>
                  </w:r>
                  <w:r>
                    <w:rPr>
                      <w:rFonts w:hint="eastAsia"/>
                      <w:color w:val="000000"/>
                      <w:u w:val="none"/>
                    </w:rPr>
                    <w:t>租赁公司</w:t>
                  </w:r>
                  <w:r>
                    <w:rPr>
                      <w:color w:val="000000"/>
                      <w:u w:val="none"/>
                    </w:rPr>
                    <w:t>化粪池处理后通过市政污水管网进入湘阴县第</w:t>
                  </w:r>
                  <w:r>
                    <w:rPr>
                      <w:rFonts w:hint="eastAsia"/>
                      <w:color w:val="000000"/>
                      <w:u w:val="none"/>
                    </w:rPr>
                    <w:t>二</w:t>
                  </w:r>
                  <w:r>
                    <w:rPr>
                      <w:color w:val="000000"/>
                      <w:u w:val="none"/>
                    </w:rPr>
                    <w:t>污水处理厂处理，最终排入</w:t>
                  </w:r>
                  <w:r>
                    <w:rPr>
                      <w:rFonts w:hint="eastAsia"/>
                      <w:color w:val="000000"/>
                      <w:u w:val="none"/>
                    </w:rPr>
                    <w:t>湘江</w:t>
                  </w:r>
                  <w:r>
                    <w:rPr>
                      <w:color w:val="000000"/>
                      <w:u w:val="none"/>
                    </w:rPr>
                    <w:t>。</w:t>
                  </w:r>
                </w:p>
              </w:tc>
              <w:tc>
                <w:tcPr>
                  <w:tcW w:w="667" w:type="dxa"/>
                  <w:vAlign w:val="center"/>
                </w:tcPr>
                <w:p>
                  <w:pPr>
                    <w:pStyle w:val="37"/>
                    <w:autoSpaceDE w:val="0"/>
                    <w:autoSpaceDN w:val="0"/>
                    <w:ind w:left="0" w:leftChars="0"/>
                    <w:rPr>
                      <w:color w:val="000000"/>
                      <w:u w:val="none"/>
                    </w:rPr>
                  </w:pPr>
                  <w:r>
                    <w:rPr>
                      <w:color w:val="000000"/>
                      <w:u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5" w:type="dxa"/>
                  <w:vAlign w:val="center"/>
                </w:tcPr>
                <w:p>
                  <w:pPr>
                    <w:pStyle w:val="37"/>
                    <w:autoSpaceDE w:val="0"/>
                    <w:autoSpaceDN w:val="0"/>
                    <w:ind w:left="0" w:leftChars="0"/>
                    <w:rPr>
                      <w:color w:val="000000"/>
                      <w:u w:val="none"/>
                    </w:rPr>
                  </w:pPr>
                  <w:r>
                    <w:rPr>
                      <w:color w:val="000000"/>
                      <w:u w:val="none"/>
                    </w:rPr>
                    <w:t>环境风险</w:t>
                  </w:r>
                </w:p>
              </w:tc>
              <w:tc>
                <w:tcPr>
                  <w:tcW w:w="3222" w:type="dxa"/>
                  <w:vAlign w:val="center"/>
                </w:tcPr>
                <w:p>
                  <w:pPr>
                    <w:pStyle w:val="37"/>
                    <w:autoSpaceDE w:val="0"/>
                    <w:autoSpaceDN w:val="0"/>
                    <w:ind w:left="0" w:leftChars="0"/>
                    <w:jc w:val="both"/>
                    <w:rPr>
                      <w:color w:val="000000"/>
                      <w:u w:val="none"/>
                    </w:rPr>
                  </w:pPr>
                  <w:r>
                    <w:rPr>
                      <w:color w:val="000000"/>
                      <w:u w:val="none"/>
                    </w:rPr>
                    <w:t>有毒有害和易燃易爆危险物质存储量超过临界量的建设项目。</w:t>
                  </w:r>
                </w:p>
              </w:tc>
              <w:tc>
                <w:tcPr>
                  <w:tcW w:w="3233" w:type="dxa"/>
                  <w:vAlign w:val="center"/>
                </w:tcPr>
                <w:p>
                  <w:pPr>
                    <w:pStyle w:val="37"/>
                    <w:autoSpaceDE w:val="0"/>
                    <w:autoSpaceDN w:val="0"/>
                    <w:ind w:left="0" w:leftChars="0"/>
                    <w:jc w:val="both"/>
                    <w:rPr>
                      <w:rFonts w:hint="eastAsia" w:eastAsia="宋体"/>
                      <w:color w:val="000000"/>
                      <w:u w:val="none"/>
                      <w:lang w:eastAsia="zh-CN"/>
                    </w:rPr>
                  </w:pPr>
                  <w:r>
                    <w:rPr>
                      <w:u w:val="none"/>
                    </w:rPr>
                    <w:t>根据风险分析，本项目突发环境风险物质临界量比值</w:t>
                  </w:r>
                  <w:r>
                    <w:rPr>
                      <w:rFonts w:hint="eastAsia"/>
                      <w:u w:val="none"/>
                      <w:lang w:val="en-US" w:eastAsia="zh-CN"/>
                    </w:rPr>
                    <w:t>小</w:t>
                  </w:r>
                  <w:r>
                    <w:rPr>
                      <w:u w:val="none"/>
                    </w:rPr>
                    <w:t>于1</w:t>
                  </w:r>
                  <w:r>
                    <w:rPr>
                      <w:rFonts w:hint="eastAsia"/>
                      <w:u w:val="none"/>
                      <w:lang w:eastAsia="zh-CN"/>
                    </w:rPr>
                    <w:t>。</w:t>
                  </w:r>
                </w:p>
              </w:tc>
              <w:tc>
                <w:tcPr>
                  <w:tcW w:w="667" w:type="dxa"/>
                  <w:vAlign w:val="center"/>
                </w:tcPr>
                <w:p>
                  <w:pPr>
                    <w:pStyle w:val="37"/>
                    <w:autoSpaceDE w:val="0"/>
                    <w:autoSpaceDN w:val="0"/>
                    <w:ind w:left="0" w:leftChars="0"/>
                    <w:rPr>
                      <w:color w:val="000000"/>
                      <w:u w:val="none"/>
                    </w:rPr>
                  </w:pPr>
                  <w:r>
                    <w:rPr>
                      <w:rFonts w:hint="eastAsia"/>
                      <w:color w:val="000000"/>
                      <w:u w:val="none"/>
                      <w:lang w:val="en-US" w:eastAsia="zh-CN"/>
                    </w:rPr>
                    <w:t>无</w:t>
                  </w:r>
                  <w:r>
                    <w:rPr>
                      <w:color w:val="000000"/>
                      <w:u w:val="none"/>
                    </w:rPr>
                    <w:t>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55" w:type="dxa"/>
                  <w:vAlign w:val="center"/>
                </w:tcPr>
                <w:p>
                  <w:pPr>
                    <w:pStyle w:val="37"/>
                    <w:autoSpaceDE w:val="0"/>
                    <w:autoSpaceDN w:val="0"/>
                    <w:ind w:left="0" w:leftChars="0"/>
                    <w:rPr>
                      <w:color w:val="000000"/>
                      <w:u w:val="none"/>
                    </w:rPr>
                  </w:pPr>
                  <w:r>
                    <w:rPr>
                      <w:color w:val="000000"/>
                      <w:u w:val="none"/>
                    </w:rPr>
                    <w:t>生态</w:t>
                  </w:r>
                </w:p>
              </w:tc>
              <w:tc>
                <w:tcPr>
                  <w:tcW w:w="3222" w:type="dxa"/>
                  <w:vAlign w:val="center"/>
                </w:tcPr>
                <w:p>
                  <w:pPr>
                    <w:pStyle w:val="37"/>
                    <w:autoSpaceDE w:val="0"/>
                    <w:autoSpaceDN w:val="0"/>
                    <w:ind w:left="0" w:leftChars="0"/>
                    <w:jc w:val="both"/>
                    <w:rPr>
                      <w:color w:val="000000"/>
                      <w:u w:val="none"/>
                    </w:rPr>
                  </w:pPr>
                  <w:r>
                    <w:rPr>
                      <w:color w:val="000000"/>
                      <w:u w:val="none"/>
                    </w:rPr>
                    <w:t>取水口下游500米范围内有重要水生生物的自然产卵场、索饵场、越冬场和洄游通道的新增河道取水的污染类建设项目。</w:t>
                  </w:r>
                </w:p>
              </w:tc>
              <w:tc>
                <w:tcPr>
                  <w:tcW w:w="3233" w:type="dxa"/>
                  <w:vAlign w:val="center"/>
                </w:tcPr>
                <w:p>
                  <w:pPr>
                    <w:pStyle w:val="37"/>
                    <w:autoSpaceDE w:val="0"/>
                    <w:autoSpaceDN w:val="0"/>
                    <w:ind w:left="0" w:leftChars="0"/>
                    <w:jc w:val="both"/>
                    <w:rPr>
                      <w:color w:val="000000"/>
                      <w:u w:val="none"/>
                    </w:rPr>
                  </w:pPr>
                  <w:r>
                    <w:rPr>
                      <w:color w:val="000000"/>
                      <w:u w:val="none"/>
                    </w:rPr>
                    <w:t>本项目不涉及取水口。</w:t>
                  </w:r>
                </w:p>
              </w:tc>
              <w:tc>
                <w:tcPr>
                  <w:tcW w:w="667" w:type="dxa"/>
                  <w:vAlign w:val="center"/>
                </w:tcPr>
                <w:p>
                  <w:pPr>
                    <w:pStyle w:val="37"/>
                    <w:autoSpaceDE w:val="0"/>
                    <w:autoSpaceDN w:val="0"/>
                    <w:ind w:left="0" w:leftChars="0"/>
                    <w:rPr>
                      <w:color w:val="000000"/>
                      <w:u w:val="none"/>
                    </w:rPr>
                  </w:pPr>
                  <w:r>
                    <w:rPr>
                      <w:color w:val="000000"/>
                      <w:u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5" w:type="dxa"/>
                  <w:vAlign w:val="center"/>
                </w:tcPr>
                <w:p>
                  <w:pPr>
                    <w:pStyle w:val="37"/>
                    <w:autoSpaceDE w:val="0"/>
                    <w:autoSpaceDN w:val="0"/>
                    <w:ind w:left="0" w:leftChars="0"/>
                    <w:rPr>
                      <w:color w:val="000000"/>
                      <w:u w:val="none"/>
                    </w:rPr>
                  </w:pPr>
                  <w:r>
                    <w:rPr>
                      <w:color w:val="000000"/>
                      <w:u w:val="none"/>
                    </w:rPr>
                    <w:t>海洋</w:t>
                  </w:r>
                </w:p>
              </w:tc>
              <w:tc>
                <w:tcPr>
                  <w:tcW w:w="3222" w:type="dxa"/>
                  <w:vAlign w:val="center"/>
                </w:tcPr>
                <w:p>
                  <w:pPr>
                    <w:pStyle w:val="37"/>
                    <w:autoSpaceDE w:val="0"/>
                    <w:autoSpaceDN w:val="0"/>
                    <w:ind w:left="0" w:leftChars="0"/>
                    <w:jc w:val="both"/>
                    <w:rPr>
                      <w:color w:val="000000"/>
                      <w:u w:val="none"/>
                    </w:rPr>
                  </w:pPr>
                  <w:r>
                    <w:rPr>
                      <w:color w:val="000000"/>
                      <w:u w:val="none"/>
                    </w:rPr>
                    <w:t>直接向海排放污染物的海洋工程建设项目。</w:t>
                  </w:r>
                </w:p>
              </w:tc>
              <w:tc>
                <w:tcPr>
                  <w:tcW w:w="3233" w:type="dxa"/>
                  <w:vAlign w:val="center"/>
                </w:tcPr>
                <w:p>
                  <w:pPr>
                    <w:pStyle w:val="37"/>
                    <w:autoSpaceDE w:val="0"/>
                    <w:autoSpaceDN w:val="0"/>
                    <w:ind w:left="0" w:leftChars="0"/>
                    <w:jc w:val="both"/>
                    <w:rPr>
                      <w:color w:val="000000"/>
                      <w:u w:val="none"/>
                    </w:rPr>
                  </w:pPr>
                  <w:r>
                    <w:rPr>
                      <w:color w:val="000000"/>
                      <w:u w:val="none"/>
                    </w:rPr>
                    <w:t>本项目不涉及直接向海排放污染物。</w:t>
                  </w:r>
                </w:p>
              </w:tc>
              <w:tc>
                <w:tcPr>
                  <w:tcW w:w="667" w:type="dxa"/>
                  <w:vAlign w:val="center"/>
                </w:tcPr>
                <w:p>
                  <w:pPr>
                    <w:pStyle w:val="37"/>
                    <w:autoSpaceDE w:val="0"/>
                    <w:autoSpaceDN w:val="0"/>
                    <w:ind w:left="0" w:leftChars="0"/>
                    <w:rPr>
                      <w:color w:val="000000"/>
                      <w:u w:val="none"/>
                    </w:rPr>
                  </w:pPr>
                  <w:r>
                    <w:rPr>
                      <w:color w:val="000000"/>
                      <w:u w:val="none"/>
                    </w:rPr>
                    <w:t>无需设置</w:t>
                  </w:r>
                </w:p>
              </w:tc>
            </w:tr>
          </w:tbl>
          <w:p>
            <w:pPr>
              <w:spacing w:line="240" w:lineRule="auto"/>
              <w:ind w:firstLine="0" w:firstLineChars="0"/>
              <w:jc w:val="center"/>
              <w:rPr>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规划情况</w:t>
            </w:r>
          </w:p>
        </w:tc>
        <w:tc>
          <w:tcPr>
            <w:tcW w:w="8086" w:type="dxa"/>
            <w:gridSpan w:val="3"/>
            <w:vAlign w:val="center"/>
          </w:tcPr>
          <w:p>
            <w:pPr>
              <w:ind w:firstLine="0" w:firstLineChars="0"/>
              <w:rPr>
                <w:color w:val="000000" w:themeColor="text1"/>
                <w:u w:val="none"/>
                <w14:textFill>
                  <w14:solidFill>
                    <w14:schemeClr w14:val="tx1"/>
                  </w14:solidFill>
                </w14:textFill>
              </w:rPr>
            </w:pPr>
            <w:r>
              <w:rPr>
                <w:rFonts w:hint="eastAsia"/>
                <w:color w:val="000000"/>
                <w:u w:val="none"/>
              </w:rPr>
              <w:t>规划名称：《湖南湘阴高新区近期规划（2020-2025）》，湘阴高新技术产业开发区管理委员会。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规划环境影响评价情况</w:t>
            </w:r>
          </w:p>
        </w:tc>
        <w:tc>
          <w:tcPr>
            <w:tcW w:w="8086" w:type="dxa"/>
            <w:gridSpan w:val="3"/>
            <w:vAlign w:val="center"/>
          </w:tcPr>
          <w:p>
            <w:pPr>
              <w:ind w:firstLine="0" w:firstLineChars="0"/>
              <w:jc w:val="left"/>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（1）</w:t>
            </w:r>
            <w:r>
              <w:rPr>
                <w:color w:val="000000" w:themeColor="text1"/>
                <w:u w:val="none"/>
                <w14:textFill>
                  <w14:solidFill>
                    <w14:schemeClr w14:val="tx1"/>
                  </w14:solidFill>
                </w14:textFill>
              </w:rPr>
              <w:t>环评名称</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《湖南湘阴高新技术产业开发区调区扩区规划环境影响报告书》</w:t>
            </w:r>
          </w:p>
          <w:p>
            <w:pPr>
              <w:ind w:firstLine="0" w:firstLineChars="0"/>
              <w:jc w:val="left"/>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（2）</w:t>
            </w:r>
            <w:r>
              <w:rPr>
                <w:color w:val="000000" w:themeColor="text1"/>
                <w:u w:val="none"/>
                <w14:textFill>
                  <w14:solidFill>
                    <w14:schemeClr w14:val="tx1"/>
                  </w14:solidFill>
                </w14:textFill>
              </w:rPr>
              <w:t>审批机关</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湖南省生态环境厅</w:t>
            </w:r>
          </w:p>
          <w:p>
            <w:pPr>
              <w:ind w:firstLine="0" w:firstLineChars="0"/>
              <w:jc w:val="left"/>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（3）</w:t>
            </w:r>
            <w:r>
              <w:rPr>
                <w:color w:val="000000" w:themeColor="text1"/>
                <w:u w:val="none"/>
                <w14:textFill>
                  <w14:solidFill>
                    <w14:schemeClr w14:val="tx1"/>
                  </w14:solidFill>
                </w14:textFill>
              </w:rPr>
              <w:t>审批文号</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湘环评函[2022]65号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规划及规划环境影响评价符合性分析</w:t>
            </w:r>
          </w:p>
        </w:tc>
        <w:tc>
          <w:tcPr>
            <w:tcW w:w="8086" w:type="dxa"/>
            <w:gridSpan w:val="3"/>
            <w:vAlign w:val="center"/>
          </w:tcPr>
          <w:p>
            <w:pPr>
              <w:tabs>
                <w:tab w:val="left" w:pos="3705"/>
                <w:tab w:val="left" w:pos="4680"/>
              </w:tabs>
              <w:autoSpaceDE w:val="0"/>
              <w:autoSpaceDN w:val="0"/>
              <w:ind w:firstLine="480"/>
              <w:rPr>
                <w:color w:val="000000"/>
                <w:u w:val="none"/>
              </w:rPr>
            </w:pPr>
            <w:r>
              <w:rPr>
                <w:rFonts w:hint="eastAsia"/>
                <w:color w:val="000000"/>
                <w:u w:val="none"/>
              </w:rPr>
              <w:t>1、与《湖南湘阴高新区近期规划（2020-2025）》的符合性分析</w:t>
            </w:r>
          </w:p>
          <w:p>
            <w:pPr>
              <w:tabs>
                <w:tab w:val="left" w:pos="3705"/>
                <w:tab w:val="left" w:pos="4680"/>
              </w:tabs>
              <w:ind w:firstLine="480"/>
              <w:rPr>
                <w:color w:val="000000"/>
                <w:u w:val="none"/>
              </w:rPr>
            </w:pPr>
            <w:r>
              <w:rPr>
                <w:rFonts w:hint="eastAsia"/>
                <w:color w:val="000000"/>
                <w:u w:val="none"/>
              </w:rPr>
              <w:t>根据规划，湖南湘阴高新技术产业开发区为“一区三园”，即临港片区、洋沙湖片区和金龙片区，规划区范围面积共计约12.40平方公里。本项目位于洋沙湖片区</w:t>
            </w:r>
            <w:r>
              <w:rPr>
                <w:rFonts w:hint="eastAsia"/>
                <w:color w:val="000000"/>
                <w:u w:val="none"/>
                <w:lang w:val="en-US" w:eastAsia="zh-CN"/>
              </w:rPr>
              <w:t>其他</w:t>
            </w:r>
            <w:r>
              <w:rPr>
                <w:rFonts w:hint="eastAsia"/>
                <w:color w:val="000000"/>
                <w:u w:val="none"/>
              </w:rPr>
              <w:t>区域。根据规划相关内容，本项目与《湖南湘阴高新区近期规划（2020-2025）》符合性分析详见下表：</w:t>
            </w:r>
          </w:p>
          <w:p>
            <w:pPr>
              <w:pStyle w:val="36"/>
              <w:ind w:left="480"/>
              <w:rPr>
                <w:color w:val="000000"/>
                <w:szCs w:val="24"/>
                <w:u w:val="none"/>
              </w:rPr>
            </w:pPr>
            <w:r>
              <w:rPr>
                <w:rFonts w:hint="eastAsia"/>
                <w:color w:val="000000"/>
                <w:szCs w:val="24"/>
                <w:u w:val="none"/>
              </w:rPr>
              <w:t>表1-1 与《湖南湘阴高新区近期规划（2020-2025）》符合性分析表</w:t>
            </w:r>
          </w:p>
          <w:tbl>
            <w:tblPr>
              <w:tblStyle w:val="24"/>
              <w:tblW w:w="7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3300"/>
              <w:gridCol w:w="340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8" w:type="dxa"/>
                  <w:vAlign w:val="center"/>
                </w:tcPr>
                <w:p>
                  <w:pPr>
                    <w:pStyle w:val="37"/>
                    <w:autoSpaceDE w:val="0"/>
                    <w:autoSpaceDN w:val="0"/>
                    <w:adjustRightInd w:val="0"/>
                    <w:snapToGrid w:val="0"/>
                    <w:ind w:left="0" w:leftChars="0"/>
                    <w:rPr>
                      <w:color w:val="000000"/>
                      <w:u w:val="none"/>
                    </w:rPr>
                  </w:pPr>
                  <w:r>
                    <w:rPr>
                      <w:color w:val="000000"/>
                      <w:u w:val="none"/>
                    </w:rPr>
                    <w:t>项目</w:t>
                  </w:r>
                </w:p>
              </w:tc>
              <w:tc>
                <w:tcPr>
                  <w:tcW w:w="3300" w:type="dxa"/>
                  <w:vAlign w:val="center"/>
                </w:tcPr>
                <w:p>
                  <w:pPr>
                    <w:pStyle w:val="37"/>
                    <w:autoSpaceDE w:val="0"/>
                    <w:autoSpaceDN w:val="0"/>
                    <w:adjustRightInd w:val="0"/>
                    <w:snapToGrid w:val="0"/>
                    <w:ind w:left="0" w:leftChars="0"/>
                    <w:rPr>
                      <w:color w:val="000000"/>
                      <w:u w:val="none"/>
                    </w:rPr>
                  </w:pPr>
                  <w:r>
                    <w:rPr>
                      <w:color w:val="000000"/>
                      <w:u w:val="none"/>
                    </w:rPr>
                    <w:t>规划要求</w:t>
                  </w:r>
                </w:p>
              </w:tc>
              <w:tc>
                <w:tcPr>
                  <w:tcW w:w="3400" w:type="dxa"/>
                  <w:vAlign w:val="center"/>
                </w:tcPr>
                <w:p>
                  <w:pPr>
                    <w:pStyle w:val="37"/>
                    <w:autoSpaceDE w:val="0"/>
                    <w:autoSpaceDN w:val="0"/>
                    <w:adjustRightInd w:val="0"/>
                    <w:snapToGrid w:val="0"/>
                    <w:ind w:left="0" w:leftChars="0"/>
                    <w:rPr>
                      <w:color w:val="000000"/>
                      <w:u w:val="none"/>
                    </w:rPr>
                  </w:pPr>
                  <w:r>
                    <w:rPr>
                      <w:color w:val="000000"/>
                      <w:u w:val="none"/>
                    </w:rPr>
                    <w:t>项目情况</w:t>
                  </w:r>
                </w:p>
              </w:tc>
              <w:tc>
                <w:tcPr>
                  <w:tcW w:w="723" w:type="dxa"/>
                  <w:vAlign w:val="center"/>
                </w:tcPr>
                <w:p>
                  <w:pPr>
                    <w:pStyle w:val="37"/>
                    <w:autoSpaceDE w:val="0"/>
                    <w:autoSpaceDN w:val="0"/>
                    <w:adjustRightInd w:val="0"/>
                    <w:snapToGrid w:val="0"/>
                    <w:ind w:left="0" w:leftChars="0"/>
                    <w:rPr>
                      <w:color w:val="000000"/>
                      <w:u w:val="none"/>
                    </w:rPr>
                  </w:pPr>
                  <w:r>
                    <w:rPr>
                      <w:color w:val="000000"/>
                      <w:u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518" w:type="dxa"/>
                  <w:vAlign w:val="center"/>
                </w:tcPr>
                <w:p>
                  <w:pPr>
                    <w:pStyle w:val="37"/>
                    <w:autoSpaceDE w:val="0"/>
                    <w:autoSpaceDN w:val="0"/>
                    <w:adjustRightInd w:val="0"/>
                    <w:snapToGrid w:val="0"/>
                    <w:ind w:left="0" w:leftChars="0"/>
                    <w:rPr>
                      <w:color w:val="000000"/>
                      <w:u w:val="none"/>
                    </w:rPr>
                  </w:pPr>
                  <w:r>
                    <w:rPr>
                      <w:color w:val="000000"/>
                      <w:u w:val="none"/>
                    </w:rPr>
                    <w:t>区位划分</w:t>
                  </w:r>
                </w:p>
              </w:tc>
              <w:tc>
                <w:tcPr>
                  <w:tcW w:w="3300" w:type="dxa"/>
                  <w:vAlign w:val="center"/>
                </w:tcPr>
                <w:p>
                  <w:pPr>
                    <w:pStyle w:val="37"/>
                    <w:autoSpaceDE w:val="0"/>
                    <w:autoSpaceDN w:val="0"/>
                    <w:adjustRightInd w:val="0"/>
                    <w:snapToGrid w:val="0"/>
                    <w:ind w:left="0" w:leftChars="0"/>
                    <w:jc w:val="both"/>
                    <w:rPr>
                      <w:color w:val="000000"/>
                      <w:u w:val="none"/>
                    </w:rPr>
                  </w:pPr>
                  <w:r>
                    <w:rPr>
                      <w:color w:val="000000"/>
                      <w:u w:val="none"/>
                    </w:rPr>
                    <w:t>湖南湘阴高新技术产业开发区为“一区三园”，即临港片区、洋沙湖片区和金龙片区，规划规划区范围面积共计约12.40平方公里。洋沙湖片区位于县城中部与南部，区块1范围东至芙蓉北路、南至洋沙湖大道、西至中联大道北至劈山渠，规划范围约为321.98公顷;区块2范围东至芙蓉北路、南至劈山渠、西至程家湾、北至城南村，规划范围约为296.07公顷，洋沙湖片区规划范围618.05公顷。</w:t>
                  </w:r>
                </w:p>
              </w:tc>
              <w:tc>
                <w:tcPr>
                  <w:tcW w:w="3400" w:type="dxa"/>
                  <w:vAlign w:val="center"/>
                </w:tcPr>
                <w:p>
                  <w:pPr>
                    <w:pStyle w:val="37"/>
                    <w:autoSpaceDE w:val="0"/>
                    <w:autoSpaceDN w:val="0"/>
                    <w:adjustRightInd w:val="0"/>
                    <w:snapToGrid w:val="0"/>
                    <w:ind w:left="0" w:leftChars="0"/>
                    <w:jc w:val="both"/>
                    <w:rPr>
                      <w:color w:val="000000"/>
                      <w:u w:val="none"/>
                    </w:rPr>
                  </w:pPr>
                  <w:r>
                    <w:rPr>
                      <w:color w:val="000000"/>
                      <w:u w:val="none"/>
                    </w:rPr>
                    <w:t>本项目位于</w:t>
                  </w:r>
                  <w:r>
                    <w:rPr>
                      <w:rFonts w:hint="eastAsia"/>
                      <w:color w:val="000000"/>
                      <w:u w:val="none"/>
                      <w:lang w:eastAsia="zh-CN"/>
                    </w:rPr>
                    <w:t>湖南省岳阳市湘阴县洋沙湖镇高新区洋沙湖片区新华路东侧新华标厂1栋101室</w:t>
                  </w:r>
                  <w:r>
                    <w:rPr>
                      <w:color w:val="000000"/>
                      <w:u w:val="none"/>
                    </w:rPr>
                    <w:t>，</w:t>
                  </w:r>
                  <w:r>
                    <w:rPr>
                      <w:rFonts w:hint="eastAsia"/>
                      <w:color w:val="000000"/>
                      <w:u w:val="none"/>
                      <w:lang w:eastAsia="zh-CN"/>
                    </w:rPr>
                    <w:t>属于</w:t>
                  </w:r>
                  <w:r>
                    <w:rPr>
                      <w:color w:val="000000"/>
                      <w:u w:val="none"/>
                    </w:rPr>
                    <w:t>洋沙湖片区范围内。</w:t>
                  </w:r>
                </w:p>
              </w:tc>
              <w:tc>
                <w:tcPr>
                  <w:tcW w:w="723" w:type="dxa"/>
                  <w:vAlign w:val="center"/>
                </w:tcPr>
                <w:p>
                  <w:pPr>
                    <w:pStyle w:val="37"/>
                    <w:autoSpaceDE w:val="0"/>
                    <w:autoSpaceDN w:val="0"/>
                    <w:adjustRightInd w:val="0"/>
                    <w:snapToGri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518" w:type="dxa"/>
                  <w:vAlign w:val="center"/>
                </w:tcPr>
                <w:p>
                  <w:pPr>
                    <w:pStyle w:val="37"/>
                    <w:autoSpaceDE w:val="0"/>
                    <w:autoSpaceDN w:val="0"/>
                    <w:adjustRightInd w:val="0"/>
                    <w:snapToGrid w:val="0"/>
                    <w:ind w:left="0" w:leftChars="0"/>
                    <w:rPr>
                      <w:color w:val="000000"/>
                      <w:u w:val="none"/>
                    </w:rPr>
                  </w:pPr>
                  <w:r>
                    <w:rPr>
                      <w:color w:val="000000"/>
                      <w:u w:val="none"/>
                    </w:rPr>
                    <w:t>功能定位</w:t>
                  </w:r>
                </w:p>
              </w:tc>
              <w:tc>
                <w:tcPr>
                  <w:tcW w:w="3300" w:type="dxa"/>
                  <w:vAlign w:val="center"/>
                </w:tcPr>
                <w:p>
                  <w:pPr>
                    <w:pStyle w:val="37"/>
                    <w:autoSpaceDE w:val="0"/>
                    <w:autoSpaceDN w:val="0"/>
                    <w:adjustRightInd w:val="0"/>
                    <w:snapToGrid w:val="0"/>
                    <w:ind w:left="0" w:leftChars="0"/>
                    <w:jc w:val="both"/>
                    <w:rPr>
                      <w:color w:val="000000"/>
                      <w:u w:val="none"/>
                    </w:rPr>
                  </w:pPr>
                  <w:r>
                    <w:rPr>
                      <w:color w:val="000000"/>
                      <w:u w:val="none"/>
                    </w:rPr>
                    <w:t>发挥靠城（长沙）依江（湘江）的区位优势，立足对接长沙、省级高新技术开发区发展核心平台的有利条件，依托长株潭大经济圈及岳阳、益阳两城市的经济辐射，“以园兴工、以工兴县”的战略，千方百计加大园区基础建设力度，想方设法引进战略投资大户，把园区建成为规模工业企业的集聚区，商贸流通的重点区，城镇化发展的示范区，对外开放的先导区，以及全国较高水平的省级生态环保型城郊综合工业园区。</w:t>
                  </w:r>
                </w:p>
              </w:tc>
              <w:tc>
                <w:tcPr>
                  <w:tcW w:w="3400" w:type="dxa"/>
                  <w:vAlign w:val="center"/>
                </w:tcPr>
                <w:p>
                  <w:pPr>
                    <w:pStyle w:val="37"/>
                    <w:autoSpaceDE w:val="0"/>
                    <w:autoSpaceDN w:val="0"/>
                    <w:adjustRightInd w:val="0"/>
                    <w:snapToGrid w:val="0"/>
                    <w:ind w:left="0" w:leftChars="0"/>
                    <w:jc w:val="both"/>
                    <w:rPr>
                      <w:color w:val="000000"/>
                      <w:u w:val="none"/>
                    </w:rPr>
                  </w:pPr>
                  <w:r>
                    <w:rPr>
                      <w:color w:val="000000"/>
                      <w:u w:val="none"/>
                    </w:rPr>
                    <w:t>本项目的建设不仅缓和市场缺口，同时可为企业带来显著的经济效益并带动当地就业。</w:t>
                  </w:r>
                </w:p>
              </w:tc>
              <w:tc>
                <w:tcPr>
                  <w:tcW w:w="723" w:type="dxa"/>
                  <w:vAlign w:val="center"/>
                </w:tcPr>
                <w:p>
                  <w:pPr>
                    <w:pStyle w:val="37"/>
                    <w:autoSpaceDE w:val="0"/>
                    <w:autoSpaceDN w:val="0"/>
                    <w:adjustRightInd w:val="0"/>
                    <w:snapToGri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pPr>
                    <w:pStyle w:val="37"/>
                    <w:autoSpaceDE w:val="0"/>
                    <w:autoSpaceDN w:val="0"/>
                    <w:adjustRightInd w:val="0"/>
                    <w:snapToGrid w:val="0"/>
                    <w:ind w:left="0" w:leftChars="0"/>
                    <w:rPr>
                      <w:color w:val="000000"/>
                      <w:u w:val="none"/>
                    </w:rPr>
                  </w:pPr>
                  <w:r>
                    <w:rPr>
                      <w:color w:val="000000"/>
                      <w:u w:val="none"/>
                    </w:rPr>
                    <w:t>产业定位</w:t>
                  </w:r>
                </w:p>
              </w:tc>
              <w:tc>
                <w:tcPr>
                  <w:tcW w:w="3300" w:type="dxa"/>
                  <w:vAlign w:val="center"/>
                </w:tcPr>
                <w:p>
                  <w:pPr>
                    <w:pStyle w:val="37"/>
                    <w:autoSpaceDE w:val="0"/>
                    <w:autoSpaceDN w:val="0"/>
                    <w:adjustRightInd w:val="0"/>
                    <w:snapToGrid w:val="0"/>
                    <w:ind w:left="0" w:leftChars="0"/>
                    <w:jc w:val="both"/>
                    <w:rPr>
                      <w:color w:val="000000"/>
                      <w:u w:val="none"/>
                    </w:rPr>
                  </w:pPr>
                  <w:r>
                    <w:rPr>
                      <w:color w:val="000000"/>
                      <w:u w:val="none"/>
                    </w:rPr>
                    <w:t>主导产业</w:t>
                  </w:r>
                  <w:r>
                    <w:rPr>
                      <w:rFonts w:hint="eastAsia"/>
                      <w:color w:val="000000"/>
                      <w:u w:val="none"/>
                    </w:rPr>
                    <w:t>：</w:t>
                  </w:r>
                  <w:r>
                    <w:rPr>
                      <w:color w:val="000000"/>
                      <w:u w:val="none"/>
                    </w:rPr>
                    <w:t>绿色装备制造、绿色建筑建材、绿色食品加工</w:t>
                  </w:r>
                  <w:r>
                    <w:rPr>
                      <w:rFonts w:hint="eastAsia"/>
                      <w:color w:val="000000"/>
                      <w:u w:val="none"/>
                    </w:rPr>
                    <w:t>；</w:t>
                  </w:r>
                  <w:r>
                    <w:rPr>
                      <w:color w:val="000000"/>
                      <w:u w:val="none"/>
                    </w:rPr>
                    <w:t>配套产业</w:t>
                  </w:r>
                  <w:r>
                    <w:rPr>
                      <w:rFonts w:hint="eastAsia"/>
                      <w:color w:val="000000"/>
                      <w:u w:val="none"/>
                    </w:rPr>
                    <w:t>：</w:t>
                  </w:r>
                  <w:r>
                    <w:rPr>
                      <w:color w:val="000000"/>
                      <w:u w:val="none"/>
                    </w:rPr>
                    <w:t>电子信息、新材料。</w:t>
                  </w:r>
                </w:p>
              </w:tc>
              <w:tc>
                <w:tcPr>
                  <w:tcW w:w="3400" w:type="dxa"/>
                  <w:vAlign w:val="center"/>
                </w:tcPr>
                <w:p>
                  <w:pPr>
                    <w:spacing w:line="240" w:lineRule="auto"/>
                    <w:ind w:firstLine="0" w:firstLineChars="0"/>
                    <w:rPr>
                      <w:rFonts w:hint="eastAsia" w:eastAsia="宋体"/>
                      <w:sz w:val="21"/>
                      <w:szCs w:val="21"/>
                      <w:u w:val="none"/>
                      <w:lang w:eastAsia="zh-CN"/>
                    </w:rPr>
                  </w:pPr>
                  <w:r>
                    <w:rPr>
                      <w:color w:val="000000"/>
                      <w:sz w:val="21"/>
                      <w:szCs w:val="21"/>
                      <w:u w:val="none"/>
                    </w:rPr>
                    <w:t>本项目行业类</w:t>
                  </w:r>
                  <w:r>
                    <w:rPr>
                      <w:rFonts w:ascii="Times New Roman" w:hAnsi="Times New Roman" w:eastAsia="宋体" w:cs="Times New Roman"/>
                      <w:color w:val="000000"/>
                      <w:sz w:val="21"/>
                      <w:szCs w:val="21"/>
                      <w:u w:val="none"/>
                    </w:rPr>
                    <w:t>别属于</w:t>
                  </w:r>
                  <w:r>
                    <w:rPr>
                      <w:rFonts w:hint="eastAsia" w:cs="Times New Roman"/>
                      <w:color w:val="000000"/>
                      <w:sz w:val="21"/>
                      <w:szCs w:val="21"/>
                      <w:u w:val="none"/>
                      <w:lang w:eastAsia="zh-CN"/>
                    </w:rPr>
                    <w:t>C2921塑料薄膜制造</w:t>
                  </w:r>
                  <w:r>
                    <w:rPr>
                      <w:rFonts w:ascii="Times New Roman" w:hAnsi="Times New Roman" w:eastAsia="宋体" w:cs="Times New Roman"/>
                      <w:color w:val="000000"/>
                      <w:sz w:val="21"/>
                      <w:szCs w:val="21"/>
                      <w:u w:val="none"/>
                    </w:rPr>
                    <w:t>，</w:t>
                  </w:r>
                  <w:r>
                    <w:rPr>
                      <w:rFonts w:hint="eastAsia" w:ascii="Times New Roman" w:hAnsi="Times New Roman" w:eastAsia="宋体" w:cs="Times New Roman"/>
                      <w:color w:val="000000"/>
                      <w:sz w:val="21"/>
                      <w:szCs w:val="21"/>
                      <w:u w:val="none"/>
                    </w:rPr>
                    <w:t>经查在《产业结构调整指导目录》（2024版）中，不属于</w:t>
                  </w:r>
                  <w:r>
                    <w:rPr>
                      <w:rFonts w:hint="eastAsia"/>
                      <w:color w:val="000000"/>
                      <w:u w:val="none"/>
                      <w:lang w:val="en-US" w:eastAsia="zh-CN"/>
                    </w:rPr>
                    <w:t>鼓励类、</w:t>
                  </w:r>
                  <w:r>
                    <w:rPr>
                      <w:rFonts w:hint="eastAsia" w:ascii="Times New Roman" w:hAnsi="Times New Roman" w:eastAsia="宋体" w:cs="Times New Roman"/>
                      <w:color w:val="000000"/>
                      <w:sz w:val="21"/>
                      <w:szCs w:val="21"/>
                      <w:u w:val="none"/>
                    </w:rPr>
                    <w:t>限制类、淘汰类项目，属于</w:t>
                  </w:r>
                  <w:r>
                    <w:rPr>
                      <w:rFonts w:hint="eastAsia" w:cs="Times New Roman"/>
                      <w:color w:val="000000"/>
                      <w:sz w:val="21"/>
                      <w:szCs w:val="21"/>
                      <w:u w:val="none"/>
                      <w:lang w:val="en-US" w:eastAsia="zh-CN"/>
                    </w:rPr>
                    <w:t>允许</w:t>
                  </w:r>
                  <w:r>
                    <w:rPr>
                      <w:rFonts w:ascii="Times New Roman" w:hAnsi="Times New Roman" w:eastAsia="宋体" w:cs="Times New Roman"/>
                      <w:color w:val="000000"/>
                      <w:sz w:val="21"/>
                      <w:szCs w:val="21"/>
                      <w:u w:val="none"/>
                    </w:rPr>
                    <w:t>类</w:t>
                  </w:r>
                  <w:r>
                    <w:rPr>
                      <w:rFonts w:hint="eastAsia" w:ascii="Times New Roman" w:hAnsi="Times New Roman" w:eastAsia="宋体" w:cs="Times New Roman"/>
                      <w:color w:val="000000"/>
                      <w:sz w:val="21"/>
                      <w:szCs w:val="21"/>
                      <w:u w:val="none"/>
                    </w:rPr>
                    <w:t>项目</w:t>
                  </w:r>
                  <w:r>
                    <w:rPr>
                      <w:rFonts w:ascii="Times New Roman" w:hAnsi="Times New Roman" w:eastAsia="宋体" w:cs="Times New Roman"/>
                      <w:color w:val="000000"/>
                      <w:sz w:val="21"/>
                      <w:szCs w:val="21"/>
                      <w:u w:val="none"/>
                    </w:rPr>
                    <w:t>，符合产业政策的要求</w:t>
                  </w:r>
                  <w:r>
                    <w:rPr>
                      <w:rFonts w:hint="eastAsia" w:cs="Times New Roman"/>
                      <w:color w:val="000000"/>
                      <w:sz w:val="21"/>
                      <w:szCs w:val="21"/>
                      <w:u w:val="none"/>
                      <w:lang w:eastAsia="zh-CN"/>
                    </w:rPr>
                    <w:t>。</w:t>
                  </w:r>
                </w:p>
              </w:tc>
              <w:tc>
                <w:tcPr>
                  <w:tcW w:w="723" w:type="dxa"/>
                  <w:vAlign w:val="center"/>
                </w:tcPr>
                <w:p>
                  <w:pPr>
                    <w:pStyle w:val="37"/>
                    <w:autoSpaceDE w:val="0"/>
                    <w:autoSpaceDN w:val="0"/>
                    <w:adjustRightInd w:val="0"/>
                    <w:snapToGrid w:val="0"/>
                    <w:ind w:left="0" w:leftChars="0"/>
                    <w:rPr>
                      <w:rFonts w:hint="eastAsia" w:eastAsia="宋体"/>
                      <w:color w:val="000000"/>
                      <w:u w:val="none"/>
                      <w:lang w:eastAsia="zh-CN"/>
                    </w:rPr>
                  </w:pPr>
                  <w:r>
                    <w:rPr>
                      <w:rFonts w:hint="eastAsia"/>
                      <w:color w:val="000000"/>
                      <w:u w:val="none"/>
                      <w:lang w:val="en-US" w:eastAsia="zh-CN"/>
                    </w:rPr>
                    <w:t>不冲突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518" w:type="dxa"/>
                  <w:vAlign w:val="center"/>
                </w:tcPr>
                <w:p>
                  <w:pPr>
                    <w:pStyle w:val="37"/>
                    <w:autoSpaceDE w:val="0"/>
                    <w:autoSpaceDN w:val="0"/>
                    <w:adjustRightInd w:val="0"/>
                    <w:snapToGrid w:val="0"/>
                    <w:ind w:left="0" w:leftChars="0"/>
                    <w:rPr>
                      <w:color w:val="000000"/>
                      <w:u w:val="none"/>
                    </w:rPr>
                  </w:pPr>
                  <w:r>
                    <w:rPr>
                      <w:color w:val="000000"/>
                      <w:u w:val="none"/>
                    </w:rPr>
                    <w:t>分区定位</w:t>
                  </w:r>
                </w:p>
              </w:tc>
              <w:tc>
                <w:tcPr>
                  <w:tcW w:w="3300" w:type="dxa"/>
                  <w:vAlign w:val="center"/>
                </w:tcPr>
                <w:p>
                  <w:pPr>
                    <w:pStyle w:val="37"/>
                    <w:autoSpaceDE w:val="0"/>
                    <w:autoSpaceDN w:val="0"/>
                    <w:adjustRightInd w:val="0"/>
                    <w:snapToGrid w:val="0"/>
                    <w:ind w:left="0" w:leftChars="0"/>
                    <w:jc w:val="both"/>
                    <w:rPr>
                      <w:color w:val="000000"/>
                      <w:u w:val="none"/>
                    </w:rPr>
                  </w:pPr>
                  <w:r>
                    <w:rPr>
                      <w:color w:val="000000"/>
                      <w:u w:val="none"/>
                    </w:rPr>
                    <w:t>洋沙湖片区重点发展绿色建筑建材、新能源汽车和绿色食品加工产业。</w:t>
                  </w:r>
                </w:p>
              </w:tc>
              <w:tc>
                <w:tcPr>
                  <w:tcW w:w="3400" w:type="dxa"/>
                  <w:vAlign w:val="center"/>
                </w:tcPr>
                <w:p>
                  <w:pPr>
                    <w:pStyle w:val="37"/>
                    <w:autoSpaceDE w:val="0"/>
                    <w:autoSpaceDN w:val="0"/>
                    <w:adjustRightInd w:val="0"/>
                    <w:snapToGrid w:val="0"/>
                    <w:ind w:left="0" w:leftChars="0"/>
                    <w:jc w:val="both"/>
                    <w:rPr>
                      <w:color w:val="000000"/>
                      <w:u w:val="none"/>
                    </w:rPr>
                  </w:pPr>
                  <w:r>
                    <w:rPr>
                      <w:color w:val="000000"/>
                      <w:u w:val="none"/>
                    </w:rPr>
                    <w:t>本项目行业类别属于</w:t>
                  </w:r>
                  <w:r>
                    <w:rPr>
                      <w:rFonts w:hint="eastAsia"/>
                      <w:color w:val="000000"/>
                      <w:u w:val="none"/>
                      <w:lang w:eastAsia="zh-CN"/>
                    </w:rPr>
                    <w:t>C2921塑料薄膜制造</w:t>
                  </w:r>
                  <w:r>
                    <w:rPr>
                      <w:rFonts w:hint="eastAsia"/>
                      <w:color w:val="000000"/>
                      <w:u w:val="none"/>
                    </w:rPr>
                    <w:t>。</w:t>
                  </w:r>
                  <w:r>
                    <w:rPr>
                      <w:color w:val="000000"/>
                      <w:u w:val="none"/>
                    </w:rPr>
                    <w:t>对照《湖南省生态环境分区管控总体管控要求暨省级以上产业园区生态环境准入清单》（湘环函〔2024〕26号），不属于湘阴高新区限制类及禁止类生产企业，符合园区产业规划要求，因此与分区定位不冲突。</w:t>
                  </w:r>
                </w:p>
              </w:tc>
              <w:tc>
                <w:tcPr>
                  <w:tcW w:w="723" w:type="dxa"/>
                  <w:vAlign w:val="center"/>
                </w:tcPr>
                <w:p>
                  <w:pPr>
                    <w:pStyle w:val="37"/>
                    <w:autoSpaceDE w:val="0"/>
                    <w:autoSpaceDN w:val="0"/>
                    <w:adjustRightInd w:val="0"/>
                    <w:snapToGrid w:val="0"/>
                    <w:ind w:left="0" w:leftChars="0"/>
                    <w:rPr>
                      <w:rFonts w:hint="eastAsia" w:eastAsia="宋体"/>
                      <w:color w:val="000000"/>
                      <w:u w:val="none"/>
                      <w:lang w:eastAsia="zh-CN"/>
                    </w:rPr>
                  </w:pPr>
                  <w:r>
                    <w:rPr>
                      <w:rFonts w:hint="eastAsia"/>
                      <w:color w:val="000000"/>
                      <w:u w:val="none"/>
                      <w:lang w:val="en-US" w:eastAsia="zh-CN"/>
                    </w:rPr>
                    <w:t>不冲突</w:t>
                  </w:r>
                </w:p>
              </w:tc>
            </w:tr>
          </w:tbl>
          <w:p>
            <w:pPr>
              <w:tabs>
                <w:tab w:val="left" w:pos="3705"/>
                <w:tab w:val="left" w:pos="4680"/>
              </w:tabs>
              <w:ind w:firstLine="480"/>
              <w:rPr>
                <w:color w:val="000000"/>
                <w:u w:val="none"/>
              </w:rPr>
            </w:pPr>
            <w:r>
              <w:rPr>
                <w:rFonts w:hint="eastAsia"/>
                <w:color w:val="000000"/>
                <w:u w:val="none"/>
              </w:rPr>
              <w:t>综上所述，本项目基本符合《湖南湘阴高新区近期规划（2020-2025）》定位相关要求。</w:t>
            </w:r>
          </w:p>
          <w:p>
            <w:pPr>
              <w:ind w:firstLine="48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2、与《湖南湘阴高新技术产业开发区调区扩区规划环境影响报告书》及审查意见的符合性分析</w:t>
            </w:r>
          </w:p>
          <w:p>
            <w:pPr>
              <w:ind w:firstLine="48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2022年6月，湖南省生态环境厅出具关于《湖南湘阴高新技术产业开发区调区扩区规划环境影响报告书》审查意见的函（湘环评函[2022]65号）。项目与（湘环评函〔2022〕65号）的符合性分析见表1-1</w:t>
            </w:r>
          </w:p>
          <w:p>
            <w:pPr>
              <w:pStyle w:val="36"/>
              <w:ind w:left="48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表1-2 与《湖南湘阴高新技术产业开发区调区扩区规划环境影响报告书》审查意见的函</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湘环评函〔2022〕65</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号符合性分析表</w:t>
            </w:r>
          </w:p>
          <w:tbl>
            <w:tblPr>
              <w:tblStyle w:val="24"/>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883"/>
              <w:gridCol w:w="2439"/>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项目</w:t>
                  </w:r>
                </w:p>
              </w:tc>
              <w:tc>
                <w:tcPr>
                  <w:tcW w:w="3883"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《审查意见》要求</w:t>
                  </w:r>
                </w:p>
              </w:tc>
              <w:tc>
                <w:tcPr>
                  <w:tcW w:w="2439"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项目情况</w:t>
                  </w:r>
                </w:p>
              </w:tc>
              <w:tc>
                <w:tcPr>
                  <w:tcW w:w="755"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872" w:type="dxa"/>
                  <w:vAlign w:val="center"/>
                </w:tcPr>
                <w:p>
                  <w:pPr>
                    <w:pStyle w:val="37"/>
                    <w:ind w:left="0" w:left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产业定位</w:t>
                  </w:r>
                </w:p>
              </w:tc>
              <w:tc>
                <w:tcPr>
                  <w:tcW w:w="3883" w:type="dxa"/>
                  <w:vAlign w:val="center"/>
                </w:tcPr>
                <w:p>
                  <w:pPr>
                    <w:pStyle w:val="37"/>
                    <w:ind w:left="0" w:left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t>洋沙湖片区位于县城南侧，范围东至芙蓉北路、南至京港澳复线互通口、西至中联大道、北至白水江路，面积为695.16 公顷，规划重点发展装备制造、食品加工、新材料产业（主要包括电子专用材料制造、电池制造，不含铅酸蓄电池制造））、废弃资源综合利用（包括利用金属废料和碎屑加工处理、废油回收利用）、电子信息和建筑建材。</w:t>
                  </w:r>
                </w:p>
              </w:tc>
              <w:tc>
                <w:tcPr>
                  <w:tcW w:w="2439" w:type="dxa"/>
                  <w:vAlign w:val="center"/>
                </w:tcPr>
                <w:p>
                  <w:pPr>
                    <w:pStyle w:val="37"/>
                    <w:ind w:left="0" w:left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本项目在湘阴高新技术产业开发区洋沙湖片区内，用地为</w:t>
                  </w:r>
                  <w:r>
                    <w:rPr>
                      <w:rFonts w:hint="eastAsia"/>
                      <w:color w:val="000000" w:themeColor="text1"/>
                      <w:u w:val="none"/>
                      <w:lang w:val="en-US" w:eastAsia="zh-CN"/>
                      <w14:textFill>
                        <w14:solidFill>
                          <w14:schemeClr w14:val="tx1"/>
                        </w14:solidFill>
                      </w14:textFill>
                    </w:rPr>
                    <w:t>二</w:t>
                  </w:r>
                  <w:r>
                    <w:rPr>
                      <w:color w:val="000000" w:themeColor="text1"/>
                      <w:u w:val="none"/>
                      <w14:textFill>
                        <w14:solidFill>
                          <w14:schemeClr w14:val="tx1"/>
                        </w14:solidFill>
                      </w14:textFill>
                    </w:rPr>
                    <w:t>类</w:t>
                  </w:r>
                  <w:r>
                    <w:rPr>
                      <w:rFonts w:hint="eastAsia"/>
                      <w:color w:val="000000" w:themeColor="text1"/>
                      <w:u w:val="none"/>
                      <w14:textFill>
                        <w14:solidFill>
                          <w14:schemeClr w14:val="tx1"/>
                        </w14:solidFill>
                      </w14:textFill>
                    </w:rPr>
                    <w:t>工业用地，本项目属于</w:t>
                  </w:r>
                  <w:r>
                    <w:rPr>
                      <w:rFonts w:hint="eastAsia"/>
                      <w:color w:val="000000" w:themeColor="text1"/>
                      <w:u w:val="none"/>
                      <w:lang w:eastAsia="zh-CN"/>
                      <w14:textFill>
                        <w14:solidFill>
                          <w14:schemeClr w14:val="tx1"/>
                        </w14:solidFill>
                      </w14:textFill>
                    </w:rPr>
                    <w:t>C2921塑料薄膜制造</w:t>
                  </w:r>
                  <w:r>
                    <w:rPr>
                      <w:rFonts w:hint="eastAsia"/>
                      <w:color w:val="000000" w:themeColor="text1"/>
                      <w:u w:val="none"/>
                      <w14:textFill>
                        <w14:solidFill>
                          <w14:schemeClr w14:val="tx1"/>
                        </w14:solidFill>
                      </w14:textFill>
                    </w:rPr>
                    <w:t>，主要产品为新预涂膜，经查在《产业结构调整指导目录》（2024版）中，不属于</w:t>
                  </w:r>
                  <w:r>
                    <w:rPr>
                      <w:rFonts w:hint="eastAsia"/>
                      <w:color w:val="000000"/>
                      <w:u w:val="none"/>
                      <w:lang w:val="en-US" w:eastAsia="zh-CN"/>
                    </w:rPr>
                    <w:t>鼓励类、</w:t>
                  </w:r>
                  <w:r>
                    <w:rPr>
                      <w:rFonts w:hint="eastAsia"/>
                      <w:color w:val="000000" w:themeColor="text1"/>
                      <w:u w:val="none"/>
                      <w14:textFill>
                        <w14:solidFill>
                          <w14:schemeClr w14:val="tx1"/>
                        </w14:solidFill>
                      </w14:textFill>
                    </w:rPr>
                    <w:t>限制类、淘汰类项目，属于</w:t>
                  </w:r>
                  <w:r>
                    <w:rPr>
                      <w:rFonts w:hint="eastAsia"/>
                      <w:color w:val="000000"/>
                      <w:u w:val="none"/>
                      <w:lang w:val="en-US" w:eastAsia="zh-CN"/>
                    </w:rPr>
                    <w:t>允许</w:t>
                  </w:r>
                  <w:r>
                    <w:rPr>
                      <w:color w:val="000000"/>
                      <w:u w:val="none"/>
                    </w:rPr>
                    <w:t>类</w:t>
                  </w:r>
                  <w:r>
                    <w:rPr>
                      <w:rFonts w:hint="eastAsia"/>
                      <w:color w:val="000000" w:themeColor="text1"/>
                      <w:u w:val="none"/>
                      <w14:textFill>
                        <w14:solidFill>
                          <w14:schemeClr w14:val="tx1"/>
                        </w14:solidFill>
                      </w14:textFill>
                    </w:rPr>
                    <w:t>项目，不属于环境准入清单负面行业，本项目与园区产业定位不冲突。</w:t>
                  </w:r>
                </w:p>
              </w:tc>
              <w:tc>
                <w:tcPr>
                  <w:tcW w:w="755" w:type="dxa"/>
                  <w:vAlign w:val="center"/>
                </w:tcPr>
                <w:p>
                  <w:pPr>
                    <w:pStyle w:val="37"/>
                    <w:ind w:left="0" w:left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shd w:val="clear" w:color="auto" w:fill="auto"/>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严格依规开发，优化空间功能布局</w:t>
                  </w:r>
                </w:p>
                <w:p>
                  <w:pPr>
                    <w:pStyle w:val="37"/>
                    <w:ind w:left="0" w:leftChars="0"/>
                    <w:rPr>
                      <w:color w:val="000000" w:themeColor="text1"/>
                      <w:u w:val="none"/>
                      <w14:textFill>
                        <w14:solidFill>
                          <w14:schemeClr w14:val="tx1"/>
                        </w14:solidFill>
                      </w14:textFill>
                    </w:rPr>
                  </w:pPr>
                </w:p>
              </w:tc>
              <w:tc>
                <w:tcPr>
                  <w:tcW w:w="3883" w:type="dxa"/>
                  <w:vAlign w:val="center"/>
                </w:tcPr>
                <w:p>
                  <w:pPr>
                    <w:pStyle w:val="37"/>
                    <w:ind w:left="0" w:left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园区在进行国土空间规划和开发建设过程中应充分吸收规划环评对不同功能用地和不同工业用地类别的设置意见，从规划层面提升环境相容性，并严格按照经核准的园区规划范围开发建设，园区规划用地不得涉及各类法定保护地。湘阴县政府应确保落实湘阴政函[2022]108号承诺对湘阴县老工业区17家企业的搬迁和退出方案，切实推进企业入园发展，不得违反相关规定要求在园区外新增工业项目，新引进项目及园外企业搬迁入园过程中应着重从降低环境影响的角度出发合理选址布局，不得在一类工业地上布局与之功能定位不相符的工业项目。</w:t>
                  </w:r>
                </w:p>
              </w:tc>
              <w:tc>
                <w:tcPr>
                  <w:tcW w:w="2439" w:type="dxa"/>
                  <w:vAlign w:val="center"/>
                </w:tcPr>
                <w:p>
                  <w:pPr>
                    <w:pStyle w:val="37"/>
                    <w:ind w:left="0" w:left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本项目不属于法定保护地，也不属于湘阴县老工业区17家企业的搬迁和退出企业。项目用地属</w:t>
                  </w:r>
                  <w:r>
                    <w:rPr>
                      <w:rFonts w:hint="eastAsia"/>
                      <w:color w:val="000000" w:themeColor="text1"/>
                      <w:u w:val="none"/>
                      <w:lang w:val="en-US" w:eastAsia="zh-CN"/>
                      <w14:textFill>
                        <w14:solidFill>
                          <w14:schemeClr w14:val="tx1"/>
                        </w14:solidFill>
                      </w14:textFill>
                    </w:rPr>
                    <w:t>二</w:t>
                  </w:r>
                  <w:r>
                    <w:rPr>
                      <w:color w:val="000000" w:themeColor="text1"/>
                      <w:u w:val="none"/>
                      <w14:textFill>
                        <w14:solidFill>
                          <w14:schemeClr w14:val="tx1"/>
                        </w14:solidFill>
                      </w14:textFill>
                    </w:rPr>
                    <w:t>类工业用地与功能定位相符。</w:t>
                  </w:r>
                </w:p>
              </w:tc>
              <w:tc>
                <w:tcPr>
                  <w:tcW w:w="755"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shd w:val="clear" w:color="auto" w:fill="auto"/>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严格环境准入，优化园区产业结构</w:t>
                  </w:r>
                </w:p>
              </w:tc>
              <w:tc>
                <w:tcPr>
                  <w:tcW w:w="3883" w:type="dxa"/>
                  <w:vAlign w:val="center"/>
                </w:tcPr>
                <w:p>
                  <w:pPr>
                    <w:pStyle w:val="37"/>
                    <w:ind w:left="0" w:left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t>园区产业引进应严格遵循《长江保护法》、《长江经济带发展负面清单》、《湘江保护条例》、《洞庭湖保护条例》等法律法规及相关政策的要求，落实园区“三线一单”环境准入要求，严格执行《报告书》提出的产业定位和生态环境准入清单。对于园区外已有企业或项目的搬迁入园应确保实现其清洁生产水平的提升与污染物排放总量的降低。</w:t>
                  </w:r>
                </w:p>
              </w:tc>
              <w:tc>
                <w:tcPr>
                  <w:tcW w:w="2439" w:type="dxa"/>
                  <w:vAlign w:val="center"/>
                </w:tcPr>
                <w:p>
                  <w:pPr>
                    <w:pStyle w:val="37"/>
                    <w:ind w:left="0" w:left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项目不属于园区限制类及禁止类生产企业，符合园区产业规划；符合《长江保护法》《长江经济带发展负面清单》《湘江保护条例》《洞庭湖保护条例》等法律法规及相关政策的要求；</w:t>
                  </w:r>
                </w:p>
                <w:p>
                  <w:pPr>
                    <w:pStyle w:val="37"/>
                    <w:ind w:left="0" w:leftChars="0"/>
                    <w:jc w:val="both"/>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本项目</w:t>
                  </w:r>
                  <w:r>
                    <w:rPr>
                      <w:color w:val="000000" w:themeColor="text1"/>
                      <w:u w:val="none"/>
                      <w14:textFill>
                        <w14:solidFill>
                          <w14:schemeClr w14:val="tx1"/>
                        </w14:solidFill>
                      </w14:textFill>
                    </w:rPr>
                    <w:t>不属于园区规划环评中负面清单产业</w:t>
                  </w:r>
                  <w:r>
                    <w:rPr>
                      <w:rFonts w:hint="eastAsia"/>
                      <w:color w:val="000000" w:themeColor="text1"/>
                      <w:u w:val="none"/>
                      <w14:textFill>
                        <w14:solidFill>
                          <w14:schemeClr w14:val="tx1"/>
                        </w14:solidFill>
                      </w14:textFill>
                    </w:rPr>
                    <w:t>。</w:t>
                  </w:r>
                </w:p>
              </w:tc>
              <w:tc>
                <w:tcPr>
                  <w:tcW w:w="755"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jc w:val="center"/>
              </w:trPr>
              <w:tc>
                <w:tcPr>
                  <w:tcW w:w="872" w:type="dxa"/>
                  <w:shd w:val="clear" w:color="auto" w:fill="auto"/>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落实管控措施，加强园区排污管理</w:t>
                  </w:r>
                </w:p>
              </w:tc>
              <w:tc>
                <w:tcPr>
                  <w:tcW w:w="3883" w:type="dxa"/>
                  <w:vAlign w:val="center"/>
                </w:tcPr>
                <w:p>
                  <w:pPr>
                    <w:pStyle w:val="37"/>
                    <w:ind w:left="0" w:left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t>完善污水管网建设，做好雨污分流，确保园区各片区生产生活废水应收尽收，集中排入污水处理厂，园区不得超过污水处理厂的处理能力和入河排污口设置审批所规定的废水排放量引进项目。园区应推广使用清洁能源，加强园区大气污染防治，采取有效措施减少污染物排放总量，严格控制无组织排放，加强对园区企业VOCs排放的治理。建立园区固废规范化管理体系，做好工业固体废物和生活垃圾的分类收集、转运、综合利用和无害化处理。对危险废物应严格按照国家有关规定综合利用或妥善处置，对危险废物产生企业和经营单位，应强化日常环境监管。园区企业须严格落实排污许可制度和污染物排放总量控制，推动入园企业开展清洁生产审核。</w:t>
                  </w:r>
                </w:p>
              </w:tc>
              <w:tc>
                <w:tcPr>
                  <w:tcW w:w="2439" w:type="dxa"/>
                  <w:vAlign w:val="center"/>
                </w:tcPr>
                <w:p>
                  <w:pPr>
                    <w:pStyle w:val="37"/>
                    <w:ind w:left="0" w:left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本项目排水实行雨污分流，生活污水</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地面清洁废水</w:t>
                  </w:r>
                  <w:r>
                    <w:rPr>
                      <w:color w:val="000000" w:themeColor="text1"/>
                      <w:u w:val="none"/>
                      <w14:textFill>
                        <w14:solidFill>
                          <w14:schemeClr w14:val="tx1"/>
                        </w14:solidFill>
                      </w14:textFill>
                    </w:rPr>
                    <w:t>依托租赁公司现有的化粪池预处理后排入市政污水管网排入湘阴县第二污水处理厂处理。</w:t>
                  </w:r>
                </w:p>
                <w:p>
                  <w:pPr>
                    <w:pStyle w:val="37"/>
                    <w:ind w:left="0" w:leftChars="0"/>
                    <w:jc w:val="both"/>
                    <w:rPr>
                      <w:rFonts w:ascii="Times New Roman" w:hAnsi="Times New Roman" w:eastAsia="宋体" w:cs="Times New Roman"/>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项目采用低VOCs水性涂料进行涂布，涂布烘干工序产生的VOCs采用密闭负压收集后再经</w:t>
                  </w:r>
                  <w:r>
                    <w:rPr>
                      <w:color w:val="000000" w:themeColor="text1"/>
                      <w:u w:val="none"/>
                      <w14:textFill>
                        <w14:solidFill>
                          <w14:schemeClr w14:val="tx1"/>
                        </w14:solidFill>
                      </w14:textFill>
                    </w:rPr>
                    <w:t>过</w:t>
                  </w:r>
                  <w:r>
                    <w:rPr>
                      <w:rFonts w:hint="eastAsia"/>
                      <w:color w:val="000000" w:themeColor="text1"/>
                      <w:u w:val="none"/>
                      <w:lang w:val="en-US" w:eastAsia="zh-CN"/>
                      <w14:textFill>
                        <w14:solidFill>
                          <w14:schemeClr w14:val="tx1"/>
                        </w14:solidFill>
                      </w14:textFill>
                    </w:rPr>
                    <w:t>二级活性炭处理后</w:t>
                  </w:r>
                  <w:r>
                    <w:rPr>
                      <w:rFonts w:hint="eastAsia"/>
                      <w:color w:val="000000" w:themeColor="text1"/>
                      <w:u w:val="none"/>
                      <w14:textFill>
                        <w14:solidFill>
                          <w14:schemeClr w14:val="tx1"/>
                        </w14:solidFill>
                      </w14:textFill>
                    </w:rPr>
                    <w:t>通过一根15m高排气筒DA001</w:t>
                  </w:r>
                  <w:r>
                    <w:rPr>
                      <w:rFonts w:hint="eastAsia" w:ascii="Times New Roman" w:hAnsi="Times New Roman" w:eastAsia="宋体" w:cs="Times New Roman"/>
                      <w:color w:val="000000" w:themeColor="text1"/>
                      <w:u w:val="none"/>
                      <w14:textFill>
                        <w14:solidFill>
                          <w14:schemeClr w14:val="tx1"/>
                        </w14:solidFill>
                      </w14:textFill>
                    </w:rPr>
                    <w:t>排放。</w:t>
                  </w:r>
                </w:p>
                <w:p>
                  <w:pPr>
                    <w:pStyle w:val="37"/>
                    <w:ind w:left="0" w:leftChars="0"/>
                    <w:jc w:val="both"/>
                    <w:rPr>
                      <w:color w:val="000000" w:themeColor="text1"/>
                      <w:u w:val="none"/>
                      <w14:textFill>
                        <w14:solidFill>
                          <w14:schemeClr w14:val="tx1"/>
                        </w14:solidFill>
                      </w14:textFill>
                    </w:rPr>
                  </w:pPr>
                  <w:r>
                    <w:rPr>
                      <w:rFonts w:ascii="Times New Roman" w:hAnsi="Times New Roman" w:eastAsia="宋体" w:cs="Times New Roman"/>
                      <w:color w:val="000000" w:themeColor="text1"/>
                      <w:u w:val="none"/>
                      <w14:textFill>
                        <w14:solidFill>
                          <w14:schemeClr w14:val="tx1"/>
                        </w14:solidFill>
                      </w14:textFill>
                    </w:rPr>
                    <w:t>项目产生的生活垃圾交由环卫部门处置，</w:t>
                  </w:r>
                  <w:r>
                    <w:rPr>
                      <w:rFonts w:hint="eastAsia" w:ascii="Times New Roman" w:hAnsi="Times New Roman" w:eastAsia="宋体" w:cs="Times New Roman"/>
                      <w:color w:val="000000" w:themeColor="text1"/>
                      <w:u w:val="none"/>
                      <w14:textFill>
                        <w14:solidFill>
                          <w14:schemeClr w14:val="tx1"/>
                        </w14:solidFill>
                      </w14:textFill>
                    </w:rPr>
                    <w:t>废边角料及不合格产品</w:t>
                  </w:r>
                  <w:r>
                    <w:rPr>
                      <w:rFonts w:hint="eastAsia" w:ascii="Times New Roman" w:hAnsi="Times New Roman" w:eastAsia="宋体" w:cs="Times New Roman"/>
                      <w:color w:val="000000" w:themeColor="text1"/>
                      <w:u w:val="none"/>
                      <w:lang w:eastAsia="zh-CN"/>
                      <w14:textFill>
                        <w14:solidFill>
                          <w14:schemeClr w14:val="tx1"/>
                        </w14:solidFill>
                      </w14:textFill>
                    </w:rPr>
                    <w:t>、</w:t>
                  </w:r>
                  <w:r>
                    <w:rPr>
                      <w:rFonts w:hint="eastAsia" w:ascii="Times New Roman" w:hAnsi="Times New Roman" w:eastAsia="宋体" w:cs="Times New Roman"/>
                      <w:color w:val="000000" w:themeColor="text1"/>
                      <w:u w:val="none"/>
                      <w14:textFill>
                        <w14:solidFill>
                          <w14:schemeClr w14:val="tx1"/>
                        </w14:solidFill>
                      </w14:textFill>
                    </w:rPr>
                    <w:t>废包装材料暂存于一般固废暂存间，定期交由回收单位利用</w:t>
                  </w:r>
                  <w:r>
                    <w:rPr>
                      <w:rFonts w:hint="eastAsia" w:ascii="Times New Roman" w:hAnsi="Times New Roman" w:eastAsia="宋体" w:cs="Times New Roman"/>
                      <w:color w:val="000000" w:themeColor="text1"/>
                      <w:u w:val="none"/>
                      <w:lang w:eastAsia="zh-CN"/>
                      <w14:textFill>
                        <w14:solidFill>
                          <w14:schemeClr w14:val="tx1"/>
                        </w14:solidFill>
                      </w14:textFill>
                    </w:rPr>
                    <w:t>；废水性涂料桶、废水性涂料、废抹布手套、废活性炭、废机油、废机油桶、含油抹布及手套</w:t>
                  </w:r>
                  <w:r>
                    <w:rPr>
                      <w:rFonts w:ascii="Times New Roman" w:hAnsi="Times New Roman" w:eastAsia="宋体" w:cs="Times New Roman"/>
                      <w:color w:val="000000" w:themeColor="text1"/>
                      <w:u w:val="none"/>
                      <w14:textFill>
                        <w14:solidFill>
                          <w14:schemeClr w14:val="tx1"/>
                        </w14:solidFill>
                      </w14:textFill>
                    </w:rPr>
                    <w:t>收集后暂存于危险废物暂存间内，交有资质单位处理，项目建成后</w:t>
                  </w:r>
                  <w:r>
                    <w:rPr>
                      <w:color w:val="000000" w:themeColor="text1"/>
                      <w:u w:val="none"/>
                      <w14:textFill>
                        <w14:solidFill>
                          <w14:schemeClr w14:val="tx1"/>
                        </w14:solidFill>
                      </w14:textFill>
                    </w:rPr>
                    <w:t>会严格落实排污许可制度和污染物排放总量控制。</w:t>
                  </w:r>
                </w:p>
              </w:tc>
              <w:tc>
                <w:tcPr>
                  <w:tcW w:w="755"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shd w:val="clear" w:color="auto" w:fill="auto"/>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完善监测体系，监控环境质量变化状况</w:t>
                  </w:r>
                </w:p>
              </w:tc>
              <w:tc>
                <w:tcPr>
                  <w:tcW w:w="3883" w:type="dxa"/>
                  <w:vAlign w:val="center"/>
                </w:tcPr>
                <w:p>
                  <w:pPr>
                    <w:pStyle w:val="37"/>
                    <w:ind w:left="0" w:left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t>结合园区规划的功能分区、产业布局、重点企业分布、特征污染物的排放种类和状况、环境敏感目标分布等，建立健全环境空气、地表水、地下水、土壤等环境要素的监控体系。合理布局大气小微站，并涵盖相关特征污染物监测。</w:t>
                  </w:r>
                </w:p>
              </w:tc>
              <w:tc>
                <w:tcPr>
                  <w:tcW w:w="2439" w:type="dxa"/>
                  <w:vAlign w:val="center"/>
                </w:tcPr>
                <w:p>
                  <w:pPr>
                    <w:pStyle w:val="37"/>
                    <w:ind w:left="0" w:left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本项目严格按照环评和排污许可要求开展自行监测</w:t>
                  </w:r>
                  <w:r>
                    <w:rPr>
                      <w:rFonts w:hint="eastAsia"/>
                      <w:color w:val="000000" w:themeColor="text1"/>
                      <w:u w:val="none"/>
                      <w14:textFill>
                        <w14:solidFill>
                          <w14:schemeClr w14:val="tx1"/>
                        </w14:solidFill>
                      </w14:textFill>
                    </w:rPr>
                    <w:t>。</w:t>
                  </w:r>
                </w:p>
              </w:tc>
              <w:tc>
                <w:tcPr>
                  <w:tcW w:w="755"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shd w:val="clear" w:color="auto" w:fill="auto"/>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强化风险管控，严防园区环境事故</w:t>
                  </w:r>
                </w:p>
              </w:tc>
              <w:tc>
                <w:tcPr>
                  <w:tcW w:w="3883" w:type="dxa"/>
                  <w:vAlign w:val="center"/>
                </w:tcPr>
                <w:p>
                  <w:pPr>
                    <w:pStyle w:val="37"/>
                    <w:ind w:left="0" w:left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t>建立健全园区环境风险管理长效机制，开发区管理机构应建立环境监督管理机构；落实环境风险防控措施，及时完成园区环境应急预案的修订和备案工作及推动重点污染企业环境应急预案编制和备案工作，加强应急救援队伍、装备和设施建设，储备必要的应急物资，有计划地组织应急培训和演练，全面提升园区风险防控和事故应急处置能力。</w:t>
                  </w:r>
                </w:p>
              </w:tc>
              <w:tc>
                <w:tcPr>
                  <w:tcW w:w="2439" w:type="dxa"/>
                  <w:vAlign w:val="center"/>
                </w:tcPr>
                <w:p>
                  <w:pPr>
                    <w:pStyle w:val="37"/>
                    <w:ind w:left="0" w:left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项目投产后，企业将对环境风险防控措施进行完善，并按照《湖南省突发环境事件应急预案管理办法（修订版）》（湘环发〔2024〕49号）的要求开展相关工作。</w:t>
                  </w:r>
                </w:p>
              </w:tc>
              <w:tc>
                <w:tcPr>
                  <w:tcW w:w="755"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872" w:type="dxa"/>
                  <w:shd w:val="clear" w:color="auto" w:fill="auto"/>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做好周边控规，落实拆迁安置计划</w:t>
                  </w:r>
                </w:p>
              </w:tc>
              <w:tc>
                <w:tcPr>
                  <w:tcW w:w="3883" w:type="dxa"/>
                  <w:vAlign w:val="center"/>
                </w:tcPr>
                <w:p>
                  <w:pPr>
                    <w:pStyle w:val="37"/>
                    <w:ind w:left="0" w:left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t>严格做好控规，杜绝在规划的工业用地上新增环境敏感目标，确保园区开发过程中的居民拆迁安置到位，防止发生居民再次安置和次生环境问题。对于具体项目环评设置防护距离和拆迁要求的，要确保予以落实。</w:t>
                  </w:r>
                </w:p>
              </w:tc>
              <w:tc>
                <w:tcPr>
                  <w:tcW w:w="2439" w:type="dxa"/>
                  <w:vAlign w:val="center"/>
                </w:tcPr>
                <w:p>
                  <w:pPr>
                    <w:pStyle w:val="37"/>
                    <w:ind w:left="0" w:left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t>本项目不涉及居民拆迁，符合要求。</w:t>
                  </w:r>
                </w:p>
              </w:tc>
              <w:tc>
                <w:tcPr>
                  <w:tcW w:w="755"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872" w:type="dxa"/>
                  <w:shd w:val="clear" w:color="auto" w:fill="auto"/>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做好园区建设期生态保护和水土保持工作</w:t>
                  </w:r>
                </w:p>
              </w:tc>
              <w:tc>
                <w:tcPr>
                  <w:tcW w:w="3883" w:type="dxa"/>
                  <w:vAlign w:val="center"/>
                </w:tcPr>
                <w:p>
                  <w:pPr>
                    <w:pStyle w:val="37"/>
                    <w:ind w:left="0" w:left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t>施工期对土石方开挖、堆存及回填要实施围挡、护坡等措施，裸露地及时恢复植被，防治水土流失，杜绝后续施工建设对地表水体的污染。</w:t>
                  </w:r>
                </w:p>
              </w:tc>
              <w:tc>
                <w:tcPr>
                  <w:tcW w:w="2439" w:type="dxa"/>
                  <w:vAlign w:val="center"/>
                </w:tcPr>
                <w:p>
                  <w:pPr>
                    <w:pStyle w:val="37"/>
                    <w:ind w:left="0" w:leftChars="0"/>
                    <w:jc w:val="left"/>
                    <w:rPr>
                      <w:color w:val="000000" w:themeColor="text1"/>
                      <w:u w:val="none"/>
                      <w14:textFill>
                        <w14:solidFill>
                          <w14:schemeClr w14:val="tx1"/>
                        </w14:solidFill>
                      </w14:textFill>
                    </w:rPr>
                  </w:pPr>
                  <w:r>
                    <w:rPr>
                      <w:color w:val="000000" w:themeColor="text1"/>
                      <w:u w:val="none"/>
                      <w14:textFill>
                        <w14:solidFill>
                          <w14:schemeClr w14:val="tx1"/>
                        </w14:solidFill>
                      </w14:textFill>
                    </w:rPr>
                    <w:t>本项目租赁现有厂房进行生产，施工期仅进行设备安装，不涉及土石方开挖、堆存及回填。</w:t>
                  </w:r>
                </w:p>
              </w:tc>
              <w:tc>
                <w:tcPr>
                  <w:tcW w:w="755"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符合</w:t>
                  </w:r>
                </w:p>
              </w:tc>
            </w:tr>
          </w:tbl>
          <w:p>
            <w:pPr>
              <w:ind w:firstLine="48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综上所述，项目行业类别、用地性质、污染防治措施等均符合</w:t>
            </w:r>
            <w:r>
              <w:rPr>
                <w:color w:val="000000" w:themeColor="text1"/>
                <w:u w:val="none"/>
                <w14:textFill>
                  <w14:solidFill>
                    <w14:schemeClr w14:val="tx1"/>
                  </w14:solidFill>
                </w14:textFill>
              </w:rPr>
              <w:t>《</w:t>
            </w:r>
            <w:r>
              <w:rPr>
                <w:rFonts w:hint="eastAsia"/>
                <w:color w:val="000000" w:themeColor="text1"/>
                <w:u w:val="none"/>
                <w14:textFill>
                  <w14:solidFill>
                    <w14:schemeClr w14:val="tx1"/>
                  </w14:solidFill>
                </w14:textFill>
              </w:rPr>
              <w:t>湖南省生态环境厅</w:t>
            </w:r>
            <w:r>
              <w:rPr>
                <w:color w:val="000000" w:themeColor="text1"/>
                <w:u w:val="none"/>
                <w14:textFill>
                  <w14:solidFill>
                    <w14:schemeClr w14:val="tx1"/>
                  </w14:solidFill>
                </w14:textFill>
              </w:rPr>
              <w:t>关于&lt;</w:t>
            </w:r>
            <w:r>
              <w:rPr>
                <w:rFonts w:hint="eastAsia"/>
                <w:color w:val="000000" w:themeColor="text1"/>
                <w:u w:val="none"/>
                <w14:textFill>
                  <w14:solidFill>
                    <w14:schemeClr w14:val="tx1"/>
                  </w14:solidFill>
                </w14:textFill>
              </w:rPr>
              <w:t>湖南湘阴高新技术产业开发区调区扩区规划环境影响报告书</w:t>
            </w:r>
            <w:r>
              <w:rPr>
                <w:color w:val="000000" w:themeColor="text1"/>
                <w:u w:val="none"/>
                <w14:textFill>
                  <w14:solidFill>
                    <w14:schemeClr w14:val="tx1"/>
                  </w14:solidFill>
                </w14:textFill>
              </w:rPr>
              <w:t>&gt;审查意见的函》</w:t>
            </w:r>
            <w:r>
              <w:rPr>
                <w:rFonts w:hint="eastAsia"/>
                <w:color w:val="000000" w:themeColor="text1"/>
                <w:u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u w:val="none"/>
                <w14:textFill>
                  <w14:solidFill>
                    <w14:schemeClr w14:val="tx1"/>
                  </w14:solidFill>
                </w14:textFill>
              </w:rPr>
            </w:pPr>
            <w:r>
              <w:rPr>
                <w:rFonts w:hint="eastAsia"/>
                <w:u w:val="none"/>
              </w:rPr>
              <w:br w:type="page"/>
            </w:r>
            <w:r>
              <w:rPr>
                <w:rFonts w:hint="eastAsia"/>
                <w:u w:val="none"/>
              </w:rPr>
              <w:br w:type="page"/>
            </w:r>
            <w:r>
              <w:rPr>
                <w:rFonts w:hint="eastAsia"/>
                <w:u w:val="none"/>
              </w:rPr>
              <w:t>其他符合性分析</w:t>
            </w:r>
          </w:p>
        </w:tc>
        <w:tc>
          <w:tcPr>
            <w:tcW w:w="8086" w:type="dxa"/>
            <w:gridSpan w:val="3"/>
            <w:vAlign w:val="center"/>
          </w:tcPr>
          <w:p>
            <w:pPr>
              <w:pStyle w:val="36"/>
              <w:ind w:left="0" w:leftChars="0" w:firstLine="480" w:firstLineChars="200"/>
              <w:jc w:val="both"/>
              <w:rPr>
                <w:color w:val="000000"/>
                <w:szCs w:val="24"/>
                <w:u w:val="none"/>
              </w:rPr>
            </w:pPr>
            <w:r>
              <w:rPr>
                <w:rFonts w:hint="eastAsia"/>
                <w:color w:val="000000"/>
                <w:szCs w:val="24"/>
                <w:u w:val="none"/>
              </w:rPr>
              <w:t>1、与</w:t>
            </w:r>
            <w:r>
              <w:rPr>
                <w:color w:val="000000"/>
                <w:szCs w:val="24"/>
                <w:u w:val="none"/>
              </w:rPr>
              <w:t>《湖南省生态环境分区管控总体管控要求暨省级以上产业园区生态环境准入清单》（湘环函〔2024〕26号）</w:t>
            </w:r>
            <w:r>
              <w:rPr>
                <w:rFonts w:hint="eastAsia"/>
                <w:color w:val="000000"/>
                <w:szCs w:val="24"/>
                <w:u w:val="none"/>
              </w:rPr>
              <w:t>符合性分析。</w:t>
            </w:r>
          </w:p>
          <w:p>
            <w:pPr>
              <w:pStyle w:val="36"/>
              <w:spacing w:line="240" w:lineRule="auto"/>
              <w:ind w:left="480"/>
              <w:jc w:val="both"/>
              <w:rPr>
                <w:color w:val="000000"/>
                <w:szCs w:val="24"/>
                <w:u w:val="none"/>
              </w:rPr>
            </w:pPr>
            <w:r>
              <w:rPr>
                <w:color w:val="000000"/>
                <w:szCs w:val="24"/>
                <w:u w:val="none"/>
              </w:rPr>
              <w:t>表1-</w:t>
            </w:r>
            <w:r>
              <w:rPr>
                <w:rFonts w:hint="eastAsia"/>
                <w:color w:val="000000"/>
                <w:szCs w:val="24"/>
                <w:u w:val="none"/>
              </w:rPr>
              <w:t>3</w:t>
            </w:r>
            <w:r>
              <w:rPr>
                <w:color w:val="000000"/>
                <w:szCs w:val="24"/>
                <w:u w:val="none"/>
              </w:rPr>
              <w:t>与《准入清单》（湘环函〔2024〕26号）的相符性分析表（节选）</w:t>
            </w:r>
          </w:p>
          <w:tbl>
            <w:tblPr>
              <w:tblStyle w:val="24"/>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384"/>
              <w:gridCol w:w="466"/>
              <w:gridCol w:w="3867"/>
              <w:gridCol w:w="2385"/>
              <w:gridCol w:w="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Align w:val="center"/>
                </w:tcPr>
                <w:p>
                  <w:pPr>
                    <w:pStyle w:val="37"/>
                    <w:autoSpaceDE w:val="0"/>
                    <w:autoSpaceDN w:val="0"/>
                    <w:adjustRightInd w:val="0"/>
                    <w:ind w:left="0" w:leftChars="0"/>
                    <w:rPr>
                      <w:color w:val="000000"/>
                      <w:u w:val="none"/>
                    </w:rPr>
                  </w:pPr>
                  <w:r>
                    <w:rPr>
                      <w:color w:val="000000"/>
                      <w:u w:val="none"/>
                    </w:rPr>
                    <w:t>环境管控单元编码</w:t>
                  </w:r>
                </w:p>
              </w:tc>
              <w:tc>
                <w:tcPr>
                  <w:tcW w:w="384" w:type="dxa"/>
                  <w:vAlign w:val="center"/>
                </w:tcPr>
                <w:p>
                  <w:pPr>
                    <w:pStyle w:val="37"/>
                    <w:autoSpaceDE w:val="0"/>
                    <w:autoSpaceDN w:val="0"/>
                    <w:adjustRightInd w:val="0"/>
                    <w:ind w:left="0" w:leftChars="0"/>
                    <w:rPr>
                      <w:color w:val="000000"/>
                      <w:u w:val="none"/>
                    </w:rPr>
                  </w:pPr>
                  <w:r>
                    <w:rPr>
                      <w:color w:val="000000"/>
                      <w:u w:val="none"/>
                    </w:rPr>
                    <w:t>单元名称</w:t>
                  </w:r>
                </w:p>
              </w:tc>
              <w:tc>
                <w:tcPr>
                  <w:tcW w:w="466" w:type="dxa"/>
                  <w:vAlign w:val="center"/>
                </w:tcPr>
                <w:p>
                  <w:pPr>
                    <w:pStyle w:val="37"/>
                    <w:autoSpaceDE w:val="0"/>
                    <w:autoSpaceDN w:val="0"/>
                    <w:adjustRightInd w:val="0"/>
                    <w:ind w:left="0" w:leftChars="0"/>
                    <w:rPr>
                      <w:color w:val="000000"/>
                      <w:u w:val="none"/>
                    </w:rPr>
                  </w:pPr>
                  <w:r>
                    <w:rPr>
                      <w:color w:val="000000"/>
                      <w:u w:val="none"/>
                    </w:rPr>
                    <w:t>管控维度</w:t>
                  </w:r>
                </w:p>
              </w:tc>
              <w:tc>
                <w:tcPr>
                  <w:tcW w:w="3867" w:type="dxa"/>
                  <w:vAlign w:val="center"/>
                </w:tcPr>
                <w:p>
                  <w:pPr>
                    <w:pStyle w:val="37"/>
                    <w:autoSpaceDE w:val="0"/>
                    <w:autoSpaceDN w:val="0"/>
                    <w:adjustRightInd w:val="0"/>
                    <w:ind w:left="0" w:leftChars="0"/>
                    <w:rPr>
                      <w:color w:val="000000"/>
                      <w:u w:val="none"/>
                    </w:rPr>
                  </w:pPr>
                  <w:r>
                    <w:rPr>
                      <w:color w:val="000000"/>
                      <w:u w:val="none"/>
                    </w:rPr>
                    <w:t>管控要求</w:t>
                  </w:r>
                </w:p>
              </w:tc>
              <w:tc>
                <w:tcPr>
                  <w:tcW w:w="2385" w:type="dxa"/>
                  <w:vAlign w:val="center"/>
                </w:tcPr>
                <w:p>
                  <w:pPr>
                    <w:pStyle w:val="37"/>
                    <w:autoSpaceDE w:val="0"/>
                    <w:autoSpaceDN w:val="0"/>
                    <w:adjustRightInd w:val="0"/>
                    <w:ind w:left="0" w:leftChars="0"/>
                    <w:rPr>
                      <w:color w:val="000000"/>
                      <w:u w:val="none"/>
                    </w:rPr>
                  </w:pPr>
                  <w:r>
                    <w:rPr>
                      <w:color w:val="000000"/>
                      <w:u w:val="none"/>
                    </w:rPr>
                    <w:t>项目情况</w:t>
                  </w:r>
                </w:p>
              </w:tc>
              <w:tc>
                <w:tcPr>
                  <w:tcW w:w="378" w:type="dxa"/>
                  <w:vAlign w:val="center"/>
                </w:tcPr>
                <w:p>
                  <w:pPr>
                    <w:pStyle w:val="37"/>
                    <w:autoSpaceDE w:val="0"/>
                    <w:autoSpaceDN w:val="0"/>
                    <w:adjustRightInd w:val="0"/>
                    <w:ind w:left="0" w:leftChars="0"/>
                    <w:rPr>
                      <w:color w:val="000000"/>
                      <w:u w:val="none"/>
                    </w:rPr>
                  </w:pPr>
                  <w:r>
                    <w:rPr>
                      <w:color w:val="000000"/>
                      <w:u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restart"/>
                  <w:vAlign w:val="center"/>
                </w:tcPr>
                <w:p>
                  <w:pPr>
                    <w:pStyle w:val="37"/>
                    <w:autoSpaceDE w:val="0"/>
                    <w:autoSpaceDN w:val="0"/>
                    <w:adjustRightInd w:val="0"/>
                    <w:ind w:left="0" w:leftChars="0"/>
                    <w:rPr>
                      <w:color w:val="000000"/>
                      <w:u w:val="none"/>
                    </w:rPr>
                  </w:pPr>
                  <w:r>
                    <w:rPr>
                      <w:color w:val="000000"/>
                      <w:u w:val="none"/>
                    </w:rPr>
                    <w:t>ZH4306</w:t>
                  </w:r>
                </w:p>
                <w:p>
                  <w:pPr>
                    <w:pStyle w:val="37"/>
                    <w:autoSpaceDE w:val="0"/>
                    <w:autoSpaceDN w:val="0"/>
                    <w:adjustRightInd w:val="0"/>
                    <w:ind w:left="0" w:leftChars="0"/>
                    <w:rPr>
                      <w:color w:val="000000"/>
                      <w:u w:val="none"/>
                    </w:rPr>
                  </w:pPr>
                  <w:r>
                    <w:rPr>
                      <w:color w:val="000000"/>
                      <w:u w:val="none"/>
                    </w:rPr>
                    <w:t>2420002</w:t>
                  </w:r>
                </w:p>
              </w:tc>
              <w:tc>
                <w:tcPr>
                  <w:tcW w:w="384" w:type="dxa"/>
                  <w:vMerge w:val="restart"/>
                  <w:vAlign w:val="center"/>
                </w:tcPr>
                <w:p>
                  <w:pPr>
                    <w:pStyle w:val="37"/>
                    <w:autoSpaceDE w:val="0"/>
                    <w:autoSpaceDN w:val="0"/>
                    <w:adjustRightInd w:val="0"/>
                    <w:ind w:left="0" w:leftChars="0"/>
                    <w:rPr>
                      <w:color w:val="000000"/>
                      <w:u w:val="none"/>
                    </w:rPr>
                  </w:pPr>
                  <w:r>
                    <w:rPr>
                      <w:color w:val="000000"/>
                      <w:u w:val="none"/>
                    </w:rPr>
                    <w:t>湘阴高</w:t>
                  </w:r>
                </w:p>
                <w:p>
                  <w:pPr>
                    <w:pStyle w:val="37"/>
                    <w:autoSpaceDE w:val="0"/>
                    <w:autoSpaceDN w:val="0"/>
                    <w:adjustRightInd w:val="0"/>
                    <w:ind w:left="0" w:leftChars="0"/>
                    <w:rPr>
                      <w:color w:val="000000"/>
                      <w:u w:val="none"/>
                    </w:rPr>
                  </w:pPr>
                  <w:r>
                    <w:rPr>
                      <w:color w:val="000000"/>
                      <w:u w:val="none"/>
                    </w:rPr>
                    <w:t>新技术</w:t>
                  </w:r>
                </w:p>
                <w:p>
                  <w:pPr>
                    <w:pStyle w:val="37"/>
                    <w:autoSpaceDE w:val="0"/>
                    <w:autoSpaceDN w:val="0"/>
                    <w:adjustRightInd w:val="0"/>
                    <w:ind w:left="0" w:leftChars="0"/>
                    <w:rPr>
                      <w:color w:val="000000"/>
                      <w:u w:val="none"/>
                    </w:rPr>
                  </w:pPr>
                  <w:r>
                    <w:rPr>
                      <w:color w:val="000000"/>
                      <w:u w:val="none"/>
                    </w:rPr>
                    <w:t>产业开</w:t>
                  </w:r>
                </w:p>
                <w:p>
                  <w:pPr>
                    <w:pStyle w:val="37"/>
                    <w:autoSpaceDE w:val="0"/>
                    <w:autoSpaceDN w:val="0"/>
                    <w:adjustRightInd w:val="0"/>
                    <w:ind w:left="0" w:leftChars="0"/>
                    <w:rPr>
                      <w:color w:val="000000"/>
                      <w:u w:val="none"/>
                    </w:rPr>
                  </w:pPr>
                  <w:r>
                    <w:rPr>
                      <w:color w:val="000000"/>
                      <w:u w:val="none"/>
                    </w:rPr>
                    <w:t>发区</w:t>
                  </w:r>
                </w:p>
              </w:tc>
              <w:tc>
                <w:tcPr>
                  <w:tcW w:w="466" w:type="dxa"/>
                  <w:vAlign w:val="center"/>
                </w:tcPr>
                <w:p>
                  <w:pPr>
                    <w:pStyle w:val="37"/>
                    <w:autoSpaceDE w:val="0"/>
                    <w:autoSpaceDN w:val="0"/>
                    <w:adjustRightInd w:val="0"/>
                    <w:ind w:left="0" w:leftChars="0"/>
                    <w:rPr>
                      <w:color w:val="000000"/>
                      <w:u w:val="none"/>
                    </w:rPr>
                  </w:pPr>
                  <w:r>
                    <w:rPr>
                      <w:color w:val="000000"/>
                      <w:u w:val="none"/>
                    </w:rPr>
                    <w:t>主导产业</w:t>
                  </w:r>
                </w:p>
              </w:tc>
              <w:tc>
                <w:tcPr>
                  <w:tcW w:w="3867" w:type="dxa"/>
                  <w:vAlign w:val="center"/>
                </w:tcPr>
                <w:p>
                  <w:pPr>
                    <w:pStyle w:val="37"/>
                    <w:ind w:left="0" w:leftChars="0"/>
                    <w:jc w:val="both"/>
                    <w:rPr>
                      <w:color w:val="000000"/>
                      <w:u w:val="none"/>
                    </w:rPr>
                  </w:pPr>
                  <w:r>
                    <w:rPr>
                      <w:color w:val="000000"/>
                      <w:u w:val="none"/>
                    </w:rPr>
                    <w:t>主导产业，装备制造；特色产业，装配建筑建材；区块一、区块二(洋沙湖片区)重点发展装备制造、食品加工、新材料产业(主要包含电子专用材料制造、电池制造(不含铅酸蓄电池)等)、废弃资源综合利用(包括利用金属废料和碎屑加工处理和废油回收)</w:t>
                  </w:r>
                  <w:r>
                    <w:rPr>
                      <w:rFonts w:hint="eastAsia"/>
                      <w:color w:val="000000"/>
                      <w:u w:val="none"/>
                      <w:lang w:eastAsia="zh-CN"/>
                    </w:rPr>
                    <w:t>；</w:t>
                  </w:r>
                  <w:r>
                    <w:rPr>
                      <w:color w:val="000000"/>
                      <w:u w:val="none"/>
                    </w:rPr>
                    <w:t>区块三、区块四、区块五(临港片区)重点发展装配式建筑建材产业、配套发展物流产业区块六(金龙片区)重点发展装备制造产业。</w:t>
                  </w:r>
                </w:p>
              </w:tc>
              <w:tc>
                <w:tcPr>
                  <w:tcW w:w="2385" w:type="dxa"/>
                  <w:vAlign w:val="center"/>
                </w:tcPr>
                <w:p>
                  <w:pPr>
                    <w:pStyle w:val="37"/>
                    <w:autoSpaceDE w:val="0"/>
                    <w:autoSpaceDN w:val="0"/>
                    <w:adjustRightInd w:val="0"/>
                    <w:ind w:left="0" w:leftChars="0"/>
                    <w:jc w:val="both"/>
                    <w:rPr>
                      <w:color w:val="000000"/>
                      <w:u w:val="none"/>
                    </w:rPr>
                  </w:pPr>
                  <w:r>
                    <w:rPr>
                      <w:color w:val="000000"/>
                      <w:u w:val="none"/>
                    </w:rPr>
                    <w:t>本项目行业类别属于</w:t>
                  </w:r>
                  <w:r>
                    <w:rPr>
                      <w:rFonts w:hint="eastAsia"/>
                      <w:color w:val="000000"/>
                      <w:u w:val="none"/>
                      <w:lang w:eastAsia="zh-CN"/>
                    </w:rPr>
                    <w:t>C2921塑料薄膜制造</w:t>
                  </w:r>
                  <w:r>
                    <w:rPr>
                      <w:color w:val="000000"/>
                      <w:u w:val="none"/>
                    </w:rPr>
                    <w:t>，经查在《产业结构调整指导目录》（2024版）中，不属于</w:t>
                  </w:r>
                  <w:r>
                    <w:rPr>
                      <w:rFonts w:hint="eastAsia"/>
                      <w:color w:val="000000"/>
                      <w:u w:val="none"/>
                      <w:lang w:val="en-US" w:eastAsia="zh-CN"/>
                    </w:rPr>
                    <w:t>鼓励类、</w:t>
                  </w:r>
                  <w:r>
                    <w:rPr>
                      <w:color w:val="000000"/>
                      <w:u w:val="none"/>
                    </w:rPr>
                    <w:t>限制类、淘汰类项目，属于</w:t>
                  </w:r>
                  <w:r>
                    <w:rPr>
                      <w:rFonts w:hint="eastAsia"/>
                      <w:color w:val="000000"/>
                      <w:u w:val="none"/>
                      <w:lang w:val="en-US" w:eastAsia="zh-CN"/>
                    </w:rPr>
                    <w:t>允许类</w:t>
                  </w:r>
                  <w:r>
                    <w:rPr>
                      <w:color w:val="000000"/>
                      <w:u w:val="none"/>
                    </w:rPr>
                    <w:t>项目，因此与分区定位不冲突。</w:t>
                  </w:r>
                </w:p>
              </w:tc>
              <w:tc>
                <w:tcPr>
                  <w:tcW w:w="378" w:type="dxa"/>
                  <w:vAlign w:val="center"/>
                </w:tcPr>
                <w:p>
                  <w:pPr>
                    <w:pStyle w:val="37"/>
                    <w:autoSpaceDE w:val="0"/>
                    <w:autoSpaceDN w:val="0"/>
                    <w:adjustRightIn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519" w:type="dxa"/>
                  <w:vMerge w:val="continue"/>
                  <w:vAlign w:val="center"/>
                </w:tcPr>
                <w:p>
                  <w:pPr>
                    <w:pStyle w:val="37"/>
                    <w:autoSpaceDE w:val="0"/>
                    <w:autoSpaceDN w:val="0"/>
                    <w:adjustRightInd w:val="0"/>
                    <w:ind w:left="0" w:leftChars="0"/>
                    <w:rPr>
                      <w:color w:val="000000"/>
                      <w:u w:val="none"/>
                    </w:rPr>
                  </w:pPr>
                </w:p>
              </w:tc>
              <w:tc>
                <w:tcPr>
                  <w:tcW w:w="384" w:type="dxa"/>
                  <w:vMerge w:val="continue"/>
                  <w:vAlign w:val="center"/>
                </w:tcPr>
                <w:p>
                  <w:pPr>
                    <w:pStyle w:val="37"/>
                    <w:autoSpaceDE w:val="0"/>
                    <w:autoSpaceDN w:val="0"/>
                    <w:adjustRightInd w:val="0"/>
                    <w:ind w:left="0" w:leftChars="0"/>
                    <w:rPr>
                      <w:color w:val="000000"/>
                      <w:u w:val="none"/>
                    </w:rPr>
                  </w:pPr>
                </w:p>
              </w:tc>
              <w:tc>
                <w:tcPr>
                  <w:tcW w:w="466" w:type="dxa"/>
                  <w:vAlign w:val="center"/>
                </w:tcPr>
                <w:p>
                  <w:pPr>
                    <w:pStyle w:val="37"/>
                    <w:autoSpaceDE w:val="0"/>
                    <w:autoSpaceDN w:val="0"/>
                    <w:adjustRightInd w:val="0"/>
                    <w:ind w:left="0" w:leftChars="0"/>
                    <w:rPr>
                      <w:color w:val="000000"/>
                      <w:u w:val="none"/>
                    </w:rPr>
                  </w:pPr>
                  <w:r>
                    <w:rPr>
                      <w:color w:val="000000"/>
                      <w:u w:val="none"/>
                    </w:rPr>
                    <w:t>空间布局约束</w:t>
                  </w:r>
                </w:p>
              </w:tc>
              <w:tc>
                <w:tcPr>
                  <w:tcW w:w="3867" w:type="dxa"/>
                  <w:vAlign w:val="center"/>
                </w:tcPr>
                <w:p>
                  <w:pPr>
                    <w:pStyle w:val="37"/>
                    <w:autoSpaceDE w:val="0"/>
                    <w:autoSpaceDN w:val="0"/>
                    <w:adjustRightInd w:val="0"/>
                    <w:ind w:left="0" w:leftChars="0"/>
                    <w:jc w:val="both"/>
                    <w:rPr>
                      <w:color w:val="000000"/>
                      <w:u w:val="none"/>
                    </w:rPr>
                  </w:pPr>
                  <w:r>
                    <w:rPr>
                      <w:color w:val="000000"/>
                      <w:u w:val="none"/>
                    </w:rPr>
                    <w:t>(1.1)新引进项目及高新区外企业搬迁入园过程中应着重从降低环境影响的角度出发合理选址布局。对于高新区外已有企业或项目的搬迁入园应确保实现其清洁生产水平的提升与污染物排放总量的降低。(1.2)区块一、区块二(洋沙湖片区)将涉及气型污染物无组织排放的企业、车间尽量远离湿地公园布置；禁止引进到洋沙湖。东湖国家湿地公园产生不利影响的企业。</w:t>
                  </w:r>
                </w:p>
              </w:tc>
              <w:tc>
                <w:tcPr>
                  <w:tcW w:w="2385" w:type="dxa"/>
                  <w:vAlign w:val="center"/>
                </w:tcPr>
                <w:p>
                  <w:pPr>
                    <w:pStyle w:val="14"/>
                    <w:spacing w:line="240" w:lineRule="auto"/>
                    <w:ind w:firstLine="0" w:firstLineChars="0"/>
                    <w:jc w:val="both"/>
                    <w:rPr>
                      <w:color w:val="000000"/>
                      <w:sz w:val="21"/>
                      <w:szCs w:val="21"/>
                      <w:u w:val="none"/>
                    </w:rPr>
                  </w:pPr>
                  <w:r>
                    <w:rPr>
                      <w:color w:val="000000"/>
                      <w:sz w:val="21"/>
                      <w:szCs w:val="21"/>
                      <w:u w:val="none"/>
                    </w:rPr>
                    <w:t>本项目位于区块二（洋沙湖片区），属于</w:t>
                  </w:r>
                  <w:r>
                    <w:rPr>
                      <w:rFonts w:hint="eastAsia"/>
                      <w:color w:val="000000"/>
                      <w:sz w:val="21"/>
                      <w:szCs w:val="21"/>
                      <w:u w:val="none"/>
                      <w:lang w:eastAsia="zh-CN"/>
                    </w:rPr>
                    <w:t>C2921塑料薄膜制造</w:t>
                  </w:r>
                  <w:r>
                    <w:rPr>
                      <w:rFonts w:hint="eastAsia"/>
                      <w:color w:val="000000"/>
                      <w:sz w:val="21"/>
                      <w:szCs w:val="21"/>
                      <w:u w:val="none"/>
                    </w:rPr>
                    <w:t>，</w:t>
                  </w:r>
                  <w:r>
                    <w:rPr>
                      <w:color w:val="000000"/>
                      <w:sz w:val="21"/>
                      <w:szCs w:val="21"/>
                      <w:u w:val="none"/>
                    </w:rPr>
                    <w:t>符合园区产业规划，本项目车间远离洋沙湖-东湖国家湿地公园。因此符合园区空间布局约束要求。</w:t>
                  </w:r>
                </w:p>
              </w:tc>
              <w:tc>
                <w:tcPr>
                  <w:tcW w:w="378" w:type="dxa"/>
                  <w:vAlign w:val="center"/>
                </w:tcPr>
                <w:p>
                  <w:pPr>
                    <w:spacing w:line="240" w:lineRule="auto"/>
                    <w:ind w:firstLine="0" w:firstLineChars="0"/>
                    <w:rPr>
                      <w:sz w:val="21"/>
                      <w:szCs w:val="21"/>
                      <w:u w:val="none"/>
                    </w:rPr>
                  </w:pPr>
                  <w:r>
                    <w:rPr>
                      <w:rFonts w:hint="eastAsia"/>
                      <w:color w:val="000000"/>
                      <w:sz w:val="21"/>
                      <w:szCs w:val="21"/>
                      <w:u w:val="none"/>
                    </w:rPr>
                    <w:t>符</w:t>
                  </w:r>
                  <w:r>
                    <w:rPr>
                      <w:color w:val="000000"/>
                      <w:sz w:val="21"/>
                      <w:szCs w:val="21"/>
                      <w:u w:val="none"/>
                    </w:rPr>
                    <w:t>合</w:t>
                  </w:r>
                </w:p>
                <w:p>
                  <w:pPr>
                    <w:pStyle w:val="37"/>
                    <w:autoSpaceDE w:val="0"/>
                    <w:autoSpaceDN w:val="0"/>
                    <w:adjustRightInd w:val="0"/>
                    <w:ind w:left="0" w:leftChars="0"/>
                    <w:rPr>
                      <w:color w:val="00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continue"/>
                  <w:vAlign w:val="center"/>
                </w:tcPr>
                <w:p>
                  <w:pPr>
                    <w:pStyle w:val="37"/>
                    <w:autoSpaceDE w:val="0"/>
                    <w:autoSpaceDN w:val="0"/>
                    <w:adjustRightInd w:val="0"/>
                    <w:ind w:left="0" w:leftChars="0"/>
                    <w:rPr>
                      <w:color w:val="000000"/>
                      <w:u w:val="none"/>
                    </w:rPr>
                  </w:pPr>
                </w:p>
              </w:tc>
              <w:tc>
                <w:tcPr>
                  <w:tcW w:w="384" w:type="dxa"/>
                  <w:vMerge w:val="continue"/>
                  <w:vAlign w:val="center"/>
                </w:tcPr>
                <w:p>
                  <w:pPr>
                    <w:pStyle w:val="37"/>
                    <w:autoSpaceDE w:val="0"/>
                    <w:autoSpaceDN w:val="0"/>
                    <w:adjustRightInd w:val="0"/>
                    <w:ind w:left="0" w:leftChars="0"/>
                    <w:rPr>
                      <w:color w:val="000000"/>
                      <w:u w:val="none"/>
                    </w:rPr>
                  </w:pPr>
                </w:p>
              </w:tc>
              <w:tc>
                <w:tcPr>
                  <w:tcW w:w="466" w:type="dxa"/>
                  <w:vMerge w:val="restart"/>
                  <w:vAlign w:val="center"/>
                </w:tcPr>
                <w:p>
                  <w:pPr>
                    <w:pStyle w:val="37"/>
                    <w:autoSpaceDE w:val="0"/>
                    <w:autoSpaceDN w:val="0"/>
                    <w:adjustRightInd w:val="0"/>
                    <w:ind w:left="0" w:leftChars="0"/>
                    <w:rPr>
                      <w:color w:val="000000"/>
                      <w:u w:val="none"/>
                    </w:rPr>
                  </w:pPr>
                  <w:r>
                    <w:rPr>
                      <w:color w:val="000000"/>
                      <w:u w:val="none"/>
                    </w:rPr>
                    <w:t>污染物排放管控</w:t>
                  </w:r>
                </w:p>
              </w:tc>
              <w:tc>
                <w:tcPr>
                  <w:tcW w:w="3867" w:type="dxa"/>
                  <w:vAlign w:val="center"/>
                </w:tcPr>
                <w:p>
                  <w:pPr>
                    <w:pStyle w:val="37"/>
                    <w:autoSpaceDE w:val="0"/>
                    <w:autoSpaceDN w:val="0"/>
                    <w:adjustRightInd w:val="0"/>
                    <w:ind w:left="0" w:leftChars="0"/>
                    <w:jc w:val="both"/>
                    <w:rPr>
                      <w:color w:val="000000"/>
                      <w:u w:val="none"/>
                    </w:rPr>
                  </w:pPr>
                  <w:r>
                    <w:rPr>
                      <w:color w:val="000000"/>
                      <w:u w:val="none"/>
                    </w:rPr>
                    <w:t>（2.1）废水</w:t>
                  </w:r>
                </w:p>
                <w:p>
                  <w:pPr>
                    <w:pStyle w:val="37"/>
                    <w:autoSpaceDE w:val="0"/>
                    <w:autoSpaceDN w:val="0"/>
                    <w:adjustRightInd w:val="0"/>
                    <w:ind w:left="0" w:leftChars="0"/>
                    <w:jc w:val="both"/>
                    <w:rPr>
                      <w:color w:val="000000"/>
                      <w:u w:val="none"/>
                    </w:rPr>
                  </w:pPr>
                  <w:r>
                    <w:rPr>
                      <w:color w:val="000000"/>
                      <w:u w:val="none"/>
                    </w:rPr>
                    <w:t>（2.1.1）高新区各区块排水实施雨污分流，雨水经雨水管网排入洋沙湖。</w:t>
                  </w:r>
                </w:p>
                <w:p>
                  <w:pPr>
                    <w:pStyle w:val="37"/>
                    <w:autoSpaceDE w:val="0"/>
                    <w:autoSpaceDN w:val="0"/>
                    <w:adjustRightInd w:val="0"/>
                    <w:ind w:left="0" w:leftChars="0"/>
                    <w:jc w:val="both"/>
                    <w:rPr>
                      <w:color w:val="000000"/>
                      <w:u w:val="none"/>
                    </w:rPr>
                  </w:pPr>
                  <w:r>
                    <w:rPr>
                      <w:color w:val="000000"/>
                      <w:u w:val="none"/>
                    </w:rPr>
                    <w:t>（2.1.2）区块一、区块二（洋沙湖片区）废水进入湘阴县第二污水处理厂处理达标后排入洋沙湖闸外流入湘江；区块三、区块四、区块五（临港片区）废水依托湘阴县第一污水处理厂处理达标后排入湘江；区块六（金龙片区）废水依托湘阴县第三污水处理厂处理达标后由洋沙河排入洋沙湖。</w:t>
                  </w:r>
                </w:p>
              </w:tc>
              <w:tc>
                <w:tcPr>
                  <w:tcW w:w="2385" w:type="dxa"/>
                  <w:vAlign w:val="center"/>
                </w:tcPr>
                <w:p>
                  <w:pPr>
                    <w:pStyle w:val="37"/>
                    <w:autoSpaceDE w:val="0"/>
                    <w:autoSpaceDN w:val="0"/>
                    <w:adjustRightInd w:val="0"/>
                    <w:ind w:left="0" w:leftChars="0"/>
                    <w:jc w:val="both"/>
                    <w:rPr>
                      <w:color w:val="000000"/>
                      <w:u w:val="none"/>
                    </w:rPr>
                  </w:pPr>
                  <w:r>
                    <w:rPr>
                      <w:color w:val="000000"/>
                      <w:u w:val="none"/>
                    </w:rPr>
                    <w:t>项目实施雨污分流，雨水排入园区雨水管网，生活污水</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地面清洁废水</w:t>
                  </w:r>
                  <w:r>
                    <w:rPr>
                      <w:color w:val="000000"/>
                      <w:u w:val="none"/>
                    </w:rPr>
                    <w:t>依托</w:t>
                  </w:r>
                  <w:r>
                    <w:rPr>
                      <w:rFonts w:hint="eastAsia"/>
                      <w:color w:val="000000"/>
                      <w:u w:val="none"/>
                    </w:rPr>
                    <w:t>租赁公司</w:t>
                  </w:r>
                  <w:r>
                    <w:rPr>
                      <w:color w:val="000000"/>
                      <w:u w:val="none"/>
                    </w:rPr>
                    <w:t>化粪池处理后通过市政污水管网进入湘阴县第二污水处理厂处理，最终排入湘江。</w:t>
                  </w:r>
                </w:p>
              </w:tc>
              <w:tc>
                <w:tcPr>
                  <w:tcW w:w="378" w:type="dxa"/>
                  <w:vAlign w:val="center"/>
                </w:tcPr>
                <w:p>
                  <w:pPr>
                    <w:pStyle w:val="37"/>
                    <w:autoSpaceDE w:val="0"/>
                    <w:autoSpaceDN w:val="0"/>
                    <w:adjustRightIn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9" w:type="dxa"/>
                  <w:vMerge w:val="continue"/>
                  <w:vAlign w:val="center"/>
                </w:tcPr>
                <w:p>
                  <w:pPr>
                    <w:pStyle w:val="37"/>
                    <w:ind w:left="0" w:leftChars="0"/>
                    <w:rPr>
                      <w:color w:val="000000"/>
                      <w:u w:val="none"/>
                    </w:rPr>
                  </w:pPr>
                </w:p>
              </w:tc>
              <w:tc>
                <w:tcPr>
                  <w:tcW w:w="384" w:type="dxa"/>
                  <w:vMerge w:val="continue"/>
                  <w:vAlign w:val="center"/>
                </w:tcPr>
                <w:p>
                  <w:pPr>
                    <w:pStyle w:val="37"/>
                    <w:ind w:left="0" w:leftChars="0"/>
                    <w:rPr>
                      <w:color w:val="000000"/>
                      <w:u w:val="none"/>
                    </w:rPr>
                  </w:pPr>
                </w:p>
              </w:tc>
              <w:tc>
                <w:tcPr>
                  <w:tcW w:w="466" w:type="dxa"/>
                  <w:vMerge w:val="continue"/>
                  <w:vAlign w:val="center"/>
                </w:tcPr>
                <w:p>
                  <w:pPr>
                    <w:pStyle w:val="37"/>
                    <w:ind w:left="0" w:leftChars="0"/>
                    <w:rPr>
                      <w:color w:val="000000"/>
                      <w:u w:val="none"/>
                    </w:rPr>
                  </w:pPr>
                </w:p>
              </w:tc>
              <w:tc>
                <w:tcPr>
                  <w:tcW w:w="3867" w:type="dxa"/>
                  <w:vAlign w:val="center"/>
                </w:tcPr>
                <w:p>
                  <w:pPr>
                    <w:pStyle w:val="37"/>
                    <w:autoSpaceDE w:val="0"/>
                    <w:autoSpaceDN w:val="0"/>
                    <w:adjustRightInd w:val="0"/>
                    <w:ind w:left="0" w:leftChars="0"/>
                    <w:jc w:val="both"/>
                    <w:rPr>
                      <w:color w:val="000000"/>
                      <w:u w:val="none"/>
                    </w:rPr>
                  </w:pPr>
                  <w:r>
                    <w:rPr>
                      <w:color w:val="000000"/>
                      <w:u w:val="none"/>
                    </w:rPr>
                    <w:t>（2.2）废气（2.2.1）持续深化工业炉窑大气污染专项治理，进一步加强传统产业环保升级，采用节能低碳环保技术改造提升传统产业，努力构建绿色制造体系，不断优化工业产品结构。（2.2.2）加强高新区大气污染防治，采取有效措施减少污染物排放总量，严格控制无组织排放，加强对高新区企业VOCs排放的治理。</w:t>
                  </w:r>
                </w:p>
              </w:tc>
              <w:tc>
                <w:tcPr>
                  <w:tcW w:w="2385" w:type="dxa"/>
                  <w:vAlign w:val="center"/>
                </w:tcPr>
                <w:p>
                  <w:pPr>
                    <w:pStyle w:val="37"/>
                    <w:autoSpaceDE w:val="0"/>
                    <w:autoSpaceDN w:val="0"/>
                    <w:adjustRightInd w:val="0"/>
                    <w:ind w:left="0" w:leftChars="0"/>
                    <w:jc w:val="both"/>
                    <w:rPr>
                      <w:color w:val="000000"/>
                      <w:u w:val="none"/>
                    </w:rPr>
                  </w:pPr>
                  <w:r>
                    <w:rPr>
                      <w:color w:val="000000"/>
                      <w:u w:val="none"/>
                    </w:rPr>
                    <w:t>本项目</w:t>
                  </w:r>
                  <w:r>
                    <w:rPr>
                      <w:rFonts w:hint="eastAsia"/>
                      <w:color w:val="000000"/>
                      <w:u w:val="none"/>
                    </w:rPr>
                    <w:t>不涉及锅炉；</w:t>
                  </w:r>
                </w:p>
                <w:p>
                  <w:pPr>
                    <w:pStyle w:val="37"/>
                    <w:autoSpaceDE w:val="0"/>
                    <w:autoSpaceDN w:val="0"/>
                    <w:adjustRightInd w:val="0"/>
                    <w:ind w:left="0" w:leftChars="0"/>
                    <w:jc w:val="both"/>
                    <w:rPr>
                      <w:color w:val="000000"/>
                      <w:u w:val="none"/>
                    </w:rPr>
                  </w:pPr>
                  <w:r>
                    <w:rPr>
                      <w:rFonts w:hint="eastAsia"/>
                      <w:color w:val="000000"/>
                      <w:u w:val="none"/>
                    </w:rPr>
                    <w:t>采用低VOCs水性涂料进行涂布，涂布烘干工序产生的VOCs采用密闭负压收集后再通过二级活性炭处理后通过一根15m高排气筒DA001排放</w:t>
                  </w:r>
                  <w:r>
                    <w:rPr>
                      <w:color w:val="000000"/>
                      <w:u w:val="none"/>
                    </w:rPr>
                    <w:t>。针对无组织VOCs，加强生产区域的密闭管理等措施。</w:t>
                  </w:r>
                </w:p>
              </w:tc>
              <w:tc>
                <w:tcPr>
                  <w:tcW w:w="378" w:type="dxa"/>
                  <w:vAlign w:val="center"/>
                </w:tcPr>
                <w:p>
                  <w:pPr>
                    <w:pStyle w:val="37"/>
                    <w:autoSpaceDE w:val="0"/>
                    <w:autoSpaceDN w:val="0"/>
                    <w:adjustRightIn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519" w:type="dxa"/>
                  <w:vMerge w:val="continue"/>
                  <w:vAlign w:val="center"/>
                </w:tcPr>
                <w:p>
                  <w:pPr>
                    <w:pStyle w:val="37"/>
                    <w:ind w:left="0" w:leftChars="0"/>
                    <w:rPr>
                      <w:color w:val="000000"/>
                      <w:u w:val="none"/>
                    </w:rPr>
                  </w:pPr>
                </w:p>
              </w:tc>
              <w:tc>
                <w:tcPr>
                  <w:tcW w:w="384" w:type="dxa"/>
                  <w:vMerge w:val="continue"/>
                  <w:vAlign w:val="center"/>
                </w:tcPr>
                <w:p>
                  <w:pPr>
                    <w:pStyle w:val="37"/>
                    <w:ind w:left="0" w:leftChars="0"/>
                    <w:rPr>
                      <w:color w:val="000000"/>
                      <w:u w:val="none"/>
                    </w:rPr>
                  </w:pPr>
                </w:p>
              </w:tc>
              <w:tc>
                <w:tcPr>
                  <w:tcW w:w="466" w:type="dxa"/>
                  <w:vMerge w:val="continue"/>
                  <w:vAlign w:val="center"/>
                </w:tcPr>
                <w:p>
                  <w:pPr>
                    <w:pStyle w:val="37"/>
                    <w:autoSpaceDE w:val="0"/>
                    <w:autoSpaceDN w:val="0"/>
                    <w:adjustRightInd w:val="0"/>
                    <w:ind w:left="0" w:leftChars="0"/>
                    <w:rPr>
                      <w:color w:val="000000"/>
                      <w:u w:val="none"/>
                    </w:rPr>
                  </w:pPr>
                </w:p>
              </w:tc>
              <w:tc>
                <w:tcPr>
                  <w:tcW w:w="3867" w:type="dxa"/>
                  <w:vAlign w:val="center"/>
                </w:tcPr>
                <w:p>
                  <w:pPr>
                    <w:pStyle w:val="37"/>
                    <w:autoSpaceDE w:val="0"/>
                    <w:autoSpaceDN w:val="0"/>
                    <w:adjustRightInd w:val="0"/>
                    <w:ind w:left="0" w:leftChars="0"/>
                    <w:jc w:val="both"/>
                    <w:rPr>
                      <w:color w:val="000000"/>
                      <w:u w:val="none"/>
                    </w:rPr>
                  </w:pPr>
                  <w:r>
                    <w:rPr>
                      <w:color w:val="000000"/>
                      <w:u w:val="none"/>
                    </w:rPr>
                    <w:t>（2.3）固体废弃物：建立高新区固废规范化管理体系，做好工业固体废物的分类收集、转运、综合利用和无害化处理。对危险废物应严格按照国家有关规定综合利用或妥善处置，对危险废物产生企业和经营单位，应强化日常环境监管。</w:t>
                  </w:r>
                </w:p>
              </w:tc>
              <w:tc>
                <w:tcPr>
                  <w:tcW w:w="2385" w:type="dxa"/>
                  <w:vAlign w:val="center"/>
                </w:tcPr>
                <w:p>
                  <w:pPr>
                    <w:pStyle w:val="37"/>
                    <w:autoSpaceDE w:val="0"/>
                    <w:autoSpaceDN w:val="0"/>
                    <w:adjustRightInd w:val="0"/>
                    <w:ind w:left="0" w:leftChars="0"/>
                    <w:jc w:val="both"/>
                    <w:rPr>
                      <w:color w:val="000000"/>
                      <w:u w:val="none"/>
                    </w:rPr>
                  </w:pPr>
                  <w:r>
                    <w:rPr>
                      <w:rFonts w:hint="eastAsia"/>
                      <w:color w:val="000000"/>
                      <w:u w:val="none"/>
                    </w:rPr>
                    <w:t>项目产生的生活垃圾交由环卫部门处置，废边角料及不合格产品、废包装材料暂存于一般固废暂存间，定期交由回收单位利用；废水性涂料桶、废水性涂料、废抹布手套、废活性炭、废机油、废机油桶、含油抹布及手套</w:t>
                  </w:r>
                  <w:r>
                    <w:rPr>
                      <w:rFonts w:hint="eastAsia"/>
                      <w:color w:val="000000"/>
                      <w:u w:val="none"/>
                      <w:lang w:val="en-US" w:eastAsia="zh-CN"/>
                    </w:rPr>
                    <w:t>等危险废物</w:t>
                  </w:r>
                  <w:r>
                    <w:rPr>
                      <w:rFonts w:hint="eastAsia"/>
                      <w:color w:val="000000"/>
                      <w:u w:val="none"/>
                    </w:rPr>
                    <w:t>收集后暂存于危险废物暂存间内，交有资质单位处理</w:t>
                  </w:r>
                  <w:r>
                    <w:rPr>
                      <w:color w:val="000000"/>
                      <w:u w:val="none"/>
                    </w:rPr>
                    <w:t>。</w:t>
                  </w:r>
                </w:p>
              </w:tc>
              <w:tc>
                <w:tcPr>
                  <w:tcW w:w="378" w:type="dxa"/>
                  <w:vAlign w:val="center"/>
                </w:tcPr>
                <w:p>
                  <w:pPr>
                    <w:pStyle w:val="37"/>
                    <w:autoSpaceDE w:val="0"/>
                    <w:autoSpaceDN w:val="0"/>
                    <w:adjustRightIn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19" w:type="dxa"/>
                  <w:vMerge w:val="continue"/>
                  <w:vAlign w:val="center"/>
                </w:tcPr>
                <w:p>
                  <w:pPr>
                    <w:pStyle w:val="37"/>
                    <w:ind w:left="0" w:leftChars="0"/>
                    <w:rPr>
                      <w:color w:val="000000"/>
                      <w:u w:val="none"/>
                    </w:rPr>
                  </w:pPr>
                </w:p>
              </w:tc>
              <w:tc>
                <w:tcPr>
                  <w:tcW w:w="384" w:type="dxa"/>
                  <w:vMerge w:val="continue"/>
                  <w:vAlign w:val="center"/>
                </w:tcPr>
                <w:p>
                  <w:pPr>
                    <w:pStyle w:val="37"/>
                    <w:ind w:left="0" w:leftChars="0"/>
                    <w:rPr>
                      <w:color w:val="000000"/>
                      <w:u w:val="none"/>
                    </w:rPr>
                  </w:pPr>
                </w:p>
              </w:tc>
              <w:tc>
                <w:tcPr>
                  <w:tcW w:w="466" w:type="dxa"/>
                  <w:vMerge w:val="restart"/>
                  <w:vAlign w:val="center"/>
                </w:tcPr>
                <w:p>
                  <w:pPr>
                    <w:pStyle w:val="37"/>
                    <w:autoSpaceDE w:val="0"/>
                    <w:autoSpaceDN w:val="0"/>
                    <w:adjustRightInd w:val="0"/>
                    <w:ind w:left="0" w:leftChars="0"/>
                    <w:rPr>
                      <w:color w:val="000000"/>
                      <w:u w:val="none"/>
                    </w:rPr>
                  </w:pPr>
                  <w:r>
                    <w:rPr>
                      <w:color w:val="000000"/>
                      <w:u w:val="none"/>
                    </w:rPr>
                    <w:t>环境风险防控</w:t>
                  </w:r>
                </w:p>
              </w:tc>
              <w:tc>
                <w:tcPr>
                  <w:tcW w:w="3867" w:type="dxa"/>
                  <w:vAlign w:val="center"/>
                </w:tcPr>
                <w:p>
                  <w:pPr>
                    <w:pStyle w:val="37"/>
                    <w:autoSpaceDE w:val="0"/>
                    <w:autoSpaceDN w:val="0"/>
                    <w:adjustRightInd w:val="0"/>
                    <w:ind w:left="0" w:leftChars="0"/>
                    <w:jc w:val="both"/>
                    <w:rPr>
                      <w:color w:val="000000"/>
                      <w:u w:val="none"/>
                    </w:rPr>
                  </w:pPr>
                  <w:r>
                    <w:rPr>
                      <w:color w:val="000000"/>
                      <w:u w:val="none"/>
                    </w:rPr>
                    <w:t>（3.1）高新区各区块应建立健全环境风险防控体系，组织推动高新区应急预案修编并落实相关要求，加强环境风险事故防范和应急管理。</w:t>
                  </w:r>
                </w:p>
              </w:tc>
              <w:tc>
                <w:tcPr>
                  <w:tcW w:w="2385" w:type="dxa"/>
                  <w:vMerge w:val="restart"/>
                  <w:vAlign w:val="center"/>
                </w:tcPr>
                <w:p>
                  <w:pPr>
                    <w:pStyle w:val="37"/>
                    <w:autoSpaceDE w:val="0"/>
                    <w:autoSpaceDN w:val="0"/>
                    <w:adjustRightInd w:val="0"/>
                    <w:ind w:left="0" w:leftChars="0"/>
                    <w:jc w:val="both"/>
                    <w:rPr>
                      <w:color w:val="000000"/>
                      <w:u w:val="none"/>
                    </w:rPr>
                  </w:pPr>
                  <w:r>
                    <w:rPr>
                      <w:rFonts w:hint="eastAsia"/>
                      <w:color w:val="000000"/>
                      <w:u w:val="none"/>
                    </w:rPr>
                    <w:t>本项目不涉及土壤污染地块，本次环评已提出项目运营期环境风险防范措施，并要求项目验收前，按照《湖南省突发环境事件应急预案管理办法（修订版）》（湘环发〔2024〕49号）的要求，开展相关工作。</w:t>
                  </w:r>
                </w:p>
              </w:tc>
              <w:tc>
                <w:tcPr>
                  <w:tcW w:w="378" w:type="dxa"/>
                  <w:vMerge w:val="restart"/>
                  <w:vAlign w:val="center"/>
                </w:tcPr>
                <w:p>
                  <w:pPr>
                    <w:pStyle w:val="37"/>
                    <w:autoSpaceDE w:val="0"/>
                    <w:autoSpaceDN w:val="0"/>
                    <w:adjustRightIn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519" w:type="dxa"/>
                  <w:vMerge w:val="continue"/>
                  <w:vAlign w:val="center"/>
                </w:tcPr>
                <w:p>
                  <w:pPr>
                    <w:pStyle w:val="37"/>
                    <w:ind w:left="0" w:leftChars="0"/>
                    <w:rPr>
                      <w:color w:val="000000"/>
                      <w:u w:val="none"/>
                    </w:rPr>
                  </w:pPr>
                </w:p>
              </w:tc>
              <w:tc>
                <w:tcPr>
                  <w:tcW w:w="384" w:type="dxa"/>
                  <w:vMerge w:val="continue"/>
                  <w:vAlign w:val="center"/>
                </w:tcPr>
                <w:p>
                  <w:pPr>
                    <w:pStyle w:val="37"/>
                    <w:ind w:left="0" w:leftChars="0"/>
                    <w:rPr>
                      <w:color w:val="000000"/>
                      <w:u w:val="none"/>
                    </w:rPr>
                  </w:pPr>
                </w:p>
              </w:tc>
              <w:tc>
                <w:tcPr>
                  <w:tcW w:w="466" w:type="dxa"/>
                  <w:vMerge w:val="continue"/>
                  <w:vAlign w:val="center"/>
                </w:tcPr>
                <w:p>
                  <w:pPr>
                    <w:pStyle w:val="37"/>
                    <w:ind w:left="0" w:leftChars="0"/>
                    <w:rPr>
                      <w:color w:val="000000"/>
                      <w:u w:val="none"/>
                    </w:rPr>
                  </w:pPr>
                </w:p>
              </w:tc>
              <w:tc>
                <w:tcPr>
                  <w:tcW w:w="3867" w:type="dxa"/>
                  <w:vAlign w:val="center"/>
                </w:tcPr>
                <w:p>
                  <w:pPr>
                    <w:pStyle w:val="37"/>
                    <w:autoSpaceDE w:val="0"/>
                    <w:autoSpaceDN w:val="0"/>
                    <w:adjustRightInd w:val="0"/>
                    <w:ind w:left="0" w:leftChars="0"/>
                    <w:jc w:val="both"/>
                    <w:rPr>
                      <w:color w:val="000000"/>
                      <w:u w:val="none"/>
                    </w:rPr>
                  </w:pPr>
                  <w:r>
                    <w:rPr>
                      <w:color w:val="000000"/>
                      <w:u w:val="none"/>
                    </w:rPr>
                    <w:t>（3.2）高新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w:t>
                  </w:r>
                </w:p>
              </w:tc>
              <w:tc>
                <w:tcPr>
                  <w:tcW w:w="2385" w:type="dxa"/>
                  <w:vMerge w:val="continue"/>
                  <w:vAlign w:val="center"/>
                </w:tcPr>
                <w:p>
                  <w:pPr>
                    <w:pStyle w:val="37"/>
                    <w:ind w:left="0" w:leftChars="0"/>
                    <w:jc w:val="both"/>
                    <w:rPr>
                      <w:color w:val="000000"/>
                      <w:u w:val="none"/>
                    </w:rPr>
                  </w:pPr>
                </w:p>
              </w:tc>
              <w:tc>
                <w:tcPr>
                  <w:tcW w:w="378" w:type="dxa"/>
                  <w:vMerge w:val="continue"/>
                  <w:vAlign w:val="center"/>
                </w:tcPr>
                <w:p>
                  <w:pPr>
                    <w:pStyle w:val="37"/>
                    <w:ind w:left="0" w:leftChars="0"/>
                    <w:rPr>
                      <w:color w:val="00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519" w:type="dxa"/>
                  <w:vMerge w:val="continue"/>
                  <w:vAlign w:val="center"/>
                </w:tcPr>
                <w:p>
                  <w:pPr>
                    <w:pStyle w:val="37"/>
                    <w:ind w:left="0" w:leftChars="0"/>
                    <w:rPr>
                      <w:color w:val="000000"/>
                      <w:u w:val="none"/>
                    </w:rPr>
                  </w:pPr>
                </w:p>
              </w:tc>
              <w:tc>
                <w:tcPr>
                  <w:tcW w:w="384" w:type="dxa"/>
                  <w:vMerge w:val="continue"/>
                  <w:vAlign w:val="center"/>
                </w:tcPr>
                <w:p>
                  <w:pPr>
                    <w:pStyle w:val="37"/>
                    <w:ind w:left="0" w:leftChars="0"/>
                    <w:rPr>
                      <w:color w:val="000000"/>
                      <w:u w:val="none"/>
                    </w:rPr>
                  </w:pPr>
                </w:p>
              </w:tc>
              <w:tc>
                <w:tcPr>
                  <w:tcW w:w="466" w:type="dxa"/>
                  <w:vMerge w:val="continue"/>
                  <w:vAlign w:val="center"/>
                </w:tcPr>
                <w:p>
                  <w:pPr>
                    <w:pStyle w:val="37"/>
                    <w:ind w:left="0" w:leftChars="0"/>
                    <w:rPr>
                      <w:color w:val="000000"/>
                      <w:u w:val="none"/>
                    </w:rPr>
                  </w:pPr>
                </w:p>
              </w:tc>
              <w:tc>
                <w:tcPr>
                  <w:tcW w:w="3867" w:type="dxa"/>
                  <w:vAlign w:val="center"/>
                </w:tcPr>
                <w:p>
                  <w:pPr>
                    <w:pStyle w:val="37"/>
                    <w:autoSpaceDE w:val="0"/>
                    <w:autoSpaceDN w:val="0"/>
                    <w:adjustRightInd w:val="0"/>
                    <w:ind w:left="0" w:leftChars="0"/>
                    <w:jc w:val="both"/>
                    <w:rPr>
                      <w:color w:val="000000"/>
                      <w:u w:val="none"/>
                    </w:rPr>
                  </w:pPr>
                  <w:r>
                    <w:rPr>
                      <w:color w:val="000000"/>
                      <w:u w:val="none"/>
                    </w:rPr>
                    <w:t>（3.3）强化源头风险隐患排查，建立土壤环境风险管控清单，对重点监管源实施分类别、分用途和分阶段的全过程监管和综合整治，逐步构建形成具有区域特色的土壤环境管理体系，推动区域土壤环境质量逐步改善与提升。</w:t>
                  </w:r>
                </w:p>
              </w:tc>
              <w:tc>
                <w:tcPr>
                  <w:tcW w:w="2385" w:type="dxa"/>
                  <w:vMerge w:val="continue"/>
                  <w:vAlign w:val="center"/>
                </w:tcPr>
                <w:p>
                  <w:pPr>
                    <w:pStyle w:val="37"/>
                    <w:ind w:left="0" w:leftChars="0"/>
                    <w:jc w:val="both"/>
                    <w:rPr>
                      <w:color w:val="000000"/>
                      <w:u w:val="none"/>
                    </w:rPr>
                  </w:pPr>
                </w:p>
              </w:tc>
              <w:tc>
                <w:tcPr>
                  <w:tcW w:w="378" w:type="dxa"/>
                  <w:vMerge w:val="continue"/>
                  <w:vAlign w:val="center"/>
                </w:tcPr>
                <w:p>
                  <w:pPr>
                    <w:pStyle w:val="37"/>
                    <w:ind w:left="0" w:leftChars="0"/>
                    <w:rPr>
                      <w:color w:val="00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519" w:type="dxa"/>
                  <w:vMerge w:val="continue"/>
                  <w:vAlign w:val="center"/>
                </w:tcPr>
                <w:p>
                  <w:pPr>
                    <w:pStyle w:val="37"/>
                    <w:ind w:left="0" w:leftChars="0"/>
                    <w:rPr>
                      <w:color w:val="000000"/>
                      <w:u w:val="none"/>
                    </w:rPr>
                  </w:pPr>
                </w:p>
              </w:tc>
              <w:tc>
                <w:tcPr>
                  <w:tcW w:w="384" w:type="dxa"/>
                  <w:vMerge w:val="continue"/>
                  <w:vAlign w:val="center"/>
                </w:tcPr>
                <w:p>
                  <w:pPr>
                    <w:pStyle w:val="37"/>
                    <w:ind w:left="0" w:leftChars="0"/>
                    <w:rPr>
                      <w:color w:val="000000"/>
                      <w:u w:val="none"/>
                    </w:rPr>
                  </w:pPr>
                </w:p>
              </w:tc>
              <w:tc>
                <w:tcPr>
                  <w:tcW w:w="466" w:type="dxa"/>
                  <w:vAlign w:val="center"/>
                </w:tcPr>
                <w:p>
                  <w:pPr>
                    <w:pStyle w:val="37"/>
                    <w:autoSpaceDE w:val="0"/>
                    <w:autoSpaceDN w:val="0"/>
                    <w:adjustRightInd w:val="0"/>
                    <w:ind w:left="0" w:leftChars="0"/>
                    <w:rPr>
                      <w:color w:val="000000"/>
                      <w:u w:val="none"/>
                    </w:rPr>
                  </w:pPr>
                  <w:r>
                    <w:rPr>
                      <w:color w:val="000000"/>
                      <w:u w:val="none"/>
                    </w:rPr>
                    <w:t>资源开发效率要求</w:t>
                  </w:r>
                </w:p>
              </w:tc>
              <w:tc>
                <w:tcPr>
                  <w:tcW w:w="3867" w:type="dxa"/>
                  <w:vAlign w:val="center"/>
                </w:tcPr>
                <w:p>
                  <w:pPr>
                    <w:pStyle w:val="37"/>
                    <w:autoSpaceDE w:val="0"/>
                    <w:autoSpaceDN w:val="0"/>
                    <w:adjustRightInd w:val="0"/>
                    <w:ind w:left="0" w:leftChars="0"/>
                    <w:jc w:val="both"/>
                    <w:rPr>
                      <w:color w:val="000000"/>
                      <w:u w:val="none"/>
                    </w:rPr>
                  </w:pPr>
                  <w:r>
                    <w:rPr>
                      <w:color w:val="000000"/>
                      <w:u w:val="none"/>
                    </w:rPr>
                    <w:t>（4.1）能源：推动高新区能源系统整体优化和污染综合整治，鼓励工业企业、园区优先利用可再生能源。2025年区域综合能耗消费量预测当量值为449200吨标煤，区域单位GDP能耗预测值为0.5561吨标煤/万元，区域“十四五”时期能源消耗增量控制在141700吨标煤。</w:t>
                  </w:r>
                </w:p>
                <w:p>
                  <w:pPr>
                    <w:pStyle w:val="37"/>
                    <w:autoSpaceDE w:val="0"/>
                    <w:autoSpaceDN w:val="0"/>
                    <w:adjustRightInd w:val="0"/>
                    <w:ind w:left="0" w:leftChars="0"/>
                    <w:jc w:val="both"/>
                    <w:rPr>
                      <w:color w:val="000000"/>
                      <w:u w:val="none"/>
                    </w:rPr>
                  </w:pPr>
                  <w:r>
                    <w:rPr>
                      <w:color w:val="000000"/>
                      <w:u w:val="none"/>
                    </w:rPr>
                    <w:t>（4.2）水资源（4.2.1）强化生产用水管理，大力推广高效冷却、循环用水等节水工艺和技术，支持企业开展节水技术改造。（4.2.2）积极推行水循环梯级利用，推动现有企业和高新区开展绿色高质量转型升级和循环化改造，促进企业间串联用水、分质用水，一水多用和循环利用。（4.2.3）2025年，高新区指标应符合相应行政区域的管控要求，湘阴县用水总量控制在3.455亿立方米以内，2025 年万元地区生产总值用水量比2020年下降21.26%，2025年万元工业增加值用水量比2020年下降21.55%。</w:t>
                  </w:r>
                </w:p>
                <w:p>
                  <w:pPr>
                    <w:pStyle w:val="37"/>
                    <w:autoSpaceDE w:val="0"/>
                    <w:autoSpaceDN w:val="0"/>
                    <w:adjustRightInd w:val="0"/>
                    <w:ind w:left="0" w:leftChars="0"/>
                    <w:jc w:val="both"/>
                    <w:rPr>
                      <w:color w:val="000000"/>
                      <w:u w:val="none"/>
                    </w:rPr>
                  </w:pPr>
                  <w:r>
                    <w:rPr>
                      <w:color w:val="000000"/>
                      <w:u w:val="none"/>
                    </w:rPr>
                    <w:t>（4.3）土地资源：在详细规划编制、用地预审与选址、用地报批、土地出让、规划许可、竣工验收等环节，全面推行工业项目建设用地引导指标和工业项目供</w:t>
                  </w:r>
                  <w:r>
                    <w:rPr>
                      <w:rFonts w:hint="eastAsia"/>
                      <w:color w:val="000000"/>
                      <w:u w:val="none"/>
                      <w:lang w:eastAsia="zh-CN"/>
                    </w:rPr>
                    <w:t>地</w:t>
                  </w:r>
                  <w:r>
                    <w:rPr>
                      <w:color w:val="000000"/>
                      <w:u w:val="none"/>
                    </w:rPr>
                    <w:t>负面清单管理。省级园区工业用地固定资产投入强度达到260万元/亩，工业用地地均税收达到13万元/亩。</w:t>
                  </w:r>
                </w:p>
              </w:tc>
              <w:tc>
                <w:tcPr>
                  <w:tcW w:w="2385" w:type="dxa"/>
                  <w:vAlign w:val="center"/>
                </w:tcPr>
                <w:p>
                  <w:pPr>
                    <w:pStyle w:val="37"/>
                    <w:autoSpaceDE w:val="0"/>
                    <w:autoSpaceDN w:val="0"/>
                    <w:adjustRightInd w:val="0"/>
                    <w:ind w:left="0" w:leftChars="0"/>
                    <w:jc w:val="both"/>
                    <w:rPr>
                      <w:color w:val="000000"/>
                      <w:u w:val="none"/>
                    </w:rPr>
                  </w:pPr>
                  <w:r>
                    <w:rPr>
                      <w:color w:val="000000"/>
                      <w:u w:val="none"/>
                    </w:rPr>
                    <w:t>本项目使用电能；建设单位将制定相关制度，降低能源消耗。本项目用水量较小，租赁</w:t>
                  </w:r>
                  <w:r>
                    <w:rPr>
                      <w:rFonts w:hint="eastAsia"/>
                      <w:color w:val="000000"/>
                      <w:u w:val="none"/>
                    </w:rPr>
                    <w:t>湖南省岳阳市湘阴县洋沙湖镇高新区洋沙湖片区新华路东侧新华标厂1栋101室</w:t>
                  </w:r>
                  <w:r>
                    <w:rPr>
                      <w:rFonts w:hint="eastAsia"/>
                      <w:color w:val="000000"/>
                      <w:u w:val="none"/>
                      <w:lang w:val="en-US" w:eastAsia="zh-CN"/>
                    </w:rPr>
                    <w:t>厂房建设</w:t>
                  </w:r>
                  <w:r>
                    <w:rPr>
                      <w:color w:val="000000"/>
                      <w:u w:val="none"/>
                    </w:rPr>
                    <w:t>，不新增用地。</w:t>
                  </w:r>
                </w:p>
              </w:tc>
              <w:tc>
                <w:tcPr>
                  <w:tcW w:w="378" w:type="dxa"/>
                  <w:vAlign w:val="center"/>
                </w:tcPr>
                <w:p>
                  <w:pPr>
                    <w:pStyle w:val="37"/>
                    <w:ind w:left="0" w:leftChars="0"/>
                    <w:rPr>
                      <w:color w:val="000000"/>
                      <w:u w:val="none"/>
                    </w:rPr>
                  </w:pPr>
                  <w:r>
                    <w:rPr>
                      <w:color w:val="000000"/>
                      <w:u w:val="none"/>
                    </w:rPr>
                    <w:t>符合</w:t>
                  </w:r>
                </w:p>
              </w:tc>
            </w:tr>
          </w:tbl>
          <w:p>
            <w:pPr>
              <w:autoSpaceDE w:val="0"/>
              <w:autoSpaceDN w:val="0"/>
              <w:ind w:firstLine="480"/>
              <w:rPr>
                <w:color w:val="000000"/>
                <w:u w:val="none"/>
              </w:rPr>
            </w:pPr>
            <w:r>
              <w:rPr>
                <w:color w:val="000000"/>
                <w:u w:val="none"/>
              </w:rPr>
              <w:t>由上表可知，综上所述，本项目符合《湖南省生态环境分区管控总体管控要求暨省级以上产业园区生态环境准入清单》（湘环函〔2024〕26号）的相关要求。</w:t>
            </w:r>
          </w:p>
          <w:p>
            <w:pPr>
              <w:widowControl/>
              <w:numPr>
                <w:ilvl w:val="0"/>
                <w:numId w:val="0"/>
              </w:numPr>
              <w:ind w:left="480" w:leftChars="0" w:firstLine="0" w:firstLineChars="0"/>
              <w:jc w:val="left"/>
              <w:rPr>
                <w:color w:val="000000"/>
                <w:u w:val="none"/>
              </w:rPr>
            </w:pPr>
            <w:r>
              <w:rPr>
                <w:rFonts w:ascii="Times New Roman" w:hAnsi="Times New Roman" w:eastAsia="宋体" w:cs="Times New Roman"/>
                <w:color w:val="000000"/>
                <w:kern w:val="2"/>
                <w:sz w:val="24"/>
                <w:szCs w:val="24"/>
                <w:u w:val="none"/>
                <w:lang w:val="en-US" w:eastAsia="zh-CN" w:bidi="ar-SA"/>
              </w:rPr>
              <w:t>2、</w:t>
            </w:r>
            <w:r>
              <w:rPr>
                <w:color w:val="000000"/>
                <w:u w:val="none"/>
              </w:rPr>
              <w:t>与“湘阴高新区环境准入行业清单”符合性分析</w:t>
            </w:r>
          </w:p>
          <w:p>
            <w:pPr>
              <w:pStyle w:val="36"/>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eastAsia="宋体" w:cs="Times New Roman"/>
                <w:bCs w:val="0"/>
                <w:color w:val="000000"/>
                <w:kern w:val="2"/>
                <w:sz w:val="24"/>
                <w:szCs w:val="24"/>
                <w:u w:val="none"/>
                <w:lang w:val="en-US" w:eastAsia="zh-CN" w:bidi="ar-SA"/>
              </w:rPr>
            </w:pPr>
            <w:r>
              <w:rPr>
                <w:rFonts w:hint="eastAsia" w:ascii="Times New Roman" w:hAnsi="Times New Roman" w:eastAsia="宋体" w:cs="Times New Roman"/>
                <w:bCs w:val="0"/>
                <w:color w:val="000000"/>
                <w:kern w:val="2"/>
                <w:sz w:val="24"/>
                <w:szCs w:val="24"/>
                <w:u w:val="none"/>
                <w:lang w:val="en-US" w:eastAsia="zh-CN" w:bidi="ar-SA"/>
              </w:rPr>
              <w:t>根据规划，</w:t>
            </w:r>
            <w:r>
              <w:rPr>
                <w:rFonts w:ascii="Times New Roman" w:hAnsi="Times New Roman" w:eastAsia="宋体" w:cs="Times New Roman"/>
                <w:bCs w:val="0"/>
                <w:color w:val="000000"/>
                <w:kern w:val="2"/>
                <w:sz w:val="24"/>
                <w:szCs w:val="24"/>
                <w:u w:val="none"/>
                <w:lang w:val="en-US" w:eastAsia="zh-CN" w:bidi="ar-SA"/>
              </w:rPr>
              <w:t>湘阴高新区</w:t>
            </w:r>
            <w:r>
              <w:rPr>
                <w:rFonts w:hint="eastAsia" w:ascii="Times New Roman" w:hAnsi="Times New Roman" w:eastAsia="宋体" w:cs="Times New Roman"/>
                <w:bCs w:val="0"/>
                <w:color w:val="000000"/>
                <w:kern w:val="2"/>
                <w:sz w:val="24"/>
                <w:szCs w:val="24"/>
                <w:u w:val="none"/>
                <w:lang w:val="en-US" w:eastAsia="zh-CN" w:bidi="ar-SA"/>
              </w:rPr>
              <w:t>洋沙湖片区分为新材料区域和其他区域，本项目位于</w:t>
            </w:r>
            <w:r>
              <w:rPr>
                <w:rFonts w:ascii="Times New Roman" w:hAnsi="Times New Roman" w:eastAsia="宋体" w:cs="Times New Roman"/>
                <w:bCs w:val="0"/>
                <w:color w:val="000000"/>
                <w:kern w:val="2"/>
                <w:sz w:val="24"/>
                <w:szCs w:val="24"/>
                <w:u w:val="none"/>
                <w:lang w:val="en-US" w:eastAsia="zh-CN" w:bidi="ar-SA"/>
              </w:rPr>
              <w:t>洋沙湖片区</w:t>
            </w:r>
            <w:r>
              <w:rPr>
                <w:rFonts w:hint="eastAsia" w:ascii="Times New Roman" w:hAnsi="Times New Roman" w:eastAsia="宋体" w:cs="Times New Roman"/>
                <w:bCs w:val="0"/>
                <w:color w:val="000000"/>
                <w:kern w:val="2"/>
                <w:sz w:val="24"/>
                <w:szCs w:val="24"/>
                <w:u w:val="none"/>
                <w:lang w:val="en-US" w:eastAsia="zh-CN" w:bidi="ar-SA"/>
              </w:rPr>
              <w:t>中</w:t>
            </w:r>
            <w:r>
              <w:rPr>
                <w:rFonts w:hint="eastAsia" w:cs="Times New Roman"/>
                <w:bCs w:val="0"/>
                <w:color w:val="000000"/>
                <w:kern w:val="2"/>
                <w:sz w:val="24"/>
                <w:szCs w:val="24"/>
                <w:u w:val="none"/>
                <w:lang w:val="en-US" w:eastAsia="zh-CN" w:bidi="ar-SA"/>
              </w:rPr>
              <w:t>其他区域</w:t>
            </w:r>
            <w:r>
              <w:rPr>
                <w:rFonts w:hint="eastAsia" w:ascii="Times New Roman" w:hAnsi="Times New Roman" w:eastAsia="宋体" w:cs="Times New Roman"/>
                <w:bCs w:val="0"/>
                <w:color w:val="000000"/>
                <w:kern w:val="2"/>
                <w:sz w:val="24"/>
                <w:szCs w:val="24"/>
                <w:u w:val="none"/>
                <w:lang w:val="en-US" w:eastAsia="zh-CN" w:bidi="ar-SA"/>
              </w:rPr>
              <w:t>。项目与</w:t>
            </w:r>
            <w:r>
              <w:rPr>
                <w:rFonts w:ascii="Times New Roman" w:hAnsi="Times New Roman" w:eastAsia="宋体" w:cs="Times New Roman"/>
                <w:bCs w:val="0"/>
                <w:color w:val="000000"/>
                <w:kern w:val="2"/>
                <w:sz w:val="24"/>
                <w:szCs w:val="24"/>
                <w:u w:val="none"/>
                <w:lang w:val="en-US" w:eastAsia="zh-CN" w:bidi="ar-SA"/>
              </w:rPr>
              <w:t>“湘阴高新区环境准入行业清单”符合性分析</w:t>
            </w:r>
            <w:r>
              <w:rPr>
                <w:rFonts w:hint="eastAsia" w:ascii="Times New Roman" w:hAnsi="Times New Roman" w:eastAsia="宋体" w:cs="Times New Roman"/>
                <w:bCs w:val="0"/>
                <w:color w:val="000000"/>
                <w:kern w:val="2"/>
                <w:sz w:val="24"/>
                <w:szCs w:val="24"/>
                <w:u w:val="none"/>
                <w:lang w:val="en-US" w:eastAsia="zh-CN" w:bidi="ar-SA"/>
              </w:rPr>
              <w:t>见下表1-4</w:t>
            </w:r>
            <w:r>
              <w:rPr>
                <w:rFonts w:hint="eastAsia" w:cs="Times New Roman"/>
                <w:bCs w:val="0"/>
                <w:color w:val="000000"/>
                <w:kern w:val="2"/>
                <w:sz w:val="24"/>
                <w:szCs w:val="24"/>
                <w:u w:val="none"/>
                <w:lang w:val="en-US" w:eastAsia="zh-CN" w:bidi="ar-SA"/>
              </w:rPr>
              <w:t>。</w:t>
            </w:r>
          </w:p>
          <w:p>
            <w:pPr>
              <w:pStyle w:val="36"/>
              <w:ind w:left="480" w:firstLine="480" w:firstLineChars="200"/>
              <w:rPr>
                <w:color w:val="000000"/>
                <w:szCs w:val="24"/>
                <w:u w:val="none"/>
              </w:rPr>
            </w:pPr>
            <w:r>
              <w:rPr>
                <w:color w:val="000000"/>
                <w:szCs w:val="24"/>
                <w:u w:val="none"/>
              </w:rPr>
              <w:t>表1-</w:t>
            </w:r>
            <w:r>
              <w:rPr>
                <w:rFonts w:hint="eastAsia"/>
                <w:color w:val="000000"/>
                <w:szCs w:val="24"/>
                <w:u w:val="none"/>
              </w:rPr>
              <w:t>4</w:t>
            </w:r>
            <w:r>
              <w:rPr>
                <w:color w:val="000000"/>
                <w:szCs w:val="24"/>
                <w:u w:val="none"/>
              </w:rPr>
              <w:t>与“湘阴高新区环境准入行业清单”符合性分析</w:t>
            </w:r>
            <w:r>
              <w:rPr>
                <w:rFonts w:hint="eastAsia"/>
                <w:color w:val="000000"/>
                <w:szCs w:val="24"/>
                <w:u w:val="none"/>
              </w:rPr>
              <w:t>表</w:t>
            </w:r>
          </w:p>
          <w:tbl>
            <w:tblPr>
              <w:tblStyle w:val="24"/>
              <w:tblW w:w="7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8"/>
              <w:gridCol w:w="432"/>
              <w:gridCol w:w="2784"/>
              <w:gridCol w:w="1017"/>
              <w:gridCol w:w="2689"/>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区域</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类别</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行业类别</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依据</w:t>
                  </w:r>
                </w:p>
              </w:tc>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本项目情况</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2" w:hRule="atLeast"/>
                <w:jc w:val="center"/>
              </w:trPr>
              <w:tc>
                <w:tcPr>
                  <w:tcW w:w="378" w:type="dxa"/>
                  <w:vMerge w:val="restart"/>
                  <w:tcBorders>
                    <w:top w:val="nil"/>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洋沙湖片区其他区域</w:t>
                  </w:r>
                </w:p>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产业定位</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主要发展装备制造、食品加工、电子信息、建筑建材产业。代表行业：</w:t>
                  </w:r>
                  <w:r>
                    <w:rPr>
                      <w:rFonts w:hint="default" w:ascii="Times New Roman" w:hAnsi="Times New Roman" w:eastAsia="宋体" w:cs="Times New Roman"/>
                      <w:color w:val="000000"/>
                      <w:kern w:val="2"/>
                      <w:sz w:val="21"/>
                      <w:szCs w:val="21"/>
                      <w:u w:val="none" w:color="auto"/>
                      <w:lang w:val="en-US" w:eastAsia="zh-CN" w:bidi="ar"/>
                    </w:rPr>
                    <w:t>C13</w:t>
                  </w:r>
                  <w:r>
                    <w:rPr>
                      <w:rFonts w:hint="eastAsia" w:ascii="宋体" w:hAnsi="宋体" w:eastAsia="宋体" w:cs="宋体"/>
                      <w:color w:val="000000"/>
                      <w:kern w:val="2"/>
                      <w:sz w:val="21"/>
                      <w:szCs w:val="21"/>
                      <w:u w:val="none" w:color="auto"/>
                      <w:lang w:val="en-US" w:eastAsia="zh-CN" w:bidi="ar"/>
                    </w:rPr>
                    <w:t>农副食品加工业、</w:t>
                  </w:r>
                  <w:r>
                    <w:rPr>
                      <w:rFonts w:hint="default" w:ascii="Times New Roman" w:hAnsi="Times New Roman" w:eastAsia="宋体" w:cs="Times New Roman"/>
                      <w:color w:val="000000"/>
                      <w:kern w:val="2"/>
                      <w:sz w:val="21"/>
                      <w:szCs w:val="21"/>
                      <w:u w:val="none" w:color="auto"/>
                      <w:lang w:val="en-US" w:eastAsia="zh-CN" w:bidi="ar"/>
                    </w:rPr>
                    <w:t>C14</w:t>
                  </w:r>
                  <w:r>
                    <w:rPr>
                      <w:rFonts w:hint="eastAsia" w:ascii="宋体" w:hAnsi="宋体" w:eastAsia="宋体" w:cs="宋体"/>
                      <w:color w:val="000000"/>
                      <w:kern w:val="2"/>
                      <w:sz w:val="21"/>
                      <w:szCs w:val="21"/>
                      <w:u w:val="none" w:color="auto"/>
                      <w:lang w:val="en-US" w:eastAsia="zh-CN" w:bidi="ar"/>
                    </w:rPr>
                    <w:t>食品制造业；</w:t>
                  </w:r>
                  <w:r>
                    <w:rPr>
                      <w:rFonts w:hint="default" w:ascii="Times New Roman" w:hAnsi="Times New Roman" w:eastAsia="宋体" w:cs="Times New Roman"/>
                      <w:color w:val="000000"/>
                      <w:kern w:val="2"/>
                      <w:sz w:val="21"/>
                      <w:szCs w:val="21"/>
                      <w:u w:val="none" w:color="auto"/>
                      <w:lang w:val="en-US" w:eastAsia="zh-CN" w:bidi="ar"/>
                    </w:rPr>
                    <w:t>C21</w:t>
                  </w:r>
                  <w:r>
                    <w:rPr>
                      <w:rFonts w:hint="eastAsia" w:ascii="宋体" w:hAnsi="宋体" w:eastAsia="宋体" w:cs="宋体"/>
                      <w:color w:val="000000"/>
                      <w:kern w:val="2"/>
                      <w:sz w:val="21"/>
                      <w:szCs w:val="21"/>
                      <w:u w:val="none" w:color="auto"/>
                      <w:lang w:val="en-US" w:eastAsia="zh-CN" w:bidi="ar"/>
                    </w:rPr>
                    <w:t>家具制造业；</w:t>
                  </w:r>
                  <w:r>
                    <w:rPr>
                      <w:rFonts w:hint="default" w:ascii="Times New Roman" w:hAnsi="Times New Roman" w:eastAsia="宋体" w:cs="Times New Roman"/>
                      <w:color w:val="000000"/>
                      <w:kern w:val="2"/>
                      <w:sz w:val="21"/>
                      <w:szCs w:val="21"/>
                      <w:u w:val="none" w:color="auto"/>
                      <w:lang w:val="en-US" w:eastAsia="zh-CN" w:bidi="ar"/>
                    </w:rPr>
                    <w:t>C33</w:t>
                  </w:r>
                  <w:r>
                    <w:rPr>
                      <w:rFonts w:hint="eastAsia" w:ascii="宋体" w:hAnsi="宋体" w:eastAsia="宋体" w:cs="宋体"/>
                      <w:color w:val="000000"/>
                      <w:kern w:val="2"/>
                      <w:sz w:val="21"/>
                      <w:szCs w:val="21"/>
                      <w:u w:val="none" w:color="auto"/>
                      <w:lang w:val="en-US" w:eastAsia="zh-CN" w:bidi="ar"/>
                    </w:rPr>
                    <w:t>金属制品业、</w:t>
                  </w:r>
                  <w:r>
                    <w:rPr>
                      <w:rFonts w:hint="default" w:ascii="Times New Roman" w:hAnsi="Times New Roman" w:eastAsia="宋体" w:cs="Times New Roman"/>
                      <w:color w:val="000000"/>
                      <w:kern w:val="2"/>
                      <w:sz w:val="21"/>
                      <w:szCs w:val="21"/>
                      <w:u w:val="none" w:color="auto"/>
                      <w:lang w:val="en-US" w:eastAsia="zh-CN" w:bidi="ar"/>
                    </w:rPr>
                    <w:t>C34</w:t>
                  </w:r>
                  <w:r>
                    <w:rPr>
                      <w:rFonts w:hint="eastAsia" w:ascii="宋体" w:hAnsi="宋体" w:eastAsia="宋体" w:cs="宋体"/>
                      <w:color w:val="000000"/>
                      <w:kern w:val="2"/>
                      <w:sz w:val="21"/>
                      <w:szCs w:val="21"/>
                      <w:u w:val="none" w:color="auto"/>
                      <w:lang w:val="en-US" w:eastAsia="zh-CN" w:bidi="ar"/>
                    </w:rPr>
                    <w:t>通用设备制造业、</w:t>
                  </w:r>
                  <w:r>
                    <w:rPr>
                      <w:rFonts w:hint="default" w:ascii="Times New Roman" w:hAnsi="Times New Roman" w:eastAsia="宋体" w:cs="Times New Roman"/>
                      <w:color w:val="000000"/>
                      <w:kern w:val="2"/>
                      <w:sz w:val="21"/>
                      <w:szCs w:val="21"/>
                      <w:u w:val="none" w:color="auto"/>
                      <w:lang w:val="en-US" w:eastAsia="zh-CN" w:bidi="ar"/>
                    </w:rPr>
                    <w:t>C35</w:t>
                  </w:r>
                  <w:r>
                    <w:rPr>
                      <w:rFonts w:hint="eastAsia" w:ascii="宋体" w:hAnsi="宋体" w:eastAsia="宋体" w:cs="宋体"/>
                      <w:color w:val="000000"/>
                      <w:kern w:val="2"/>
                      <w:sz w:val="21"/>
                      <w:szCs w:val="21"/>
                      <w:u w:val="none" w:color="auto"/>
                      <w:lang w:val="en-US" w:eastAsia="zh-CN" w:bidi="ar"/>
                    </w:rPr>
                    <w:t>专用设备制造业，</w:t>
                  </w:r>
                  <w:r>
                    <w:rPr>
                      <w:rFonts w:hint="default" w:ascii="Times New Roman" w:hAnsi="Times New Roman" w:eastAsia="宋体" w:cs="Times New Roman"/>
                      <w:color w:val="000000"/>
                      <w:kern w:val="2"/>
                      <w:sz w:val="21"/>
                      <w:szCs w:val="21"/>
                      <w:u w:val="none" w:color="auto"/>
                      <w:lang w:val="en-US" w:eastAsia="zh-CN" w:bidi="ar"/>
                    </w:rPr>
                    <w:t>C36</w:t>
                  </w:r>
                  <w:r>
                    <w:rPr>
                      <w:rFonts w:hint="eastAsia" w:ascii="宋体" w:hAnsi="宋体" w:eastAsia="宋体" w:cs="宋体"/>
                      <w:color w:val="000000"/>
                      <w:kern w:val="2"/>
                      <w:sz w:val="21"/>
                      <w:szCs w:val="21"/>
                      <w:u w:val="none" w:color="auto"/>
                      <w:lang w:val="en-US" w:eastAsia="zh-CN" w:bidi="ar"/>
                    </w:rPr>
                    <w:t>汽车制造业、</w:t>
                  </w:r>
                  <w:r>
                    <w:rPr>
                      <w:rFonts w:hint="default" w:ascii="Times New Roman" w:hAnsi="Times New Roman" w:eastAsia="宋体" w:cs="Times New Roman"/>
                      <w:color w:val="000000"/>
                      <w:kern w:val="2"/>
                      <w:sz w:val="21"/>
                      <w:szCs w:val="21"/>
                      <w:u w:val="none" w:color="auto"/>
                      <w:lang w:val="en-US" w:eastAsia="zh-CN" w:bidi="ar"/>
                    </w:rPr>
                    <w:t>C37</w:t>
                  </w:r>
                  <w:r>
                    <w:rPr>
                      <w:rFonts w:hint="eastAsia" w:ascii="宋体" w:hAnsi="宋体" w:eastAsia="宋体" w:cs="宋体"/>
                      <w:color w:val="000000"/>
                      <w:kern w:val="2"/>
                      <w:sz w:val="21"/>
                      <w:szCs w:val="21"/>
                      <w:u w:val="none" w:color="auto"/>
                      <w:lang w:val="en-US" w:eastAsia="zh-CN" w:bidi="ar"/>
                    </w:rPr>
                    <w:t>铁路、船舶、航空航天和其他运输设备制造业、</w:t>
                  </w:r>
                  <w:r>
                    <w:rPr>
                      <w:rFonts w:hint="default" w:ascii="Times New Roman" w:hAnsi="Times New Roman" w:eastAsia="宋体" w:cs="Times New Roman"/>
                      <w:color w:val="000000"/>
                      <w:kern w:val="2"/>
                      <w:sz w:val="21"/>
                      <w:szCs w:val="21"/>
                      <w:u w:val="none" w:color="auto"/>
                      <w:lang w:val="en-US" w:eastAsia="zh-CN" w:bidi="ar"/>
                    </w:rPr>
                    <w:t>C38</w:t>
                  </w:r>
                  <w:r>
                    <w:rPr>
                      <w:rFonts w:hint="eastAsia" w:ascii="宋体" w:hAnsi="宋体" w:eastAsia="宋体" w:cs="宋体"/>
                      <w:color w:val="000000"/>
                      <w:kern w:val="2"/>
                      <w:sz w:val="21"/>
                      <w:szCs w:val="21"/>
                      <w:u w:val="none" w:color="auto"/>
                      <w:lang w:val="en-US" w:eastAsia="zh-CN" w:bidi="ar"/>
                    </w:rPr>
                    <w:t>电气机械和器材制造业；</w:t>
                  </w:r>
                  <w:r>
                    <w:rPr>
                      <w:rFonts w:hint="default" w:ascii="Times New Roman" w:hAnsi="Times New Roman" w:eastAsia="宋体" w:cs="Times New Roman"/>
                      <w:color w:val="000000"/>
                      <w:kern w:val="2"/>
                      <w:sz w:val="21"/>
                      <w:szCs w:val="21"/>
                      <w:u w:val="none" w:color="auto"/>
                      <w:lang w:val="en-US" w:eastAsia="zh-CN" w:bidi="ar"/>
                    </w:rPr>
                    <w:t>C39</w:t>
                  </w:r>
                  <w:r>
                    <w:rPr>
                      <w:rFonts w:hint="eastAsia" w:ascii="宋体" w:hAnsi="宋体" w:eastAsia="宋体" w:cs="宋体"/>
                      <w:color w:val="000000"/>
                      <w:kern w:val="2"/>
                      <w:sz w:val="21"/>
                      <w:szCs w:val="21"/>
                      <w:u w:val="none" w:color="auto"/>
                      <w:lang w:val="en-US" w:eastAsia="zh-CN" w:bidi="ar"/>
                    </w:rPr>
                    <w:t>计算机、通信和其他电子设备制造业。</w:t>
                  </w:r>
                </w:p>
              </w:tc>
              <w:tc>
                <w:tcPr>
                  <w:tcW w:w="1017" w:type="dxa"/>
                  <w:vMerge w:val="restart"/>
                  <w:tcBorders>
                    <w:top w:val="nil"/>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洋沙湖片区其他区域产业定位。片区周边有较多居住区、邻近洋沙湖</w:t>
                  </w:r>
                  <w:r>
                    <w:rPr>
                      <w:rFonts w:hint="default" w:ascii="Times New Roman" w:hAnsi="Times New Roman" w:eastAsia="宋体" w:cs="Times New Roman"/>
                      <w:color w:val="000000"/>
                      <w:kern w:val="2"/>
                      <w:sz w:val="21"/>
                      <w:szCs w:val="21"/>
                      <w:u w:val="none" w:color="auto"/>
                      <w:lang w:val="en-US" w:eastAsia="zh-CN" w:bidi="ar"/>
                    </w:rPr>
                    <w:t>-</w:t>
                  </w:r>
                  <w:r>
                    <w:rPr>
                      <w:rFonts w:hint="eastAsia" w:ascii="宋体" w:hAnsi="宋体" w:eastAsia="宋体" w:cs="宋体"/>
                      <w:color w:val="000000"/>
                      <w:kern w:val="2"/>
                      <w:sz w:val="21"/>
                      <w:szCs w:val="21"/>
                      <w:u w:val="none" w:color="auto"/>
                      <w:lang w:val="en-US" w:eastAsia="zh-CN" w:bidi="ar"/>
                    </w:rPr>
                    <w:t>东湖国家湿地公园休闲旅游区、《洞庭湖保护条例》，因此在此区域禁止建设重气型重污染项目</w:t>
                  </w:r>
                </w:p>
              </w:tc>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keepNext w:val="0"/>
                    <w:keepLines w:val="0"/>
                    <w:widowControl w:val="0"/>
                    <w:suppressLineNumbers w:val="0"/>
                    <w:autoSpaceDE w:val="0"/>
                    <w:autoSpaceDN/>
                    <w:spacing w:line="240" w:lineRule="auto"/>
                    <w:ind w:left="0" w:firstLine="0" w:firstLineChars="0"/>
                    <w:jc w:val="both"/>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rPr>
                    <w:t>项目于湘阴高新区洋沙湖片区，属</w:t>
                  </w:r>
                  <w:r>
                    <w:rPr>
                      <w:rFonts w:hint="default" w:ascii="Times New Roman" w:hAnsi="Times New Roman" w:eastAsia="宋体" w:cs="Times New Roman"/>
                      <w:color w:val="000000"/>
                      <w:kern w:val="2"/>
                      <w:sz w:val="21"/>
                      <w:szCs w:val="21"/>
                      <w:u w:val="none" w:color="auto"/>
                    </w:rPr>
                    <w:t>于</w:t>
                  </w:r>
                  <w:r>
                    <w:rPr>
                      <w:rFonts w:hint="default" w:ascii="Times New Roman" w:hAnsi="Times New Roman" w:eastAsia="宋体" w:cs="Times New Roman"/>
                      <w:color w:val="000000"/>
                      <w:kern w:val="2"/>
                      <w:sz w:val="21"/>
                      <w:szCs w:val="21"/>
                      <w:u w:val="none" w:color="auto"/>
                      <w:lang w:eastAsia="zh-CN"/>
                    </w:rPr>
                    <w:t>C2921塑料薄膜制造</w:t>
                  </w:r>
                  <w:r>
                    <w:rPr>
                      <w:rFonts w:hint="default" w:ascii="Times New Roman" w:hAnsi="Times New Roman" w:cs="Times New Roman"/>
                      <w:color w:val="000000"/>
                      <w:kern w:val="2"/>
                      <w:sz w:val="21"/>
                      <w:szCs w:val="21"/>
                      <w:u w:val="none" w:color="auto"/>
                      <w:lang w:eastAsia="zh-CN"/>
                    </w:rPr>
                    <w:t>，</w:t>
                  </w:r>
                  <w:r>
                    <w:rPr>
                      <w:rFonts w:hint="default" w:ascii="Times New Roman" w:hAnsi="Times New Roman" w:eastAsia="宋体" w:cs="Times New Roman"/>
                      <w:color w:val="000000"/>
                      <w:kern w:val="0"/>
                      <w:sz w:val="21"/>
                      <w:szCs w:val="21"/>
                      <w:u w:val="none" w:color="auto"/>
                      <w:lang w:val="en-US" w:eastAsia="zh-CN" w:bidi="ar"/>
                    </w:rPr>
                    <w:t>经查在《产业结构调整指导目录》（2024版）中</w:t>
                  </w:r>
                  <w:r>
                    <w:rPr>
                      <w:rFonts w:hint="eastAsia" w:ascii="宋体" w:hAnsi="宋体" w:eastAsia="宋体" w:cs="宋体"/>
                      <w:color w:val="000000"/>
                      <w:kern w:val="0"/>
                      <w:sz w:val="21"/>
                      <w:szCs w:val="21"/>
                      <w:u w:val="none" w:color="auto"/>
                      <w:lang w:val="en-US" w:eastAsia="zh-CN" w:bidi="ar"/>
                    </w:rPr>
                    <w:t>，属于允许类项目</w:t>
                  </w:r>
                  <w:r>
                    <w:rPr>
                      <w:rFonts w:hint="eastAsia"/>
                      <w:color w:val="auto"/>
                      <w:u w:val="none" w:color="auto"/>
                      <w:vertAlign w:val="baseline"/>
                      <w:lang w:val="en-US" w:eastAsia="zh-CN"/>
                    </w:rPr>
                    <w:t>，</w:t>
                  </w:r>
                  <w:r>
                    <w:rPr>
                      <w:rFonts w:hint="eastAsia" w:ascii="宋体" w:hAnsi="宋体" w:eastAsia="宋体" w:cs="宋体"/>
                      <w:color w:val="000000"/>
                      <w:kern w:val="2"/>
                      <w:sz w:val="21"/>
                      <w:szCs w:val="21"/>
                      <w:u w:val="none" w:color="auto"/>
                    </w:rPr>
                    <w:t>不属于湖南湘阴高新技术产业开发区限制类及禁止类生产企业，符合园区产业规划要求。</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2" w:hRule="atLeast"/>
                <w:jc w:val="center"/>
              </w:trPr>
              <w:tc>
                <w:tcPr>
                  <w:tcW w:w="37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default" w:ascii="Times New Roman" w:hAnsi="Times New Roman" w:cs="Times New Roman"/>
                      <w:sz w:val="21"/>
                      <w:szCs w:val="21"/>
                      <w:u w:val="none" w:color="auto"/>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限制类</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涉及挥发性有机物排放较大的喷漆、家具制造等行业；使用油性涂料且用量较大的项目；严格控制重金属类污染物和持久性有机污染物等有毒有害物质排放的项目。</w:t>
                  </w:r>
                </w:p>
              </w:tc>
              <w:tc>
                <w:tcPr>
                  <w:tcW w:w="101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default" w:ascii="Times New Roman" w:hAnsi="Times New Roman" w:cs="Times New Roman"/>
                      <w:sz w:val="21"/>
                      <w:szCs w:val="21"/>
                      <w:u w:val="none" w:color="auto"/>
                    </w:rPr>
                  </w:pPr>
                </w:p>
              </w:tc>
              <w:tc>
                <w:tcPr>
                  <w:tcW w:w="2689" w:type="dxa"/>
                  <w:tcBorders>
                    <w:top w:val="single" w:color="auto" w:sz="4" w:space="0"/>
                    <w:left w:val="single" w:color="auto" w:sz="4" w:space="0"/>
                    <w:bottom w:val="single" w:color="auto" w:sz="4" w:space="0"/>
                    <w:right w:val="single" w:color="auto" w:sz="4" w:space="0"/>
                  </w:tcBorders>
                  <w:shd w:val="clear" w:color="auto" w:fill="auto"/>
                  <w:vAlign w:val="top"/>
                </w:tcPr>
                <w:p>
                  <w:pPr>
                    <w:pStyle w:val="2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both"/>
                    <w:textAlignment w:val="auto"/>
                    <w:rPr>
                      <w:rFonts w:hint="eastAsia" w:ascii="Times New Roman" w:hAnsi="Times New Roman" w:eastAsia="宋体" w:cs="Times New Roman"/>
                      <w:color w:val="000000"/>
                      <w:kern w:val="2"/>
                      <w:sz w:val="21"/>
                      <w:szCs w:val="21"/>
                      <w:u w:val="none" w:color="auto"/>
                      <w:lang w:eastAsia="zh-CN"/>
                    </w:rPr>
                  </w:pPr>
                  <w:r>
                    <w:rPr>
                      <w:rFonts w:hint="eastAsia" w:ascii="宋体" w:hAnsi="宋体" w:eastAsia="宋体" w:cs="宋体"/>
                      <w:color w:val="000000"/>
                      <w:kern w:val="2"/>
                      <w:sz w:val="21"/>
                      <w:szCs w:val="21"/>
                      <w:u w:val="none" w:color="auto"/>
                      <w:lang w:val="en-US" w:eastAsia="zh-CN" w:bidi="ar"/>
                    </w:rPr>
                    <w:t>本项目属于</w:t>
                  </w:r>
                  <w:r>
                    <w:rPr>
                      <w:rFonts w:hint="eastAsia" w:ascii="Times New Roman" w:hAnsi="Times New Roman" w:eastAsia="宋体" w:cs="Times New Roman"/>
                      <w:color w:val="000000"/>
                      <w:kern w:val="2"/>
                      <w:sz w:val="21"/>
                      <w:szCs w:val="21"/>
                      <w:u w:val="none" w:color="auto"/>
                      <w:lang w:val="en-US" w:eastAsia="zh-CN" w:bidi="ar"/>
                    </w:rPr>
                    <w:t>C2921塑料薄膜制造</w:t>
                  </w:r>
                  <w:r>
                    <w:rPr>
                      <w:rFonts w:hint="eastAsia" w:ascii="宋体" w:hAnsi="宋体" w:eastAsia="宋体" w:cs="宋体"/>
                      <w:color w:val="000000"/>
                      <w:kern w:val="2"/>
                      <w:sz w:val="21"/>
                      <w:szCs w:val="21"/>
                      <w:u w:val="none" w:color="auto"/>
                      <w:lang w:val="en-US" w:eastAsia="zh-CN" w:bidi="ar"/>
                    </w:rPr>
                    <w:t>，采</w:t>
                  </w:r>
                  <w:r>
                    <w:rPr>
                      <w:rFonts w:hint="eastAsia" w:ascii="Times New Roman" w:hAnsi="Times New Roman" w:eastAsia="宋体" w:cs="Times New Roman"/>
                      <w:color w:val="000000"/>
                      <w:kern w:val="2"/>
                      <w:sz w:val="21"/>
                      <w:szCs w:val="21"/>
                      <w:u w:val="none" w:color="auto"/>
                      <w:lang w:val="en-US" w:eastAsia="zh-CN" w:bidi="ar"/>
                    </w:rPr>
                    <w:t>用低VOCs水性涂料进行涂布，不属于涉及挥发</w:t>
                  </w:r>
                  <w:r>
                    <w:rPr>
                      <w:rFonts w:hint="eastAsia" w:ascii="宋体" w:hAnsi="宋体" w:eastAsia="宋体" w:cs="宋体"/>
                      <w:color w:val="000000"/>
                      <w:kern w:val="2"/>
                      <w:sz w:val="21"/>
                      <w:szCs w:val="21"/>
                      <w:u w:val="none" w:color="auto"/>
                      <w:lang w:val="en-US" w:eastAsia="zh-CN" w:bidi="ar"/>
                    </w:rPr>
                    <w:t>性有机物排放较大的喷漆、家具制造等行业</w:t>
                  </w:r>
                  <w:r>
                    <w:rPr>
                      <w:rFonts w:hint="eastAsia" w:ascii="宋体" w:hAnsi="宋体" w:cs="宋体"/>
                      <w:color w:val="000000"/>
                      <w:kern w:val="2"/>
                      <w:sz w:val="21"/>
                      <w:szCs w:val="21"/>
                      <w:u w:val="none" w:color="auto"/>
                      <w:lang w:val="en-US" w:eastAsia="zh-CN" w:bidi="ar"/>
                    </w:rPr>
                    <w:t>；</w:t>
                  </w:r>
                  <w:r>
                    <w:rPr>
                      <w:rFonts w:hint="eastAsia" w:ascii="宋体" w:hAnsi="宋体" w:cs="宋体"/>
                      <w:color w:val="000000"/>
                      <w:kern w:val="2"/>
                      <w:sz w:val="21"/>
                      <w:szCs w:val="21"/>
                      <w:u w:val="none" w:color="auto"/>
                      <w:lang w:val="en-US" w:eastAsia="zh-CN"/>
                    </w:rPr>
                    <w:t>本</w:t>
                  </w:r>
                  <w:r>
                    <w:rPr>
                      <w:rFonts w:hint="eastAsia" w:ascii="宋体" w:hAnsi="宋体" w:eastAsia="宋体" w:cs="宋体"/>
                      <w:color w:val="000000"/>
                      <w:kern w:val="2"/>
                      <w:sz w:val="21"/>
                      <w:szCs w:val="21"/>
                      <w:u w:val="none" w:color="auto"/>
                    </w:rPr>
                    <w:t>项目</w:t>
                  </w:r>
                  <w:r>
                    <w:rPr>
                      <w:rFonts w:hint="eastAsia" w:ascii="Times New Roman" w:hAnsi="Times New Roman" w:eastAsia="宋体" w:cs="Times New Roman"/>
                      <w:color w:val="000000"/>
                      <w:kern w:val="2"/>
                      <w:sz w:val="21"/>
                      <w:szCs w:val="21"/>
                      <w:u w:val="none" w:color="auto"/>
                      <w:lang w:val="en-US" w:eastAsia="zh-CN" w:bidi="ar"/>
                    </w:rPr>
                    <w:t>有机废气主要为涂布烘干工序，通过二级活性炭处理后通过一根15m高排气筒DA001排放。针对</w:t>
                  </w:r>
                  <w:r>
                    <w:rPr>
                      <w:rFonts w:hint="eastAsia" w:ascii="宋体" w:hAnsi="宋体" w:eastAsia="宋体" w:cs="宋体"/>
                      <w:color w:val="000000"/>
                      <w:kern w:val="2"/>
                      <w:sz w:val="21"/>
                      <w:szCs w:val="21"/>
                      <w:u w:val="none" w:color="auto"/>
                    </w:rPr>
                    <w:t>无组织</w:t>
                  </w:r>
                  <w:r>
                    <w:rPr>
                      <w:rFonts w:hint="default" w:ascii="Times New Roman" w:hAnsi="Times New Roman" w:eastAsia="宋体" w:cs="Times New Roman"/>
                      <w:color w:val="000000"/>
                      <w:kern w:val="2"/>
                      <w:sz w:val="21"/>
                      <w:szCs w:val="21"/>
                      <w:u w:val="none" w:color="auto"/>
                    </w:rPr>
                    <w:t>VOCs，加强生产区域的密闭管理等措施</w:t>
                  </w:r>
                  <w:r>
                    <w:rPr>
                      <w:rFonts w:hint="eastAsia" w:cs="Times New Roman"/>
                      <w:color w:val="000000"/>
                      <w:kern w:val="2"/>
                      <w:sz w:val="21"/>
                      <w:szCs w:val="21"/>
                      <w:u w:val="none" w:color="auto"/>
                      <w:lang w:eastAsia="zh-CN"/>
                    </w:rPr>
                    <w:t>。</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7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default" w:ascii="Times New Roman" w:hAnsi="Times New Roman" w:cs="Times New Roman"/>
                      <w:sz w:val="21"/>
                      <w:szCs w:val="21"/>
                      <w:u w:val="none" w:color="auto"/>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禁止类</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禁止建设印刷线路板项目：禁止引入化工、平板玻璃、水泥、烧结砖瓦、陶瓷制品项目；</w:t>
                  </w:r>
                  <w:r>
                    <w:rPr>
                      <w:rFonts w:hint="default" w:ascii="Times New Roman" w:hAnsi="Times New Roman" w:eastAsia="宋体" w:cs="Times New Roman"/>
                      <w:color w:val="000000"/>
                      <w:kern w:val="2"/>
                      <w:sz w:val="21"/>
                      <w:szCs w:val="21"/>
                      <w:u w:val="none" w:color="auto"/>
                      <w:lang w:val="en-US" w:eastAsia="zh-CN" w:bidi="ar"/>
                    </w:rPr>
                    <w:t>C271</w:t>
                  </w:r>
                  <w:r>
                    <w:rPr>
                      <w:rFonts w:hint="eastAsia" w:ascii="宋体" w:hAnsi="宋体" w:eastAsia="宋体" w:cs="宋体"/>
                      <w:color w:val="000000"/>
                      <w:kern w:val="2"/>
                      <w:sz w:val="21"/>
                      <w:szCs w:val="21"/>
                      <w:u w:val="none" w:color="auto"/>
                      <w:lang w:val="en-US" w:eastAsia="zh-CN" w:bidi="ar"/>
                    </w:rPr>
                    <w:t>化学药品原料药制造；</w:t>
                  </w:r>
                  <w:r>
                    <w:rPr>
                      <w:rFonts w:hint="default" w:ascii="Times New Roman" w:hAnsi="Times New Roman" w:eastAsia="宋体" w:cs="Times New Roman"/>
                      <w:color w:val="000000"/>
                      <w:kern w:val="2"/>
                      <w:sz w:val="21"/>
                      <w:szCs w:val="21"/>
                      <w:u w:val="none" w:color="auto"/>
                      <w:lang w:val="en-US" w:eastAsia="zh-CN" w:bidi="ar"/>
                    </w:rPr>
                    <w:t>C31</w:t>
                  </w:r>
                  <w:r>
                    <w:rPr>
                      <w:rFonts w:hint="eastAsia" w:ascii="宋体" w:hAnsi="宋体" w:eastAsia="宋体" w:cs="宋体"/>
                      <w:color w:val="000000"/>
                      <w:kern w:val="2"/>
                      <w:sz w:val="21"/>
                      <w:szCs w:val="21"/>
                      <w:u w:val="none" w:color="auto"/>
                      <w:lang w:val="en-US" w:eastAsia="zh-CN" w:bidi="ar"/>
                    </w:rPr>
                    <w:t>黑色金属冶炼和压延加工业</w:t>
                  </w:r>
                  <w:r>
                    <w:rPr>
                      <w:rFonts w:hint="default" w:ascii="Times New Roman" w:hAnsi="Times New Roman" w:eastAsia="宋体" w:cs="Times New Roman"/>
                      <w:color w:val="000000"/>
                      <w:kern w:val="2"/>
                      <w:sz w:val="21"/>
                      <w:szCs w:val="21"/>
                      <w:u w:val="none" w:color="auto"/>
                      <w:lang w:val="en-US" w:eastAsia="zh-CN" w:bidi="ar"/>
                    </w:rPr>
                    <w:t>(C313</w:t>
                  </w:r>
                  <w:r>
                    <w:rPr>
                      <w:rFonts w:hint="eastAsia" w:ascii="宋体" w:hAnsi="宋体" w:eastAsia="宋体" w:cs="宋体"/>
                      <w:color w:val="000000"/>
                      <w:kern w:val="2"/>
                      <w:sz w:val="21"/>
                      <w:szCs w:val="21"/>
                      <w:u w:val="none" w:color="auto"/>
                      <w:lang w:val="en-US" w:eastAsia="zh-CN" w:bidi="ar"/>
                    </w:rPr>
                    <w:t>钢压延加工除外</w:t>
                  </w:r>
                  <w:r>
                    <w:rPr>
                      <w:rFonts w:hint="default" w:ascii="Times New Roman" w:hAnsi="Times New Roman" w:eastAsia="宋体" w:cs="Times New Roman"/>
                      <w:color w:val="000000"/>
                      <w:kern w:val="2"/>
                      <w:sz w:val="21"/>
                      <w:szCs w:val="21"/>
                      <w:u w:val="none" w:color="auto"/>
                      <w:lang w:val="en-US" w:eastAsia="zh-CN" w:bidi="ar"/>
                    </w:rPr>
                    <w:t>)</w:t>
                  </w:r>
                  <w:r>
                    <w:rPr>
                      <w:rFonts w:hint="eastAsia" w:ascii="宋体" w:hAnsi="宋体" w:eastAsia="宋体" w:cs="宋体"/>
                      <w:color w:val="000000"/>
                      <w:kern w:val="2"/>
                      <w:sz w:val="21"/>
                      <w:szCs w:val="21"/>
                      <w:u w:val="none" w:color="auto"/>
                      <w:lang w:val="en-US" w:eastAsia="zh-CN" w:bidi="ar"/>
                    </w:rPr>
                    <w:t>、</w:t>
                  </w:r>
                  <w:r>
                    <w:rPr>
                      <w:rFonts w:hint="default" w:ascii="Times New Roman" w:hAnsi="Times New Roman" w:eastAsia="宋体" w:cs="Times New Roman"/>
                      <w:color w:val="000000"/>
                      <w:kern w:val="2"/>
                      <w:sz w:val="21"/>
                      <w:szCs w:val="21"/>
                      <w:u w:val="none" w:color="auto"/>
                      <w:lang w:val="en-US" w:eastAsia="zh-CN" w:bidi="ar"/>
                    </w:rPr>
                    <w:t>C32</w:t>
                  </w:r>
                  <w:r>
                    <w:rPr>
                      <w:rFonts w:hint="eastAsia" w:ascii="宋体" w:hAnsi="宋体" w:eastAsia="宋体" w:cs="宋体"/>
                      <w:color w:val="000000"/>
                      <w:kern w:val="2"/>
                      <w:sz w:val="21"/>
                      <w:szCs w:val="21"/>
                      <w:u w:val="none" w:color="auto"/>
                      <w:lang w:val="en-US" w:eastAsia="zh-CN" w:bidi="ar"/>
                    </w:rPr>
                    <w:t>有色金属冶炼和压延加工业</w:t>
                  </w:r>
                  <w:r>
                    <w:rPr>
                      <w:rFonts w:hint="default" w:ascii="Times New Roman" w:hAnsi="Times New Roman" w:eastAsia="宋体" w:cs="Times New Roman"/>
                      <w:color w:val="000000"/>
                      <w:kern w:val="2"/>
                      <w:sz w:val="21"/>
                      <w:szCs w:val="21"/>
                      <w:u w:val="none" w:color="auto"/>
                      <w:lang w:val="en-US" w:eastAsia="zh-CN" w:bidi="ar"/>
                    </w:rPr>
                    <w:t>(C325</w:t>
                  </w:r>
                  <w:r>
                    <w:rPr>
                      <w:rFonts w:hint="eastAsia" w:ascii="宋体" w:hAnsi="宋体" w:eastAsia="宋体" w:cs="宋体"/>
                      <w:color w:val="000000"/>
                      <w:kern w:val="2"/>
                      <w:sz w:val="21"/>
                      <w:szCs w:val="21"/>
                      <w:u w:val="none" w:color="auto"/>
                      <w:lang w:val="en-US" w:eastAsia="zh-CN" w:bidi="ar"/>
                    </w:rPr>
                    <w:t>有色金属压延加工除外</w:t>
                  </w:r>
                  <w:r>
                    <w:rPr>
                      <w:rFonts w:hint="default" w:ascii="Times New Roman" w:hAnsi="Times New Roman" w:eastAsia="宋体" w:cs="Times New Roman"/>
                      <w:color w:val="000000"/>
                      <w:kern w:val="2"/>
                      <w:sz w:val="21"/>
                      <w:szCs w:val="21"/>
                      <w:u w:val="none" w:color="auto"/>
                      <w:lang w:val="en-US" w:eastAsia="zh-CN" w:bidi="ar"/>
                    </w:rPr>
                    <w:t>)</w:t>
                  </w:r>
                  <w:r>
                    <w:rPr>
                      <w:rFonts w:hint="eastAsia" w:ascii="宋体" w:hAnsi="宋体" w:eastAsia="宋体" w:cs="宋体"/>
                      <w:color w:val="000000"/>
                      <w:kern w:val="2"/>
                      <w:sz w:val="21"/>
                      <w:szCs w:val="21"/>
                      <w:u w:val="none" w:color="auto"/>
                      <w:lang w:val="en-US" w:eastAsia="zh-CN" w:bidi="ar"/>
                    </w:rPr>
                    <w:t>。</w:t>
                  </w:r>
                </w:p>
              </w:tc>
              <w:tc>
                <w:tcPr>
                  <w:tcW w:w="101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default" w:ascii="Times New Roman" w:hAnsi="Times New Roman" w:cs="Times New Roman"/>
                      <w:sz w:val="21"/>
                      <w:szCs w:val="21"/>
                      <w:u w:val="none" w:color="auto"/>
                    </w:rPr>
                  </w:pPr>
                </w:p>
              </w:tc>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本项目属于</w:t>
                  </w:r>
                  <w:r>
                    <w:rPr>
                      <w:rFonts w:hint="eastAsia" w:ascii="Times New Roman" w:hAnsi="Times New Roman" w:eastAsia="宋体" w:cs="Times New Roman"/>
                      <w:color w:val="000000"/>
                      <w:kern w:val="2"/>
                      <w:sz w:val="21"/>
                      <w:szCs w:val="21"/>
                      <w:u w:val="none" w:color="auto"/>
                      <w:lang w:val="en-US" w:eastAsia="zh-CN" w:bidi="ar"/>
                    </w:rPr>
                    <w:t>C2921塑料薄膜制造</w:t>
                  </w:r>
                  <w:r>
                    <w:rPr>
                      <w:rFonts w:hint="eastAsia" w:ascii="宋体" w:hAnsi="宋体" w:eastAsia="宋体" w:cs="宋体"/>
                      <w:color w:val="000000"/>
                      <w:kern w:val="2"/>
                      <w:sz w:val="21"/>
                      <w:szCs w:val="21"/>
                      <w:u w:val="none" w:color="auto"/>
                      <w:lang w:val="en-US" w:eastAsia="zh-CN" w:bidi="ar"/>
                    </w:rPr>
                    <w:t>，不属于园区禁止类项目。</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autoSpaceDE w:val="0"/>
                    <w:autoSpaceDN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color w:val="000000"/>
                      <w:kern w:val="2"/>
                      <w:sz w:val="21"/>
                      <w:szCs w:val="21"/>
                      <w:u w:val="none" w:color="auto"/>
                    </w:rPr>
                  </w:pPr>
                  <w:r>
                    <w:rPr>
                      <w:rFonts w:hint="eastAsia" w:ascii="宋体" w:hAnsi="宋体" w:eastAsia="宋体" w:cs="宋体"/>
                      <w:color w:val="000000"/>
                      <w:kern w:val="2"/>
                      <w:sz w:val="21"/>
                      <w:szCs w:val="21"/>
                      <w:u w:val="none" w:color="auto"/>
                      <w:lang w:val="en-US" w:eastAsia="zh-CN" w:bidi="ar"/>
                    </w:rPr>
                    <w:t>符合</w:t>
                  </w:r>
                </w:p>
              </w:tc>
            </w:tr>
          </w:tbl>
          <w:p>
            <w:pPr>
              <w:tabs>
                <w:tab w:val="left" w:pos="3705"/>
                <w:tab w:val="left" w:pos="4680"/>
              </w:tabs>
              <w:ind w:firstLine="480"/>
              <w:rPr>
                <w:color w:val="000000"/>
                <w:u w:val="none"/>
              </w:rPr>
            </w:pPr>
            <w:r>
              <w:rPr>
                <w:rFonts w:hint="eastAsia"/>
                <w:color w:val="000000"/>
                <w:u w:val="none"/>
              </w:rPr>
              <w:t>综合上表，本项目与湘阴高新区生态环境准入行业清单相符。</w:t>
            </w:r>
          </w:p>
          <w:p>
            <w:pPr>
              <w:ind w:firstLine="480"/>
              <w:rPr>
                <w:u w:val="none"/>
              </w:rPr>
            </w:pPr>
            <w:r>
              <w:rPr>
                <w:rFonts w:hint="eastAsia"/>
                <w:u w:val="none"/>
              </w:rPr>
              <w:t>3、国家产业政策符合性分析</w:t>
            </w:r>
          </w:p>
          <w:p>
            <w:pPr>
              <w:ind w:firstLine="480"/>
              <w:rPr>
                <w:u w:val="none"/>
              </w:rPr>
            </w:pPr>
            <w:r>
              <w:rPr>
                <w:u w:val="none"/>
              </w:rPr>
              <w:t>根据《国民经济行业分类》（GB/T4754-2017）分类，本项目属于</w:t>
            </w:r>
            <w:r>
              <w:rPr>
                <w:rFonts w:hint="eastAsia"/>
                <w:u w:val="none"/>
              </w:rPr>
              <w:t>“</w:t>
            </w:r>
            <w:r>
              <w:rPr>
                <w:rFonts w:hint="eastAsia"/>
                <w:u w:val="none"/>
                <w:lang w:eastAsia="zh-CN"/>
              </w:rPr>
              <w:t>C2921塑料薄膜制造</w:t>
            </w:r>
            <w:r>
              <w:rPr>
                <w:rFonts w:hint="eastAsia"/>
                <w:u w:val="none"/>
              </w:rPr>
              <w:t>”。</w:t>
            </w:r>
          </w:p>
          <w:p>
            <w:pPr>
              <w:ind w:firstLine="480"/>
              <w:rPr>
                <w:kern w:val="2"/>
                <w:szCs w:val="24"/>
                <w:u w:val="none"/>
              </w:rPr>
            </w:pPr>
            <w:r>
              <w:rPr>
                <w:rFonts w:hint="eastAsia"/>
                <w:u w:val="none"/>
              </w:rPr>
              <w:t>经查在《产业结构调整指导目录》（2024版）中，不属于该目录中限制和淘汰类，属于国家允许类投资项目；</w:t>
            </w:r>
            <w:r>
              <w:rPr>
                <w:rFonts w:hint="eastAsia"/>
                <w:kern w:val="2"/>
                <w:szCs w:val="24"/>
                <w:u w:val="none"/>
              </w:rPr>
              <w:t>本项目未纳入《市场准入负面清单（2025年版）》中。</w:t>
            </w:r>
            <w:r>
              <w:rPr>
                <w:rFonts w:hint="eastAsia"/>
                <w:u w:val="none"/>
              </w:rPr>
              <w:t>因此，符合产业政策的要求。</w:t>
            </w:r>
          </w:p>
          <w:p>
            <w:pPr>
              <w:ind w:firstLine="480"/>
              <w:rPr>
                <w:u w:val="none"/>
              </w:rPr>
            </w:pPr>
            <w:r>
              <w:rPr>
                <w:rFonts w:hint="eastAsia"/>
                <w:u w:val="none"/>
              </w:rPr>
              <w:t>4、与《岳阳市生态环境保护“十四五”规划（2021-2025）》的符合性分析</w:t>
            </w:r>
          </w:p>
          <w:p>
            <w:pPr>
              <w:pStyle w:val="36"/>
              <w:spacing w:line="240" w:lineRule="auto"/>
              <w:ind w:left="480"/>
              <w:rPr>
                <w:u w:val="none"/>
              </w:rPr>
            </w:pPr>
            <w:r>
              <w:rPr>
                <w:rFonts w:hint="eastAsia"/>
                <w:u w:val="none"/>
              </w:rPr>
              <w:t>表1-5与《岳阳市生态环境保护“十四五”规划（2021-2025）》符合性分析表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4057"/>
              <w:gridCol w:w="1750"/>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6" w:type="dxa"/>
                  <w:vAlign w:val="center"/>
                </w:tcPr>
                <w:p>
                  <w:pPr>
                    <w:pStyle w:val="37"/>
                    <w:ind w:left="0" w:leftChars="0"/>
                    <w:rPr>
                      <w:u w:val="none"/>
                    </w:rPr>
                  </w:pPr>
                  <w:r>
                    <w:rPr>
                      <w:u w:val="none"/>
                    </w:rPr>
                    <w:t>相关条款</w:t>
                  </w:r>
                </w:p>
              </w:tc>
              <w:tc>
                <w:tcPr>
                  <w:tcW w:w="4057" w:type="dxa"/>
                  <w:vAlign w:val="center"/>
                </w:tcPr>
                <w:p>
                  <w:pPr>
                    <w:pStyle w:val="37"/>
                    <w:ind w:left="0" w:leftChars="0"/>
                    <w:rPr>
                      <w:u w:val="none"/>
                    </w:rPr>
                  </w:pPr>
                  <w:r>
                    <w:rPr>
                      <w:u w:val="none"/>
                    </w:rPr>
                    <w:t>方案要求</w:t>
                  </w:r>
                </w:p>
              </w:tc>
              <w:tc>
                <w:tcPr>
                  <w:tcW w:w="1750" w:type="dxa"/>
                  <w:vAlign w:val="center"/>
                </w:tcPr>
                <w:p>
                  <w:pPr>
                    <w:pStyle w:val="37"/>
                    <w:ind w:left="0" w:leftChars="0"/>
                    <w:rPr>
                      <w:u w:val="none"/>
                    </w:rPr>
                  </w:pPr>
                  <w:r>
                    <w:rPr>
                      <w:u w:val="none"/>
                    </w:rPr>
                    <w:t>项目情况</w:t>
                  </w:r>
                </w:p>
              </w:tc>
              <w:tc>
                <w:tcPr>
                  <w:tcW w:w="977" w:type="dxa"/>
                  <w:vAlign w:val="center"/>
                </w:tcPr>
                <w:p>
                  <w:pPr>
                    <w:pStyle w:val="37"/>
                    <w:ind w:left="0" w:leftChars="0"/>
                    <w:rPr>
                      <w:u w:val="none"/>
                    </w:rPr>
                  </w:pPr>
                  <w:r>
                    <w:rPr>
                      <w:u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6" w:type="dxa"/>
                  <w:vAlign w:val="center"/>
                </w:tcPr>
                <w:p>
                  <w:pPr>
                    <w:pStyle w:val="37"/>
                    <w:ind w:left="0" w:leftChars="0"/>
                    <w:rPr>
                      <w:u w:val="none"/>
                    </w:rPr>
                  </w:pPr>
                  <w:r>
                    <w:rPr>
                      <w:u w:val="none"/>
                    </w:rPr>
                    <w:t>（二）深入打好污染防治攻坚战，持续改善环境质量</w:t>
                  </w:r>
                </w:p>
              </w:tc>
              <w:tc>
                <w:tcPr>
                  <w:tcW w:w="4057" w:type="dxa"/>
                  <w:vAlign w:val="center"/>
                </w:tcPr>
                <w:p>
                  <w:pPr>
                    <w:pStyle w:val="37"/>
                    <w:ind w:left="0" w:leftChars="0"/>
                    <w:jc w:val="both"/>
                    <w:rPr>
                      <w:u w:val="none"/>
                    </w:rPr>
                  </w:pPr>
                  <w:r>
                    <w:rPr>
                      <w:u w:val="none"/>
                    </w:rPr>
                    <w:t>根据企业原辅材料使用、污染排放控制设施、无组织排放收集措施、处置装置运行效果等方面，建立涉VOCs企业绩效分级管理机制，明确不同绩效企业差异化管控措施，确保稳定达到超低排放水平。</w:t>
                  </w:r>
                </w:p>
              </w:tc>
              <w:tc>
                <w:tcPr>
                  <w:tcW w:w="1750" w:type="dxa"/>
                  <w:vAlign w:val="center"/>
                </w:tcPr>
                <w:p>
                  <w:pPr>
                    <w:pStyle w:val="37"/>
                    <w:ind w:left="0" w:leftChars="0"/>
                    <w:jc w:val="both"/>
                    <w:rPr>
                      <w:u w:val="none"/>
                    </w:rPr>
                  </w:pPr>
                  <w:r>
                    <w:rPr>
                      <w:rFonts w:hint="eastAsia"/>
                      <w:color w:val="000000" w:themeColor="text1"/>
                      <w:u w:val="none"/>
                      <w14:textFill>
                        <w14:solidFill>
                          <w14:schemeClr w14:val="tx1"/>
                        </w14:solidFill>
                      </w14:textFill>
                    </w:rPr>
                    <w:t>项目采用低VOCs水性涂料进行涂布，涂布烘干工序产生的VOCs采用密闭负压收集后再经过二级活性炭处理后通过一根15m高排气筒DA001排放</w:t>
                  </w:r>
                </w:p>
              </w:tc>
              <w:tc>
                <w:tcPr>
                  <w:tcW w:w="977" w:type="dxa"/>
                  <w:vAlign w:val="center"/>
                </w:tcPr>
                <w:p>
                  <w:pPr>
                    <w:pStyle w:val="37"/>
                    <w:ind w:left="0" w:leftChars="0"/>
                    <w:rPr>
                      <w:u w:val="none"/>
                    </w:rPr>
                  </w:pPr>
                  <w:r>
                    <w:rPr>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6" w:type="dxa"/>
                  <w:vAlign w:val="center"/>
                </w:tcPr>
                <w:p>
                  <w:pPr>
                    <w:pStyle w:val="37"/>
                    <w:ind w:left="0" w:leftChars="0"/>
                    <w:rPr>
                      <w:u w:val="none"/>
                    </w:rPr>
                  </w:pPr>
                  <w:r>
                    <w:rPr>
                      <w:u w:val="none"/>
                    </w:rPr>
                    <w:t>（四）强化环境风险防范，严守环境安全底线</w:t>
                  </w:r>
                </w:p>
              </w:tc>
              <w:tc>
                <w:tcPr>
                  <w:tcW w:w="4057" w:type="dxa"/>
                  <w:vAlign w:val="center"/>
                </w:tcPr>
                <w:p>
                  <w:pPr>
                    <w:pStyle w:val="37"/>
                    <w:ind w:left="0" w:leftChars="0"/>
                    <w:jc w:val="both"/>
                    <w:rPr>
                      <w:u w:val="none"/>
                    </w:rPr>
                  </w:pPr>
                  <w:r>
                    <w:rPr>
                      <w:u w:val="none"/>
                    </w:rPr>
                    <w:t>控制工业固体废物产生、收集和贮存过程。强化岳阳市新建项目固废源头管理，对工业固体废物无法就近处置的项目从严把关审批。推进工业固体废物统一收运体系建设，建立健全小微产废企业工业危险废物及社会源危险废物统一收运体系、一般工业固体废物“五化”（精准化源头分类、专业化二次分拣、智能化高效清运、最大化资源利用、集中化统一处置）收运体系，实现存量固体废物“动态清零。</w:t>
                  </w:r>
                </w:p>
              </w:tc>
              <w:tc>
                <w:tcPr>
                  <w:tcW w:w="1750" w:type="dxa"/>
                  <w:shd w:val="clear" w:color="auto" w:fill="auto"/>
                  <w:vAlign w:val="center"/>
                </w:tcPr>
                <w:p>
                  <w:pPr>
                    <w:pStyle w:val="37"/>
                    <w:ind w:left="0" w:leftChars="0"/>
                    <w:jc w:val="both"/>
                    <w:rPr>
                      <w:u w:val="none"/>
                    </w:rPr>
                  </w:pPr>
                  <w:r>
                    <w:rPr>
                      <w:rFonts w:hint="eastAsia"/>
                      <w:u w:val="none"/>
                    </w:rPr>
                    <w:t>项目</w:t>
                  </w:r>
                  <w:r>
                    <w:rPr>
                      <w:u w:val="none"/>
                    </w:rPr>
                    <w:t>固体废物分类收集暂存，危险废物收集后暂存于危险废物暂存间内，</w:t>
                  </w:r>
                  <w:r>
                    <w:rPr>
                      <w:rFonts w:hint="eastAsia"/>
                      <w:u w:val="none"/>
                      <w:lang w:eastAsia="zh-CN"/>
                    </w:rPr>
                    <w:t>交由</w:t>
                  </w:r>
                  <w:r>
                    <w:rPr>
                      <w:u w:val="none"/>
                    </w:rPr>
                    <w:t>资质单位处理。</w:t>
                  </w:r>
                </w:p>
              </w:tc>
              <w:tc>
                <w:tcPr>
                  <w:tcW w:w="977" w:type="dxa"/>
                  <w:vAlign w:val="center"/>
                </w:tcPr>
                <w:p>
                  <w:pPr>
                    <w:pStyle w:val="37"/>
                    <w:ind w:left="0" w:leftChars="0"/>
                    <w:rPr>
                      <w:u w:val="none"/>
                    </w:rPr>
                  </w:pPr>
                  <w:r>
                    <w:rPr>
                      <w:u w:val="none"/>
                    </w:rPr>
                    <w:t>符合</w:t>
                  </w:r>
                </w:p>
              </w:tc>
            </w:tr>
          </w:tbl>
          <w:p>
            <w:pPr>
              <w:ind w:firstLine="0" w:firstLineChars="0"/>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1202" w:type="dxa"/>
            <w:shd w:val="clear" w:color="auto" w:fill="auto"/>
            <w:vAlign w:val="center"/>
          </w:tcPr>
          <w:p>
            <w:pPr>
              <w:keepNext/>
              <w:spacing w:line="240" w:lineRule="auto"/>
              <w:ind w:firstLine="0" w:firstLineChars="0"/>
              <w:jc w:val="center"/>
              <w:rPr>
                <w:u w:val="none"/>
              </w:rPr>
            </w:pPr>
          </w:p>
        </w:tc>
        <w:tc>
          <w:tcPr>
            <w:tcW w:w="8086" w:type="dxa"/>
            <w:gridSpan w:val="3"/>
            <w:vAlign w:val="center"/>
          </w:tcPr>
          <w:p>
            <w:pPr>
              <w:pStyle w:val="5"/>
              <w:widowControl w:val="0"/>
              <w:snapToGrid/>
              <w:ind w:firstLine="480"/>
              <w:jc w:val="left"/>
              <w:rPr>
                <w:bCs/>
                <w:color w:val="000000"/>
                <w:kern w:val="24"/>
                <w:u w:val="none"/>
              </w:rPr>
            </w:pPr>
            <w:r>
              <w:rPr>
                <w:rFonts w:hint="eastAsia"/>
                <w:bCs/>
                <w:color w:val="000000"/>
                <w:kern w:val="24"/>
                <w:u w:val="none"/>
              </w:rPr>
              <w:t>5、与《湖南省大气污染防治“守护蓝天”攻坚行动计划（2023—2025 年）》的通知湘政办发〔2023〕34号符合性分析</w:t>
            </w:r>
          </w:p>
          <w:p>
            <w:pPr>
              <w:pStyle w:val="5"/>
              <w:widowControl w:val="0"/>
              <w:spacing w:line="360" w:lineRule="auto"/>
              <w:ind w:firstLine="0" w:firstLineChars="0"/>
              <w:jc w:val="center"/>
              <w:rPr>
                <w:bCs/>
                <w:color w:val="000000"/>
                <w:kern w:val="24"/>
                <w:u w:val="none"/>
              </w:rPr>
            </w:pPr>
            <w:r>
              <w:rPr>
                <w:rFonts w:hint="eastAsia"/>
                <w:bCs/>
                <w:color w:val="000000"/>
                <w:kern w:val="24"/>
                <w:u w:val="none"/>
              </w:rPr>
              <w:t>表1-6与《湖南省大气污染防治“守护蓝天”攻坚行动计划（2023—2025 年）》的通知湘政办发〔2023〕34号符合性分析表</w:t>
            </w:r>
          </w:p>
          <w:tbl>
            <w:tblPr>
              <w:tblStyle w:val="24"/>
              <w:tblW w:w="7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817"/>
              <w:gridCol w:w="25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7" w:type="dxa"/>
                  <w:vAlign w:val="center"/>
                </w:tcPr>
                <w:p>
                  <w:pPr>
                    <w:pStyle w:val="37"/>
                    <w:autoSpaceDE w:val="0"/>
                    <w:autoSpaceDN w:val="0"/>
                    <w:ind w:left="0" w:leftChars="0"/>
                    <w:rPr>
                      <w:color w:val="000000"/>
                      <w:u w:val="none"/>
                    </w:rPr>
                  </w:pPr>
                  <w:r>
                    <w:rPr>
                      <w:rFonts w:hint="eastAsia"/>
                      <w:color w:val="000000"/>
                      <w:u w:val="none"/>
                    </w:rPr>
                    <w:t>序号</w:t>
                  </w:r>
                </w:p>
              </w:tc>
              <w:tc>
                <w:tcPr>
                  <w:tcW w:w="3817" w:type="dxa"/>
                  <w:vAlign w:val="center"/>
                </w:tcPr>
                <w:p>
                  <w:pPr>
                    <w:pStyle w:val="37"/>
                    <w:autoSpaceDE w:val="0"/>
                    <w:autoSpaceDN w:val="0"/>
                    <w:ind w:left="0" w:leftChars="0"/>
                    <w:rPr>
                      <w:color w:val="000000"/>
                      <w:u w:val="none"/>
                    </w:rPr>
                  </w:pPr>
                  <w:r>
                    <w:rPr>
                      <w:color w:val="000000"/>
                      <w:u w:val="none"/>
                    </w:rPr>
                    <w:t>要求</w:t>
                  </w:r>
                </w:p>
              </w:tc>
              <w:tc>
                <w:tcPr>
                  <w:tcW w:w="2550" w:type="dxa"/>
                  <w:vAlign w:val="center"/>
                </w:tcPr>
                <w:p>
                  <w:pPr>
                    <w:pStyle w:val="37"/>
                    <w:autoSpaceDE w:val="0"/>
                    <w:autoSpaceDN w:val="0"/>
                    <w:ind w:left="0" w:leftChars="0"/>
                    <w:rPr>
                      <w:color w:val="000000"/>
                      <w:u w:val="none"/>
                    </w:rPr>
                  </w:pPr>
                  <w:r>
                    <w:rPr>
                      <w:color w:val="000000"/>
                      <w:u w:val="none"/>
                    </w:rPr>
                    <w:t>项目情况</w:t>
                  </w:r>
                </w:p>
              </w:tc>
              <w:tc>
                <w:tcPr>
                  <w:tcW w:w="1005" w:type="dxa"/>
                  <w:vAlign w:val="center"/>
                </w:tcPr>
                <w:p>
                  <w:pPr>
                    <w:pStyle w:val="37"/>
                    <w:autoSpaceDE w:val="0"/>
                    <w:autoSpaceDN w:val="0"/>
                    <w:ind w:left="0" w:leftChars="0"/>
                    <w:rPr>
                      <w:color w:val="000000"/>
                      <w:u w:val="none"/>
                    </w:rPr>
                  </w:pPr>
                  <w:r>
                    <w:rPr>
                      <w:color w:val="000000"/>
                      <w:u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567" w:type="dxa"/>
                  <w:vAlign w:val="center"/>
                </w:tcPr>
                <w:p>
                  <w:pPr>
                    <w:pStyle w:val="37"/>
                    <w:autoSpaceDE w:val="0"/>
                    <w:autoSpaceDN w:val="0"/>
                    <w:adjustRightInd w:val="0"/>
                    <w:snapToGrid w:val="0"/>
                    <w:ind w:left="0" w:leftChars="0"/>
                    <w:rPr>
                      <w:color w:val="000000"/>
                      <w:u w:val="none"/>
                    </w:rPr>
                  </w:pPr>
                  <w:r>
                    <w:rPr>
                      <w:color w:val="000000"/>
                      <w:u w:val="none"/>
                    </w:rPr>
                    <w:t>1</w:t>
                  </w:r>
                </w:p>
              </w:tc>
              <w:tc>
                <w:tcPr>
                  <w:tcW w:w="3817" w:type="dxa"/>
                  <w:vAlign w:val="center"/>
                </w:tcPr>
                <w:p>
                  <w:pPr>
                    <w:pStyle w:val="37"/>
                    <w:autoSpaceDE w:val="0"/>
                    <w:autoSpaceDN w:val="0"/>
                    <w:adjustRightInd w:val="0"/>
                    <w:snapToGrid w:val="0"/>
                    <w:ind w:left="0" w:leftChars="0"/>
                    <w:jc w:val="both"/>
                    <w:rPr>
                      <w:color w:val="000000"/>
                      <w:u w:val="none"/>
                    </w:rPr>
                  </w:pPr>
                  <w:r>
                    <w:rPr>
                      <w:color w:val="000000"/>
                      <w:u w:val="none"/>
                    </w:rPr>
                    <w:t>推动能源绿色低碳转型。严格落实煤炭等量、减量替代，提高电煤消费占比。多渠道扩展天然气气源，扩大外受电比重，持续推进“煤改气”“煤改电”工程，大力推进使用</w:t>
                  </w:r>
                  <w:r>
                    <w:rPr>
                      <w:rFonts w:hint="eastAsia"/>
                      <w:color w:val="000000"/>
                      <w:u w:val="none"/>
                    </w:rPr>
                    <w:t>清洁</w:t>
                  </w:r>
                  <w:r>
                    <w:rPr>
                      <w:color w:val="000000"/>
                      <w:u w:val="none"/>
                    </w:rPr>
                    <w:t>能源或电厂热力、工业余热等替代锅炉、炉窑燃料用煤，加快推动玻璃、地板砖等建材行业企业以及有色</w:t>
                  </w:r>
                  <w:r>
                    <w:rPr>
                      <w:rFonts w:hint="eastAsia"/>
                      <w:color w:val="000000"/>
                      <w:u w:val="none"/>
                    </w:rPr>
                    <w:t>冶炼</w:t>
                  </w:r>
                  <w:r>
                    <w:rPr>
                      <w:color w:val="000000"/>
                      <w:u w:val="none"/>
                    </w:rPr>
                    <w:t>行业鼓风炉、反射炉等“煤改气”，依法依规推进煤气发生炉有序退出，推动非化石能源发展。到2025年，煤炭消费占一次能源消费比重下降至51%左右，电煤消费占比达到55%以上。</w:t>
                  </w:r>
                </w:p>
              </w:tc>
              <w:tc>
                <w:tcPr>
                  <w:tcW w:w="2550" w:type="dxa"/>
                  <w:vAlign w:val="center"/>
                </w:tcPr>
                <w:p>
                  <w:pPr>
                    <w:pStyle w:val="37"/>
                    <w:autoSpaceDE w:val="0"/>
                    <w:autoSpaceDN w:val="0"/>
                    <w:adjustRightInd w:val="0"/>
                    <w:snapToGrid w:val="0"/>
                    <w:ind w:left="0" w:leftChars="0"/>
                    <w:jc w:val="both"/>
                    <w:rPr>
                      <w:color w:val="000000"/>
                      <w:u w:val="none"/>
                    </w:rPr>
                  </w:pPr>
                  <w:r>
                    <w:rPr>
                      <w:color w:val="000000"/>
                      <w:u w:val="none"/>
                    </w:rPr>
                    <w:t>本项目生产过程中使用的能源为电能，不涉及燃煤</w:t>
                  </w:r>
                  <w:r>
                    <w:rPr>
                      <w:rFonts w:hint="eastAsia"/>
                      <w:color w:val="000000"/>
                      <w:u w:val="none"/>
                    </w:rPr>
                    <w:t>。</w:t>
                  </w:r>
                </w:p>
              </w:tc>
              <w:tc>
                <w:tcPr>
                  <w:tcW w:w="1005" w:type="dxa"/>
                  <w:vAlign w:val="center"/>
                </w:tcPr>
                <w:p>
                  <w:pPr>
                    <w:pStyle w:val="37"/>
                    <w:autoSpaceDE w:val="0"/>
                    <w:autoSpaceDN w:val="0"/>
                    <w:adjustRightInd w:val="0"/>
                    <w:snapToGri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567" w:type="dxa"/>
                  <w:vAlign w:val="center"/>
                </w:tcPr>
                <w:p>
                  <w:pPr>
                    <w:pStyle w:val="37"/>
                    <w:autoSpaceDE w:val="0"/>
                    <w:autoSpaceDN w:val="0"/>
                    <w:adjustRightInd w:val="0"/>
                    <w:snapToGrid w:val="0"/>
                    <w:ind w:left="0" w:leftChars="0"/>
                    <w:rPr>
                      <w:color w:val="000000"/>
                      <w:u w:val="none"/>
                    </w:rPr>
                  </w:pPr>
                  <w:r>
                    <w:rPr>
                      <w:rFonts w:hint="eastAsia"/>
                      <w:color w:val="000000"/>
                      <w:u w:val="none"/>
                    </w:rPr>
                    <w:t>2</w:t>
                  </w:r>
                </w:p>
              </w:tc>
              <w:tc>
                <w:tcPr>
                  <w:tcW w:w="3817" w:type="dxa"/>
                  <w:vAlign w:val="center"/>
                </w:tcPr>
                <w:p>
                  <w:pPr>
                    <w:pStyle w:val="37"/>
                    <w:autoSpaceDE w:val="0"/>
                    <w:autoSpaceDN w:val="0"/>
                    <w:adjustRightInd w:val="0"/>
                    <w:snapToGrid w:val="0"/>
                    <w:ind w:left="0" w:leftChars="0"/>
                    <w:jc w:val="both"/>
                    <w:rPr>
                      <w:color w:val="000000"/>
                      <w:u w:val="none"/>
                    </w:rPr>
                  </w:pPr>
                  <w:r>
                    <w:rPr>
                      <w:color w:val="000000"/>
                      <w:u w:val="none"/>
                    </w:rPr>
                    <w:t>提升重点行业能效水平。开展重点行业节能降碳改造，全省低于能效基准水平的存量项目全面实施节能技改，在建、拟建项目按照国家行业能效标杆水平建设。到2025年，钢铁、建材、化工等重点行业企业全部达到能效基准水平以上，达到能效标杆水平的比例超过30%</w:t>
                  </w:r>
                  <w:r>
                    <w:rPr>
                      <w:rFonts w:hint="eastAsia"/>
                      <w:color w:val="000000"/>
                      <w:u w:val="none"/>
                    </w:rPr>
                    <w:t>；</w:t>
                  </w:r>
                  <w:r>
                    <w:rPr>
                      <w:color w:val="000000"/>
                      <w:u w:val="none"/>
                    </w:rPr>
                    <w:t>全省煤电机组平均供电煤耗降至300克标煤/千瓦时以</w:t>
                  </w:r>
                  <w:r>
                    <w:rPr>
                      <w:rFonts w:hint="eastAsia"/>
                      <w:color w:val="000000"/>
                      <w:u w:val="none"/>
                    </w:rPr>
                    <w:t>下。</w:t>
                  </w:r>
                </w:p>
              </w:tc>
              <w:tc>
                <w:tcPr>
                  <w:tcW w:w="2550" w:type="dxa"/>
                  <w:vAlign w:val="center"/>
                </w:tcPr>
                <w:p>
                  <w:pPr>
                    <w:pStyle w:val="37"/>
                    <w:autoSpaceDE w:val="0"/>
                    <w:autoSpaceDN w:val="0"/>
                    <w:adjustRightInd w:val="0"/>
                    <w:snapToGrid w:val="0"/>
                    <w:ind w:left="0" w:leftChars="0"/>
                    <w:jc w:val="both"/>
                    <w:rPr>
                      <w:color w:val="000000"/>
                      <w:u w:val="none"/>
                    </w:rPr>
                  </w:pPr>
                  <w:r>
                    <w:rPr>
                      <w:color w:val="000000"/>
                      <w:u w:val="none"/>
                    </w:rPr>
                    <w:t>本项目</w:t>
                  </w:r>
                  <w:r>
                    <w:rPr>
                      <w:rFonts w:hint="eastAsia"/>
                      <w:color w:val="000000"/>
                      <w:u w:val="none"/>
                    </w:rPr>
                    <w:t>为</w:t>
                  </w:r>
                  <w:r>
                    <w:rPr>
                      <w:rFonts w:hint="eastAsia"/>
                      <w:color w:val="000000"/>
                      <w:u w:val="none"/>
                      <w:lang w:eastAsia="zh-CN"/>
                    </w:rPr>
                    <w:t>C2921塑料薄膜制造</w:t>
                  </w:r>
                  <w:r>
                    <w:rPr>
                      <w:rFonts w:hint="eastAsia"/>
                      <w:color w:val="000000"/>
                      <w:u w:val="none"/>
                    </w:rPr>
                    <w:t>，</w:t>
                  </w:r>
                  <w:r>
                    <w:rPr>
                      <w:color w:val="000000"/>
                      <w:u w:val="none"/>
                    </w:rPr>
                    <w:t>项目运营过程中使用电，不涉及煤</w:t>
                  </w:r>
                  <w:r>
                    <w:rPr>
                      <w:rFonts w:hint="eastAsia"/>
                      <w:color w:val="000000"/>
                      <w:u w:val="none"/>
                    </w:rPr>
                    <w:t>。</w:t>
                  </w:r>
                </w:p>
              </w:tc>
              <w:tc>
                <w:tcPr>
                  <w:tcW w:w="1005" w:type="dxa"/>
                  <w:vAlign w:val="center"/>
                </w:tcPr>
                <w:p>
                  <w:pPr>
                    <w:pStyle w:val="37"/>
                    <w:autoSpaceDE w:val="0"/>
                    <w:autoSpaceDN w:val="0"/>
                    <w:adjustRightInd w:val="0"/>
                    <w:snapToGri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567" w:type="dxa"/>
                  <w:vAlign w:val="center"/>
                </w:tcPr>
                <w:p>
                  <w:pPr>
                    <w:pStyle w:val="37"/>
                    <w:autoSpaceDE w:val="0"/>
                    <w:autoSpaceDN w:val="0"/>
                    <w:adjustRightInd w:val="0"/>
                    <w:snapToGrid w:val="0"/>
                    <w:ind w:left="0" w:leftChars="0"/>
                    <w:rPr>
                      <w:color w:val="000000"/>
                      <w:u w:val="none"/>
                    </w:rPr>
                  </w:pPr>
                  <w:r>
                    <w:rPr>
                      <w:rFonts w:hint="eastAsia"/>
                      <w:color w:val="000000"/>
                      <w:u w:val="none"/>
                    </w:rPr>
                    <w:t>3</w:t>
                  </w:r>
                </w:p>
              </w:tc>
              <w:tc>
                <w:tcPr>
                  <w:tcW w:w="3817" w:type="dxa"/>
                  <w:vAlign w:val="center"/>
                </w:tcPr>
                <w:p>
                  <w:pPr>
                    <w:pStyle w:val="37"/>
                    <w:autoSpaceDE w:val="0"/>
                    <w:autoSpaceDN w:val="0"/>
                    <w:adjustRightInd w:val="0"/>
                    <w:snapToGrid w:val="0"/>
                    <w:ind w:left="0" w:leftChars="0"/>
                    <w:jc w:val="both"/>
                    <w:rPr>
                      <w:color w:val="000000"/>
                      <w:u w:val="none"/>
                    </w:rPr>
                  </w:pPr>
                  <w:r>
                    <w:rPr>
                      <w:color w:val="000000"/>
                      <w:u w:val="none"/>
                    </w:rPr>
                    <w:t>优化产业结构和布局。严格项目准入，</w:t>
                  </w:r>
                  <w:r>
                    <w:rPr>
                      <w:rFonts w:hint="eastAsia"/>
                      <w:color w:val="000000"/>
                      <w:u w:val="none"/>
                    </w:rPr>
                    <w:t>遏</w:t>
                  </w:r>
                  <w:r>
                    <w:rPr>
                      <w:color w:val="000000"/>
                      <w:u w:val="none"/>
                    </w:rPr>
                    <w:t>制“两高一低”项目盲目发展。落实产业规划及产业政策，严格执行重点行业产能置换办法，依法依规淘汰落后产能。优化产业链布局，开展传统产业集群排查整治，推进重点涉气企业入区入园。到2025年，按照相关政策和环保标准整合关停环境绩效水平低的砖瓦企业。</w:t>
                  </w:r>
                </w:p>
              </w:tc>
              <w:tc>
                <w:tcPr>
                  <w:tcW w:w="2550" w:type="dxa"/>
                  <w:vAlign w:val="center"/>
                </w:tcPr>
                <w:p>
                  <w:pPr>
                    <w:pStyle w:val="37"/>
                    <w:autoSpaceDE w:val="0"/>
                    <w:autoSpaceDN w:val="0"/>
                    <w:adjustRightInd w:val="0"/>
                    <w:snapToGrid w:val="0"/>
                    <w:ind w:left="0" w:leftChars="0"/>
                    <w:jc w:val="both"/>
                    <w:rPr>
                      <w:color w:val="000000"/>
                      <w:u w:val="none"/>
                    </w:rPr>
                  </w:pPr>
                  <w:r>
                    <w:rPr>
                      <w:color w:val="000000"/>
                      <w:u w:val="none"/>
                    </w:rPr>
                    <w:t>项目属于</w:t>
                  </w:r>
                  <w:r>
                    <w:rPr>
                      <w:rFonts w:hint="eastAsia"/>
                      <w:color w:val="000000"/>
                      <w:u w:val="none"/>
                      <w:lang w:eastAsia="zh-CN"/>
                    </w:rPr>
                    <w:t>C2921塑料薄膜制造</w:t>
                  </w:r>
                  <w:r>
                    <w:rPr>
                      <w:color w:val="000000"/>
                      <w:u w:val="none"/>
                    </w:rPr>
                    <w:t>，符合产业布局、产业规划和产业政策要求，符合园区准入要求，不属于“两高一低”项目，不属于落后产能项目，</w:t>
                  </w:r>
                  <w:r>
                    <w:rPr>
                      <w:rFonts w:hint="eastAsia"/>
                      <w:color w:val="000000"/>
                      <w:u w:val="none"/>
                    </w:rPr>
                    <w:t>项目</w:t>
                  </w:r>
                  <w:r>
                    <w:rPr>
                      <w:color w:val="000000"/>
                      <w:u w:val="none"/>
                    </w:rPr>
                    <w:t>位于湖南湘阴高新技术产业开发区洋沙湖产业园</w:t>
                  </w:r>
                  <w:r>
                    <w:rPr>
                      <w:rFonts w:hint="eastAsia"/>
                      <w:color w:val="000000"/>
                      <w:u w:val="none"/>
                    </w:rPr>
                    <w:t>内。</w:t>
                  </w:r>
                </w:p>
              </w:tc>
              <w:tc>
                <w:tcPr>
                  <w:tcW w:w="1005" w:type="dxa"/>
                  <w:vAlign w:val="center"/>
                </w:tcPr>
                <w:p>
                  <w:pPr>
                    <w:pStyle w:val="37"/>
                    <w:autoSpaceDE w:val="0"/>
                    <w:autoSpaceDN w:val="0"/>
                    <w:adjustRightInd w:val="0"/>
                    <w:snapToGrid w:val="0"/>
                    <w:ind w:left="0" w:leftChars="0"/>
                    <w:rPr>
                      <w:color w:val="000000"/>
                      <w:u w:val="none"/>
                    </w:rPr>
                  </w:pPr>
                  <w:r>
                    <w:rPr>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7" w:type="dxa"/>
                  <w:vAlign w:val="center"/>
                </w:tcPr>
                <w:p>
                  <w:pPr>
                    <w:pStyle w:val="37"/>
                    <w:autoSpaceDE w:val="0"/>
                    <w:autoSpaceDN w:val="0"/>
                    <w:adjustRightInd w:val="0"/>
                    <w:snapToGrid w:val="0"/>
                    <w:ind w:left="0" w:leftChars="0"/>
                    <w:rPr>
                      <w:color w:val="000000"/>
                      <w:u w:val="none"/>
                    </w:rPr>
                  </w:pPr>
                  <w:r>
                    <w:rPr>
                      <w:rFonts w:hint="eastAsia"/>
                      <w:color w:val="000000"/>
                      <w:u w:val="none"/>
                    </w:rPr>
                    <w:t>4</w:t>
                  </w:r>
                </w:p>
              </w:tc>
              <w:tc>
                <w:tcPr>
                  <w:tcW w:w="3817" w:type="dxa"/>
                  <w:vAlign w:val="center"/>
                </w:tcPr>
                <w:p>
                  <w:pPr>
                    <w:pStyle w:val="37"/>
                    <w:autoSpaceDE w:val="0"/>
                    <w:autoSpaceDN w:val="0"/>
                    <w:adjustRightInd w:val="0"/>
                    <w:snapToGrid w:val="0"/>
                    <w:ind w:left="0" w:leftChars="0"/>
                    <w:jc w:val="both"/>
                    <w:rPr>
                      <w:color w:val="000000"/>
                      <w:u w:val="none"/>
                    </w:rPr>
                  </w:pPr>
                  <w:r>
                    <w:rPr>
                      <w:color w:val="000000"/>
                      <w:u w:val="none"/>
                    </w:rPr>
                    <w:t>加大低VOCs原辅材料替代力度。建立多部门联合执法机制，加大监督检查力度，确保生产、销售、使用符合VOCs含量限值标准的产品。以工业涂装、包装印刷和胶粘剂使用等为重点，在企业清洁生产审核中明确提出低VOCs原辅材料替代要求。</w:t>
                  </w:r>
                </w:p>
              </w:tc>
              <w:tc>
                <w:tcPr>
                  <w:tcW w:w="2550" w:type="dxa"/>
                  <w:vAlign w:val="center"/>
                </w:tcPr>
                <w:p>
                  <w:pPr>
                    <w:pStyle w:val="37"/>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ascii="Times New Roman" w:hAnsi="Times New Roman" w:eastAsia="宋体" w:cs="Times New Roman"/>
                      <w:color w:val="000000"/>
                      <w:kern w:val="2"/>
                      <w:sz w:val="21"/>
                      <w:szCs w:val="21"/>
                      <w:u w:val="none"/>
                      <w:lang w:val="en-US" w:eastAsia="zh-CN" w:bidi="ar-SA"/>
                    </w:rPr>
                  </w:pPr>
                  <w:r>
                    <w:rPr>
                      <w:rFonts w:ascii="Times New Roman" w:hAnsi="Times New Roman" w:eastAsia="宋体" w:cs="Times New Roman"/>
                      <w:color w:val="000000"/>
                      <w:kern w:val="2"/>
                      <w:sz w:val="21"/>
                      <w:szCs w:val="21"/>
                      <w:u w:val="none"/>
                      <w:lang w:val="en-US" w:eastAsia="zh-CN" w:bidi="ar-SA"/>
                    </w:rPr>
                    <w:t>本项目</w:t>
                  </w:r>
                  <w:r>
                    <w:rPr>
                      <w:rFonts w:hint="eastAsia" w:ascii="Times New Roman" w:hAnsi="Times New Roman" w:eastAsia="宋体" w:cs="Times New Roman"/>
                      <w:color w:val="000000"/>
                      <w:kern w:val="2"/>
                      <w:sz w:val="21"/>
                      <w:szCs w:val="21"/>
                      <w:u w:val="none"/>
                      <w:lang w:val="en-US" w:eastAsia="zh-CN" w:bidi="ar-SA"/>
                    </w:rPr>
                    <w:t>涂布工序使用水性涂料，属于低</w:t>
                  </w:r>
                  <w:r>
                    <w:rPr>
                      <w:rFonts w:ascii="Times New Roman" w:hAnsi="Times New Roman" w:eastAsia="宋体" w:cs="Times New Roman"/>
                      <w:color w:val="000000"/>
                      <w:kern w:val="2"/>
                      <w:sz w:val="21"/>
                      <w:szCs w:val="21"/>
                      <w:u w:val="none"/>
                      <w:lang w:val="en-US" w:eastAsia="zh-CN" w:bidi="ar-SA"/>
                    </w:rPr>
                    <w:t>VOCs</w:t>
                  </w:r>
                  <w:r>
                    <w:rPr>
                      <w:rFonts w:hint="eastAsia" w:ascii="Times New Roman" w:hAnsi="Times New Roman" w:eastAsia="宋体" w:cs="Times New Roman"/>
                      <w:color w:val="000000"/>
                      <w:kern w:val="2"/>
                      <w:sz w:val="21"/>
                      <w:szCs w:val="21"/>
                      <w:u w:val="none"/>
                      <w:lang w:val="en-US" w:eastAsia="zh-CN" w:bidi="ar-SA"/>
                    </w:rPr>
                    <w:t>原料</w:t>
                  </w:r>
                  <w:r>
                    <w:rPr>
                      <w:rFonts w:ascii="Times New Roman" w:hAnsi="Times New Roman" w:eastAsia="宋体" w:cs="Times New Roman"/>
                      <w:color w:val="000000"/>
                      <w:kern w:val="2"/>
                      <w:sz w:val="21"/>
                      <w:szCs w:val="21"/>
                      <w:u w:val="none"/>
                      <w:lang w:val="en-US" w:eastAsia="zh-CN" w:bidi="ar-SA"/>
                    </w:rPr>
                    <w:t>。</w:t>
                  </w:r>
                </w:p>
              </w:tc>
              <w:tc>
                <w:tcPr>
                  <w:tcW w:w="1005" w:type="dxa"/>
                  <w:vAlign w:val="center"/>
                </w:tcPr>
                <w:p>
                  <w:pPr>
                    <w:pStyle w:val="37"/>
                    <w:autoSpaceDE w:val="0"/>
                    <w:autoSpaceDN w:val="0"/>
                    <w:adjustRightInd w:val="0"/>
                    <w:snapToGrid w:val="0"/>
                    <w:ind w:left="0" w:leftChars="0"/>
                    <w:rPr>
                      <w:color w:val="000000"/>
                      <w:u w:val="none"/>
                    </w:rPr>
                  </w:pPr>
                  <w:r>
                    <w:rPr>
                      <w:rFonts w:hint="eastAsia"/>
                      <w:color w:val="000000"/>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67" w:type="dxa"/>
                  <w:vAlign w:val="center"/>
                </w:tcPr>
                <w:p>
                  <w:pPr>
                    <w:pStyle w:val="37"/>
                    <w:autoSpaceDE w:val="0"/>
                    <w:autoSpaceDN w:val="0"/>
                    <w:adjustRightInd w:val="0"/>
                    <w:snapToGrid w:val="0"/>
                    <w:ind w:left="0" w:leftChars="0"/>
                    <w:rPr>
                      <w:color w:val="000000"/>
                      <w:u w:val="none"/>
                    </w:rPr>
                  </w:pPr>
                  <w:r>
                    <w:rPr>
                      <w:rFonts w:hint="eastAsia"/>
                      <w:color w:val="000000"/>
                      <w:u w:val="none"/>
                    </w:rPr>
                    <w:t>5</w:t>
                  </w:r>
                </w:p>
              </w:tc>
              <w:tc>
                <w:tcPr>
                  <w:tcW w:w="3817" w:type="dxa"/>
                  <w:vAlign w:val="center"/>
                </w:tcPr>
                <w:p>
                  <w:pPr>
                    <w:pStyle w:val="37"/>
                    <w:autoSpaceDE w:val="0"/>
                    <w:autoSpaceDN w:val="0"/>
                    <w:adjustRightInd w:val="0"/>
                    <w:snapToGrid w:val="0"/>
                    <w:ind w:left="0" w:leftChars="0"/>
                    <w:jc w:val="left"/>
                    <w:rPr>
                      <w:color w:val="000000"/>
                      <w:u w:val="none"/>
                    </w:rPr>
                  </w:pPr>
                  <w:r>
                    <w:rPr>
                      <w:color w:val="000000"/>
                      <w:u w:val="none"/>
                    </w:rPr>
                    <w:t>开展涉VOCs重点行业全流程整治。持续开展VOCs治理突出问题排查,清理整顿简易低效、不合规定治理设施，强化无组织和非正常工况废气排放管控。规范开展泄漏检测与修复。推动各市州分别新建1-3个涉VOCs“绿岛”项目。</w:t>
                  </w:r>
                </w:p>
              </w:tc>
              <w:tc>
                <w:tcPr>
                  <w:tcW w:w="2550" w:type="dxa"/>
                  <w:vAlign w:val="center"/>
                </w:tcPr>
                <w:p>
                  <w:pPr>
                    <w:pStyle w:val="14"/>
                    <w:keepNext w:val="0"/>
                    <w:keepLines w:val="0"/>
                    <w:pageBreakBefore w:val="0"/>
                    <w:widowControl w:val="0"/>
                    <w:kinsoku/>
                    <w:wordWrap/>
                    <w:overflowPunct/>
                    <w:topLinePunct w:val="0"/>
                    <w:bidi w:val="0"/>
                    <w:spacing w:line="240" w:lineRule="auto"/>
                    <w:ind w:firstLine="0" w:firstLineChars="0"/>
                    <w:textAlignment w:val="auto"/>
                    <w:rPr>
                      <w:rFonts w:ascii="Times New Roman" w:hAnsi="Times New Roman" w:eastAsia="宋体" w:cs="Times New Roman"/>
                      <w:color w:val="000000"/>
                      <w:kern w:val="2"/>
                      <w:sz w:val="21"/>
                      <w:szCs w:val="21"/>
                      <w:u w:val="none"/>
                      <w:lang w:val="en-US" w:eastAsia="zh-CN" w:bidi="ar-SA"/>
                    </w:rPr>
                  </w:pPr>
                  <w:r>
                    <w:rPr>
                      <w:rFonts w:hint="eastAsia" w:ascii="Times New Roman" w:hAnsi="Times New Roman" w:eastAsia="宋体" w:cs="Times New Roman"/>
                      <w:color w:val="000000"/>
                      <w:kern w:val="2"/>
                      <w:sz w:val="21"/>
                      <w:szCs w:val="21"/>
                      <w:u w:val="none"/>
                      <w:lang w:val="en-US" w:eastAsia="zh-CN" w:bidi="ar-SA"/>
                    </w:rPr>
                    <w:t>项目采用低VOCs水性涂料进行涂布，涂布烘干工序产生的VOCs采用密闭负压收集后再经过二级活性炭处理后通过一根15m高排气筒DA001排放。</w:t>
                  </w:r>
                </w:p>
              </w:tc>
              <w:tc>
                <w:tcPr>
                  <w:tcW w:w="1005" w:type="dxa"/>
                  <w:vAlign w:val="center"/>
                </w:tcPr>
                <w:p>
                  <w:pPr>
                    <w:pStyle w:val="37"/>
                    <w:autoSpaceDE w:val="0"/>
                    <w:autoSpaceDN w:val="0"/>
                    <w:adjustRightInd w:val="0"/>
                    <w:snapToGrid w:val="0"/>
                    <w:ind w:left="0" w:leftChars="0"/>
                    <w:rPr>
                      <w:rFonts w:hint="eastAsia" w:eastAsia="宋体"/>
                      <w:color w:val="000000"/>
                      <w:u w:val="none"/>
                      <w:lang w:val="en-US" w:eastAsia="zh-CN"/>
                    </w:rPr>
                  </w:pPr>
                  <w:r>
                    <w:rPr>
                      <w:rFonts w:hint="eastAsia"/>
                      <w:color w:val="000000"/>
                      <w:u w:val="none"/>
                      <w:lang w:val="en-US" w:eastAsia="zh-CN"/>
                    </w:rPr>
                    <w:t>符合</w:t>
                  </w:r>
                </w:p>
              </w:tc>
            </w:tr>
          </w:tbl>
          <w:p>
            <w:pPr>
              <w:pStyle w:val="58"/>
              <w:spacing w:before="158" w:line="364" w:lineRule="auto"/>
              <w:ind w:right="-44" w:firstLine="436"/>
              <w:rPr>
                <w:color w:val="000000"/>
                <w:spacing w:val="-11"/>
                <w:u w:val="none"/>
                <w:lang w:val="zh-CN"/>
              </w:rPr>
            </w:pPr>
            <w:r>
              <w:rPr>
                <w:rFonts w:hint="eastAsia"/>
                <w:color w:val="000000"/>
                <w:spacing w:val="-11"/>
                <w:u w:val="none"/>
              </w:rPr>
              <w:t>综上所述，本项目符合《湖南省大气污染防治“守护蓝天”攻坚行动计划（</w:t>
            </w:r>
            <w:r>
              <w:rPr>
                <w:color w:val="000000"/>
                <w:spacing w:val="-11"/>
                <w:u w:val="none"/>
              </w:rPr>
              <w:t>2023</w:t>
            </w:r>
            <w:r>
              <w:rPr>
                <w:rFonts w:hint="eastAsia"/>
                <w:color w:val="000000"/>
                <w:spacing w:val="-11"/>
                <w:u w:val="none"/>
              </w:rPr>
              <w:t>—</w:t>
            </w:r>
            <w:r>
              <w:rPr>
                <w:color w:val="000000"/>
                <w:spacing w:val="-11"/>
                <w:u w:val="none"/>
              </w:rPr>
              <w:t>2025</w:t>
            </w:r>
            <w:r>
              <w:rPr>
                <w:rFonts w:hint="eastAsia"/>
                <w:color w:val="000000"/>
                <w:spacing w:val="-11"/>
                <w:u w:val="none"/>
              </w:rPr>
              <w:t>年）》的通知湘政办发〔</w:t>
            </w:r>
            <w:r>
              <w:rPr>
                <w:color w:val="000000"/>
                <w:spacing w:val="-11"/>
                <w:u w:val="none"/>
              </w:rPr>
              <w:t>2023</w:t>
            </w:r>
            <w:r>
              <w:rPr>
                <w:rFonts w:hint="eastAsia"/>
                <w:color w:val="000000"/>
                <w:spacing w:val="-11"/>
                <w:u w:val="none"/>
              </w:rPr>
              <w:t>〕</w:t>
            </w:r>
            <w:r>
              <w:rPr>
                <w:color w:val="000000"/>
                <w:spacing w:val="-11"/>
                <w:u w:val="none"/>
              </w:rPr>
              <w:t>34</w:t>
            </w:r>
            <w:r>
              <w:rPr>
                <w:rFonts w:hint="eastAsia"/>
                <w:color w:val="000000"/>
                <w:spacing w:val="-11"/>
                <w:u w:val="none"/>
              </w:rPr>
              <w:t>号相关要求。</w:t>
            </w:r>
          </w:p>
          <w:p>
            <w:pPr>
              <w:pStyle w:val="14"/>
              <w:numPr>
                <w:ilvl w:val="0"/>
                <w:numId w:val="2"/>
              </w:numPr>
              <w:ind w:firstLine="480"/>
              <w:rPr>
                <w:u w:val="none"/>
              </w:rPr>
            </w:pPr>
            <w:r>
              <w:rPr>
                <w:rFonts w:hint="eastAsia"/>
                <w:u w:val="none"/>
              </w:rPr>
              <w:t>与《挥发性有机物无组织排放控制标准》(GB37822-2019)符合性分析</w:t>
            </w:r>
          </w:p>
          <w:p>
            <w:pPr>
              <w:pStyle w:val="14"/>
              <w:ind w:firstLine="0" w:firstLineChars="0"/>
              <w:jc w:val="center"/>
              <w:rPr>
                <w:u w:val="none"/>
              </w:rPr>
            </w:pPr>
            <w:r>
              <w:rPr>
                <w:rFonts w:hint="eastAsia"/>
                <w:u w:val="none"/>
              </w:rPr>
              <w:t>表1-7与《挥发性有机物无组织排放控制标准》(GB37822-2019)符合性分析表</w:t>
            </w:r>
          </w:p>
          <w:tbl>
            <w:tblPr>
              <w:tblStyle w:val="2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3503"/>
              <w:gridCol w:w="306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4" w:type="dxa"/>
                  <w:vAlign w:val="center"/>
                </w:tcPr>
                <w:p>
                  <w:pPr>
                    <w:pStyle w:val="37"/>
                    <w:ind w:left="0" w:leftChars="0"/>
                    <w:rPr>
                      <w:u w:val="none"/>
                    </w:rPr>
                  </w:pPr>
                  <w:r>
                    <w:rPr>
                      <w:u w:val="none"/>
                    </w:rPr>
                    <w:t>序号</w:t>
                  </w:r>
                </w:p>
              </w:tc>
              <w:tc>
                <w:tcPr>
                  <w:tcW w:w="3503" w:type="dxa"/>
                  <w:vAlign w:val="center"/>
                </w:tcPr>
                <w:p>
                  <w:pPr>
                    <w:pStyle w:val="37"/>
                    <w:ind w:left="0" w:leftChars="0"/>
                    <w:rPr>
                      <w:u w:val="none"/>
                    </w:rPr>
                  </w:pPr>
                  <w:r>
                    <w:rPr>
                      <w:u w:val="none"/>
                    </w:rPr>
                    <w:t>方案要求</w:t>
                  </w:r>
                </w:p>
              </w:tc>
              <w:tc>
                <w:tcPr>
                  <w:tcW w:w="3063" w:type="dxa"/>
                  <w:vAlign w:val="center"/>
                </w:tcPr>
                <w:p>
                  <w:pPr>
                    <w:pStyle w:val="37"/>
                    <w:ind w:left="0" w:leftChars="0"/>
                    <w:rPr>
                      <w:u w:val="none"/>
                    </w:rPr>
                  </w:pPr>
                  <w:r>
                    <w:rPr>
                      <w:u w:val="none"/>
                    </w:rPr>
                    <w:t>项目情况</w:t>
                  </w:r>
                </w:p>
              </w:tc>
              <w:tc>
                <w:tcPr>
                  <w:tcW w:w="760" w:type="dxa"/>
                  <w:vAlign w:val="center"/>
                </w:tcPr>
                <w:p>
                  <w:pPr>
                    <w:pStyle w:val="37"/>
                    <w:ind w:left="0" w:leftChars="0"/>
                    <w:rPr>
                      <w:u w:val="none"/>
                    </w:rPr>
                  </w:pPr>
                  <w:r>
                    <w:rPr>
                      <w:u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37"/>
                    <w:ind w:left="0" w:leftChars="0"/>
                    <w:rPr>
                      <w:u w:val="none"/>
                    </w:rPr>
                  </w:pPr>
                  <w:r>
                    <w:rPr>
                      <w:u w:val="none"/>
                    </w:rPr>
                    <w:t>1</w:t>
                  </w:r>
                </w:p>
              </w:tc>
              <w:tc>
                <w:tcPr>
                  <w:tcW w:w="3503" w:type="dxa"/>
                  <w:vAlign w:val="center"/>
                </w:tcPr>
                <w:p>
                  <w:pPr>
                    <w:pStyle w:val="37"/>
                    <w:ind w:left="0" w:leftChars="0"/>
                    <w:jc w:val="both"/>
                    <w:rPr>
                      <w:u w:val="none"/>
                    </w:rPr>
                  </w:pPr>
                  <w:r>
                    <w:rPr>
                      <w:u w:val="none"/>
                    </w:rPr>
                    <w:t>VOCs物料应储存于密闭的容器、包装袋、储罐、储库、料仓中。</w:t>
                  </w:r>
                </w:p>
              </w:tc>
              <w:tc>
                <w:tcPr>
                  <w:tcW w:w="3063" w:type="dxa"/>
                  <w:vAlign w:val="center"/>
                </w:tcPr>
                <w:p>
                  <w:pPr>
                    <w:pStyle w:val="14"/>
                    <w:wordWrap w:val="0"/>
                    <w:spacing w:line="240" w:lineRule="auto"/>
                    <w:ind w:firstLine="0" w:firstLineChars="0"/>
                    <w:jc w:val="both"/>
                    <w:rPr>
                      <w:sz w:val="21"/>
                      <w:szCs w:val="21"/>
                      <w:u w:val="none"/>
                    </w:rPr>
                  </w:pPr>
                  <w:r>
                    <w:rPr>
                      <w:sz w:val="21"/>
                      <w:szCs w:val="21"/>
                      <w:u w:val="none"/>
                    </w:rPr>
                    <w:t>本项目含VOCs物料转移和输送均采用密闭管道、容器</w:t>
                  </w:r>
                  <w:r>
                    <w:rPr>
                      <w:rFonts w:hint="eastAsia"/>
                      <w:sz w:val="21"/>
                      <w:szCs w:val="21"/>
                      <w:u w:val="none"/>
                    </w:rPr>
                    <w:t>。</w:t>
                  </w:r>
                </w:p>
              </w:tc>
              <w:tc>
                <w:tcPr>
                  <w:tcW w:w="760" w:type="dxa"/>
                  <w:vAlign w:val="center"/>
                </w:tcPr>
                <w:p>
                  <w:pPr>
                    <w:pStyle w:val="14"/>
                    <w:wordWrap w:val="0"/>
                    <w:spacing w:line="240" w:lineRule="auto"/>
                    <w:ind w:firstLine="0" w:firstLineChars="0"/>
                    <w:jc w:val="center"/>
                    <w:rPr>
                      <w:sz w:val="21"/>
                      <w:szCs w:val="21"/>
                      <w:u w:val="none"/>
                    </w:rPr>
                  </w:pPr>
                  <w:r>
                    <w:rPr>
                      <w:sz w:val="21"/>
                      <w:szCs w:val="21"/>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37"/>
                    <w:ind w:left="0" w:leftChars="0"/>
                    <w:rPr>
                      <w:u w:val="none"/>
                    </w:rPr>
                  </w:pPr>
                  <w:r>
                    <w:rPr>
                      <w:u w:val="none"/>
                    </w:rPr>
                    <w:t>2</w:t>
                  </w:r>
                </w:p>
              </w:tc>
              <w:tc>
                <w:tcPr>
                  <w:tcW w:w="3503" w:type="dxa"/>
                  <w:vAlign w:val="center"/>
                </w:tcPr>
                <w:p>
                  <w:pPr>
                    <w:spacing w:line="240" w:lineRule="auto"/>
                    <w:ind w:firstLine="0" w:firstLineChars="0"/>
                    <w:rPr>
                      <w:sz w:val="21"/>
                      <w:szCs w:val="21"/>
                      <w:u w:val="none"/>
                    </w:rPr>
                  </w:pPr>
                  <w:r>
                    <w:rPr>
                      <w:sz w:val="21"/>
                      <w:szCs w:val="21"/>
                      <w:u w:val="none"/>
                    </w:rPr>
                    <w:t>VOCs质量占比大于等于10%的含VOCs产品，其使用过程应采用密闭设备或在密闭空间内操作，废气应排至VOCs废气收集处理系统：无法密闭的，应采取局部气体收集措施，废气应排至VOCs废气收集系统。</w:t>
                  </w:r>
                </w:p>
              </w:tc>
              <w:tc>
                <w:tcPr>
                  <w:tcW w:w="3063" w:type="dxa"/>
                  <w:vAlign w:val="center"/>
                </w:tcPr>
                <w:p>
                  <w:pPr>
                    <w:spacing w:line="240" w:lineRule="auto"/>
                    <w:ind w:firstLine="0" w:firstLineChars="0"/>
                    <w:rPr>
                      <w:rFonts w:ascii="Times New Roman" w:hAnsi="Times New Roman" w:cs="Times New Roman"/>
                      <w:sz w:val="21"/>
                      <w:szCs w:val="21"/>
                      <w:u w:val="none"/>
                    </w:rPr>
                  </w:pPr>
                  <w:r>
                    <w:rPr>
                      <w:rFonts w:hint="eastAsia" w:ascii="Times New Roman" w:hAnsi="Times New Roman" w:cs="Times New Roman"/>
                      <w:sz w:val="21"/>
                      <w:szCs w:val="21"/>
                      <w:u w:val="none"/>
                      <w:lang w:val="en-US" w:eastAsia="zh-CN"/>
                    </w:rPr>
                    <w:t>项目采用</w:t>
                  </w:r>
                  <w:r>
                    <w:rPr>
                      <w:rFonts w:ascii="Times New Roman" w:hAnsi="Times New Roman" w:cs="Times New Roman"/>
                      <w:sz w:val="21"/>
                      <w:szCs w:val="21"/>
                      <w:u w:val="none"/>
                    </w:rPr>
                    <w:t>低VOCs</w:t>
                  </w:r>
                  <w:r>
                    <w:rPr>
                      <w:rFonts w:hint="eastAsia" w:ascii="Times New Roman" w:hAnsi="Times New Roman" w:cs="Times New Roman"/>
                      <w:sz w:val="21"/>
                      <w:szCs w:val="21"/>
                      <w:u w:val="none"/>
                      <w:lang w:val="en-US" w:eastAsia="zh-CN"/>
                    </w:rPr>
                    <w:t>水性涂料，</w:t>
                  </w:r>
                  <w:r>
                    <w:rPr>
                      <w:rFonts w:ascii="Times New Roman" w:hAnsi="Times New Roman" w:cs="Times New Roman"/>
                      <w:sz w:val="21"/>
                      <w:szCs w:val="21"/>
                      <w:u w:val="none"/>
                    </w:rPr>
                    <w:t>VOCs质量占比</w:t>
                  </w:r>
                  <w:r>
                    <w:rPr>
                      <w:rFonts w:hint="eastAsia" w:ascii="Times New Roman" w:hAnsi="Times New Roman" w:cs="Times New Roman"/>
                      <w:sz w:val="21"/>
                      <w:szCs w:val="21"/>
                      <w:u w:val="none"/>
                      <w:lang w:val="en-US" w:eastAsia="zh-CN"/>
                    </w:rPr>
                    <w:t>小于</w:t>
                  </w:r>
                  <w:r>
                    <w:rPr>
                      <w:rFonts w:ascii="Times New Roman" w:hAnsi="Times New Roman" w:cs="Times New Roman"/>
                      <w:sz w:val="21"/>
                      <w:szCs w:val="21"/>
                      <w:u w:val="none"/>
                    </w:rPr>
                    <w:t>10%</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rPr>
                    <w:t>含VOCs物料均在密闭设备或密闭空间内操作，</w:t>
                  </w:r>
                  <w:r>
                    <w:rPr>
                      <w:rFonts w:ascii="Times New Roman" w:hAnsi="Times New Roman" w:cs="Times New Roman"/>
                      <w:sz w:val="21"/>
                      <w:szCs w:val="21"/>
                      <w:u w:val="none"/>
                    </w:rPr>
                    <w:t>项目VOCs主要产生于</w:t>
                  </w:r>
                  <w:r>
                    <w:rPr>
                      <w:rFonts w:hint="eastAsia" w:ascii="Times New Roman" w:hAnsi="Times New Roman" w:cs="Times New Roman"/>
                      <w:sz w:val="21"/>
                      <w:szCs w:val="21"/>
                      <w:u w:val="none"/>
                      <w:lang w:val="en-US" w:eastAsia="zh-CN"/>
                    </w:rPr>
                    <w:t>涂布烘干工序，通过密闭负压+二级活性炭处理后通过一根15m高排气筒DA001排放。</w:t>
                  </w:r>
                </w:p>
              </w:tc>
              <w:tc>
                <w:tcPr>
                  <w:tcW w:w="760" w:type="dxa"/>
                  <w:vAlign w:val="center"/>
                </w:tcPr>
                <w:p>
                  <w:pPr>
                    <w:pStyle w:val="14"/>
                    <w:wordWrap w:val="0"/>
                    <w:spacing w:line="240" w:lineRule="auto"/>
                    <w:ind w:firstLine="0" w:firstLineChars="0"/>
                    <w:jc w:val="center"/>
                    <w:rPr>
                      <w:sz w:val="21"/>
                      <w:szCs w:val="21"/>
                      <w:u w:val="none"/>
                    </w:rPr>
                  </w:pPr>
                  <w:r>
                    <w:rPr>
                      <w:sz w:val="21"/>
                      <w:szCs w:val="21"/>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vAlign w:val="center"/>
                </w:tcPr>
                <w:p>
                  <w:pPr>
                    <w:pStyle w:val="14"/>
                    <w:wordWrap w:val="0"/>
                    <w:spacing w:line="240" w:lineRule="auto"/>
                    <w:ind w:firstLine="0" w:firstLineChars="0"/>
                    <w:jc w:val="center"/>
                    <w:rPr>
                      <w:sz w:val="21"/>
                      <w:szCs w:val="21"/>
                      <w:u w:val="none"/>
                    </w:rPr>
                  </w:pPr>
                  <w:r>
                    <w:rPr>
                      <w:sz w:val="21"/>
                      <w:szCs w:val="21"/>
                      <w:u w:val="none"/>
                    </w:rPr>
                    <w:t>3</w:t>
                  </w:r>
                </w:p>
              </w:tc>
              <w:tc>
                <w:tcPr>
                  <w:tcW w:w="3503" w:type="dxa"/>
                  <w:vAlign w:val="center"/>
                </w:tcPr>
                <w:p>
                  <w:pPr>
                    <w:spacing w:line="240" w:lineRule="auto"/>
                    <w:ind w:firstLine="0" w:firstLineChars="0"/>
                    <w:rPr>
                      <w:sz w:val="21"/>
                      <w:szCs w:val="21"/>
                      <w:u w:val="none"/>
                    </w:rPr>
                  </w:pPr>
                  <w:r>
                    <w:rPr>
                      <w:sz w:val="21"/>
                      <w:szCs w:val="21"/>
                      <w:u w:val="none"/>
                    </w:rPr>
                    <w:t>企业应建立台账，记录含VOCs原辅材料和含VOCs产品的名称、使用量、回收量、废弃量、去向以及VOCs含量等信息。台账保存期限不少于3年。</w:t>
                  </w:r>
                </w:p>
              </w:tc>
              <w:tc>
                <w:tcPr>
                  <w:tcW w:w="3063" w:type="dxa"/>
                  <w:vAlign w:val="center"/>
                </w:tcPr>
                <w:p>
                  <w:pPr>
                    <w:spacing w:line="240" w:lineRule="auto"/>
                    <w:ind w:firstLine="0" w:firstLineChars="0"/>
                    <w:rPr>
                      <w:rFonts w:ascii="Times New Roman" w:hAnsi="Times New Roman" w:cs="Times New Roman"/>
                      <w:sz w:val="21"/>
                      <w:szCs w:val="21"/>
                      <w:u w:val="none"/>
                    </w:rPr>
                  </w:pPr>
                  <w:r>
                    <w:rPr>
                      <w:rFonts w:ascii="Times New Roman" w:hAnsi="Times New Roman" w:cs="Times New Roman"/>
                      <w:sz w:val="21"/>
                      <w:szCs w:val="21"/>
                      <w:u w:val="none"/>
                    </w:rPr>
                    <w:t>建设方按照要求建立</w:t>
                  </w:r>
                  <w:r>
                    <w:rPr>
                      <w:rFonts w:hint="eastAsia" w:ascii="Times New Roman" w:hAnsi="Times New Roman" w:cs="Times New Roman"/>
                      <w:sz w:val="21"/>
                      <w:szCs w:val="21"/>
                      <w:u w:val="none"/>
                    </w:rPr>
                    <w:t>相关</w:t>
                  </w:r>
                  <w:r>
                    <w:rPr>
                      <w:rFonts w:ascii="Times New Roman" w:hAnsi="Times New Roman" w:cs="Times New Roman"/>
                      <w:sz w:val="21"/>
                      <w:szCs w:val="21"/>
                      <w:u w:val="none"/>
                    </w:rPr>
                    <w:t>台账</w:t>
                  </w:r>
                  <w:r>
                    <w:rPr>
                      <w:rFonts w:hint="eastAsia" w:ascii="Times New Roman" w:hAnsi="Times New Roman" w:cs="Times New Roman"/>
                      <w:sz w:val="21"/>
                      <w:szCs w:val="21"/>
                      <w:u w:val="none"/>
                    </w:rPr>
                    <w:t>，并要求其台账保存期限不少于3年</w:t>
                  </w:r>
                  <w:r>
                    <w:rPr>
                      <w:rFonts w:ascii="Times New Roman" w:hAnsi="Times New Roman" w:cs="Times New Roman"/>
                      <w:sz w:val="21"/>
                      <w:szCs w:val="21"/>
                      <w:u w:val="none"/>
                    </w:rPr>
                    <w:t>。</w:t>
                  </w:r>
                </w:p>
              </w:tc>
              <w:tc>
                <w:tcPr>
                  <w:tcW w:w="760" w:type="dxa"/>
                  <w:vAlign w:val="center"/>
                </w:tcPr>
                <w:p>
                  <w:pPr>
                    <w:pStyle w:val="14"/>
                    <w:wordWrap w:val="0"/>
                    <w:spacing w:line="240" w:lineRule="auto"/>
                    <w:ind w:firstLine="0" w:firstLineChars="0"/>
                    <w:jc w:val="center"/>
                    <w:rPr>
                      <w:sz w:val="21"/>
                      <w:szCs w:val="21"/>
                      <w:u w:val="none"/>
                    </w:rPr>
                  </w:pPr>
                  <w:r>
                    <w:rPr>
                      <w:sz w:val="21"/>
                      <w:szCs w:val="21"/>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14"/>
                    <w:wordWrap w:val="0"/>
                    <w:spacing w:line="240" w:lineRule="auto"/>
                    <w:ind w:firstLine="0" w:firstLineChars="0"/>
                    <w:jc w:val="center"/>
                    <w:rPr>
                      <w:sz w:val="21"/>
                      <w:szCs w:val="21"/>
                      <w:u w:val="none"/>
                    </w:rPr>
                  </w:pPr>
                  <w:r>
                    <w:rPr>
                      <w:sz w:val="21"/>
                      <w:szCs w:val="21"/>
                      <w:u w:val="none"/>
                    </w:rPr>
                    <w:t>4</w:t>
                  </w:r>
                </w:p>
              </w:tc>
              <w:tc>
                <w:tcPr>
                  <w:tcW w:w="3503" w:type="dxa"/>
                  <w:vAlign w:val="center"/>
                </w:tcPr>
                <w:p>
                  <w:pPr>
                    <w:spacing w:line="240" w:lineRule="auto"/>
                    <w:ind w:firstLine="0" w:firstLineChars="0"/>
                    <w:rPr>
                      <w:sz w:val="21"/>
                      <w:szCs w:val="21"/>
                      <w:u w:val="none"/>
                    </w:rPr>
                  </w:pPr>
                  <w:r>
                    <w:rPr>
                      <w:sz w:val="21"/>
                      <w:szCs w:val="21"/>
                      <w:u w:val="none"/>
                    </w:rPr>
                    <w:t>VOCs废气收集处理系统应与生产工艺设备同步运行。</w:t>
                  </w:r>
                </w:p>
              </w:tc>
              <w:tc>
                <w:tcPr>
                  <w:tcW w:w="3063" w:type="dxa"/>
                  <w:vAlign w:val="center"/>
                </w:tcPr>
                <w:p>
                  <w:pPr>
                    <w:pStyle w:val="14"/>
                    <w:wordWrap w:val="0"/>
                    <w:spacing w:line="240" w:lineRule="auto"/>
                    <w:ind w:firstLine="0" w:firstLineChars="0"/>
                    <w:jc w:val="both"/>
                    <w:rPr>
                      <w:sz w:val="21"/>
                      <w:szCs w:val="21"/>
                      <w:u w:val="none"/>
                    </w:rPr>
                  </w:pPr>
                  <w:r>
                    <w:rPr>
                      <w:sz w:val="21"/>
                      <w:szCs w:val="21"/>
                      <w:u w:val="none"/>
                    </w:rPr>
                    <w:t>当废气收集处理系统出现故障或检修时，生产设备按照要求停止运行。</w:t>
                  </w:r>
                </w:p>
              </w:tc>
              <w:tc>
                <w:tcPr>
                  <w:tcW w:w="760" w:type="dxa"/>
                  <w:vAlign w:val="center"/>
                </w:tcPr>
                <w:p>
                  <w:pPr>
                    <w:pStyle w:val="14"/>
                    <w:wordWrap w:val="0"/>
                    <w:spacing w:line="240" w:lineRule="auto"/>
                    <w:ind w:firstLine="0" w:firstLineChars="0"/>
                    <w:jc w:val="center"/>
                    <w:rPr>
                      <w:sz w:val="21"/>
                      <w:szCs w:val="21"/>
                      <w:u w:val="none"/>
                    </w:rPr>
                  </w:pPr>
                  <w:r>
                    <w:rPr>
                      <w:sz w:val="21"/>
                      <w:szCs w:val="21"/>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14"/>
                    <w:wordWrap w:val="0"/>
                    <w:spacing w:line="240" w:lineRule="auto"/>
                    <w:ind w:firstLine="0" w:firstLineChars="0"/>
                    <w:jc w:val="center"/>
                    <w:rPr>
                      <w:sz w:val="21"/>
                      <w:szCs w:val="21"/>
                      <w:u w:val="none"/>
                    </w:rPr>
                  </w:pPr>
                  <w:r>
                    <w:rPr>
                      <w:rFonts w:hint="eastAsia"/>
                      <w:sz w:val="21"/>
                      <w:szCs w:val="21"/>
                      <w:u w:val="none"/>
                    </w:rPr>
                    <w:t>5</w:t>
                  </w:r>
                </w:p>
              </w:tc>
              <w:tc>
                <w:tcPr>
                  <w:tcW w:w="3503" w:type="dxa"/>
                  <w:vAlign w:val="center"/>
                </w:tcPr>
                <w:p>
                  <w:pPr>
                    <w:spacing w:line="240" w:lineRule="auto"/>
                    <w:ind w:firstLine="0" w:firstLineChars="0"/>
                    <w:rPr>
                      <w:sz w:val="21"/>
                      <w:szCs w:val="21"/>
                      <w:u w:val="none"/>
                    </w:rPr>
                  </w:pPr>
                  <w:r>
                    <w:rPr>
                      <w:sz w:val="21"/>
                      <w:szCs w:val="21"/>
                      <w:u w:val="none"/>
                    </w:rPr>
                    <w:t>废气收集系统排风罩（集气罩）的设置应符合GBT16758的规定</w:t>
                  </w:r>
                </w:p>
              </w:tc>
              <w:tc>
                <w:tcPr>
                  <w:tcW w:w="3063" w:type="dxa"/>
                  <w:vAlign w:val="center"/>
                </w:tcPr>
                <w:p>
                  <w:pPr>
                    <w:pStyle w:val="14"/>
                    <w:wordWrap w:val="0"/>
                    <w:spacing w:line="240" w:lineRule="auto"/>
                    <w:ind w:firstLine="0" w:firstLineChars="0"/>
                    <w:jc w:val="both"/>
                    <w:rPr>
                      <w:sz w:val="21"/>
                      <w:szCs w:val="21"/>
                      <w:u w:val="none"/>
                    </w:rPr>
                  </w:pPr>
                  <w:r>
                    <w:rPr>
                      <w:sz w:val="21"/>
                      <w:szCs w:val="21"/>
                      <w:u w:val="none"/>
                    </w:rPr>
                    <w:t>建设方废气处理系统设计方将严格按照要求进行设计施工。</w:t>
                  </w:r>
                </w:p>
              </w:tc>
              <w:tc>
                <w:tcPr>
                  <w:tcW w:w="760" w:type="dxa"/>
                  <w:vAlign w:val="center"/>
                </w:tcPr>
                <w:p>
                  <w:pPr>
                    <w:pStyle w:val="14"/>
                    <w:wordWrap w:val="0"/>
                    <w:spacing w:line="240" w:lineRule="auto"/>
                    <w:ind w:firstLine="0" w:firstLineChars="0"/>
                    <w:jc w:val="center"/>
                    <w:rPr>
                      <w:sz w:val="21"/>
                      <w:szCs w:val="21"/>
                      <w:u w:val="none"/>
                    </w:rPr>
                  </w:pPr>
                  <w:r>
                    <w:rPr>
                      <w:sz w:val="21"/>
                      <w:szCs w:val="21"/>
                      <w:u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14"/>
                    <w:wordWrap w:val="0"/>
                    <w:spacing w:line="240" w:lineRule="auto"/>
                    <w:ind w:firstLine="0" w:firstLineChars="0"/>
                    <w:jc w:val="center"/>
                    <w:rPr>
                      <w:sz w:val="21"/>
                      <w:szCs w:val="21"/>
                      <w:u w:val="none"/>
                    </w:rPr>
                  </w:pPr>
                  <w:r>
                    <w:rPr>
                      <w:rFonts w:hint="eastAsia"/>
                      <w:sz w:val="21"/>
                      <w:szCs w:val="21"/>
                      <w:u w:val="none"/>
                    </w:rPr>
                    <w:t>6</w:t>
                  </w:r>
                </w:p>
              </w:tc>
              <w:tc>
                <w:tcPr>
                  <w:tcW w:w="3503" w:type="dxa"/>
                  <w:vAlign w:val="center"/>
                </w:tcPr>
                <w:p>
                  <w:pPr>
                    <w:spacing w:line="240" w:lineRule="auto"/>
                    <w:ind w:firstLine="0" w:firstLineChars="0"/>
                    <w:rPr>
                      <w:sz w:val="21"/>
                      <w:szCs w:val="21"/>
                      <w:u w:val="none"/>
                    </w:rPr>
                  </w:pPr>
                  <w:r>
                    <w:rPr>
                      <w:sz w:val="21"/>
                      <w:szCs w:val="21"/>
                      <w:u w:val="none"/>
                    </w:rPr>
                    <w:t>企业应建立台账,记录废气收集系统、VOCs处理设施的主要运行和维护信息。台账保存期限不少于3年</w:t>
                  </w:r>
                </w:p>
              </w:tc>
              <w:tc>
                <w:tcPr>
                  <w:tcW w:w="3063" w:type="dxa"/>
                  <w:vAlign w:val="center"/>
                </w:tcPr>
                <w:p>
                  <w:pPr>
                    <w:pStyle w:val="14"/>
                    <w:spacing w:line="240" w:lineRule="auto"/>
                    <w:ind w:firstLine="0" w:firstLineChars="0"/>
                    <w:rPr>
                      <w:sz w:val="21"/>
                      <w:szCs w:val="21"/>
                      <w:u w:val="none"/>
                    </w:rPr>
                  </w:pPr>
                  <w:r>
                    <w:rPr>
                      <w:sz w:val="21"/>
                      <w:szCs w:val="21"/>
                      <w:u w:val="none"/>
                    </w:rPr>
                    <w:t>建设方将按照要求建立</w:t>
                  </w:r>
                  <w:r>
                    <w:rPr>
                      <w:rFonts w:hint="eastAsia"/>
                      <w:sz w:val="21"/>
                      <w:szCs w:val="21"/>
                      <w:u w:val="none"/>
                    </w:rPr>
                    <w:t>相关</w:t>
                  </w:r>
                  <w:r>
                    <w:rPr>
                      <w:sz w:val="21"/>
                      <w:szCs w:val="21"/>
                      <w:u w:val="none"/>
                    </w:rPr>
                    <w:t>台账</w:t>
                  </w:r>
                  <w:r>
                    <w:rPr>
                      <w:rFonts w:hint="eastAsia"/>
                      <w:sz w:val="21"/>
                      <w:szCs w:val="21"/>
                      <w:u w:val="none"/>
                    </w:rPr>
                    <w:t>，并要求其台账保存期限不少于3年</w:t>
                  </w:r>
                  <w:r>
                    <w:rPr>
                      <w:sz w:val="21"/>
                      <w:szCs w:val="21"/>
                      <w:u w:val="none"/>
                    </w:rPr>
                    <w:t>。</w:t>
                  </w:r>
                </w:p>
              </w:tc>
              <w:tc>
                <w:tcPr>
                  <w:tcW w:w="760" w:type="dxa"/>
                  <w:vAlign w:val="center"/>
                </w:tcPr>
                <w:p>
                  <w:pPr>
                    <w:pStyle w:val="14"/>
                    <w:wordWrap w:val="0"/>
                    <w:spacing w:line="240" w:lineRule="auto"/>
                    <w:ind w:firstLine="0" w:firstLineChars="0"/>
                    <w:jc w:val="center"/>
                    <w:rPr>
                      <w:sz w:val="21"/>
                      <w:szCs w:val="21"/>
                      <w:u w:val="none"/>
                    </w:rPr>
                  </w:pPr>
                  <w:r>
                    <w:rPr>
                      <w:sz w:val="21"/>
                      <w:szCs w:val="21"/>
                      <w:u w:val="none"/>
                    </w:rPr>
                    <w:t>符合</w:t>
                  </w:r>
                </w:p>
              </w:tc>
            </w:tr>
          </w:tbl>
          <w:p>
            <w:pPr>
              <w:pStyle w:val="14"/>
              <w:ind w:firstLine="480"/>
              <w:rPr>
                <w:u w:val="none"/>
              </w:rPr>
            </w:pPr>
            <w:r>
              <w:rPr>
                <w:rFonts w:hint="eastAsia"/>
                <w:u w:val="none"/>
              </w:rPr>
              <w:t>由上表可知，本项目建设符合《挥发性有机物无组织排放控制标准》(GB37822-2019)中无组织排放相关要求。</w:t>
            </w:r>
          </w:p>
          <w:p>
            <w:pPr>
              <w:tabs>
                <w:tab w:val="left" w:pos="3705"/>
                <w:tab w:val="left" w:pos="4680"/>
              </w:tabs>
              <w:ind w:left="480" w:leftChars="200" w:firstLine="0" w:firstLineChars="0"/>
              <w:rPr>
                <w:color w:val="000000"/>
                <w:u w:val="none"/>
                <w:lang w:bidi="zh-CN"/>
              </w:rPr>
            </w:pPr>
            <w:r>
              <w:rPr>
                <w:rFonts w:hint="eastAsia"/>
                <w:color w:val="000000"/>
                <w:u w:val="none"/>
                <w:lang w:bidi="zh-CN"/>
              </w:rPr>
              <w:t>7、与《挥发性有机物（</w:t>
            </w:r>
            <w:r>
              <w:rPr>
                <w:color w:val="000000"/>
                <w:u w:val="none"/>
                <w:lang w:bidi="zh-CN"/>
              </w:rPr>
              <w:t>VOCs</w:t>
            </w:r>
            <w:r>
              <w:rPr>
                <w:rFonts w:hint="eastAsia"/>
                <w:color w:val="000000"/>
                <w:u w:val="none"/>
                <w:lang w:bidi="zh-CN"/>
              </w:rPr>
              <w:t>）污染防治技术政策》符合性分析</w:t>
            </w:r>
          </w:p>
          <w:p>
            <w:pPr>
              <w:pStyle w:val="5"/>
              <w:ind w:firstLine="0" w:firstLineChars="0"/>
              <w:jc w:val="center"/>
              <w:rPr>
                <w:bCs/>
                <w:color w:val="000000"/>
                <w:kern w:val="24"/>
                <w:u w:val="none"/>
              </w:rPr>
            </w:pPr>
            <w:r>
              <w:rPr>
                <w:rFonts w:hint="eastAsia"/>
                <w:bCs/>
                <w:color w:val="000000"/>
                <w:kern w:val="24"/>
                <w:u w:val="none"/>
              </w:rPr>
              <w:t>表1-</w:t>
            </w:r>
            <w:r>
              <w:rPr>
                <w:rFonts w:hint="eastAsia"/>
                <w:bCs/>
                <w:color w:val="000000"/>
                <w:kern w:val="24"/>
                <w:u w:val="none"/>
                <w:lang w:val="en-US" w:eastAsia="zh-CN"/>
              </w:rPr>
              <w:t>8</w:t>
            </w:r>
            <w:r>
              <w:rPr>
                <w:rFonts w:hint="eastAsia"/>
                <w:bCs/>
                <w:color w:val="000000"/>
                <w:kern w:val="24"/>
                <w:u w:val="none"/>
              </w:rPr>
              <w:t>与《挥发性有机物（VOCs）污染防治技术政策》符合性分析表</w:t>
            </w:r>
          </w:p>
          <w:tbl>
            <w:tblPr>
              <w:tblStyle w:val="24"/>
              <w:tblW w:w="7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154"/>
              <w:gridCol w:w="289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4" w:type="dxa"/>
                  <w:gridSpan w:val="2"/>
                  <w:noWrap w:val="0"/>
                  <w:vAlign w:val="center"/>
                </w:tcPr>
                <w:p>
                  <w:pPr>
                    <w:pStyle w:val="3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政策要求</w:t>
                  </w:r>
                </w:p>
              </w:tc>
              <w:tc>
                <w:tcPr>
                  <w:tcW w:w="2896" w:type="dxa"/>
                  <w:noWrap w:val="0"/>
                  <w:vAlign w:val="center"/>
                </w:tcPr>
                <w:p>
                  <w:pPr>
                    <w:pStyle w:val="3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项目情况</w:t>
                  </w:r>
                </w:p>
              </w:tc>
              <w:tc>
                <w:tcPr>
                  <w:tcW w:w="868" w:type="dxa"/>
                  <w:noWrap w:val="0"/>
                  <w:vAlign w:val="center"/>
                </w:tcPr>
                <w:p>
                  <w:pPr>
                    <w:pStyle w:val="3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restart"/>
                  <w:noWrap w:val="0"/>
                  <w:vAlign w:val="center"/>
                </w:tcPr>
                <w:p>
                  <w:pPr>
                    <w:pStyle w:val="3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在涂装、印刷、粘合、工业清洗等含VOCs产品的使用过程中的VOCs污染防治技术措施</w:t>
                  </w:r>
                </w:p>
              </w:tc>
              <w:tc>
                <w:tcPr>
                  <w:tcW w:w="3154" w:type="dxa"/>
                  <w:noWrap w:val="0"/>
                  <w:vAlign w:val="center"/>
                </w:tcPr>
                <w:p>
                  <w:pPr>
                    <w:pStyle w:val="3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根据涂装工艺的不同，鼓励使用水性涂料、高固份涂料、粉末涂料、紫外光固化(UV)涂料等环保型涂料；推广采用静电喷涂、淋涂、辊涂、浸涂等效率较高的涂装工艺；应尽量避免无VOCs净化、回收措施的露天喷涂作业。</w:t>
                  </w:r>
                </w:p>
              </w:tc>
              <w:tc>
                <w:tcPr>
                  <w:tcW w:w="2896" w:type="dxa"/>
                  <w:vMerge w:val="restart"/>
                  <w:noWrap w:val="0"/>
                  <w:vAlign w:val="center"/>
                </w:tcPr>
                <w:p>
                  <w:pPr>
                    <w:pStyle w:val="14"/>
                    <w:keepNext w:val="0"/>
                    <w:keepLines w:val="0"/>
                    <w:pageBreakBefore w:val="0"/>
                    <w:widowControl w:val="0"/>
                    <w:kinsoku/>
                    <w:wordWrap/>
                    <w:overflowPunct/>
                    <w:topLinePunct w:val="0"/>
                    <w:bidi w:val="0"/>
                    <w:spacing w:line="240" w:lineRule="auto"/>
                    <w:ind w:leftChars="0"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项</w:t>
                  </w:r>
                  <w:r>
                    <w:rPr>
                      <w:rFonts w:hint="default" w:ascii="Times New Roman" w:hAnsi="Times New Roman" w:eastAsia="宋体" w:cs="Times New Roman"/>
                      <w:color w:val="000000"/>
                      <w:kern w:val="2"/>
                      <w:sz w:val="21"/>
                      <w:szCs w:val="21"/>
                      <w:u w:val="none"/>
                      <w:vertAlign w:val="baseline"/>
                      <w:lang w:val="en-US" w:eastAsia="zh-CN" w:bidi="ar-SA"/>
                    </w:rPr>
                    <w:t>目</w:t>
                  </w:r>
                  <w:r>
                    <w:rPr>
                      <w:rFonts w:hint="eastAsia" w:ascii="Times New Roman" w:hAnsi="Times New Roman" w:eastAsia="宋体" w:cs="Times New Roman"/>
                      <w:color w:val="000000"/>
                      <w:kern w:val="2"/>
                      <w:sz w:val="21"/>
                      <w:szCs w:val="21"/>
                      <w:u w:val="none"/>
                      <w:vertAlign w:val="baseline"/>
                      <w:lang w:val="en-US" w:eastAsia="zh-CN" w:bidi="ar-SA"/>
                    </w:rPr>
                    <w:t>使用水性涂料进行涂布</w:t>
                  </w:r>
                  <w:r>
                    <w:rPr>
                      <w:rFonts w:hint="default" w:ascii="Times New Roman" w:hAnsi="Times New Roman" w:eastAsia="宋体" w:cs="Times New Roman"/>
                      <w:color w:val="000000"/>
                      <w:kern w:val="2"/>
                      <w:sz w:val="21"/>
                      <w:szCs w:val="21"/>
                      <w:u w:val="none"/>
                      <w:vertAlign w:val="baseline"/>
                      <w:lang w:val="en-US" w:eastAsia="zh-CN" w:bidi="ar-SA"/>
                    </w:rPr>
                    <w:t>，涂布烘干工序</w:t>
                  </w:r>
                  <w:r>
                    <w:rPr>
                      <w:rFonts w:hint="eastAsia" w:ascii="Times New Roman" w:hAnsi="Times New Roman" w:eastAsia="宋体" w:cs="Times New Roman"/>
                      <w:color w:val="000000"/>
                      <w:kern w:val="2"/>
                      <w:sz w:val="21"/>
                      <w:szCs w:val="21"/>
                      <w:u w:val="none"/>
                      <w:vertAlign w:val="baseline"/>
                      <w:lang w:val="en-US" w:eastAsia="zh-CN" w:bidi="ar-SA"/>
                    </w:rPr>
                    <w:t>废气</w:t>
                  </w:r>
                  <w:r>
                    <w:rPr>
                      <w:rFonts w:hint="default" w:ascii="Times New Roman" w:hAnsi="Times New Roman" w:eastAsia="宋体" w:cs="Times New Roman"/>
                      <w:color w:val="000000"/>
                      <w:kern w:val="2"/>
                      <w:sz w:val="21"/>
                      <w:szCs w:val="21"/>
                      <w:u w:val="none"/>
                      <w:vertAlign w:val="baseline"/>
                      <w:lang w:val="en-US" w:eastAsia="zh-CN" w:bidi="ar-SA"/>
                    </w:rPr>
                    <w:t>通过</w:t>
                  </w:r>
                  <w:r>
                    <w:rPr>
                      <w:rFonts w:hint="eastAsia" w:ascii="Times New Roman" w:hAnsi="Times New Roman" w:eastAsia="宋体" w:cs="Times New Roman"/>
                      <w:color w:val="000000"/>
                      <w:kern w:val="2"/>
                      <w:sz w:val="21"/>
                      <w:szCs w:val="21"/>
                      <w:u w:val="none"/>
                      <w:vertAlign w:val="baseline"/>
                      <w:lang w:val="en-US" w:eastAsia="zh-CN" w:bidi="ar-SA"/>
                    </w:rPr>
                    <w:t>密闭负压+</w:t>
                  </w:r>
                  <w:r>
                    <w:rPr>
                      <w:rFonts w:hint="default" w:ascii="Times New Roman" w:hAnsi="Times New Roman" w:eastAsia="宋体" w:cs="Times New Roman"/>
                      <w:color w:val="000000"/>
                      <w:kern w:val="2"/>
                      <w:sz w:val="21"/>
                      <w:szCs w:val="21"/>
                      <w:u w:val="none"/>
                      <w:vertAlign w:val="baseline"/>
                      <w:lang w:val="en-US" w:eastAsia="zh-CN" w:bidi="ar-SA"/>
                    </w:rPr>
                    <w:t>二级活性炭处理后通过一根15m高排气筒DA001排放。</w:t>
                  </w:r>
                </w:p>
              </w:tc>
              <w:tc>
                <w:tcPr>
                  <w:tcW w:w="868" w:type="dxa"/>
                  <w:noWrap w:val="0"/>
                  <w:vAlign w:val="center"/>
                </w:tcPr>
                <w:p>
                  <w:pPr>
                    <w:pStyle w:val="3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noWrap w:val="0"/>
                  <w:vAlign w:val="center"/>
                </w:tcPr>
                <w:p>
                  <w:pPr>
                    <w:pStyle w:val="37"/>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p>
              </w:tc>
              <w:tc>
                <w:tcPr>
                  <w:tcW w:w="3154" w:type="dxa"/>
                  <w:noWrap w:val="0"/>
                  <w:vAlign w:val="center"/>
                </w:tcPr>
                <w:p>
                  <w:pPr>
                    <w:pStyle w:val="3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含VOCs产品的使用过程中，应采取废气收集措施，提高废气收集效率，减少废气的无组织排放与逸散，并对收集后的废气进行回</w:t>
                  </w:r>
                  <w:r>
                    <w:rPr>
                      <w:rFonts w:hint="eastAsia" w:ascii="Times New Roman" w:hAnsi="Times New Roman" w:eastAsia="宋体" w:cs="Times New Roman"/>
                      <w:color w:val="000000"/>
                      <w:sz w:val="21"/>
                      <w:szCs w:val="21"/>
                      <w:u w:val="none"/>
                      <w:vertAlign w:val="baseline"/>
                      <w:lang w:val="en-US" w:eastAsia="zh-CN"/>
                    </w:rPr>
                    <w:t>收</w:t>
                  </w:r>
                  <w:r>
                    <w:rPr>
                      <w:rFonts w:hint="default" w:ascii="Times New Roman" w:hAnsi="Times New Roman" w:eastAsia="宋体" w:cs="Times New Roman"/>
                      <w:color w:val="000000"/>
                      <w:sz w:val="21"/>
                      <w:szCs w:val="21"/>
                      <w:u w:val="none"/>
                      <w:vertAlign w:val="baseline"/>
                      <w:lang w:val="en-US" w:eastAsia="zh-CN"/>
                    </w:rPr>
                    <w:t>或处理后达标排放。</w:t>
                  </w:r>
                </w:p>
              </w:tc>
              <w:tc>
                <w:tcPr>
                  <w:tcW w:w="2896" w:type="dxa"/>
                  <w:vMerge w:val="continue"/>
                  <w:noWrap w:val="0"/>
                  <w:vAlign w:val="center"/>
                </w:tcPr>
                <w:p>
                  <w:pPr>
                    <w:pStyle w:val="3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p>
              </w:tc>
              <w:tc>
                <w:tcPr>
                  <w:tcW w:w="868" w:type="dxa"/>
                  <w:noWrap w:val="0"/>
                  <w:vAlign w:val="center"/>
                </w:tcPr>
                <w:p>
                  <w:pPr>
                    <w:pStyle w:val="3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符合</w:t>
                  </w:r>
                </w:p>
              </w:tc>
            </w:tr>
          </w:tbl>
          <w:p>
            <w:pPr>
              <w:widowControl/>
              <w:autoSpaceDE w:val="0"/>
              <w:autoSpaceDN w:val="0"/>
              <w:ind w:firstLine="436"/>
              <w:jc w:val="left"/>
              <w:rPr>
                <w:color w:val="000000"/>
                <w:spacing w:val="-11"/>
                <w:szCs w:val="22"/>
                <w:u w:val="none"/>
                <w:lang w:bidi="zh-CN"/>
              </w:rPr>
            </w:pPr>
            <w:r>
              <w:rPr>
                <w:rFonts w:hint="eastAsia"/>
                <w:color w:val="000000"/>
                <w:spacing w:val="-11"/>
                <w:szCs w:val="22"/>
                <w:u w:val="none"/>
                <w:lang w:bidi="zh-CN"/>
              </w:rPr>
              <w:t>由上表可知，本项目建设与《挥发性有机物（</w:t>
            </w:r>
            <w:r>
              <w:rPr>
                <w:color w:val="000000"/>
                <w:spacing w:val="-11"/>
                <w:szCs w:val="22"/>
                <w:u w:val="none"/>
                <w:lang w:bidi="zh-CN"/>
              </w:rPr>
              <w:t>VOCs</w:t>
            </w:r>
            <w:r>
              <w:rPr>
                <w:rFonts w:hint="eastAsia"/>
                <w:color w:val="000000"/>
                <w:spacing w:val="-11"/>
                <w:szCs w:val="22"/>
                <w:u w:val="none"/>
                <w:lang w:bidi="zh-CN"/>
              </w:rPr>
              <w:t>）污染防治技术政策》要求相符。</w:t>
            </w:r>
          </w:p>
          <w:p>
            <w:pPr>
              <w:ind w:firstLine="480"/>
              <w:rPr>
                <w:u w:val="none"/>
              </w:rPr>
            </w:pPr>
            <w:r>
              <w:rPr>
                <w:rFonts w:hint="eastAsia"/>
                <w:u w:val="none"/>
                <w:lang w:val="en-US" w:eastAsia="zh-CN"/>
              </w:rPr>
              <w:t>8</w:t>
            </w:r>
            <w:r>
              <w:rPr>
                <w:rFonts w:hint="eastAsia"/>
                <w:u w:val="none"/>
              </w:rPr>
              <w:t>、选址合理性分析</w:t>
            </w:r>
          </w:p>
          <w:p>
            <w:pPr>
              <w:ind w:firstLine="480"/>
              <w:rPr>
                <w:u w:val="none"/>
              </w:rPr>
            </w:pPr>
            <w:r>
              <w:rPr>
                <w:rFonts w:hint="eastAsia"/>
                <w:color w:val="000000" w:themeColor="text1"/>
                <w:u w:val="none"/>
                <w14:textFill>
                  <w14:solidFill>
                    <w14:schemeClr w14:val="tx1"/>
                  </w14:solidFill>
                </w14:textFill>
              </w:rPr>
              <w:t>本项目位于</w:t>
            </w:r>
            <w:r>
              <w:rPr>
                <w:rFonts w:hint="eastAsia"/>
                <w:color w:val="000000" w:themeColor="text1"/>
                <w:u w:val="none"/>
                <w:lang w:eastAsia="zh-CN"/>
                <w14:textFill>
                  <w14:solidFill>
                    <w14:schemeClr w14:val="tx1"/>
                  </w14:solidFill>
                </w14:textFill>
              </w:rPr>
              <w:t>湖南省岳阳市湘阴县洋沙湖镇高新区洋沙湖片区新华路东侧新华标厂1栋101室</w:t>
            </w:r>
            <w:r>
              <w:rPr>
                <w:rFonts w:hint="eastAsia"/>
                <w:u w:val="none"/>
              </w:rPr>
              <w:t>，属于洋沙湖片区</w:t>
            </w:r>
            <w:r>
              <w:rPr>
                <w:rFonts w:hint="eastAsia"/>
                <w:u w:val="none"/>
                <w:lang w:val="en-US" w:eastAsia="zh-CN"/>
              </w:rPr>
              <w:t>其他区域</w:t>
            </w:r>
            <w:r>
              <w:rPr>
                <w:u w:val="none"/>
              </w:rPr>
              <w:t>。</w:t>
            </w:r>
            <w:r>
              <w:rPr>
                <w:rFonts w:hint="eastAsia"/>
                <w:u w:val="none"/>
              </w:rPr>
              <w:t>根据规</w:t>
            </w:r>
            <w:r>
              <w:rPr>
                <w:rFonts w:hint="eastAsia"/>
                <w:color w:val="000000" w:themeColor="text1"/>
                <w:u w:val="none"/>
                <w14:textFill>
                  <w14:solidFill>
                    <w14:schemeClr w14:val="tx1"/>
                  </w14:solidFill>
                </w14:textFill>
              </w:rPr>
              <w:t>划，项目用地为</w:t>
            </w:r>
            <w:r>
              <w:rPr>
                <w:rFonts w:hint="eastAsia"/>
                <w:color w:val="000000" w:themeColor="text1"/>
                <w:u w:val="none"/>
                <w:lang w:val="en-US" w:eastAsia="zh-CN"/>
                <w14:textFill>
                  <w14:solidFill>
                    <w14:schemeClr w14:val="tx1"/>
                  </w14:solidFill>
                </w14:textFill>
              </w:rPr>
              <w:t>二</w:t>
            </w:r>
            <w:r>
              <w:rPr>
                <w:rFonts w:hint="eastAsia"/>
                <w:color w:val="000000" w:themeColor="text1"/>
                <w:u w:val="none"/>
                <w14:textFill>
                  <w14:solidFill>
                    <w14:schemeClr w14:val="tx1"/>
                  </w14:solidFill>
                </w14:textFill>
              </w:rPr>
              <w:t>类工业用地。</w:t>
            </w:r>
            <w:r>
              <w:rPr>
                <w:rFonts w:hint="eastAsia"/>
                <w:u w:val="none"/>
              </w:rPr>
              <w:t>本项目属《国民经济行业分类》(GB/T4754-2017)分类中的“</w:t>
            </w:r>
            <w:r>
              <w:rPr>
                <w:rFonts w:hint="eastAsia"/>
                <w:color w:val="000000" w:themeColor="text1"/>
                <w:u w:val="none"/>
                <w:lang w:eastAsia="zh-CN"/>
                <w14:textFill>
                  <w14:solidFill>
                    <w14:schemeClr w14:val="tx1"/>
                  </w14:solidFill>
                </w14:textFill>
              </w:rPr>
              <w:t>C2921塑料薄膜制造</w:t>
            </w:r>
            <w:r>
              <w:rPr>
                <w:rFonts w:hint="eastAsia"/>
                <w:u w:val="none"/>
              </w:rPr>
              <w:t>”，经查在《产业结构调整指导目录》（2024版）中，不属于鼓励类、限制类、淘汰类项目，属于</w:t>
            </w:r>
            <w:r>
              <w:rPr>
                <w:rFonts w:hint="eastAsia"/>
                <w:u w:val="none"/>
                <w:lang w:val="en-US" w:eastAsia="zh-CN"/>
              </w:rPr>
              <w:t>允许</w:t>
            </w:r>
            <w:r>
              <w:rPr>
                <w:rFonts w:hint="eastAsia"/>
                <w:u w:val="none"/>
              </w:rPr>
              <w:t>类项目，符合产业政策的要求</w:t>
            </w:r>
            <w:r>
              <w:rPr>
                <w:rFonts w:hint="eastAsia"/>
                <w:u w:val="none"/>
                <w:lang w:eastAsia="zh-CN"/>
              </w:rPr>
              <w:t>；</w:t>
            </w:r>
            <w:r>
              <w:rPr>
                <w:color w:val="000000"/>
                <w:u w:val="none"/>
              </w:rPr>
              <w:t>对照《湖南省生态环境分区管控总体管控要求暨省级以上产业园区生态环境准入清单》（湘环函〔2024〕26号）不属于湘阴高新区限制类及禁止类生产企业，符合园区产业规划要求，因此与分区定位不冲突。</w:t>
            </w:r>
            <w:r>
              <w:rPr>
                <w:rFonts w:hint="eastAsia"/>
                <w:u w:val="none"/>
              </w:rPr>
              <w:t>本项目所在地不属于自然保护区、风景名胜区、森林公园、饮用水水源保护区、重要湖泊周边、文物古迹所在地、地质遗迹保护区、基本农田保护区等区域。项目投产后产生的废气、噪声、废水及固体废物，通过采取各项环保措施后，项目生产过程产生污染对周边居民的环境影响较小，项目建成后不会影响该区域的环境功能区划。本项目周边均为工业企业，在实施本评价提出的各项污染防治措施后，污染物能做到达标排放。因此，项目选址合理。</w:t>
            </w:r>
          </w:p>
          <w:p>
            <w:pPr>
              <w:ind w:firstLine="480"/>
              <w:rPr>
                <w:u w:val="none"/>
              </w:rPr>
            </w:pPr>
          </w:p>
          <w:p>
            <w:pPr>
              <w:ind w:firstLine="480"/>
              <w:rPr>
                <w:u w:val="none"/>
              </w:rPr>
            </w:pPr>
          </w:p>
          <w:p>
            <w:pPr>
              <w:ind w:firstLine="0" w:firstLineChars="0"/>
              <w:rPr>
                <w:u w:val="none"/>
              </w:rPr>
            </w:pPr>
          </w:p>
        </w:tc>
      </w:tr>
    </w:tbl>
    <w:p>
      <w:pPr>
        <w:ind w:firstLine="480"/>
      </w:pPr>
      <w:r>
        <w:br w:type="page"/>
      </w:r>
    </w:p>
    <w:p>
      <w:pPr>
        <w:ind w:firstLine="480"/>
        <w:sectPr>
          <w:footerReference r:id="rId8" w:type="default"/>
          <w:pgSz w:w="11906" w:h="16838"/>
          <w:pgMar w:top="1440" w:right="1417" w:bottom="1440" w:left="1417" w:header="851" w:footer="992" w:gutter="0"/>
          <w:pgNumType w:start="1"/>
          <w:cols w:space="425" w:num="1"/>
          <w:docGrid w:type="lines" w:linePitch="312" w:charSpace="0"/>
        </w:sectPr>
      </w:pPr>
    </w:p>
    <w:p>
      <w:pPr>
        <w:pStyle w:val="8"/>
        <w:rPr>
          <w:rFonts w:hint="default"/>
        </w:rPr>
      </w:pPr>
      <w:bookmarkStart w:id="28" w:name="_Toc32580"/>
      <w:bookmarkStart w:id="29" w:name="_Toc8700"/>
      <w:r>
        <w:t>二、建设项目工程分析</w:t>
      </w:r>
      <w:bookmarkEnd w:id="28"/>
      <w:bookmarkEnd w:id="29"/>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Borders>
              <w:bottom w:val="single" w:color="auto" w:sz="4" w:space="0"/>
              <w:right w:val="single" w:color="auto" w:sz="4" w:space="0"/>
            </w:tcBorders>
            <w:vAlign w:val="center"/>
          </w:tcPr>
          <w:p>
            <w:pPr>
              <w:ind w:firstLine="0" w:firstLineChars="0"/>
              <w:jc w:val="center"/>
              <w:rPr>
                <w:u w:val="none"/>
              </w:rPr>
            </w:pPr>
            <w:r>
              <w:rPr>
                <w:rFonts w:hint="eastAsia"/>
                <w:u w:val="none"/>
              </w:rPr>
              <w:t>建设内容</w:t>
            </w:r>
          </w:p>
        </w:tc>
        <w:tc>
          <w:tcPr>
            <w:tcW w:w="8830" w:type="dxa"/>
            <w:tcBorders>
              <w:left w:val="single" w:color="auto" w:sz="4" w:space="0"/>
              <w:bottom w:val="single" w:color="auto" w:sz="4" w:space="0"/>
            </w:tcBorders>
          </w:tcPr>
          <w:p>
            <w:pPr>
              <w:ind w:firstLine="480"/>
              <w:rPr>
                <w:b/>
                <w:bCs/>
                <w:u w:val="none"/>
              </w:rPr>
            </w:pPr>
            <w:r>
              <w:rPr>
                <w:rFonts w:hint="eastAsia"/>
                <w:b/>
                <w:bCs/>
                <w:u w:val="none"/>
              </w:rPr>
              <w:t>1、项目由来</w:t>
            </w:r>
          </w:p>
          <w:p>
            <w:pPr>
              <w:ind w:firstLine="480"/>
              <w:rPr>
                <w:color w:val="0000FF"/>
                <w:u w:val="none"/>
              </w:rPr>
            </w:pPr>
            <w:r>
              <w:rPr>
                <w:rFonts w:hint="eastAsia"/>
                <w:color w:val="000000" w:themeColor="text1"/>
                <w:u w:val="none"/>
                <w:lang w:eastAsia="zh-CN"/>
                <w14:textFill>
                  <w14:solidFill>
                    <w14:schemeClr w14:val="tx1"/>
                  </w14:solidFill>
                </w14:textFill>
              </w:rPr>
              <w:t>湖南巨洋科技有限公司</w:t>
            </w:r>
            <w:r>
              <w:rPr>
                <w:rFonts w:hint="eastAsia"/>
                <w:color w:val="000000" w:themeColor="text1"/>
                <w:u w:val="none"/>
                <w14:textFill>
                  <w14:solidFill>
                    <w14:schemeClr w14:val="tx1"/>
                  </w14:solidFill>
                </w14:textFill>
              </w:rPr>
              <w:t>拟投资2</w:t>
            </w:r>
            <w:r>
              <w:rPr>
                <w:rFonts w:hint="eastAsia"/>
                <w:color w:val="000000" w:themeColor="text1"/>
                <w:u w:val="none"/>
                <w:lang w:val="en-US" w:eastAsia="zh-CN"/>
                <w14:textFill>
                  <w14:solidFill>
                    <w14:schemeClr w14:val="tx1"/>
                  </w14:solidFill>
                </w14:textFill>
              </w:rPr>
              <w:t>0</w:t>
            </w:r>
            <w:r>
              <w:rPr>
                <w:rFonts w:hint="eastAsia"/>
                <w:color w:val="000000" w:themeColor="text1"/>
                <w:u w:val="none"/>
                <w14:textFill>
                  <w14:solidFill>
                    <w14:schemeClr w14:val="tx1"/>
                  </w14:solidFill>
                </w14:textFill>
              </w:rPr>
              <w:t>0万元租赁</w:t>
            </w:r>
            <w:r>
              <w:rPr>
                <w:rFonts w:hint="eastAsia"/>
                <w:color w:val="000000" w:themeColor="text1"/>
                <w:u w:val="none"/>
                <w:lang w:eastAsia="zh-CN"/>
                <w14:textFill>
                  <w14:solidFill>
                    <w14:schemeClr w14:val="tx1"/>
                  </w14:solidFill>
                </w14:textFill>
              </w:rPr>
              <w:t>湖南省岳阳市湘阴县洋沙湖镇高新区洋沙湖片区新华路东侧新华标厂1栋101室</w:t>
            </w:r>
            <w:r>
              <w:rPr>
                <w:rFonts w:hint="eastAsia"/>
                <w:color w:val="000000" w:themeColor="text1"/>
                <w:u w:val="none"/>
                <w:lang w:val="en-US" w:eastAsia="zh-CN"/>
                <w14:textFill>
                  <w14:solidFill>
                    <w14:schemeClr w14:val="tx1"/>
                  </w14:solidFill>
                </w14:textFill>
              </w:rPr>
              <w:t>厂</w:t>
            </w:r>
            <w:r>
              <w:rPr>
                <w:rFonts w:hint="eastAsia"/>
                <w:color w:val="000000" w:themeColor="text1"/>
                <w:u w:val="none"/>
                <w14:textFill>
                  <w14:solidFill>
                    <w14:schemeClr w14:val="tx1"/>
                  </w14:solidFill>
                </w14:textFill>
              </w:rPr>
              <w:t>房建设</w:t>
            </w:r>
            <w:r>
              <w:rPr>
                <w:rFonts w:hint="eastAsia"/>
                <w:color w:val="000000" w:themeColor="text1"/>
                <w:u w:val="none"/>
                <w:lang w:eastAsia="zh-CN"/>
                <w14:textFill>
                  <w14:solidFill>
                    <w14:schemeClr w14:val="tx1"/>
                  </w14:solidFill>
                </w14:textFill>
              </w:rPr>
              <w:t>年产1000万米预涂膜生产线项目</w:t>
            </w:r>
            <w:r>
              <w:rPr>
                <w:rFonts w:hint="eastAsia"/>
                <w:color w:val="000000" w:themeColor="text1"/>
                <w:u w:val="none"/>
                <w14:textFill>
                  <w14:solidFill>
                    <w14:schemeClr w14:val="tx1"/>
                  </w14:solidFill>
                </w14:textFill>
              </w:rPr>
              <w:t>。建设内容包括</w:t>
            </w:r>
            <w:r>
              <w:rPr>
                <w:rFonts w:hint="eastAsia"/>
                <w:color w:val="000000" w:themeColor="text1"/>
                <w:u w:val="none"/>
                <w:lang w:val="en-US" w:eastAsia="zh-CN"/>
                <w14:textFill>
                  <w14:solidFill>
                    <w14:schemeClr w14:val="tx1"/>
                  </w14:solidFill>
                </w14:textFill>
              </w:rPr>
              <w:t>一条</w:t>
            </w:r>
            <w:r>
              <w:rPr>
                <w:rFonts w:hint="eastAsia"/>
                <w:color w:val="000000" w:themeColor="text1"/>
                <w:u w:val="none"/>
                <w14:textFill>
                  <w14:solidFill>
                    <w14:schemeClr w14:val="tx1"/>
                  </w14:solidFill>
                </w14:textFill>
              </w:rPr>
              <w:t>年产1000万米预涂膜生产线、</w:t>
            </w:r>
            <w:r>
              <w:rPr>
                <w:rFonts w:hint="eastAsia"/>
                <w:color w:val="000000" w:themeColor="text1"/>
                <w:u w:val="none"/>
                <w:lang w:val="en-US" w:eastAsia="zh-CN"/>
                <w14:textFill>
                  <w14:solidFill>
                    <w14:schemeClr w14:val="tx1"/>
                  </w14:solidFill>
                </w14:textFill>
              </w:rPr>
              <w:t>仓库</w:t>
            </w:r>
            <w:r>
              <w:rPr>
                <w:rFonts w:hint="eastAsia"/>
                <w:color w:val="000000" w:themeColor="text1"/>
                <w:u w:val="none"/>
                <w14:textFill>
                  <w14:solidFill>
                    <w14:schemeClr w14:val="tx1"/>
                  </w14:solidFill>
                </w14:textFill>
              </w:rPr>
              <w:t>、</w:t>
            </w:r>
            <w:r>
              <w:rPr>
                <w:rFonts w:hint="eastAsia"/>
                <w:color w:val="000000" w:themeColor="text1"/>
                <w:u w:val="none"/>
                <w:lang w:val="en-US" w:eastAsia="zh-CN"/>
                <w14:textFill>
                  <w14:solidFill>
                    <w14:schemeClr w14:val="tx1"/>
                  </w14:solidFill>
                </w14:textFill>
              </w:rPr>
              <w:t>办公区</w:t>
            </w:r>
            <w:r>
              <w:rPr>
                <w:rFonts w:hint="eastAsia"/>
                <w:color w:val="000000" w:themeColor="text1"/>
                <w:u w:val="none"/>
                <w14:textFill>
                  <w14:solidFill>
                    <w14:schemeClr w14:val="tx1"/>
                  </w14:solidFill>
                </w14:textFill>
              </w:rPr>
              <w:t>等及环保工程。2025年</w:t>
            </w:r>
            <w:r>
              <w:rPr>
                <w:rFonts w:hint="eastAsia"/>
                <w:color w:val="000000" w:themeColor="text1"/>
                <w:u w:val="none"/>
                <w:lang w:val="en-US" w:eastAsia="zh-CN"/>
                <w14:textFill>
                  <w14:solidFill>
                    <w14:schemeClr w14:val="tx1"/>
                  </w14:solidFill>
                </w14:textFill>
              </w:rPr>
              <w:t>12</w:t>
            </w:r>
            <w:r>
              <w:rPr>
                <w:rFonts w:hint="eastAsia"/>
                <w:color w:val="000000" w:themeColor="text1"/>
                <w:u w:val="none"/>
                <w14:textFill>
                  <w14:solidFill>
                    <w14:schemeClr w14:val="tx1"/>
                  </w14:solidFill>
                </w14:textFill>
              </w:rPr>
              <w:t>月</w:t>
            </w:r>
            <w:r>
              <w:rPr>
                <w:rFonts w:hint="eastAsia"/>
                <w:color w:val="000000" w:themeColor="text1"/>
                <w:u w:val="none"/>
                <w:lang w:eastAsia="zh-CN"/>
                <w14:textFill>
                  <w14:solidFill>
                    <w14:schemeClr w14:val="tx1"/>
                  </w14:solidFill>
                </w14:textFill>
              </w:rPr>
              <w:t>湖南巨洋科技有限公司</w:t>
            </w:r>
            <w:r>
              <w:rPr>
                <w:rFonts w:hint="eastAsia"/>
                <w:color w:val="000000" w:themeColor="text1"/>
                <w:u w:val="none"/>
                <w14:textFill>
                  <w14:solidFill>
                    <w14:schemeClr w14:val="tx1"/>
                  </w14:solidFill>
                </w14:textFill>
              </w:rPr>
              <w:t>与湖南洋沙湖投资控股集团有限公司签订了厂房租赁合同（见附件3），并开展项目建设前期的筹备工作。</w:t>
            </w:r>
          </w:p>
          <w:p>
            <w:pPr>
              <w:ind w:firstLine="480"/>
              <w:rPr>
                <w:u w:val="none"/>
              </w:rPr>
            </w:pPr>
            <w:r>
              <w:rPr>
                <w:rFonts w:hint="eastAsia"/>
                <w:u w:val="none"/>
              </w:rPr>
              <w:t>根据《建设项目环境影响评价分类管理名录》（2021年版）等建设项目环境管理有关规定，本项目属于“</w:t>
            </w:r>
            <w:r>
              <w:rPr>
                <w:rFonts w:hint="eastAsia"/>
                <w:u w:val="none"/>
                <w:lang w:val="en-US" w:eastAsia="zh-CN"/>
              </w:rPr>
              <w:t>二十六、橡胶和塑料制品业 29</w:t>
            </w:r>
            <w:r>
              <w:rPr>
                <w:rFonts w:hint="eastAsia"/>
                <w:u w:val="none"/>
              </w:rPr>
              <w:t>”中“</w:t>
            </w:r>
            <w:r>
              <w:rPr>
                <w:rFonts w:hint="eastAsia"/>
                <w:u w:val="none"/>
                <w:lang w:val="en-US" w:eastAsia="zh-CN"/>
              </w:rPr>
              <w:t>塑料制品业 292</w:t>
            </w:r>
            <w:r>
              <w:rPr>
                <w:rFonts w:hint="eastAsia"/>
                <w:u w:val="none"/>
              </w:rPr>
              <w:t>”中“其他</w:t>
            </w:r>
            <w:r>
              <w:rPr>
                <w:rFonts w:hint="eastAsia"/>
                <w:u w:val="none"/>
                <w:lang w:eastAsia="zh-CN"/>
              </w:rPr>
              <w:t>（</w:t>
            </w:r>
            <w:r>
              <w:rPr>
                <w:rFonts w:hint="eastAsia"/>
                <w:u w:val="none"/>
              </w:rPr>
              <w:t>年用非溶剂型低VOCs含量涂料10吨以下的除外</w:t>
            </w:r>
            <w:r>
              <w:rPr>
                <w:rFonts w:hint="eastAsia"/>
                <w:u w:val="none"/>
                <w:lang w:eastAsia="zh-CN"/>
              </w:rPr>
              <w:t>）”</w:t>
            </w:r>
            <w:r>
              <w:rPr>
                <w:rFonts w:hint="eastAsia"/>
                <w:color w:val="000000" w:themeColor="text1"/>
                <w:u w:val="none"/>
                <w14:textFill>
                  <w14:solidFill>
                    <w14:schemeClr w14:val="tx1"/>
                  </w14:solidFill>
                </w14:textFill>
              </w:rPr>
              <w:t>类别，因</w:t>
            </w:r>
            <w:r>
              <w:rPr>
                <w:rFonts w:hint="eastAsia"/>
                <w:u w:val="none"/>
              </w:rPr>
              <w:t>此本项目应编制环境影响报告表。</w:t>
            </w:r>
          </w:p>
          <w:p>
            <w:pPr>
              <w:ind w:firstLine="480"/>
              <w:rPr>
                <w:b/>
                <w:bCs/>
                <w:u w:val="none"/>
              </w:rPr>
            </w:pPr>
            <w:r>
              <w:rPr>
                <w:rFonts w:hint="eastAsia"/>
                <w:b/>
                <w:bCs/>
                <w:u w:val="none"/>
              </w:rPr>
              <w:t>2、项目概况</w:t>
            </w:r>
          </w:p>
          <w:p>
            <w:pPr>
              <w:ind w:firstLine="480"/>
              <w:rPr>
                <w:u w:val="none"/>
              </w:rPr>
            </w:pPr>
            <w:r>
              <w:rPr>
                <w:rFonts w:hint="eastAsia"/>
                <w:u w:val="none"/>
              </w:rPr>
              <w:t>项目名称：</w:t>
            </w:r>
            <w:r>
              <w:rPr>
                <w:rFonts w:hint="eastAsia"/>
                <w:u w:val="none"/>
                <w:lang w:eastAsia="zh-CN"/>
              </w:rPr>
              <w:t>湖南巨洋科技有限公司年产1000万米预涂膜生产线项目</w:t>
            </w:r>
            <w:r>
              <w:rPr>
                <w:rFonts w:hint="eastAsia"/>
                <w:u w:val="none"/>
              </w:rPr>
              <w:t>；</w:t>
            </w:r>
          </w:p>
          <w:p>
            <w:pPr>
              <w:ind w:firstLine="480"/>
              <w:rPr>
                <w:rFonts w:hint="eastAsia"/>
                <w:u w:val="none"/>
              </w:rPr>
            </w:pPr>
            <w:r>
              <w:rPr>
                <w:rFonts w:hint="eastAsia"/>
                <w:u w:val="none"/>
              </w:rPr>
              <w:t>建设性质：新建；</w:t>
            </w:r>
          </w:p>
          <w:p>
            <w:pPr>
              <w:ind w:firstLine="480"/>
              <w:rPr>
                <w:rFonts w:hint="eastAsia"/>
                <w:u w:val="none"/>
              </w:rPr>
            </w:pPr>
            <w:r>
              <w:rPr>
                <w:rFonts w:hint="eastAsia"/>
                <w:u w:val="none"/>
              </w:rPr>
              <w:t>建设单位：</w:t>
            </w:r>
            <w:r>
              <w:rPr>
                <w:rFonts w:hint="eastAsia"/>
                <w:u w:val="none"/>
                <w:lang w:eastAsia="zh-CN"/>
              </w:rPr>
              <w:t>湖南巨洋科技有限公司</w:t>
            </w:r>
            <w:r>
              <w:rPr>
                <w:rFonts w:hint="eastAsia"/>
                <w:u w:val="none"/>
              </w:rPr>
              <w:t>；</w:t>
            </w:r>
          </w:p>
          <w:p>
            <w:pPr>
              <w:ind w:firstLine="480"/>
              <w:rPr>
                <w:rFonts w:hint="eastAsia"/>
                <w:u w:val="none"/>
              </w:rPr>
            </w:pPr>
            <w:r>
              <w:rPr>
                <w:rFonts w:hint="eastAsia"/>
                <w:u w:val="none"/>
              </w:rPr>
              <w:t>建设地点：</w:t>
            </w:r>
            <w:r>
              <w:rPr>
                <w:rFonts w:hint="eastAsia"/>
                <w:u w:val="none"/>
                <w:lang w:eastAsia="zh-CN"/>
              </w:rPr>
              <w:t>湖南省岳阳市湘阴县洋沙湖镇高新区洋沙湖片区新华路东侧新华标厂1栋101室</w:t>
            </w:r>
            <w:r>
              <w:rPr>
                <w:rFonts w:hint="eastAsia"/>
                <w:u w:val="none"/>
              </w:rPr>
              <w:t>；</w:t>
            </w:r>
          </w:p>
          <w:p>
            <w:pPr>
              <w:ind w:firstLine="480"/>
              <w:rPr>
                <w:rFonts w:hint="eastAsia"/>
                <w:u w:val="none"/>
              </w:rPr>
            </w:pPr>
            <w:r>
              <w:rPr>
                <w:rFonts w:hint="eastAsia"/>
                <w:u w:val="none"/>
              </w:rPr>
              <w:t>占地面积：</w:t>
            </w:r>
            <w:r>
              <w:rPr>
                <w:rFonts w:hint="eastAsia"/>
                <w:u w:val="none"/>
                <w:lang w:val="en-US" w:eastAsia="zh-CN"/>
              </w:rPr>
              <w:t>2250</w:t>
            </w:r>
            <w:r>
              <w:rPr>
                <w:rFonts w:hint="eastAsia"/>
                <w:u w:val="none"/>
              </w:rPr>
              <w:t>m</w:t>
            </w:r>
            <w:r>
              <w:rPr>
                <w:rFonts w:hint="eastAsia"/>
                <w:u w:val="none"/>
                <w:vertAlign w:val="superscript"/>
              </w:rPr>
              <w:t>2</w:t>
            </w:r>
            <w:r>
              <w:rPr>
                <w:rFonts w:hint="eastAsia"/>
                <w:u w:val="none"/>
              </w:rPr>
              <w:t>；</w:t>
            </w:r>
          </w:p>
          <w:p>
            <w:pPr>
              <w:ind w:firstLine="480"/>
              <w:rPr>
                <w:rFonts w:hint="eastAsia"/>
                <w:u w:val="none"/>
              </w:rPr>
            </w:pPr>
            <w:r>
              <w:rPr>
                <w:rFonts w:hint="eastAsia"/>
                <w:u w:val="none"/>
              </w:rPr>
              <w:t>项目投资：</w:t>
            </w:r>
            <w:r>
              <w:rPr>
                <w:rFonts w:hint="eastAsia"/>
                <w:u w:val="none"/>
                <w:lang w:val="en-US" w:eastAsia="zh-CN"/>
              </w:rPr>
              <w:t>200</w:t>
            </w:r>
            <w:r>
              <w:rPr>
                <w:rFonts w:hint="eastAsia"/>
                <w:u w:val="none"/>
              </w:rPr>
              <w:t>万元。</w:t>
            </w:r>
          </w:p>
          <w:p>
            <w:pPr>
              <w:ind w:firstLine="480"/>
              <w:rPr>
                <w:b/>
                <w:bCs/>
                <w:u w:val="none"/>
              </w:rPr>
            </w:pPr>
            <w:r>
              <w:rPr>
                <w:rFonts w:hint="eastAsia"/>
                <w:b/>
                <w:bCs/>
                <w:u w:val="none"/>
              </w:rPr>
              <w:t>3、项目建设内容</w:t>
            </w:r>
          </w:p>
          <w:p>
            <w:pPr>
              <w:ind w:firstLine="480"/>
              <w:rPr>
                <w:u w:val="none"/>
              </w:rPr>
            </w:pPr>
            <w:r>
              <w:rPr>
                <w:rFonts w:hint="eastAsia"/>
                <w:u w:val="none"/>
              </w:rPr>
              <w:t>本项目建设内容详见下表。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val="0"/>
                <w:u w:val="none"/>
              </w:rPr>
            </w:pPr>
            <w:r>
              <w:rPr>
                <w:rFonts w:hint="default" w:ascii="Times New Roman" w:hAnsi="Times New Roman" w:cs="Times New Roman"/>
                <w:b/>
                <w:bCs w:val="0"/>
                <w:u w:val="none"/>
              </w:rPr>
              <w:t>表2-1 项目建设内容一览表</w:t>
            </w:r>
          </w:p>
          <w:tbl>
            <w:tblPr>
              <w:tblStyle w:val="24"/>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56"/>
              <w:gridCol w:w="1154"/>
              <w:gridCol w:w="3745"/>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pct"/>
                  <w:gridSpan w:val="2"/>
                  <w:vAlign w:val="center"/>
                </w:tcPr>
                <w:p>
                  <w:pPr>
                    <w:pStyle w:val="37"/>
                    <w:ind w:left="0" w:leftChars="0"/>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项目名称</w:t>
                  </w:r>
                </w:p>
              </w:tc>
              <w:tc>
                <w:tcPr>
                  <w:tcW w:w="667" w:type="pct"/>
                  <w:vAlign w:val="center"/>
                </w:tcPr>
                <w:p>
                  <w:pPr>
                    <w:pStyle w:val="37"/>
                    <w:ind w:left="0" w:leftChars="0"/>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建设规模（m</w:t>
                  </w:r>
                  <w:r>
                    <w:rPr>
                      <w:b/>
                      <w:bCs/>
                      <w:color w:val="000000" w:themeColor="text1"/>
                      <w:sz w:val="21"/>
                      <w:szCs w:val="21"/>
                      <w:u w:val="none"/>
                      <w:vertAlign w:val="superscript"/>
                      <w14:textFill>
                        <w14:solidFill>
                          <w14:schemeClr w14:val="tx1"/>
                        </w14:solidFill>
                      </w14:textFill>
                    </w:rPr>
                    <w:t>2</w:t>
                  </w:r>
                  <w:r>
                    <w:rPr>
                      <w:b/>
                      <w:bCs/>
                      <w:color w:val="000000" w:themeColor="text1"/>
                      <w:sz w:val="21"/>
                      <w:szCs w:val="21"/>
                      <w:u w:val="none"/>
                      <w14:textFill>
                        <w14:solidFill>
                          <w14:schemeClr w14:val="tx1"/>
                        </w14:solidFill>
                      </w14:textFill>
                    </w:rPr>
                    <w:t>）</w:t>
                  </w:r>
                </w:p>
              </w:tc>
              <w:tc>
                <w:tcPr>
                  <w:tcW w:w="2164" w:type="pct"/>
                  <w:vAlign w:val="center"/>
                </w:tcPr>
                <w:p>
                  <w:pPr>
                    <w:pStyle w:val="37"/>
                    <w:ind w:left="0" w:leftChars="0"/>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建设内容</w:t>
                  </w:r>
                </w:p>
              </w:tc>
              <w:tc>
                <w:tcPr>
                  <w:tcW w:w="1271" w:type="pct"/>
                  <w:vAlign w:val="center"/>
                </w:tcPr>
                <w:p>
                  <w:pPr>
                    <w:pStyle w:val="37"/>
                    <w:ind w:left="0" w:leftChars="0"/>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85" w:type="pct"/>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主体工程</w:t>
                  </w:r>
                </w:p>
              </w:tc>
              <w:tc>
                <w:tcPr>
                  <w:tcW w:w="610" w:type="pct"/>
                  <w:vAlign w:val="center"/>
                </w:tcPr>
                <w:p>
                  <w:pPr>
                    <w:pStyle w:val="37"/>
                    <w:ind w:left="0" w:leftChars="0"/>
                    <w:rPr>
                      <w:rFonts w:ascii="Times New Roman" w:hAnsi="Times New Roman" w:eastAsia="宋体" w:cs="Times New Roman"/>
                      <w:color w:val="000000" w:themeColor="text1"/>
                      <w:sz w:val="21"/>
                      <w:szCs w:val="21"/>
                      <w:u w:val="none"/>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生产车间</w:t>
                  </w:r>
                </w:p>
              </w:tc>
              <w:tc>
                <w:tcPr>
                  <w:tcW w:w="667" w:type="pct"/>
                  <w:vAlign w:val="center"/>
                </w:tcPr>
                <w:p>
                  <w:pPr>
                    <w:pStyle w:val="37"/>
                    <w:ind w:left="0" w:leftChars="0"/>
                    <w:rPr>
                      <w:rFonts w:ascii="Times New Roman" w:hAnsi="Times New Roman" w:eastAsia="宋体" w:cs="Times New Roman"/>
                      <w:color w:val="000000" w:themeColor="text1"/>
                      <w:sz w:val="21"/>
                      <w:szCs w:val="21"/>
                      <w:u w:val="none"/>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640</w:t>
                  </w:r>
                </w:p>
              </w:tc>
              <w:tc>
                <w:tcPr>
                  <w:tcW w:w="2164" w:type="pct"/>
                  <w:vAlign w:val="center"/>
                </w:tcPr>
                <w:p>
                  <w:pPr>
                    <w:pStyle w:val="37"/>
                    <w:ind w:left="0" w:leftChars="0"/>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厂房车间</w:t>
                  </w:r>
                  <w:r>
                    <w:rPr>
                      <w:rFonts w:hint="eastAsia" w:cs="Times New Roman"/>
                      <w:color w:val="000000" w:themeColor="text1"/>
                      <w:sz w:val="21"/>
                      <w:szCs w:val="21"/>
                      <w:u w:val="none"/>
                      <w:lang w:val="en-US" w:eastAsia="zh-CN"/>
                      <w14:textFill>
                        <w14:solidFill>
                          <w14:schemeClr w14:val="tx1"/>
                        </w14:solidFill>
                      </w14:textFill>
                    </w:rPr>
                    <w:t>西</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南</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侧，</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拟建1条</w:t>
                  </w:r>
                  <w:r>
                    <w:rPr>
                      <w:rFonts w:hint="eastAsia"/>
                      <w:color w:val="000000" w:themeColor="text1"/>
                      <w:sz w:val="21"/>
                      <w:szCs w:val="21"/>
                      <w:u w:val="none"/>
                      <w14:textFill>
                        <w14:solidFill>
                          <w14:schemeClr w14:val="tx1"/>
                        </w14:solidFill>
                      </w14:textFill>
                    </w:rPr>
                    <w:t>年产1000万米预涂膜生产线</w:t>
                  </w:r>
                  <w:r>
                    <w:rPr>
                      <w:rFonts w:hint="eastAsia"/>
                      <w:color w:val="000000" w:themeColor="text1"/>
                      <w:sz w:val="21"/>
                      <w:szCs w:val="21"/>
                      <w:u w:val="none"/>
                      <w:lang w:eastAsia="zh-CN"/>
                      <w14:textFill>
                        <w14:solidFill>
                          <w14:schemeClr w14:val="tx1"/>
                        </w14:solidFill>
                      </w14:textFill>
                    </w:rPr>
                    <w:t>。</w:t>
                  </w:r>
                </w:p>
              </w:tc>
              <w:tc>
                <w:tcPr>
                  <w:tcW w:w="1271" w:type="pct"/>
                  <w:vAlign w:val="center"/>
                </w:tcPr>
                <w:p>
                  <w:pPr>
                    <w:pStyle w:val="37"/>
                    <w:ind w:left="0" w:leftChars="0"/>
                    <w:rPr>
                      <w:rFonts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sz w:val="21"/>
                      <w:szCs w:val="21"/>
                      <w:u w:val="none"/>
                      <w:vertAlign w:val="baseline"/>
                      <w:lang w:val="en-US" w:eastAsia="zh-CN"/>
                    </w:rPr>
                    <w:t>租赁厂房，仅进行设备安装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5" w:type="pct"/>
                  <w:vMerge w:val="restart"/>
                  <w:vAlign w:val="center"/>
                </w:tcPr>
                <w:p>
                  <w:pPr>
                    <w:pStyle w:val="37"/>
                    <w:ind w:left="0" w:leftChars="0"/>
                    <w:rPr>
                      <w:rFonts w:hint="default" w:eastAsia="宋体"/>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配套工程</w:t>
                  </w:r>
                </w:p>
              </w:tc>
              <w:tc>
                <w:tcPr>
                  <w:tcW w:w="610" w:type="pct"/>
                  <w:vAlign w:val="center"/>
                </w:tcPr>
                <w:p>
                  <w:pPr>
                    <w:pStyle w:val="37"/>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仓库</w:t>
                  </w:r>
                </w:p>
              </w:tc>
              <w:tc>
                <w:tcPr>
                  <w:tcW w:w="667" w:type="pct"/>
                  <w:vAlign w:val="center"/>
                </w:tcPr>
                <w:p>
                  <w:pPr>
                    <w:pStyle w:val="37"/>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1510</w:t>
                  </w:r>
                </w:p>
              </w:tc>
              <w:tc>
                <w:tcPr>
                  <w:tcW w:w="2164" w:type="pct"/>
                  <w:vAlign w:val="center"/>
                </w:tcPr>
                <w:p>
                  <w:pPr>
                    <w:pStyle w:val="37"/>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厂房车间</w:t>
                  </w:r>
                  <w:r>
                    <w:rPr>
                      <w:rFonts w:hint="eastAsia" w:cs="Times New Roman"/>
                      <w:color w:val="000000" w:themeColor="text1"/>
                      <w:sz w:val="21"/>
                      <w:szCs w:val="21"/>
                      <w:u w:val="none"/>
                      <w:lang w:val="en-US" w:eastAsia="zh-CN"/>
                      <w14:textFill>
                        <w14:solidFill>
                          <w14:schemeClr w14:val="tx1"/>
                        </w14:solidFill>
                      </w14:textFill>
                    </w:rPr>
                    <w:t>西北</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侧，用于原材料</w:t>
                  </w:r>
                  <w:r>
                    <w:rPr>
                      <w:rFonts w:hint="eastAsia" w:cs="Times New Roman"/>
                      <w:color w:val="000000" w:themeColor="text1"/>
                      <w:sz w:val="21"/>
                      <w:szCs w:val="21"/>
                      <w:u w:val="none"/>
                      <w:lang w:val="en-US" w:eastAsia="zh-CN"/>
                      <w14:textFill>
                        <w14:solidFill>
                          <w14:schemeClr w14:val="tx1"/>
                        </w14:solidFill>
                      </w14:textFill>
                    </w:rPr>
                    <w:t>、成品</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储存</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w:t>
                  </w:r>
                </w:p>
              </w:tc>
              <w:tc>
                <w:tcPr>
                  <w:tcW w:w="1271" w:type="pct"/>
                  <w:vAlign w:val="center"/>
                </w:tcPr>
                <w:p>
                  <w:pPr>
                    <w:pStyle w:val="37"/>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利用租赁厂房改造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5" w:type="pct"/>
                  <w:vMerge w:val="continue"/>
                  <w:vAlign w:val="center"/>
                </w:tcPr>
                <w:p>
                  <w:pPr>
                    <w:pStyle w:val="37"/>
                    <w:ind w:left="0" w:leftChars="0"/>
                    <w:rPr>
                      <w:rFonts w:hint="default" w:eastAsia="宋体"/>
                      <w:color w:val="000000" w:themeColor="text1"/>
                      <w:sz w:val="21"/>
                      <w:szCs w:val="21"/>
                      <w:u w:val="none"/>
                      <w:lang w:val="en-US" w:eastAsia="zh-CN"/>
                      <w14:textFill>
                        <w14:solidFill>
                          <w14:schemeClr w14:val="tx1"/>
                        </w14:solidFill>
                      </w14:textFill>
                    </w:rPr>
                  </w:pPr>
                </w:p>
              </w:tc>
              <w:tc>
                <w:tcPr>
                  <w:tcW w:w="610" w:type="pct"/>
                  <w:vAlign w:val="center"/>
                </w:tcPr>
                <w:p>
                  <w:pPr>
                    <w:pStyle w:val="37"/>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办公区</w:t>
                  </w:r>
                </w:p>
              </w:tc>
              <w:tc>
                <w:tcPr>
                  <w:tcW w:w="667" w:type="pct"/>
                  <w:vAlign w:val="center"/>
                </w:tcPr>
                <w:p>
                  <w:pPr>
                    <w:pStyle w:val="37"/>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100</w:t>
                  </w:r>
                </w:p>
              </w:tc>
              <w:tc>
                <w:tcPr>
                  <w:tcW w:w="2164" w:type="pct"/>
                  <w:vAlign w:val="center"/>
                </w:tcPr>
                <w:p>
                  <w:pPr>
                    <w:pStyle w:val="37"/>
                    <w:ind w:left="0" w:leftChars="0"/>
                    <w:jc w:val="cente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厂房车间</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东</w:t>
                  </w:r>
                  <w:r>
                    <w:rPr>
                      <w:rFonts w:hint="eastAsia" w:cs="Times New Roman"/>
                      <w:color w:val="000000" w:themeColor="text1"/>
                      <w:sz w:val="21"/>
                      <w:szCs w:val="21"/>
                      <w:u w:val="none"/>
                      <w:lang w:val="en-US" w:eastAsia="zh-CN"/>
                      <w14:textFill>
                        <w14:solidFill>
                          <w14:schemeClr w14:val="tx1"/>
                        </w14:solidFill>
                      </w14:textFill>
                    </w:rPr>
                    <w:t>南</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侧，人员办公</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w:t>
                  </w:r>
                </w:p>
              </w:tc>
              <w:tc>
                <w:tcPr>
                  <w:tcW w:w="1271" w:type="pct"/>
                  <w:vAlign w:val="center"/>
                </w:tcPr>
                <w:p>
                  <w:pPr>
                    <w:pStyle w:val="37"/>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利用租赁厂房改造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5" w:type="pct"/>
                  <w:vMerge w:val="restart"/>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公用工程</w:t>
                  </w:r>
                </w:p>
              </w:tc>
              <w:tc>
                <w:tcPr>
                  <w:tcW w:w="1277" w:type="pct"/>
                  <w:gridSpan w:val="2"/>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供水</w:t>
                  </w:r>
                </w:p>
              </w:tc>
              <w:tc>
                <w:tcPr>
                  <w:tcW w:w="2164" w:type="pct"/>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由当地自来水管网供给。</w:t>
                  </w:r>
                </w:p>
              </w:tc>
              <w:tc>
                <w:tcPr>
                  <w:tcW w:w="1271" w:type="pct"/>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5" w:type="pct"/>
                  <w:vMerge w:val="continue"/>
                  <w:vAlign w:val="center"/>
                </w:tcPr>
                <w:p>
                  <w:pPr>
                    <w:pStyle w:val="37"/>
                    <w:ind w:left="0" w:leftChars="0"/>
                    <w:rPr>
                      <w:color w:val="000000" w:themeColor="text1"/>
                      <w:sz w:val="21"/>
                      <w:szCs w:val="21"/>
                      <w:u w:val="none"/>
                      <w14:textFill>
                        <w14:solidFill>
                          <w14:schemeClr w14:val="tx1"/>
                        </w14:solidFill>
                      </w14:textFill>
                    </w:rPr>
                  </w:pPr>
                </w:p>
              </w:tc>
              <w:tc>
                <w:tcPr>
                  <w:tcW w:w="1277" w:type="pct"/>
                  <w:gridSpan w:val="2"/>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供电</w:t>
                  </w:r>
                </w:p>
              </w:tc>
              <w:tc>
                <w:tcPr>
                  <w:tcW w:w="2164" w:type="pct"/>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由当地市政电网供电。</w:t>
                  </w:r>
                </w:p>
              </w:tc>
              <w:tc>
                <w:tcPr>
                  <w:tcW w:w="1271" w:type="pct"/>
                  <w:vAlign w:val="center"/>
                </w:tcPr>
                <w:p>
                  <w:pPr>
                    <w:spacing w:line="240" w:lineRule="auto"/>
                    <w:ind w:firstLine="0" w:firstLineChars="0"/>
                    <w:jc w:val="center"/>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5" w:type="pct"/>
                  <w:vMerge w:val="continue"/>
                  <w:vAlign w:val="center"/>
                </w:tcPr>
                <w:p>
                  <w:pPr>
                    <w:pStyle w:val="37"/>
                    <w:ind w:left="0" w:leftChars="0"/>
                    <w:rPr>
                      <w:color w:val="000000" w:themeColor="text1"/>
                      <w:sz w:val="21"/>
                      <w:szCs w:val="21"/>
                      <w:u w:val="none"/>
                      <w14:textFill>
                        <w14:solidFill>
                          <w14:schemeClr w14:val="tx1"/>
                        </w14:solidFill>
                      </w14:textFill>
                    </w:rPr>
                  </w:pPr>
                </w:p>
              </w:tc>
              <w:tc>
                <w:tcPr>
                  <w:tcW w:w="1277" w:type="pct"/>
                  <w:gridSpan w:val="2"/>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雨污管网</w:t>
                  </w:r>
                </w:p>
              </w:tc>
              <w:tc>
                <w:tcPr>
                  <w:tcW w:w="2164" w:type="pct"/>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依托园区雨污管网。</w:t>
                  </w:r>
                </w:p>
              </w:tc>
              <w:tc>
                <w:tcPr>
                  <w:tcW w:w="1271" w:type="pct"/>
                  <w:vAlign w:val="center"/>
                </w:tcPr>
                <w:p>
                  <w:pPr>
                    <w:spacing w:line="240" w:lineRule="auto"/>
                    <w:ind w:firstLine="0" w:firstLineChars="0"/>
                    <w:jc w:val="center"/>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85" w:type="pct"/>
                  <w:vMerge w:val="restart"/>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环保工程</w:t>
                  </w:r>
                </w:p>
              </w:tc>
              <w:tc>
                <w:tcPr>
                  <w:tcW w:w="1277" w:type="pct"/>
                  <w:gridSpan w:val="2"/>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废水治理</w:t>
                  </w:r>
                </w:p>
              </w:tc>
              <w:tc>
                <w:tcPr>
                  <w:tcW w:w="2164" w:type="pct"/>
                  <w:vAlign w:val="center"/>
                </w:tcPr>
                <w:p>
                  <w:pPr>
                    <w:widowControl/>
                    <w:spacing w:line="240" w:lineRule="auto"/>
                    <w:ind w:firstLine="0" w:firstLineChars="0"/>
                    <w:jc w:val="left"/>
                    <w:textAlignment w:val="center"/>
                    <w:rPr>
                      <w:color w:val="000000" w:themeColor="text1"/>
                      <w:sz w:val="21"/>
                      <w:szCs w:val="21"/>
                      <w:u w:val="none"/>
                      <w14:textFill>
                        <w14:solidFill>
                          <w14:schemeClr w14:val="tx1"/>
                        </w14:solidFill>
                      </w14:textFill>
                    </w:rPr>
                  </w:pPr>
                  <w:r>
                    <w:rPr>
                      <w:rFonts w:ascii="Times New Roman" w:hAnsi="Times New Roman" w:eastAsia="宋体" w:cs="Times New Roman"/>
                      <w:kern w:val="0"/>
                      <w:sz w:val="21"/>
                      <w:szCs w:val="21"/>
                      <w:u w:val="none"/>
                      <w:lang w:bidi="ar"/>
                    </w:rPr>
                    <w:t>生活污水</w:t>
                  </w:r>
                  <w:r>
                    <w:rPr>
                      <w:rFonts w:hint="eastAsia" w:ascii="Times New Roman" w:hAnsi="Times New Roman" w:eastAsia="宋体" w:cs="Times New Roman"/>
                      <w:kern w:val="0"/>
                      <w:sz w:val="21"/>
                      <w:szCs w:val="21"/>
                      <w:u w:val="none"/>
                      <w:lang w:eastAsia="zh-CN" w:bidi="ar"/>
                    </w:rPr>
                    <w:t>、</w:t>
                  </w:r>
                  <w:r>
                    <w:rPr>
                      <w:rFonts w:hint="eastAsia" w:ascii="Times New Roman" w:hAnsi="Times New Roman" w:eastAsia="宋体" w:cs="Times New Roman"/>
                      <w:kern w:val="0"/>
                      <w:sz w:val="21"/>
                      <w:szCs w:val="21"/>
                      <w:u w:val="none"/>
                      <w:lang w:val="en-US" w:eastAsia="zh-CN" w:bidi="ar"/>
                    </w:rPr>
                    <w:t>地面清洁废水</w:t>
                  </w:r>
                  <w:r>
                    <w:rPr>
                      <w:rFonts w:ascii="Times New Roman" w:hAnsi="Times New Roman" w:eastAsia="宋体" w:cs="Times New Roman"/>
                      <w:kern w:val="0"/>
                      <w:sz w:val="21"/>
                      <w:szCs w:val="21"/>
                      <w:u w:val="none"/>
                      <w:lang w:bidi="ar"/>
                    </w:rPr>
                    <w:t>依</w:t>
                  </w:r>
                  <w:r>
                    <w:rPr>
                      <w:kern w:val="0"/>
                      <w:sz w:val="21"/>
                      <w:szCs w:val="21"/>
                      <w:u w:val="none"/>
                      <w:lang w:bidi="ar"/>
                    </w:rPr>
                    <w:t>托租赁</w:t>
                  </w:r>
                  <w:r>
                    <w:rPr>
                      <w:rFonts w:hint="eastAsia"/>
                      <w:kern w:val="0"/>
                      <w:sz w:val="21"/>
                      <w:szCs w:val="21"/>
                      <w:u w:val="none"/>
                      <w:lang w:bidi="ar"/>
                    </w:rPr>
                    <w:t>公司</w:t>
                  </w:r>
                  <w:r>
                    <w:rPr>
                      <w:kern w:val="0"/>
                      <w:sz w:val="21"/>
                      <w:szCs w:val="21"/>
                      <w:u w:val="none"/>
                      <w:lang w:bidi="ar"/>
                    </w:rPr>
                    <w:t>化粪池处理后排入市政污水管网进入湘阴县第二污水处理厂处理。</w:t>
                  </w:r>
                </w:p>
              </w:tc>
              <w:tc>
                <w:tcPr>
                  <w:tcW w:w="1271" w:type="pct"/>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依托</w:t>
                  </w:r>
                  <w:r>
                    <w:rPr>
                      <w:rFonts w:hint="eastAsia"/>
                      <w:color w:val="000000" w:themeColor="text1"/>
                      <w:sz w:val="21"/>
                      <w:szCs w:val="21"/>
                      <w:u w:val="none"/>
                      <w14:textFill>
                        <w14:solidFill>
                          <w14:schemeClr w14:val="tx1"/>
                        </w14:solidFill>
                      </w14:textFill>
                    </w:rPr>
                    <w:t>租赁公司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85" w:type="pct"/>
                  <w:vMerge w:val="continue"/>
                  <w:vAlign w:val="center"/>
                </w:tcPr>
                <w:p>
                  <w:pPr>
                    <w:pStyle w:val="37"/>
                    <w:ind w:left="0" w:leftChars="0"/>
                    <w:rPr>
                      <w:color w:val="000000" w:themeColor="text1"/>
                      <w:sz w:val="21"/>
                      <w:szCs w:val="21"/>
                      <w:u w:val="none"/>
                      <w14:textFill>
                        <w14:solidFill>
                          <w14:schemeClr w14:val="tx1"/>
                        </w14:solidFill>
                      </w14:textFill>
                    </w:rPr>
                  </w:pPr>
                </w:p>
              </w:tc>
              <w:tc>
                <w:tcPr>
                  <w:tcW w:w="1277" w:type="pct"/>
                  <w:gridSpan w:val="2"/>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废气治理</w:t>
                  </w:r>
                </w:p>
              </w:tc>
              <w:tc>
                <w:tcPr>
                  <w:tcW w:w="2164" w:type="pct"/>
                  <w:vAlign w:val="center"/>
                </w:tcPr>
                <w:p>
                  <w:pPr>
                    <w:pStyle w:val="30"/>
                    <w:spacing w:line="240" w:lineRule="auto"/>
                    <w:ind w:firstLine="0" w:firstLineChars="0"/>
                    <w:rPr>
                      <w:rFonts w:hint="default" w:ascii="Times New Roman" w:eastAsia="宋体"/>
                      <w:color w:val="000000" w:themeColor="text1"/>
                      <w:sz w:val="21"/>
                      <w:szCs w:val="21"/>
                      <w:u w:val="none"/>
                      <w:lang w:val="en-US" w:eastAsia="zh-CN"/>
                      <w14:textFill>
                        <w14:solidFill>
                          <w14:schemeClr w14:val="tx1"/>
                        </w14:solidFill>
                      </w14:textFill>
                    </w:rPr>
                  </w:pPr>
                  <w:r>
                    <w:rPr>
                      <w:rFonts w:hint="eastAsia" w:ascii="Times New Roman"/>
                      <w:color w:val="auto"/>
                      <w:sz w:val="21"/>
                      <w:szCs w:val="21"/>
                      <w:u w:val="none"/>
                      <w:lang w:val="en-US" w:eastAsia="zh-CN"/>
                    </w:rPr>
                    <w:t>涂布烘干工序废气通过“</w:t>
                  </w:r>
                  <w:r>
                    <w:rPr>
                      <w:rFonts w:hint="eastAsia" w:ascii="Times New Roman"/>
                      <w:color w:val="auto"/>
                      <w:sz w:val="21"/>
                      <w:szCs w:val="21"/>
                      <w:u w:val="none"/>
                    </w:rPr>
                    <w:t>密闭负压收集+二级活性炭装置</w:t>
                  </w:r>
                  <w:r>
                    <w:rPr>
                      <w:rFonts w:hint="eastAsia" w:ascii="Times New Roman"/>
                      <w:color w:val="auto"/>
                      <w:sz w:val="21"/>
                      <w:szCs w:val="21"/>
                      <w:u w:val="none"/>
                      <w:lang w:val="en-US" w:eastAsia="zh-CN"/>
                    </w:rPr>
                    <w:t>”处理后通过一根</w:t>
                  </w:r>
                  <w:r>
                    <w:rPr>
                      <w:rFonts w:hint="eastAsia" w:ascii="Times New Roman"/>
                      <w:color w:val="auto"/>
                      <w:sz w:val="21"/>
                      <w:szCs w:val="21"/>
                      <w:u w:val="none"/>
                    </w:rPr>
                    <w:t>15m高排气筒DA001</w:t>
                  </w:r>
                  <w:r>
                    <w:rPr>
                      <w:rFonts w:hint="eastAsia" w:ascii="Times New Roman"/>
                      <w:color w:val="auto"/>
                      <w:sz w:val="21"/>
                      <w:szCs w:val="21"/>
                      <w:u w:val="none"/>
                      <w:lang w:val="en-US" w:eastAsia="zh-CN"/>
                    </w:rPr>
                    <w:t>高空排放。</w:t>
                  </w:r>
                </w:p>
              </w:tc>
              <w:tc>
                <w:tcPr>
                  <w:tcW w:w="1271" w:type="pct"/>
                  <w:vAlign w:val="center"/>
                </w:tcPr>
                <w:p>
                  <w:pPr>
                    <w:spacing w:line="240" w:lineRule="auto"/>
                    <w:ind w:firstLine="0" w:firstLineChars="0"/>
                    <w:jc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85" w:type="pct"/>
                  <w:vMerge w:val="continue"/>
                  <w:vAlign w:val="center"/>
                </w:tcPr>
                <w:p>
                  <w:pPr>
                    <w:pStyle w:val="37"/>
                    <w:ind w:left="0" w:leftChars="0"/>
                    <w:rPr>
                      <w:color w:val="000000" w:themeColor="text1"/>
                      <w:sz w:val="21"/>
                      <w:szCs w:val="21"/>
                      <w:u w:val="none"/>
                      <w14:textFill>
                        <w14:solidFill>
                          <w14:schemeClr w14:val="tx1"/>
                        </w14:solidFill>
                      </w14:textFill>
                    </w:rPr>
                  </w:pPr>
                </w:p>
              </w:tc>
              <w:tc>
                <w:tcPr>
                  <w:tcW w:w="1277" w:type="pct"/>
                  <w:gridSpan w:val="2"/>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噪声</w:t>
                  </w:r>
                </w:p>
              </w:tc>
              <w:tc>
                <w:tcPr>
                  <w:tcW w:w="2164" w:type="pct"/>
                  <w:vAlign w:val="center"/>
                </w:tcPr>
                <w:p>
                  <w:pPr>
                    <w:widowControl/>
                    <w:spacing w:line="240" w:lineRule="auto"/>
                    <w:ind w:firstLine="0" w:firstLineChars="0"/>
                    <w:jc w:val="left"/>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基础减振、合理布置、合理安排作业时间、设备基础安装</w:t>
                  </w:r>
                  <w:r>
                    <w:rPr>
                      <w:rFonts w:hint="eastAsia"/>
                      <w:color w:val="000000" w:themeColor="text1"/>
                      <w:kern w:val="0"/>
                      <w:sz w:val="21"/>
                      <w:szCs w:val="21"/>
                      <w:u w:val="none"/>
                      <w:lang w:eastAsia="zh-CN" w:bidi="ar"/>
                      <w14:textFill>
                        <w14:solidFill>
                          <w14:schemeClr w14:val="tx1"/>
                        </w14:solidFill>
                      </w14:textFill>
                    </w:rPr>
                    <w:t>减振</w:t>
                  </w:r>
                  <w:r>
                    <w:rPr>
                      <w:color w:val="000000" w:themeColor="text1"/>
                      <w:kern w:val="0"/>
                      <w:sz w:val="21"/>
                      <w:szCs w:val="21"/>
                      <w:u w:val="none"/>
                      <w:lang w:bidi="ar"/>
                      <w14:textFill>
                        <w14:solidFill>
                          <w14:schemeClr w14:val="tx1"/>
                        </w14:solidFill>
                      </w14:textFill>
                    </w:rPr>
                    <w:t>软垫。</w:t>
                  </w:r>
                </w:p>
              </w:tc>
              <w:tc>
                <w:tcPr>
                  <w:tcW w:w="1271" w:type="pct"/>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5" w:type="pct"/>
                  <w:vMerge w:val="continue"/>
                  <w:vAlign w:val="center"/>
                </w:tcPr>
                <w:p>
                  <w:pPr>
                    <w:pStyle w:val="37"/>
                    <w:ind w:left="0" w:leftChars="0"/>
                    <w:rPr>
                      <w:color w:val="000000" w:themeColor="text1"/>
                      <w:sz w:val="21"/>
                      <w:szCs w:val="21"/>
                      <w:u w:val="none"/>
                      <w14:textFill>
                        <w14:solidFill>
                          <w14:schemeClr w14:val="tx1"/>
                        </w14:solidFill>
                      </w14:textFill>
                    </w:rPr>
                  </w:pPr>
                </w:p>
              </w:tc>
              <w:tc>
                <w:tcPr>
                  <w:tcW w:w="610" w:type="pct"/>
                  <w:vMerge w:val="restart"/>
                  <w:vAlign w:val="center"/>
                </w:tcPr>
                <w:p>
                  <w:pPr>
                    <w:pStyle w:val="37"/>
                    <w:ind w:left="0" w:leftChars="0"/>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固体废物</w:t>
                  </w:r>
                </w:p>
              </w:tc>
              <w:tc>
                <w:tcPr>
                  <w:tcW w:w="667" w:type="pct"/>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危险废物</w:t>
                  </w:r>
                </w:p>
              </w:tc>
              <w:tc>
                <w:tcPr>
                  <w:tcW w:w="2164" w:type="pct"/>
                  <w:vAlign w:val="center"/>
                </w:tcPr>
                <w:p>
                  <w:pPr>
                    <w:widowControl/>
                    <w:wordWrap w:val="0"/>
                    <w:spacing w:line="240" w:lineRule="auto"/>
                    <w:ind w:firstLine="0" w:firstLineChars="0"/>
                    <w:jc w:val="left"/>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在厂</w:t>
                  </w:r>
                  <w:r>
                    <w:rPr>
                      <w:rFonts w:hint="eastAsia"/>
                      <w:color w:val="000000" w:themeColor="text1"/>
                      <w:kern w:val="0"/>
                      <w:sz w:val="21"/>
                      <w:szCs w:val="21"/>
                      <w:u w:val="none"/>
                      <w:lang w:bidi="ar"/>
                      <w14:textFill>
                        <w14:solidFill>
                          <w14:schemeClr w14:val="tx1"/>
                        </w14:solidFill>
                      </w14:textFill>
                    </w:rPr>
                    <w:t>区</w:t>
                  </w:r>
                  <w:r>
                    <w:rPr>
                      <w:color w:val="000000" w:themeColor="text1"/>
                      <w:kern w:val="0"/>
                      <w:sz w:val="21"/>
                      <w:szCs w:val="21"/>
                      <w:u w:val="none"/>
                      <w:lang w:bidi="ar"/>
                      <w14:textFill>
                        <w14:solidFill>
                          <w14:schemeClr w14:val="tx1"/>
                        </w14:solidFill>
                      </w14:textFill>
                    </w:rPr>
                    <w:t>车间</w:t>
                  </w:r>
                  <w:r>
                    <w:rPr>
                      <w:rFonts w:hint="eastAsia"/>
                      <w:color w:val="000000" w:themeColor="text1"/>
                      <w:kern w:val="0"/>
                      <w:sz w:val="21"/>
                      <w:szCs w:val="21"/>
                      <w:u w:val="none"/>
                      <w:lang w:val="en-US" w:eastAsia="zh-CN" w:bidi="ar"/>
                      <w14:textFill>
                        <w14:solidFill>
                          <w14:schemeClr w14:val="tx1"/>
                        </w14:solidFill>
                      </w14:textFill>
                    </w:rPr>
                    <w:t>东北</w:t>
                  </w:r>
                  <w:r>
                    <w:rPr>
                      <w:color w:val="000000" w:themeColor="text1"/>
                      <w:kern w:val="0"/>
                      <w:sz w:val="21"/>
                      <w:szCs w:val="21"/>
                      <w:u w:val="none"/>
                      <w:lang w:bidi="ar"/>
                      <w14:textFill>
                        <w14:solidFill>
                          <w14:schemeClr w14:val="tx1"/>
                        </w14:solidFill>
                      </w14:textFill>
                    </w:rPr>
                    <w:t>侧设置危废暂存间（约</w:t>
                  </w:r>
                  <w:r>
                    <w:rPr>
                      <w:rFonts w:hint="eastAsia"/>
                      <w:color w:val="000000" w:themeColor="text1"/>
                      <w:kern w:val="0"/>
                      <w:sz w:val="21"/>
                      <w:szCs w:val="21"/>
                      <w:u w:val="none"/>
                      <w:lang w:val="en-US" w:eastAsia="zh-CN" w:bidi="ar"/>
                      <w14:textFill>
                        <w14:solidFill>
                          <w14:schemeClr w14:val="tx1"/>
                        </w14:solidFill>
                      </w14:textFill>
                    </w:rPr>
                    <w:t>10</w:t>
                  </w:r>
                  <w:r>
                    <w:rPr>
                      <w:color w:val="000000" w:themeColor="text1"/>
                      <w:kern w:val="0"/>
                      <w:sz w:val="21"/>
                      <w:szCs w:val="21"/>
                      <w:u w:val="none"/>
                      <w:lang w:bidi="ar"/>
                      <w14:textFill>
                        <w14:solidFill>
                          <w14:schemeClr w14:val="tx1"/>
                        </w14:solidFill>
                      </w14:textFill>
                    </w:rPr>
                    <w:t>m</w:t>
                  </w:r>
                  <w:r>
                    <w:rPr>
                      <w:color w:val="000000" w:themeColor="text1"/>
                      <w:kern w:val="0"/>
                      <w:sz w:val="21"/>
                      <w:szCs w:val="21"/>
                      <w:u w:val="none"/>
                      <w:vertAlign w:val="superscript"/>
                      <w:lang w:bidi="ar"/>
                      <w14:textFill>
                        <w14:solidFill>
                          <w14:schemeClr w14:val="tx1"/>
                        </w14:solidFill>
                      </w14:textFill>
                    </w:rPr>
                    <w:t>2</w:t>
                  </w:r>
                  <w:r>
                    <w:rPr>
                      <w:color w:val="000000" w:themeColor="text1"/>
                      <w:kern w:val="0"/>
                      <w:sz w:val="21"/>
                      <w:szCs w:val="21"/>
                      <w:u w:val="none"/>
                      <w:lang w:bidi="ar"/>
                      <w14:textFill>
                        <w14:solidFill>
                          <w14:schemeClr w14:val="tx1"/>
                        </w14:solidFill>
                      </w14:textFill>
                    </w:rPr>
                    <w:t>），产生的危险废物分类收集后暂存于危废暂存间内，定期由有资质单位进行处置</w:t>
                  </w:r>
                  <w:r>
                    <w:rPr>
                      <w:color w:val="000000" w:themeColor="text1"/>
                      <w:sz w:val="21"/>
                      <w:szCs w:val="21"/>
                      <w:u w:val="none"/>
                      <w14:textFill>
                        <w14:solidFill>
                          <w14:schemeClr w14:val="tx1"/>
                        </w14:solidFill>
                      </w14:textFill>
                    </w:rPr>
                    <w:t>。</w:t>
                  </w:r>
                </w:p>
              </w:tc>
              <w:tc>
                <w:tcPr>
                  <w:tcW w:w="1271" w:type="pct"/>
                  <w:vAlign w:val="center"/>
                </w:tcPr>
                <w:p>
                  <w:pPr>
                    <w:pStyle w:val="37"/>
                    <w:ind w:left="0" w:leftChars="0"/>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5" w:type="pct"/>
                  <w:vMerge w:val="continue"/>
                  <w:vAlign w:val="center"/>
                </w:tcPr>
                <w:p>
                  <w:pPr>
                    <w:pStyle w:val="37"/>
                    <w:ind w:left="0" w:leftChars="0"/>
                    <w:rPr>
                      <w:color w:val="000000" w:themeColor="text1"/>
                      <w:sz w:val="21"/>
                      <w:szCs w:val="21"/>
                      <w:u w:val="none"/>
                      <w14:textFill>
                        <w14:solidFill>
                          <w14:schemeClr w14:val="tx1"/>
                        </w14:solidFill>
                      </w14:textFill>
                    </w:rPr>
                  </w:pPr>
                </w:p>
              </w:tc>
              <w:tc>
                <w:tcPr>
                  <w:tcW w:w="610" w:type="pct"/>
                  <w:vMerge w:val="continue"/>
                  <w:vAlign w:val="center"/>
                </w:tcPr>
                <w:p>
                  <w:pPr>
                    <w:pStyle w:val="37"/>
                    <w:ind w:left="0" w:leftChars="0"/>
                    <w:rPr>
                      <w:rFonts w:hint="eastAsia"/>
                      <w:color w:val="000000" w:themeColor="text1"/>
                      <w:sz w:val="21"/>
                      <w:szCs w:val="21"/>
                      <w:u w:val="none"/>
                      <w14:textFill>
                        <w14:solidFill>
                          <w14:schemeClr w14:val="tx1"/>
                        </w14:solidFill>
                      </w14:textFill>
                    </w:rPr>
                  </w:pPr>
                </w:p>
              </w:tc>
              <w:tc>
                <w:tcPr>
                  <w:tcW w:w="667" w:type="pct"/>
                  <w:vAlign w:val="center"/>
                </w:tcPr>
                <w:p>
                  <w:pPr>
                    <w:pStyle w:val="37"/>
                    <w:ind w:left="0" w:leftChars="0"/>
                    <w:rPr>
                      <w:rFonts w:hint="default" w:eastAsia="宋体"/>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一般固废暂存间</w:t>
                  </w:r>
                </w:p>
              </w:tc>
              <w:tc>
                <w:tcPr>
                  <w:tcW w:w="2164" w:type="pct"/>
                  <w:vAlign w:val="center"/>
                </w:tcPr>
                <w:p>
                  <w:pPr>
                    <w:widowControl/>
                    <w:wordWrap w:val="0"/>
                    <w:spacing w:line="240" w:lineRule="auto"/>
                    <w:ind w:firstLine="0" w:firstLineChars="0"/>
                    <w:jc w:val="left"/>
                    <w:textAlignment w:val="center"/>
                    <w:rPr>
                      <w:rFonts w:hint="eastAsia" w:eastAsia="宋体"/>
                      <w:color w:val="000000" w:themeColor="text1"/>
                      <w:kern w:val="0"/>
                      <w:sz w:val="21"/>
                      <w:szCs w:val="21"/>
                      <w:u w:val="none"/>
                      <w:lang w:eastAsia="zh-CN" w:bidi="ar"/>
                      <w14:textFill>
                        <w14:solidFill>
                          <w14:schemeClr w14:val="tx1"/>
                        </w14:solidFill>
                      </w14:textFill>
                    </w:rPr>
                  </w:pPr>
                  <w:r>
                    <w:rPr>
                      <w:color w:val="000000" w:themeColor="text1"/>
                      <w:kern w:val="0"/>
                      <w:sz w:val="21"/>
                      <w:szCs w:val="21"/>
                      <w:u w:val="none"/>
                      <w:lang w:bidi="ar"/>
                      <w14:textFill>
                        <w14:solidFill>
                          <w14:schemeClr w14:val="tx1"/>
                        </w14:solidFill>
                      </w14:textFill>
                    </w:rPr>
                    <w:t>在厂</w:t>
                  </w:r>
                  <w:r>
                    <w:rPr>
                      <w:rFonts w:hint="eastAsia"/>
                      <w:color w:val="000000" w:themeColor="text1"/>
                      <w:kern w:val="0"/>
                      <w:sz w:val="21"/>
                      <w:szCs w:val="21"/>
                      <w:u w:val="none"/>
                      <w:lang w:bidi="ar"/>
                      <w14:textFill>
                        <w14:solidFill>
                          <w14:schemeClr w14:val="tx1"/>
                        </w14:solidFill>
                      </w14:textFill>
                    </w:rPr>
                    <w:t>区</w:t>
                  </w:r>
                  <w:r>
                    <w:rPr>
                      <w:color w:val="000000" w:themeColor="text1"/>
                      <w:kern w:val="0"/>
                      <w:sz w:val="21"/>
                      <w:szCs w:val="21"/>
                      <w:u w:val="none"/>
                      <w:lang w:bidi="ar"/>
                      <w14:textFill>
                        <w14:solidFill>
                          <w14:schemeClr w14:val="tx1"/>
                        </w14:solidFill>
                      </w14:textFill>
                    </w:rPr>
                    <w:t>车间</w:t>
                  </w:r>
                  <w:r>
                    <w:rPr>
                      <w:rFonts w:hint="eastAsia"/>
                      <w:color w:val="000000" w:themeColor="text1"/>
                      <w:kern w:val="0"/>
                      <w:sz w:val="21"/>
                      <w:szCs w:val="21"/>
                      <w:u w:val="none"/>
                      <w:lang w:val="en-US" w:eastAsia="zh-CN" w:bidi="ar"/>
                      <w14:textFill>
                        <w14:solidFill>
                          <w14:schemeClr w14:val="tx1"/>
                        </w14:solidFill>
                      </w14:textFill>
                    </w:rPr>
                    <w:t>东北</w:t>
                  </w:r>
                  <w:r>
                    <w:rPr>
                      <w:color w:val="000000" w:themeColor="text1"/>
                      <w:kern w:val="0"/>
                      <w:sz w:val="21"/>
                      <w:szCs w:val="21"/>
                      <w:u w:val="none"/>
                      <w:lang w:bidi="ar"/>
                      <w14:textFill>
                        <w14:solidFill>
                          <w14:schemeClr w14:val="tx1"/>
                        </w14:solidFill>
                      </w14:textFill>
                    </w:rPr>
                    <w:t>侧设置</w:t>
                  </w:r>
                  <w:r>
                    <w:rPr>
                      <w:rFonts w:hint="eastAsia"/>
                      <w:color w:val="000000" w:themeColor="text1"/>
                      <w:kern w:val="0"/>
                      <w:sz w:val="21"/>
                      <w:szCs w:val="21"/>
                      <w:u w:val="none"/>
                      <w:lang w:val="en-US" w:eastAsia="zh-CN" w:bidi="ar"/>
                      <w14:textFill>
                        <w14:solidFill>
                          <w14:schemeClr w14:val="tx1"/>
                        </w14:solidFill>
                      </w14:textFill>
                    </w:rPr>
                    <w:t>一般固废暂存间</w:t>
                  </w:r>
                  <w:r>
                    <w:rPr>
                      <w:color w:val="000000" w:themeColor="text1"/>
                      <w:kern w:val="0"/>
                      <w:sz w:val="21"/>
                      <w:szCs w:val="21"/>
                      <w:u w:val="none"/>
                      <w:lang w:bidi="ar"/>
                      <w14:textFill>
                        <w14:solidFill>
                          <w14:schemeClr w14:val="tx1"/>
                        </w14:solidFill>
                      </w14:textFill>
                    </w:rPr>
                    <w:t>（约</w:t>
                  </w:r>
                  <w:r>
                    <w:rPr>
                      <w:rFonts w:hint="eastAsia"/>
                      <w:color w:val="000000" w:themeColor="text1"/>
                      <w:kern w:val="0"/>
                      <w:sz w:val="21"/>
                      <w:szCs w:val="21"/>
                      <w:u w:val="none"/>
                      <w:lang w:val="en-US" w:eastAsia="zh-CN" w:bidi="ar"/>
                      <w14:textFill>
                        <w14:solidFill>
                          <w14:schemeClr w14:val="tx1"/>
                        </w14:solidFill>
                      </w14:textFill>
                    </w:rPr>
                    <w:t>10</w:t>
                  </w:r>
                  <w:r>
                    <w:rPr>
                      <w:color w:val="000000" w:themeColor="text1"/>
                      <w:kern w:val="0"/>
                      <w:sz w:val="21"/>
                      <w:szCs w:val="21"/>
                      <w:u w:val="none"/>
                      <w:lang w:bidi="ar"/>
                      <w14:textFill>
                        <w14:solidFill>
                          <w14:schemeClr w14:val="tx1"/>
                        </w14:solidFill>
                      </w14:textFill>
                    </w:rPr>
                    <w:t>m</w:t>
                  </w:r>
                  <w:r>
                    <w:rPr>
                      <w:color w:val="000000" w:themeColor="text1"/>
                      <w:kern w:val="0"/>
                      <w:sz w:val="21"/>
                      <w:szCs w:val="21"/>
                      <w:u w:val="none"/>
                      <w:vertAlign w:val="superscript"/>
                      <w:lang w:bidi="ar"/>
                      <w14:textFill>
                        <w14:solidFill>
                          <w14:schemeClr w14:val="tx1"/>
                        </w14:solidFill>
                      </w14:textFill>
                    </w:rPr>
                    <w:t>2</w:t>
                  </w:r>
                  <w:r>
                    <w:rPr>
                      <w:color w:val="000000" w:themeColor="text1"/>
                      <w:kern w:val="0"/>
                      <w:sz w:val="21"/>
                      <w:szCs w:val="21"/>
                      <w:u w:val="none"/>
                      <w:lang w:bidi="ar"/>
                      <w14:textFill>
                        <w14:solidFill>
                          <w14:schemeClr w14:val="tx1"/>
                        </w14:solidFill>
                      </w14:textFill>
                    </w:rPr>
                    <w:t>）</w:t>
                  </w:r>
                  <w:r>
                    <w:rPr>
                      <w:rFonts w:hint="eastAsia"/>
                      <w:color w:val="000000" w:themeColor="text1"/>
                      <w:kern w:val="0"/>
                      <w:sz w:val="21"/>
                      <w:szCs w:val="21"/>
                      <w:u w:val="none"/>
                      <w:lang w:eastAsia="zh-CN" w:bidi="ar"/>
                      <w14:textFill>
                        <w14:solidFill>
                          <w14:schemeClr w14:val="tx1"/>
                        </w14:solidFill>
                      </w14:textFill>
                    </w:rPr>
                    <w:t>。</w:t>
                  </w:r>
                </w:p>
              </w:tc>
              <w:tc>
                <w:tcPr>
                  <w:tcW w:w="1271" w:type="pct"/>
                  <w:vAlign w:val="center"/>
                </w:tcPr>
                <w:p>
                  <w:pPr>
                    <w:pStyle w:val="37"/>
                    <w:ind w:left="0" w:leftChars="0"/>
                    <w:rPr>
                      <w:color w:val="000000" w:themeColor="text1"/>
                      <w:kern w:val="0"/>
                      <w:sz w:val="21"/>
                      <w:szCs w:val="21"/>
                      <w:u w:val="none"/>
                      <w:lang w:bidi="ar"/>
                      <w14:textFill>
                        <w14:solidFill>
                          <w14:schemeClr w14:val="tx1"/>
                        </w14:solidFill>
                      </w14:textFill>
                    </w:rPr>
                  </w:pPr>
                  <w:r>
                    <w:rPr>
                      <w:color w:val="000000" w:themeColor="text1"/>
                      <w:kern w:val="0"/>
                      <w:sz w:val="21"/>
                      <w:szCs w:val="21"/>
                      <w:u w:val="none"/>
                      <w:lang w:bidi="ar"/>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5" w:type="pct"/>
                  <w:vMerge w:val="continue"/>
                  <w:vAlign w:val="center"/>
                </w:tcPr>
                <w:p>
                  <w:pPr>
                    <w:pStyle w:val="37"/>
                    <w:ind w:left="0" w:leftChars="0"/>
                    <w:rPr>
                      <w:color w:val="000000" w:themeColor="text1"/>
                      <w:sz w:val="21"/>
                      <w:szCs w:val="21"/>
                      <w:u w:val="none"/>
                      <w14:textFill>
                        <w14:solidFill>
                          <w14:schemeClr w14:val="tx1"/>
                        </w14:solidFill>
                      </w14:textFill>
                    </w:rPr>
                  </w:pPr>
                </w:p>
              </w:tc>
              <w:tc>
                <w:tcPr>
                  <w:tcW w:w="610" w:type="pct"/>
                  <w:vMerge w:val="continue"/>
                  <w:vAlign w:val="center"/>
                </w:tcPr>
                <w:p>
                  <w:pPr>
                    <w:pStyle w:val="37"/>
                    <w:ind w:left="0" w:leftChars="0"/>
                    <w:rPr>
                      <w:color w:val="000000" w:themeColor="text1"/>
                      <w:sz w:val="21"/>
                      <w:szCs w:val="21"/>
                      <w:u w:val="none"/>
                      <w14:textFill>
                        <w14:solidFill>
                          <w14:schemeClr w14:val="tx1"/>
                        </w14:solidFill>
                      </w14:textFill>
                    </w:rPr>
                  </w:pPr>
                </w:p>
              </w:tc>
              <w:tc>
                <w:tcPr>
                  <w:tcW w:w="667" w:type="pct"/>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生活垃圾</w:t>
                  </w:r>
                </w:p>
              </w:tc>
              <w:tc>
                <w:tcPr>
                  <w:tcW w:w="2164" w:type="pct"/>
                  <w:vAlign w:val="center"/>
                </w:tcPr>
                <w:p>
                  <w:pPr>
                    <w:widowControl/>
                    <w:spacing w:line="240" w:lineRule="auto"/>
                    <w:ind w:firstLine="0" w:firstLineChars="0"/>
                    <w:jc w:val="left"/>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生活垃圾统一收集后定期由环卫部门进行清运。</w:t>
                  </w:r>
                </w:p>
              </w:tc>
              <w:tc>
                <w:tcPr>
                  <w:tcW w:w="1271" w:type="pct"/>
                  <w:vAlign w:val="center"/>
                </w:tcPr>
                <w:p>
                  <w:pPr>
                    <w:pStyle w:val="37"/>
                    <w:ind w:left="0" w:leftChars="0"/>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w:t>
                  </w:r>
                </w:p>
              </w:tc>
            </w:tr>
          </w:tbl>
          <w:p>
            <w:pPr>
              <w:ind w:firstLine="480"/>
              <w:rPr>
                <w:b/>
                <w:bCs/>
                <w:u w:val="none"/>
              </w:rPr>
            </w:pPr>
            <w:r>
              <w:rPr>
                <w:rFonts w:hint="eastAsia"/>
                <w:b/>
                <w:bCs/>
                <w:u w:val="none"/>
              </w:rPr>
              <w:t>4、生产规模</w:t>
            </w:r>
          </w:p>
          <w:p>
            <w:pPr>
              <w:ind w:firstLine="480"/>
              <w:rPr>
                <w:u w:val="none"/>
              </w:rPr>
            </w:pPr>
            <w:r>
              <w:rPr>
                <w:rFonts w:hint="eastAsia"/>
                <w:u w:val="none"/>
              </w:rPr>
              <w:t>本项目主要产品及设计产能详见下表。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val="0"/>
                <w:u w:val="none"/>
              </w:rPr>
            </w:pPr>
            <w:r>
              <w:rPr>
                <w:rFonts w:hint="eastAsia" w:ascii="Times New Roman" w:hAnsi="Times New Roman" w:cs="Times New Roman"/>
                <w:b/>
                <w:bCs w:val="0"/>
                <w:u w:val="none"/>
              </w:rPr>
              <w:t>表2-2 生产规模一览表</w:t>
            </w:r>
          </w:p>
          <w:tbl>
            <w:tblPr>
              <w:tblStyle w:val="23"/>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233"/>
              <w:gridCol w:w="1754"/>
              <w:gridCol w:w="1483"/>
              <w:gridCol w:w="1483"/>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7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u w:val="none"/>
                    </w:rPr>
                  </w:pPr>
                  <w:r>
                    <w:rPr>
                      <w:b/>
                      <w:bCs/>
                      <w:sz w:val="21"/>
                      <w:szCs w:val="21"/>
                      <w:u w:val="none"/>
                    </w:rPr>
                    <w:t>产品及产品名称</w:t>
                  </w:r>
                </w:p>
              </w:tc>
              <w:tc>
                <w:tcPr>
                  <w:tcW w:w="4470" w:type="dxa"/>
                  <w:gridSpan w:val="3"/>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u w:val="none"/>
                    </w:rPr>
                  </w:pPr>
                  <w:r>
                    <w:rPr>
                      <w:b/>
                      <w:bCs/>
                      <w:sz w:val="21"/>
                      <w:szCs w:val="21"/>
                      <w:u w:val="none"/>
                    </w:rPr>
                    <w:t>设计</w:t>
                  </w:r>
                  <w:r>
                    <w:rPr>
                      <w:rFonts w:hint="eastAsia"/>
                      <w:b/>
                      <w:bCs/>
                      <w:sz w:val="21"/>
                      <w:szCs w:val="21"/>
                      <w:u w:val="none"/>
                      <w:lang w:val="en-US" w:eastAsia="zh-CN"/>
                    </w:rPr>
                    <w:t>年</w:t>
                  </w:r>
                  <w:r>
                    <w:rPr>
                      <w:b/>
                      <w:bCs/>
                      <w:sz w:val="21"/>
                      <w:szCs w:val="21"/>
                      <w:u w:val="none"/>
                    </w:rPr>
                    <w:t>生产能力</w:t>
                  </w:r>
                </w:p>
              </w:tc>
              <w:tc>
                <w:tcPr>
                  <w:tcW w:w="1483"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sz w:val="21"/>
                      <w:szCs w:val="21"/>
                      <w:u w:val="none"/>
                      <w:lang w:val="en-US" w:eastAsia="zh-CN"/>
                    </w:rPr>
                  </w:pPr>
                  <w:r>
                    <w:rPr>
                      <w:rFonts w:hint="eastAsia"/>
                      <w:b/>
                      <w:bCs/>
                      <w:sz w:val="21"/>
                      <w:szCs w:val="21"/>
                      <w:u w:val="none"/>
                      <w:lang w:val="en-US" w:eastAsia="zh-CN"/>
                    </w:rPr>
                    <w:t>产品规格</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sz w:val="21"/>
                      <w:szCs w:val="21"/>
                      <w:u w:val="none"/>
                      <w14:textFill>
                        <w14:solidFill>
                          <w14:schemeClr w14:val="tx1"/>
                        </w14:solidFill>
                      </w14:textFill>
                    </w:rPr>
                  </w:pPr>
                  <w:r>
                    <w:rPr>
                      <w:rFonts w:hint="eastAsia"/>
                      <w:b/>
                      <w:bCs/>
                      <w:sz w:val="21"/>
                      <w:szCs w:val="21"/>
                      <w:u w:val="none"/>
                    </w:rPr>
                    <w:t>产品用途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72" w:type="dxa"/>
                  <w:vAlign w:val="center"/>
                </w:tcPr>
                <w:p>
                  <w:pPr>
                    <w:pStyle w:val="37"/>
                    <w:spacing w:line="240" w:lineRule="auto"/>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预涂膜</w:t>
                  </w:r>
                </w:p>
              </w:tc>
              <w:tc>
                <w:tcPr>
                  <w:tcW w:w="1233" w:type="dxa"/>
                  <w:vAlign w:val="center"/>
                </w:tcPr>
                <w:p>
                  <w:pPr>
                    <w:pStyle w:val="37"/>
                    <w:spacing w:line="240" w:lineRule="auto"/>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1000万米</w:t>
                  </w:r>
                </w:p>
              </w:tc>
              <w:tc>
                <w:tcPr>
                  <w:tcW w:w="1754" w:type="dxa"/>
                  <w:vAlign w:val="center"/>
                </w:tcPr>
                <w:p>
                  <w:pPr>
                    <w:pStyle w:val="37"/>
                    <w:spacing w:line="240" w:lineRule="auto"/>
                    <w:ind w:left="0" w:leftChars="0"/>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1325万m</w:t>
                  </w:r>
                  <w:r>
                    <w:rPr>
                      <w:rFonts w:hint="eastAsia" w:cs="Times New Roman"/>
                      <w:color w:val="000000" w:themeColor="text1"/>
                      <w:sz w:val="21"/>
                      <w:szCs w:val="21"/>
                      <w:u w:val="none"/>
                      <w:vertAlign w:val="superscript"/>
                      <w:lang w:val="en-US" w:eastAsia="zh-CN"/>
                      <w14:textFill>
                        <w14:solidFill>
                          <w14:schemeClr w14:val="tx1"/>
                        </w14:solidFill>
                      </w14:textFill>
                    </w:rPr>
                    <w:t>2</w:t>
                  </w:r>
                </w:p>
              </w:tc>
              <w:tc>
                <w:tcPr>
                  <w:tcW w:w="1483" w:type="dxa"/>
                  <w:vAlign w:val="center"/>
                </w:tcPr>
                <w:p>
                  <w:pPr>
                    <w:pStyle w:val="37"/>
                    <w:spacing w:line="240" w:lineRule="auto"/>
                    <w:ind w:left="0" w:leftChars="0"/>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1213.25t</w:t>
                  </w:r>
                </w:p>
              </w:tc>
              <w:tc>
                <w:tcPr>
                  <w:tcW w:w="1483" w:type="dxa"/>
                  <w:vAlign w:val="center"/>
                </w:tcPr>
                <w:p>
                  <w:pPr>
                    <w:pStyle w:val="37"/>
                    <w:spacing w:line="240" w:lineRule="auto"/>
                    <w:ind w:left="0" w:leftChars="0"/>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宽度1250mm-1400mm</w:t>
                  </w:r>
                </w:p>
              </w:tc>
              <w:tc>
                <w:tcPr>
                  <w:tcW w:w="1512" w:type="dxa"/>
                  <w:vAlign w:val="center"/>
                </w:tcPr>
                <w:p>
                  <w:pPr>
                    <w:pStyle w:val="37"/>
                    <w:spacing w:line="240" w:lineRule="auto"/>
                    <w:ind w:left="0" w:leftChars="0"/>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饰面材料表面功能材料膜应用</w:t>
                  </w:r>
                </w:p>
              </w:tc>
            </w:tr>
          </w:tbl>
          <w:p>
            <w:pPr>
              <w:ind w:firstLine="480"/>
              <w:rPr>
                <w:b/>
                <w:bCs/>
                <w:u w:val="none"/>
              </w:rPr>
            </w:pPr>
            <w:r>
              <w:rPr>
                <w:rFonts w:hint="eastAsia"/>
                <w:b/>
                <w:bCs/>
                <w:u w:val="none"/>
              </w:rPr>
              <w:t>5、主要生产设备</w:t>
            </w:r>
          </w:p>
          <w:p>
            <w:pPr>
              <w:ind w:firstLine="480"/>
              <w:rPr>
                <w:u w:val="none"/>
              </w:rPr>
            </w:pPr>
            <w:r>
              <w:rPr>
                <w:rFonts w:hint="eastAsia"/>
                <w:u w:val="none"/>
              </w:rPr>
              <w:t>本项目主要生产设备详见下表。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val="0"/>
                <w:u w:val="none"/>
              </w:rPr>
            </w:pPr>
            <w:r>
              <w:rPr>
                <w:rFonts w:hint="eastAsia" w:ascii="Times New Roman" w:hAnsi="Times New Roman" w:cs="Times New Roman"/>
                <w:b/>
                <w:bCs w:val="0"/>
                <w:u w:val="none"/>
              </w:rPr>
              <w:t>表2-3 主要生产设备一览表</w:t>
            </w:r>
          </w:p>
          <w:tbl>
            <w:tblPr>
              <w:tblStyle w:val="24"/>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25"/>
              <w:gridCol w:w="1589"/>
              <w:gridCol w:w="1933"/>
              <w:gridCol w:w="1617"/>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3" w:type="dxa"/>
                  <w:vAlign w:val="center"/>
                </w:tcPr>
                <w:p>
                  <w:pPr>
                    <w:pStyle w:val="37"/>
                    <w:spacing w:line="240" w:lineRule="auto"/>
                    <w:ind w:left="0" w:leftChars="0"/>
                    <w:jc w:val="center"/>
                    <w:rPr>
                      <w:rFonts w:hint="eastAsia" w:eastAsia="宋体"/>
                      <w:b/>
                      <w:bCs/>
                      <w:color w:val="000000" w:themeColor="text1"/>
                      <w:sz w:val="21"/>
                      <w:szCs w:val="21"/>
                      <w:u w:val="none"/>
                      <w:lang w:val="en-US" w:eastAsia="zh-CN"/>
                      <w14:textFill>
                        <w14:solidFill>
                          <w14:schemeClr w14:val="tx1"/>
                        </w14:solidFill>
                      </w14:textFill>
                    </w:rPr>
                  </w:pPr>
                  <w:r>
                    <w:rPr>
                      <w:rFonts w:hint="eastAsia"/>
                      <w:b/>
                      <w:bCs/>
                      <w:color w:val="000000" w:themeColor="text1"/>
                      <w:sz w:val="21"/>
                      <w:szCs w:val="21"/>
                      <w:u w:val="none"/>
                      <w:lang w:val="en-US" w:eastAsia="zh-CN"/>
                      <w14:textFill>
                        <w14:solidFill>
                          <w14:schemeClr w14:val="tx1"/>
                        </w14:solidFill>
                      </w14:textFill>
                    </w:rPr>
                    <w:t>序号</w:t>
                  </w:r>
                </w:p>
              </w:tc>
              <w:tc>
                <w:tcPr>
                  <w:tcW w:w="2714" w:type="dxa"/>
                  <w:gridSpan w:val="2"/>
                  <w:vAlign w:val="center"/>
                </w:tcPr>
                <w:p>
                  <w:pPr>
                    <w:pStyle w:val="37"/>
                    <w:spacing w:line="240" w:lineRule="auto"/>
                    <w:ind w:left="0" w:leftChars="0"/>
                    <w:jc w:val="center"/>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设备名称</w:t>
                  </w:r>
                </w:p>
              </w:tc>
              <w:tc>
                <w:tcPr>
                  <w:tcW w:w="1933" w:type="dxa"/>
                  <w:vAlign w:val="center"/>
                </w:tcPr>
                <w:p>
                  <w:pPr>
                    <w:pStyle w:val="37"/>
                    <w:spacing w:line="240" w:lineRule="auto"/>
                    <w:ind w:left="0" w:leftChars="0"/>
                    <w:jc w:val="center"/>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型号/规格</w:t>
                  </w:r>
                </w:p>
              </w:tc>
              <w:tc>
                <w:tcPr>
                  <w:tcW w:w="1617" w:type="dxa"/>
                  <w:vAlign w:val="center"/>
                </w:tcPr>
                <w:p>
                  <w:pPr>
                    <w:pStyle w:val="37"/>
                    <w:spacing w:line="240" w:lineRule="auto"/>
                    <w:ind w:left="0" w:leftChars="0"/>
                    <w:jc w:val="center"/>
                    <w:rPr>
                      <w:rFonts w:hint="eastAsia" w:eastAsia="宋体"/>
                      <w:b/>
                      <w:bCs/>
                      <w:color w:val="000000" w:themeColor="text1"/>
                      <w:sz w:val="21"/>
                      <w:szCs w:val="21"/>
                      <w:u w:val="none"/>
                      <w:lang w:eastAsia="zh-CN"/>
                      <w14:textFill>
                        <w14:solidFill>
                          <w14:schemeClr w14:val="tx1"/>
                        </w14:solidFill>
                      </w14:textFill>
                    </w:rPr>
                  </w:pPr>
                  <w:r>
                    <w:rPr>
                      <w:b/>
                      <w:bCs/>
                      <w:color w:val="000000" w:themeColor="text1"/>
                      <w:sz w:val="21"/>
                      <w:szCs w:val="21"/>
                      <w:u w:val="none"/>
                      <w14:textFill>
                        <w14:solidFill>
                          <w14:schemeClr w14:val="tx1"/>
                        </w14:solidFill>
                      </w14:textFill>
                    </w:rPr>
                    <w:t>数量</w:t>
                  </w:r>
                  <w:r>
                    <w:rPr>
                      <w:rFonts w:hint="eastAsia"/>
                      <w:b/>
                      <w:bCs/>
                      <w:color w:val="000000" w:themeColor="text1"/>
                      <w:sz w:val="21"/>
                      <w:szCs w:val="21"/>
                      <w:u w:val="none"/>
                      <w:lang w:eastAsia="zh-CN"/>
                      <w14:textFill>
                        <w14:solidFill>
                          <w14:schemeClr w14:val="tx1"/>
                        </w14:solidFill>
                      </w14:textFill>
                    </w:rPr>
                    <w:t>（</w:t>
                  </w:r>
                  <w:r>
                    <w:rPr>
                      <w:rFonts w:hint="eastAsia"/>
                      <w:b/>
                      <w:bCs/>
                      <w:color w:val="000000" w:themeColor="text1"/>
                      <w:sz w:val="21"/>
                      <w:szCs w:val="21"/>
                      <w:u w:val="none"/>
                      <w:lang w:val="en-US" w:eastAsia="zh-CN"/>
                      <w14:textFill>
                        <w14:solidFill>
                          <w14:schemeClr w14:val="tx1"/>
                        </w14:solidFill>
                      </w14:textFill>
                    </w:rPr>
                    <w:t>台/套</w:t>
                  </w:r>
                  <w:r>
                    <w:rPr>
                      <w:rFonts w:hint="eastAsia"/>
                      <w:b/>
                      <w:bCs/>
                      <w:color w:val="000000" w:themeColor="text1"/>
                      <w:sz w:val="21"/>
                      <w:szCs w:val="21"/>
                      <w:u w:val="none"/>
                      <w:lang w:eastAsia="zh-CN"/>
                      <w14:textFill>
                        <w14:solidFill>
                          <w14:schemeClr w14:val="tx1"/>
                        </w14:solidFill>
                      </w14:textFill>
                    </w:rPr>
                    <w:t>）</w:t>
                  </w:r>
                </w:p>
              </w:tc>
              <w:tc>
                <w:tcPr>
                  <w:tcW w:w="1631" w:type="dxa"/>
                  <w:vAlign w:val="center"/>
                </w:tcPr>
                <w:p>
                  <w:pPr>
                    <w:pStyle w:val="37"/>
                    <w:spacing w:line="240" w:lineRule="auto"/>
                    <w:ind w:left="0" w:leftChars="0"/>
                    <w:jc w:val="center"/>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83" w:type="dxa"/>
                  <w:vMerge w:val="restart"/>
                  <w:vAlign w:val="center"/>
                </w:tcPr>
                <w:p>
                  <w:pPr>
                    <w:pStyle w:val="79"/>
                    <w:numPr>
                      <w:ilvl w:val="0"/>
                      <w:numId w:val="0"/>
                    </w:numPr>
                    <w:spacing w:line="240" w:lineRule="auto"/>
                    <w:ind w:left="0" w:leftChars="0" w:firstLine="0" w:firstLineChars="0"/>
                    <w:jc w:val="center"/>
                    <w:rPr>
                      <w:rFonts w:hint="default" w:eastAsia="宋体"/>
                      <w:color w:val="000000"/>
                      <w:sz w:val="21"/>
                      <w:szCs w:val="21"/>
                      <w:vertAlign w:val="baseline"/>
                      <w:lang w:val="en-US" w:eastAsia="zh-CN"/>
                    </w:rPr>
                  </w:pPr>
                  <w:r>
                    <w:rPr>
                      <w:rFonts w:hint="eastAsia" w:eastAsia="宋体"/>
                      <w:color w:val="000000"/>
                      <w:sz w:val="21"/>
                      <w:szCs w:val="21"/>
                      <w:vertAlign w:val="baseline"/>
                      <w:lang w:val="en-US" w:eastAsia="zh-CN"/>
                    </w:rPr>
                    <w:t>1</w:t>
                  </w:r>
                </w:p>
              </w:tc>
              <w:tc>
                <w:tcPr>
                  <w:tcW w:w="1125" w:type="dxa"/>
                  <w:vMerge w:val="restart"/>
                  <w:vAlign w:val="center"/>
                </w:tcPr>
                <w:p>
                  <w:pPr>
                    <w:pStyle w:val="79"/>
                    <w:numPr>
                      <w:ilvl w:val="0"/>
                      <w:numId w:val="0"/>
                    </w:numPr>
                    <w:spacing w:line="240" w:lineRule="auto"/>
                    <w:ind w:left="0" w:leftChars="0" w:firstLine="0" w:firstLineChars="0"/>
                    <w:jc w:val="center"/>
                    <w:rPr>
                      <w:rFonts w:hint="default"/>
                      <w:color w:val="000000" w:themeColor="text1"/>
                      <w:sz w:val="21"/>
                      <w:szCs w:val="21"/>
                      <w:u w:val="none"/>
                      <w:lang w:val="en-US"/>
                      <w14:textFill>
                        <w14:solidFill>
                          <w14:schemeClr w14:val="tx1"/>
                        </w14:solidFill>
                      </w14:textFill>
                    </w:rPr>
                  </w:pPr>
                  <w:r>
                    <w:rPr>
                      <w:rFonts w:hint="eastAsia" w:eastAsia="宋体"/>
                      <w:color w:val="000000"/>
                      <w:sz w:val="21"/>
                      <w:szCs w:val="21"/>
                      <w:vertAlign w:val="baseline"/>
                      <w:lang w:val="en-US" w:eastAsia="zh-CN"/>
                    </w:rPr>
                    <w:t>涂布设备</w:t>
                  </w:r>
                </w:p>
              </w:tc>
              <w:tc>
                <w:tcPr>
                  <w:tcW w:w="1589" w:type="dxa"/>
                  <w:vAlign w:val="center"/>
                </w:tcPr>
                <w:p>
                  <w:pPr>
                    <w:pStyle w:val="79"/>
                    <w:numPr>
                      <w:ilvl w:val="0"/>
                      <w:numId w:val="0"/>
                    </w:numPr>
                    <w:spacing w:line="240" w:lineRule="auto"/>
                    <w:ind w:left="0" w:leftChars="0" w:firstLine="0" w:firstLineChars="0"/>
                    <w:jc w:val="center"/>
                    <w:rPr>
                      <w:rFonts w:hint="default" w:eastAsia="宋体"/>
                      <w:color w:val="000000"/>
                      <w:sz w:val="21"/>
                      <w:szCs w:val="21"/>
                      <w:vertAlign w:val="baseline"/>
                      <w:lang w:val="en-US" w:eastAsia="zh-CN"/>
                    </w:rPr>
                  </w:pPr>
                  <w:r>
                    <w:rPr>
                      <w:rFonts w:hint="eastAsia" w:eastAsia="宋体"/>
                      <w:color w:val="000000"/>
                      <w:sz w:val="21"/>
                      <w:szCs w:val="21"/>
                      <w:vertAlign w:val="baseline"/>
                      <w:lang w:val="en-US" w:eastAsia="zh-CN"/>
                    </w:rPr>
                    <w:t>放卷装置</w:t>
                  </w:r>
                </w:p>
              </w:tc>
              <w:tc>
                <w:tcPr>
                  <w:tcW w:w="1933" w:type="dxa"/>
                  <w:vMerge w:val="restart"/>
                  <w:vAlign w:val="center"/>
                </w:tcPr>
                <w:p>
                  <w:pPr>
                    <w:pStyle w:val="79"/>
                    <w:numPr>
                      <w:ilvl w:val="0"/>
                      <w:numId w:val="0"/>
                    </w:numPr>
                    <w:spacing w:line="240" w:lineRule="auto"/>
                    <w:ind w:left="0" w:leftChars="0" w:firstLine="0" w:firstLineChars="0"/>
                    <w:jc w:val="center"/>
                    <w:rPr>
                      <w:color w:val="000000" w:themeColor="text1"/>
                      <w:sz w:val="21"/>
                      <w:szCs w:val="21"/>
                      <w:u w:val="none"/>
                      <w14:textFill>
                        <w14:solidFill>
                          <w14:schemeClr w14:val="tx1"/>
                        </w14:solidFill>
                      </w14:textFill>
                    </w:rPr>
                  </w:pPr>
                  <w:r>
                    <w:rPr>
                      <w:rFonts w:hint="eastAsia"/>
                      <w:color w:val="000000"/>
                      <w:sz w:val="21"/>
                      <w:szCs w:val="21"/>
                      <w:vertAlign w:val="baseline"/>
                      <w:lang w:val="en-US" w:eastAsia="zh-CN"/>
                    </w:rPr>
                    <w:t>顺翼1600型</w:t>
                  </w:r>
                </w:p>
              </w:tc>
              <w:tc>
                <w:tcPr>
                  <w:tcW w:w="1617" w:type="dxa"/>
                  <w:vMerge w:val="restart"/>
                  <w:vAlign w:val="center"/>
                </w:tcPr>
                <w:p>
                  <w:pPr>
                    <w:pStyle w:val="79"/>
                    <w:numPr>
                      <w:ilvl w:val="0"/>
                      <w:numId w:val="0"/>
                    </w:numPr>
                    <w:spacing w:line="240" w:lineRule="auto"/>
                    <w:ind w:left="0" w:leftChars="0" w:firstLine="0" w:firstLineChars="0"/>
                    <w:jc w:val="center"/>
                    <w:rPr>
                      <w:color w:val="000000" w:themeColor="text1"/>
                      <w:sz w:val="21"/>
                      <w:szCs w:val="21"/>
                      <w:u w:val="none"/>
                      <w14:textFill>
                        <w14:solidFill>
                          <w14:schemeClr w14:val="tx1"/>
                        </w14:solidFill>
                      </w14:textFill>
                    </w:rPr>
                  </w:pPr>
                  <w:r>
                    <w:rPr>
                      <w:rFonts w:hint="eastAsia" w:eastAsia="宋体"/>
                      <w:color w:val="000000"/>
                      <w:sz w:val="21"/>
                      <w:szCs w:val="21"/>
                      <w:vertAlign w:val="baseline"/>
                      <w:lang w:val="en-US" w:eastAsia="zh-CN"/>
                    </w:rPr>
                    <w:t>1</w:t>
                  </w:r>
                </w:p>
              </w:tc>
              <w:tc>
                <w:tcPr>
                  <w:tcW w:w="1631" w:type="dxa"/>
                  <w:vMerge w:val="restart"/>
                  <w:vAlign w:val="center"/>
                </w:tcPr>
                <w:p>
                  <w:pPr>
                    <w:pStyle w:val="79"/>
                    <w:numPr>
                      <w:ilvl w:val="0"/>
                      <w:numId w:val="0"/>
                    </w:numPr>
                    <w:spacing w:line="240" w:lineRule="auto"/>
                    <w:ind w:left="0" w:leftChars="0" w:firstLine="0" w:firstLineChars="0"/>
                    <w:jc w:val="center"/>
                    <w:rPr>
                      <w:color w:val="000000" w:themeColor="text1"/>
                      <w:sz w:val="21"/>
                      <w:szCs w:val="21"/>
                      <w:u w:val="none"/>
                      <w14:textFill>
                        <w14:solidFill>
                          <w14:schemeClr w14:val="tx1"/>
                        </w14:solidFill>
                      </w14:textFill>
                    </w:rPr>
                  </w:pPr>
                  <w:r>
                    <w:rPr>
                      <w:rFonts w:hint="eastAsia"/>
                      <w:color w:val="000000"/>
                      <w:sz w:val="21"/>
                      <w:szCs w:val="21"/>
                      <w:vertAlign w:val="baseline"/>
                      <w:lang w:val="en-US" w:eastAsia="zh-CN"/>
                    </w:rPr>
                    <w:t>涂布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3"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125"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589" w:type="dxa"/>
                  <w:vAlign w:val="center"/>
                </w:tcPr>
                <w:p>
                  <w:pPr>
                    <w:pStyle w:val="79"/>
                    <w:numPr>
                      <w:ilvl w:val="0"/>
                      <w:numId w:val="0"/>
                    </w:numPr>
                    <w:spacing w:line="240" w:lineRule="auto"/>
                    <w:ind w:left="0" w:leftChars="0" w:firstLine="0" w:firstLineChars="0"/>
                    <w:jc w:val="center"/>
                    <w:rPr>
                      <w:rFonts w:hint="default" w:eastAsia="宋体"/>
                      <w:color w:val="000000"/>
                      <w:sz w:val="21"/>
                      <w:szCs w:val="21"/>
                      <w:vertAlign w:val="baseline"/>
                      <w:lang w:val="en-US" w:eastAsia="zh-CN"/>
                    </w:rPr>
                  </w:pPr>
                  <w:r>
                    <w:rPr>
                      <w:rFonts w:hint="eastAsia" w:eastAsia="宋体"/>
                      <w:color w:val="000000"/>
                      <w:sz w:val="21"/>
                      <w:szCs w:val="21"/>
                      <w:vertAlign w:val="baseline"/>
                      <w:lang w:val="en-US" w:eastAsia="zh-CN"/>
                    </w:rPr>
                    <w:t>烫平系统</w:t>
                  </w:r>
                </w:p>
              </w:tc>
              <w:tc>
                <w:tcPr>
                  <w:tcW w:w="1933" w:type="dxa"/>
                  <w:vMerge w:val="continue"/>
                  <w:vAlign w:val="center"/>
                </w:tcPr>
                <w:p>
                  <w:pPr>
                    <w:pStyle w:val="79"/>
                    <w:numPr>
                      <w:ilvl w:val="0"/>
                      <w:numId w:val="0"/>
                    </w:numPr>
                    <w:spacing w:line="240" w:lineRule="auto"/>
                    <w:ind w:left="0" w:leftChars="0" w:firstLine="0" w:firstLineChars="0"/>
                    <w:jc w:val="center"/>
                    <w:rPr>
                      <w:rFonts w:hint="eastAsia"/>
                      <w:color w:val="000000"/>
                      <w:sz w:val="21"/>
                      <w:szCs w:val="21"/>
                      <w:vertAlign w:val="baseline"/>
                      <w:lang w:val="en-US" w:eastAsia="zh-CN"/>
                    </w:rPr>
                  </w:pPr>
                </w:p>
              </w:tc>
              <w:tc>
                <w:tcPr>
                  <w:tcW w:w="1617"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631" w:type="dxa"/>
                  <w:vMerge w:val="continue"/>
                  <w:vAlign w:val="center"/>
                </w:tcPr>
                <w:p>
                  <w:pPr>
                    <w:pStyle w:val="79"/>
                    <w:numPr>
                      <w:ilvl w:val="0"/>
                      <w:numId w:val="0"/>
                    </w:numPr>
                    <w:spacing w:line="240" w:lineRule="auto"/>
                    <w:ind w:left="0" w:leftChars="0" w:firstLine="0" w:firstLineChars="0"/>
                    <w:jc w:val="center"/>
                    <w:rPr>
                      <w:rFonts w:hint="eastAsia"/>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3"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125"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589" w:type="dxa"/>
                  <w:vAlign w:val="center"/>
                </w:tcPr>
                <w:p>
                  <w:pPr>
                    <w:pStyle w:val="79"/>
                    <w:numPr>
                      <w:ilvl w:val="0"/>
                      <w:numId w:val="0"/>
                    </w:numPr>
                    <w:spacing w:line="240" w:lineRule="auto"/>
                    <w:ind w:left="0" w:leftChars="0" w:firstLine="0" w:firstLineChars="0"/>
                    <w:jc w:val="center"/>
                    <w:rPr>
                      <w:rFonts w:hint="default" w:eastAsia="宋体"/>
                      <w:color w:val="000000"/>
                      <w:sz w:val="21"/>
                      <w:szCs w:val="21"/>
                      <w:vertAlign w:val="baseline"/>
                      <w:lang w:val="en-US" w:eastAsia="zh-CN"/>
                    </w:rPr>
                  </w:pPr>
                  <w:r>
                    <w:rPr>
                      <w:rFonts w:hint="eastAsia" w:eastAsia="宋体"/>
                      <w:color w:val="000000"/>
                      <w:sz w:val="21"/>
                      <w:szCs w:val="21"/>
                      <w:vertAlign w:val="baseline"/>
                      <w:lang w:val="en-US" w:eastAsia="zh-CN"/>
                    </w:rPr>
                    <w:t>涂布系统</w:t>
                  </w:r>
                </w:p>
              </w:tc>
              <w:tc>
                <w:tcPr>
                  <w:tcW w:w="1933" w:type="dxa"/>
                  <w:vMerge w:val="continue"/>
                  <w:vAlign w:val="center"/>
                </w:tcPr>
                <w:p>
                  <w:pPr>
                    <w:pStyle w:val="79"/>
                    <w:numPr>
                      <w:ilvl w:val="0"/>
                      <w:numId w:val="0"/>
                    </w:numPr>
                    <w:spacing w:line="240" w:lineRule="auto"/>
                    <w:ind w:left="0" w:leftChars="0" w:firstLine="0" w:firstLineChars="0"/>
                    <w:jc w:val="center"/>
                    <w:rPr>
                      <w:rFonts w:hint="eastAsia"/>
                      <w:color w:val="000000"/>
                      <w:sz w:val="21"/>
                      <w:szCs w:val="21"/>
                      <w:vertAlign w:val="baseline"/>
                      <w:lang w:val="en-US" w:eastAsia="zh-CN"/>
                    </w:rPr>
                  </w:pPr>
                </w:p>
              </w:tc>
              <w:tc>
                <w:tcPr>
                  <w:tcW w:w="1617"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631" w:type="dxa"/>
                  <w:vMerge w:val="continue"/>
                  <w:vAlign w:val="center"/>
                </w:tcPr>
                <w:p>
                  <w:pPr>
                    <w:pStyle w:val="79"/>
                    <w:numPr>
                      <w:ilvl w:val="0"/>
                      <w:numId w:val="0"/>
                    </w:numPr>
                    <w:spacing w:line="240" w:lineRule="auto"/>
                    <w:ind w:left="0" w:leftChars="0" w:firstLine="0" w:firstLineChars="0"/>
                    <w:jc w:val="center"/>
                    <w:rPr>
                      <w:rFonts w:hint="eastAsia"/>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3"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125"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589" w:type="dxa"/>
                  <w:vAlign w:val="center"/>
                </w:tcPr>
                <w:p>
                  <w:pPr>
                    <w:pStyle w:val="79"/>
                    <w:numPr>
                      <w:ilvl w:val="0"/>
                      <w:numId w:val="0"/>
                    </w:numPr>
                    <w:spacing w:line="240" w:lineRule="auto"/>
                    <w:ind w:left="0" w:leftChars="0" w:firstLine="0" w:firstLineChars="0"/>
                    <w:jc w:val="center"/>
                    <w:rPr>
                      <w:rFonts w:hint="default" w:eastAsia="宋体"/>
                      <w:color w:val="000000"/>
                      <w:sz w:val="21"/>
                      <w:szCs w:val="21"/>
                      <w:vertAlign w:val="baseline"/>
                      <w:lang w:val="en-US" w:eastAsia="zh-CN"/>
                    </w:rPr>
                  </w:pPr>
                  <w:r>
                    <w:rPr>
                      <w:rFonts w:hint="eastAsia" w:eastAsia="宋体"/>
                      <w:color w:val="000000"/>
                      <w:sz w:val="21"/>
                      <w:szCs w:val="21"/>
                      <w:vertAlign w:val="baseline"/>
                      <w:lang w:val="en-US" w:eastAsia="zh-CN"/>
                    </w:rPr>
                    <w:t>烘箱</w:t>
                  </w:r>
                </w:p>
              </w:tc>
              <w:tc>
                <w:tcPr>
                  <w:tcW w:w="1933" w:type="dxa"/>
                  <w:vMerge w:val="continue"/>
                  <w:vAlign w:val="center"/>
                </w:tcPr>
                <w:p>
                  <w:pPr>
                    <w:pStyle w:val="79"/>
                    <w:numPr>
                      <w:ilvl w:val="0"/>
                      <w:numId w:val="0"/>
                    </w:numPr>
                    <w:spacing w:line="240" w:lineRule="auto"/>
                    <w:ind w:left="0" w:leftChars="0" w:firstLine="0" w:firstLineChars="0"/>
                    <w:jc w:val="center"/>
                    <w:rPr>
                      <w:rFonts w:hint="eastAsia"/>
                      <w:color w:val="000000"/>
                      <w:sz w:val="21"/>
                      <w:szCs w:val="21"/>
                      <w:vertAlign w:val="baseline"/>
                      <w:lang w:val="en-US" w:eastAsia="zh-CN"/>
                    </w:rPr>
                  </w:pPr>
                </w:p>
              </w:tc>
              <w:tc>
                <w:tcPr>
                  <w:tcW w:w="1617"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631" w:type="dxa"/>
                  <w:vMerge w:val="continue"/>
                  <w:vAlign w:val="center"/>
                </w:tcPr>
                <w:p>
                  <w:pPr>
                    <w:pStyle w:val="79"/>
                    <w:numPr>
                      <w:ilvl w:val="0"/>
                      <w:numId w:val="0"/>
                    </w:numPr>
                    <w:spacing w:line="240" w:lineRule="auto"/>
                    <w:ind w:left="0" w:leftChars="0" w:firstLine="0" w:firstLineChars="0"/>
                    <w:jc w:val="center"/>
                    <w:rPr>
                      <w:rFonts w:hint="eastAsia"/>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3"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125"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589" w:type="dxa"/>
                  <w:vAlign w:val="center"/>
                </w:tcPr>
                <w:p>
                  <w:pPr>
                    <w:pStyle w:val="79"/>
                    <w:numPr>
                      <w:ilvl w:val="0"/>
                      <w:numId w:val="0"/>
                    </w:numPr>
                    <w:spacing w:line="240" w:lineRule="auto"/>
                    <w:ind w:left="0" w:leftChars="0" w:firstLine="0" w:firstLineChars="0"/>
                    <w:jc w:val="center"/>
                    <w:rPr>
                      <w:rFonts w:hint="default" w:eastAsia="宋体"/>
                      <w:color w:val="000000"/>
                      <w:sz w:val="21"/>
                      <w:szCs w:val="21"/>
                      <w:vertAlign w:val="baseline"/>
                      <w:lang w:val="en-US" w:eastAsia="zh-CN"/>
                    </w:rPr>
                  </w:pPr>
                  <w:r>
                    <w:rPr>
                      <w:rFonts w:hint="eastAsia" w:eastAsia="宋体"/>
                      <w:color w:val="000000"/>
                      <w:sz w:val="21"/>
                      <w:szCs w:val="21"/>
                      <w:vertAlign w:val="baseline"/>
                      <w:lang w:val="en-US" w:eastAsia="zh-CN"/>
                    </w:rPr>
                    <w:t>收卷装置</w:t>
                  </w:r>
                </w:p>
              </w:tc>
              <w:tc>
                <w:tcPr>
                  <w:tcW w:w="1933" w:type="dxa"/>
                  <w:vMerge w:val="continue"/>
                  <w:vAlign w:val="center"/>
                </w:tcPr>
                <w:p>
                  <w:pPr>
                    <w:pStyle w:val="79"/>
                    <w:numPr>
                      <w:ilvl w:val="0"/>
                      <w:numId w:val="0"/>
                    </w:numPr>
                    <w:spacing w:line="240" w:lineRule="auto"/>
                    <w:ind w:left="0" w:leftChars="0" w:firstLine="0" w:firstLineChars="0"/>
                    <w:jc w:val="center"/>
                    <w:rPr>
                      <w:rFonts w:hint="eastAsia"/>
                      <w:color w:val="000000"/>
                      <w:sz w:val="21"/>
                      <w:szCs w:val="21"/>
                      <w:vertAlign w:val="baseline"/>
                      <w:lang w:val="en-US" w:eastAsia="zh-CN"/>
                    </w:rPr>
                  </w:pPr>
                </w:p>
              </w:tc>
              <w:tc>
                <w:tcPr>
                  <w:tcW w:w="1617" w:type="dxa"/>
                  <w:vMerge w:val="continue"/>
                  <w:vAlign w:val="center"/>
                </w:tcPr>
                <w:p>
                  <w:pPr>
                    <w:pStyle w:val="79"/>
                    <w:numPr>
                      <w:ilvl w:val="0"/>
                      <w:numId w:val="0"/>
                    </w:numPr>
                    <w:spacing w:line="240" w:lineRule="auto"/>
                    <w:ind w:left="0" w:leftChars="0" w:firstLine="0" w:firstLineChars="0"/>
                    <w:jc w:val="center"/>
                    <w:rPr>
                      <w:rFonts w:hint="eastAsia" w:eastAsia="宋体"/>
                      <w:color w:val="000000"/>
                      <w:sz w:val="21"/>
                      <w:szCs w:val="21"/>
                      <w:vertAlign w:val="baseline"/>
                      <w:lang w:val="en-US" w:eastAsia="zh-CN"/>
                    </w:rPr>
                  </w:pPr>
                </w:p>
              </w:tc>
              <w:tc>
                <w:tcPr>
                  <w:tcW w:w="1631" w:type="dxa"/>
                  <w:vMerge w:val="continue"/>
                  <w:vAlign w:val="center"/>
                </w:tcPr>
                <w:p>
                  <w:pPr>
                    <w:pStyle w:val="79"/>
                    <w:numPr>
                      <w:ilvl w:val="0"/>
                      <w:numId w:val="0"/>
                    </w:numPr>
                    <w:spacing w:line="240" w:lineRule="auto"/>
                    <w:ind w:left="0" w:leftChars="0" w:firstLine="0" w:firstLineChars="0"/>
                    <w:jc w:val="center"/>
                    <w:rPr>
                      <w:rFonts w:hint="eastAsia"/>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3" w:type="dxa"/>
                  <w:vAlign w:val="center"/>
                </w:tcPr>
                <w:p>
                  <w:pPr>
                    <w:pStyle w:val="79"/>
                    <w:numPr>
                      <w:ilvl w:val="0"/>
                      <w:numId w:val="0"/>
                    </w:numPr>
                    <w:spacing w:line="240" w:lineRule="auto"/>
                    <w:ind w:left="0" w:leftChars="0" w:firstLine="0" w:firstLineChars="0"/>
                    <w:jc w:val="center"/>
                    <w:rPr>
                      <w:rFonts w:hint="default" w:eastAsia="宋体"/>
                      <w:color w:val="000000"/>
                      <w:sz w:val="21"/>
                      <w:szCs w:val="21"/>
                      <w:vertAlign w:val="baseline"/>
                      <w:lang w:val="en-US" w:eastAsia="zh-CN"/>
                    </w:rPr>
                  </w:pPr>
                  <w:r>
                    <w:rPr>
                      <w:rFonts w:hint="eastAsia" w:eastAsia="宋体"/>
                      <w:color w:val="000000"/>
                      <w:sz w:val="21"/>
                      <w:szCs w:val="21"/>
                      <w:vertAlign w:val="baseline"/>
                      <w:lang w:val="en-US" w:eastAsia="zh-CN"/>
                    </w:rPr>
                    <w:t>2</w:t>
                  </w:r>
                </w:p>
              </w:tc>
              <w:tc>
                <w:tcPr>
                  <w:tcW w:w="2714" w:type="dxa"/>
                  <w:gridSpan w:val="2"/>
                  <w:vAlign w:val="center"/>
                </w:tcPr>
                <w:p>
                  <w:pPr>
                    <w:pStyle w:val="79"/>
                    <w:numPr>
                      <w:ilvl w:val="0"/>
                      <w:numId w:val="0"/>
                    </w:numPr>
                    <w:spacing w:line="240" w:lineRule="auto"/>
                    <w:ind w:left="0" w:leftChars="0" w:firstLine="0" w:firstLineChars="0"/>
                    <w:jc w:val="center"/>
                    <w:rPr>
                      <w:rFonts w:hint="default" w:eastAsia="宋体"/>
                      <w:color w:val="000000"/>
                      <w:sz w:val="21"/>
                      <w:szCs w:val="21"/>
                      <w:vertAlign w:val="baseline"/>
                      <w:lang w:val="en-US" w:eastAsia="zh-CN"/>
                    </w:rPr>
                  </w:pPr>
                  <w:r>
                    <w:rPr>
                      <w:rFonts w:hint="eastAsia" w:eastAsia="宋体"/>
                      <w:color w:val="000000"/>
                      <w:sz w:val="21"/>
                      <w:szCs w:val="21"/>
                      <w:vertAlign w:val="baseline"/>
                      <w:lang w:val="en-US" w:eastAsia="zh-CN"/>
                    </w:rPr>
                    <w:t>分切机</w:t>
                  </w:r>
                </w:p>
              </w:tc>
              <w:tc>
                <w:tcPr>
                  <w:tcW w:w="1933" w:type="dxa"/>
                  <w:vAlign w:val="center"/>
                </w:tcPr>
                <w:p>
                  <w:pPr>
                    <w:pStyle w:val="79"/>
                    <w:numPr>
                      <w:ilvl w:val="0"/>
                      <w:numId w:val="0"/>
                    </w:numPr>
                    <w:spacing w:line="240" w:lineRule="auto"/>
                    <w:ind w:left="0" w:leftChars="0" w:firstLine="0" w:firstLineChars="0"/>
                    <w:jc w:val="center"/>
                    <w:rPr>
                      <w:color w:val="000000" w:themeColor="text1"/>
                      <w:sz w:val="21"/>
                      <w:szCs w:val="21"/>
                      <w:u w:val="none"/>
                      <w14:textFill>
                        <w14:solidFill>
                          <w14:schemeClr w14:val="tx1"/>
                        </w14:solidFill>
                      </w14:textFill>
                    </w:rPr>
                  </w:pPr>
                  <w:r>
                    <w:rPr>
                      <w:rFonts w:hint="eastAsia"/>
                      <w:color w:val="000000"/>
                      <w:sz w:val="21"/>
                      <w:szCs w:val="21"/>
                      <w:vertAlign w:val="baseline"/>
                      <w:lang w:val="en-US" w:eastAsia="zh-CN"/>
                    </w:rPr>
                    <w:t>永乐2023</w:t>
                  </w:r>
                </w:p>
              </w:tc>
              <w:tc>
                <w:tcPr>
                  <w:tcW w:w="1617" w:type="dxa"/>
                  <w:vAlign w:val="center"/>
                </w:tcPr>
                <w:p>
                  <w:pPr>
                    <w:pStyle w:val="79"/>
                    <w:numPr>
                      <w:ilvl w:val="0"/>
                      <w:numId w:val="0"/>
                    </w:numPr>
                    <w:spacing w:line="240" w:lineRule="auto"/>
                    <w:ind w:left="0" w:leftChars="0" w:firstLine="0" w:firstLineChars="0"/>
                    <w:jc w:val="center"/>
                    <w:rPr>
                      <w:color w:val="000000" w:themeColor="text1"/>
                      <w:sz w:val="21"/>
                      <w:szCs w:val="21"/>
                      <w:u w:val="none"/>
                      <w14:textFill>
                        <w14:solidFill>
                          <w14:schemeClr w14:val="tx1"/>
                        </w14:solidFill>
                      </w14:textFill>
                    </w:rPr>
                  </w:pPr>
                  <w:r>
                    <w:rPr>
                      <w:rFonts w:hint="eastAsia" w:eastAsia="宋体"/>
                      <w:color w:val="000000"/>
                      <w:sz w:val="21"/>
                      <w:szCs w:val="21"/>
                      <w:vertAlign w:val="baseline"/>
                      <w:lang w:val="en-US" w:eastAsia="zh-CN"/>
                    </w:rPr>
                    <w:t>1</w:t>
                  </w:r>
                </w:p>
              </w:tc>
              <w:tc>
                <w:tcPr>
                  <w:tcW w:w="1631" w:type="dxa"/>
                  <w:vAlign w:val="center"/>
                </w:tcPr>
                <w:p>
                  <w:pPr>
                    <w:pStyle w:val="79"/>
                    <w:numPr>
                      <w:ilvl w:val="0"/>
                      <w:numId w:val="0"/>
                    </w:numPr>
                    <w:spacing w:line="240" w:lineRule="auto"/>
                    <w:ind w:left="0" w:leftChars="0" w:firstLine="0" w:firstLineChars="0"/>
                    <w:jc w:val="center"/>
                    <w:rPr>
                      <w:color w:val="000000" w:themeColor="text1"/>
                      <w:sz w:val="21"/>
                      <w:szCs w:val="21"/>
                      <w:u w:val="none"/>
                      <w14:textFill>
                        <w14:solidFill>
                          <w14:schemeClr w14:val="tx1"/>
                        </w14:solidFill>
                      </w14:textFill>
                    </w:rPr>
                  </w:pPr>
                  <w:r>
                    <w:rPr>
                      <w:rFonts w:hint="eastAsia"/>
                      <w:color w:val="000000"/>
                      <w:sz w:val="21"/>
                      <w:szCs w:val="21"/>
                      <w:vertAlign w:val="baseline"/>
                      <w:lang w:val="en-US" w:eastAsia="zh-CN"/>
                    </w:rPr>
                    <w:t>裁切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3" w:type="dxa"/>
                  <w:vAlign w:val="center"/>
                </w:tcPr>
                <w:p>
                  <w:pPr>
                    <w:pStyle w:val="79"/>
                    <w:numPr>
                      <w:ilvl w:val="0"/>
                      <w:numId w:val="0"/>
                    </w:numPr>
                    <w:spacing w:line="240" w:lineRule="auto"/>
                    <w:ind w:left="0" w:leftChars="0" w:firstLine="0" w:firstLineChars="0"/>
                    <w:jc w:val="center"/>
                    <w:rPr>
                      <w:rFonts w:hint="default"/>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3</w:t>
                  </w:r>
                </w:p>
              </w:tc>
              <w:tc>
                <w:tcPr>
                  <w:tcW w:w="2714" w:type="dxa"/>
                  <w:gridSpan w:val="2"/>
                  <w:vAlign w:val="center"/>
                </w:tcPr>
                <w:p>
                  <w:pPr>
                    <w:pStyle w:val="79"/>
                    <w:numPr>
                      <w:ilvl w:val="0"/>
                      <w:numId w:val="0"/>
                    </w:numPr>
                    <w:spacing w:line="240" w:lineRule="auto"/>
                    <w:ind w:left="0" w:leftChars="0" w:firstLine="0" w:firstLineChars="0"/>
                    <w:jc w:val="center"/>
                    <w:rPr>
                      <w:rFonts w:hint="eastAsia"/>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二级活性炭装置</w:t>
                  </w:r>
                </w:p>
              </w:tc>
              <w:tc>
                <w:tcPr>
                  <w:tcW w:w="1933" w:type="dxa"/>
                  <w:vAlign w:val="center"/>
                </w:tcPr>
                <w:p>
                  <w:pPr>
                    <w:pStyle w:val="79"/>
                    <w:numPr>
                      <w:ilvl w:val="0"/>
                      <w:numId w:val="0"/>
                    </w:numPr>
                    <w:spacing w:line="240" w:lineRule="auto"/>
                    <w:ind w:left="0" w:leftChars="0" w:firstLine="0" w:firstLineChars="0"/>
                    <w:jc w:val="center"/>
                    <w:rPr>
                      <w:color w:val="000000" w:themeColor="text1"/>
                      <w:sz w:val="21"/>
                      <w:szCs w:val="21"/>
                      <w:u w:val="none"/>
                      <w14:textFill>
                        <w14:solidFill>
                          <w14:schemeClr w14:val="tx1"/>
                        </w14:solidFill>
                      </w14:textFill>
                    </w:rPr>
                  </w:pPr>
                  <w:r>
                    <w:rPr>
                      <w:rFonts w:hint="eastAsia"/>
                      <w:color w:val="000000"/>
                      <w:sz w:val="21"/>
                      <w:szCs w:val="21"/>
                      <w:vertAlign w:val="baseline"/>
                      <w:lang w:val="en-US" w:eastAsia="zh-CN"/>
                    </w:rPr>
                    <w:t>GM-8C</w:t>
                  </w:r>
                </w:p>
              </w:tc>
              <w:tc>
                <w:tcPr>
                  <w:tcW w:w="1617" w:type="dxa"/>
                  <w:vAlign w:val="center"/>
                </w:tcPr>
                <w:p>
                  <w:pPr>
                    <w:pStyle w:val="79"/>
                    <w:numPr>
                      <w:ilvl w:val="0"/>
                      <w:numId w:val="0"/>
                    </w:numPr>
                    <w:spacing w:line="240" w:lineRule="auto"/>
                    <w:ind w:left="0" w:leftChars="0" w:firstLine="0" w:firstLineChars="0"/>
                    <w:jc w:val="center"/>
                    <w:rPr>
                      <w:color w:val="000000" w:themeColor="text1"/>
                      <w:sz w:val="21"/>
                      <w:szCs w:val="21"/>
                      <w:u w:val="none"/>
                      <w14:textFill>
                        <w14:solidFill>
                          <w14:schemeClr w14:val="tx1"/>
                        </w14:solidFill>
                      </w14:textFill>
                    </w:rPr>
                  </w:pPr>
                  <w:r>
                    <w:rPr>
                      <w:rFonts w:hint="eastAsia" w:eastAsia="宋体"/>
                      <w:color w:val="000000"/>
                      <w:sz w:val="21"/>
                      <w:szCs w:val="21"/>
                      <w:vertAlign w:val="baseline"/>
                      <w:lang w:val="en-US" w:eastAsia="zh-CN"/>
                    </w:rPr>
                    <w:t>1</w:t>
                  </w:r>
                </w:p>
              </w:tc>
              <w:tc>
                <w:tcPr>
                  <w:tcW w:w="1631" w:type="dxa"/>
                  <w:vAlign w:val="center"/>
                </w:tcPr>
                <w:p>
                  <w:pPr>
                    <w:pStyle w:val="79"/>
                    <w:numPr>
                      <w:ilvl w:val="0"/>
                      <w:numId w:val="0"/>
                    </w:numPr>
                    <w:spacing w:line="240" w:lineRule="auto"/>
                    <w:ind w:left="0" w:leftChars="0" w:firstLine="0" w:firstLineChars="0"/>
                    <w:jc w:val="center"/>
                    <w:rPr>
                      <w:rFonts w:hint="default" w:eastAsia="宋体"/>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废气处理设施</w:t>
                  </w:r>
                </w:p>
              </w:tc>
            </w:tr>
          </w:tbl>
          <w:p>
            <w:pPr>
              <w:ind w:firstLine="480"/>
              <w:rPr>
                <w:rFonts w:hint="eastAsia"/>
                <w:b/>
                <w:bCs/>
                <w:u w:val="none"/>
                <w:lang w:eastAsia="zh-CN"/>
              </w:rPr>
            </w:pPr>
            <w:r>
              <w:rPr>
                <w:rFonts w:hint="eastAsia"/>
                <w:b/>
                <w:bCs/>
                <w:u w:val="none"/>
                <w:lang w:val="en-US" w:eastAsia="zh-CN"/>
              </w:rPr>
              <w:t>主要生产设备与</w:t>
            </w:r>
            <w:r>
              <w:rPr>
                <w:rFonts w:hint="eastAsia"/>
                <w:b/>
                <w:bCs/>
                <w:u w:val="none"/>
              </w:rPr>
              <w:t>产能</w:t>
            </w:r>
            <w:r>
              <w:rPr>
                <w:rFonts w:hint="eastAsia"/>
                <w:b/>
                <w:bCs/>
                <w:u w:val="none"/>
                <w:lang w:val="en-US" w:eastAsia="zh-CN"/>
              </w:rPr>
              <w:t>匹配性分析</w:t>
            </w:r>
            <w:r>
              <w:rPr>
                <w:rFonts w:hint="eastAsia"/>
                <w:b/>
                <w:bCs/>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000000"/>
                <w:sz w:val="24"/>
                <w:u w:val="none"/>
                <w:lang w:val="en-US" w:eastAsia="zh-CN"/>
              </w:rPr>
            </w:pPr>
            <w:r>
              <w:rPr>
                <w:rFonts w:hint="eastAsia" w:cs="Times New Roman"/>
                <w:b w:val="0"/>
                <w:bCs w:val="0"/>
                <w:color w:val="000000"/>
                <w:sz w:val="24"/>
                <w:u w:val="none"/>
                <w:lang w:val="en-US" w:eastAsia="zh-CN"/>
              </w:rPr>
              <w:t>项目</w:t>
            </w:r>
            <w:r>
              <w:rPr>
                <w:rFonts w:hint="eastAsia" w:ascii="Times New Roman" w:hAnsi="Times New Roman" w:eastAsia="宋体" w:cs="Times New Roman"/>
                <w:b w:val="0"/>
                <w:bCs w:val="0"/>
                <w:color w:val="000000"/>
                <w:sz w:val="24"/>
                <w:u w:val="none"/>
                <w:lang w:val="en-US" w:eastAsia="zh-CN"/>
              </w:rPr>
              <w:t>涂布工序使用水性涂料，涂布层数为一层，产品为预涂膜。因此水性涂料涂层的面积与各基膜的总面积一致。涂布机速度约为24m/min，涂布机每天运行24小时。则涂布机每年涂在基膜的长度可达：24m×60×24×300=1036.8万米，预涂膜宽度按最大1.4m计，则项目涂布机最大产能为1451.52万m</w:t>
            </w:r>
            <w:r>
              <w:rPr>
                <w:rFonts w:hint="eastAsia" w:ascii="Times New Roman" w:hAnsi="Times New Roman" w:eastAsia="宋体" w:cs="Times New Roman"/>
                <w:b w:val="0"/>
                <w:bCs w:val="0"/>
                <w:color w:val="000000"/>
                <w:sz w:val="24"/>
                <w:u w:val="none"/>
                <w:vertAlign w:val="superscript"/>
                <w:lang w:val="en-US" w:eastAsia="zh-CN"/>
              </w:rPr>
              <w:t>2</w:t>
            </w:r>
            <w:r>
              <w:rPr>
                <w:rFonts w:hint="eastAsia" w:ascii="Times New Roman" w:hAnsi="Times New Roman" w:eastAsia="宋体" w:cs="Times New Roman"/>
                <w:b w:val="0"/>
                <w:bCs w:val="0"/>
                <w:color w:val="000000"/>
                <w:sz w:val="24"/>
                <w:u w:val="none"/>
                <w:lang w:val="en-US" w:eastAsia="zh-CN"/>
              </w:rPr>
              <w:t>/年。项目预涂膜产量为</w:t>
            </w:r>
            <w:r>
              <w:rPr>
                <w:rFonts w:hint="eastAsia" w:cs="Times New Roman"/>
                <w:b w:val="0"/>
                <w:bCs w:val="0"/>
                <w:color w:val="000000"/>
                <w:sz w:val="24"/>
                <w:u w:val="none"/>
                <w:lang w:val="en-US" w:eastAsia="zh-CN"/>
              </w:rPr>
              <w:t>1325</w:t>
            </w:r>
            <w:r>
              <w:rPr>
                <w:rFonts w:hint="eastAsia" w:ascii="Times New Roman" w:hAnsi="Times New Roman" w:eastAsia="宋体" w:cs="Times New Roman"/>
                <w:b w:val="0"/>
                <w:bCs w:val="0"/>
                <w:color w:val="000000"/>
                <w:sz w:val="24"/>
                <w:u w:val="none"/>
                <w:lang w:val="en-US" w:eastAsia="zh-CN"/>
              </w:rPr>
              <w:t>万m</w:t>
            </w:r>
            <w:r>
              <w:rPr>
                <w:rFonts w:hint="eastAsia" w:ascii="Times New Roman" w:hAnsi="Times New Roman" w:eastAsia="宋体" w:cs="Times New Roman"/>
                <w:b w:val="0"/>
                <w:bCs w:val="0"/>
                <w:color w:val="000000"/>
                <w:sz w:val="24"/>
                <w:u w:val="none"/>
                <w:vertAlign w:val="superscript"/>
                <w:lang w:val="en-US" w:eastAsia="zh-CN"/>
              </w:rPr>
              <w:t>2</w:t>
            </w:r>
            <w:r>
              <w:rPr>
                <w:rFonts w:hint="eastAsia" w:ascii="Times New Roman" w:hAnsi="Times New Roman" w:eastAsia="宋体" w:cs="Times New Roman"/>
                <w:b w:val="0"/>
                <w:bCs w:val="0"/>
                <w:color w:val="000000"/>
                <w:sz w:val="24"/>
                <w:u w:val="none"/>
                <w:lang w:val="en-US" w:eastAsia="zh-CN"/>
              </w:rPr>
              <w:t>/年，故涂布机的产能可以满足本</w:t>
            </w:r>
            <w:r>
              <w:rPr>
                <w:rFonts w:hint="eastAsia" w:cs="Times New Roman"/>
                <w:b w:val="0"/>
                <w:bCs w:val="0"/>
                <w:color w:val="000000"/>
                <w:sz w:val="24"/>
                <w:u w:val="none"/>
                <w:lang w:val="en-US" w:eastAsia="zh-CN"/>
              </w:rPr>
              <w:t>项目</w:t>
            </w:r>
            <w:r>
              <w:rPr>
                <w:rFonts w:hint="eastAsia" w:ascii="Times New Roman" w:hAnsi="Times New Roman" w:eastAsia="宋体" w:cs="Times New Roman"/>
                <w:b w:val="0"/>
                <w:bCs w:val="0"/>
                <w:color w:val="000000"/>
                <w:sz w:val="24"/>
                <w:u w:val="none"/>
                <w:lang w:val="en-US" w:eastAsia="zh-CN"/>
              </w:rPr>
              <w:t>预涂膜加工的生产需求。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000000"/>
                <w:sz w:val="24"/>
                <w:u w:val="none"/>
                <w:lang w:val="en-US" w:eastAsia="zh-CN"/>
              </w:rPr>
            </w:pPr>
            <w:r>
              <w:rPr>
                <w:rFonts w:hint="eastAsia" w:ascii="Times New Roman" w:hAnsi="Times New Roman" w:eastAsia="宋体" w:cs="Times New Roman"/>
                <w:b w:val="0"/>
                <w:bCs w:val="0"/>
                <w:color w:val="000000"/>
                <w:sz w:val="24"/>
                <w:u w:val="none"/>
                <w:lang w:val="en-US" w:eastAsia="zh-CN"/>
              </w:rPr>
              <w:t>对比《产业结构调整指导目录（2024本）》、《高耗能落后机电设备（产品）淘汰目录》（第一至四批）、《部分工业行业淘汰落后生产工艺装备和产品指导目录（2019年本）》和《国家污染防治技术指导目录》（2024年，限制类和淘汰类），本项目生产设备、环保设备均不属于国家淘汰和限制类型。</w:t>
            </w:r>
          </w:p>
          <w:p>
            <w:pPr>
              <w:numPr>
                <w:ilvl w:val="0"/>
                <w:numId w:val="2"/>
              </w:numPr>
              <w:ind w:left="0" w:leftChars="0" w:firstLine="482" w:firstLineChars="200"/>
              <w:rPr>
                <w:rFonts w:hint="eastAsia"/>
                <w:b/>
                <w:bCs/>
                <w:u w:val="none"/>
              </w:rPr>
            </w:pPr>
            <w:r>
              <w:rPr>
                <w:rFonts w:hint="eastAsia"/>
                <w:b/>
                <w:bCs/>
                <w:u w:val="none"/>
              </w:rPr>
              <w:t>原辅材料及能源</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表2-4 主要原辅材料及能源年耗量一览表</w:t>
            </w:r>
          </w:p>
          <w:tbl>
            <w:tblPr>
              <w:tblStyle w:val="24"/>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80"/>
              <w:gridCol w:w="1425"/>
              <w:gridCol w:w="1260"/>
              <w:gridCol w:w="1225"/>
              <w:gridCol w:w="1353"/>
              <w:gridCol w:w="782"/>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0" w:type="dxa"/>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序号</w:t>
                  </w:r>
                </w:p>
              </w:tc>
              <w:tc>
                <w:tcPr>
                  <w:tcW w:w="780" w:type="dxa"/>
                  <w:noWrap w:val="0"/>
                  <w:vAlign w:val="center"/>
                </w:tcPr>
                <w:p>
                  <w:pPr>
                    <w:numPr>
                      <w:ilvl w:val="0"/>
                      <w:numId w:val="0"/>
                    </w:numPr>
                    <w:spacing w:line="240" w:lineRule="auto"/>
                    <w:jc w:val="center"/>
                    <w:outlineLvl w:val="0"/>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类型</w:t>
                  </w:r>
                </w:p>
              </w:tc>
              <w:tc>
                <w:tcPr>
                  <w:tcW w:w="1425" w:type="dxa"/>
                  <w:noWrap w:val="0"/>
                  <w:vAlign w:val="center"/>
                </w:tcPr>
                <w:p>
                  <w:pPr>
                    <w:numPr>
                      <w:ilvl w:val="0"/>
                      <w:numId w:val="0"/>
                    </w:numPr>
                    <w:spacing w:line="240" w:lineRule="auto"/>
                    <w:jc w:val="center"/>
                    <w:outlineLvl w:val="0"/>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名称</w:t>
                  </w:r>
                </w:p>
              </w:tc>
              <w:tc>
                <w:tcPr>
                  <w:tcW w:w="1260" w:type="dxa"/>
                  <w:noWrap w:val="0"/>
                  <w:vAlign w:val="center"/>
                </w:tcPr>
                <w:p>
                  <w:pPr>
                    <w:numPr>
                      <w:ilvl w:val="0"/>
                      <w:numId w:val="0"/>
                    </w:numPr>
                    <w:spacing w:line="240" w:lineRule="auto"/>
                    <w:jc w:val="center"/>
                    <w:outlineLvl w:val="0"/>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年用量（吨/年）</w:t>
                  </w:r>
                </w:p>
              </w:tc>
              <w:tc>
                <w:tcPr>
                  <w:tcW w:w="1225" w:type="dxa"/>
                  <w:noWrap w:val="0"/>
                  <w:vAlign w:val="center"/>
                </w:tcPr>
                <w:p>
                  <w:pPr>
                    <w:numPr>
                      <w:ilvl w:val="0"/>
                      <w:numId w:val="0"/>
                    </w:numPr>
                    <w:spacing w:line="240" w:lineRule="auto"/>
                    <w:jc w:val="center"/>
                    <w:outlineLvl w:val="0"/>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最大储存量（吨/年）</w:t>
                  </w:r>
                </w:p>
              </w:tc>
              <w:tc>
                <w:tcPr>
                  <w:tcW w:w="1353" w:type="dxa"/>
                  <w:noWrap w:val="0"/>
                  <w:vAlign w:val="center"/>
                </w:tcPr>
                <w:p>
                  <w:pPr>
                    <w:numPr>
                      <w:ilvl w:val="0"/>
                      <w:numId w:val="0"/>
                    </w:numPr>
                    <w:spacing w:line="240" w:lineRule="auto"/>
                    <w:jc w:val="center"/>
                    <w:outlineLvl w:val="0"/>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储存方式</w:t>
                  </w:r>
                </w:p>
              </w:tc>
              <w:tc>
                <w:tcPr>
                  <w:tcW w:w="782" w:type="dxa"/>
                  <w:noWrap w:val="0"/>
                  <w:vAlign w:val="center"/>
                </w:tcPr>
                <w:p>
                  <w:pPr>
                    <w:numPr>
                      <w:ilvl w:val="0"/>
                      <w:numId w:val="0"/>
                    </w:numPr>
                    <w:spacing w:line="240" w:lineRule="auto"/>
                    <w:jc w:val="center"/>
                    <w:outlineLvl w:val="0"/>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储存位置</w:t>
                  </w:r>
                </w:p>
              </w:tc>
              <w:tc>
                <w:tcPr>
                  <w:tcW w:w="1119" w:type="dxa"/>
                  <w:noWrap w:val="0"/>
                  <w:vAlign w:val="center"/>
                </w:tcPr>
                <w:p>
                  <w:pPr>
                    <w:numPr>
                      <w:ilvl w:val="0"/>
                      <w:numId w:val="0"/>
                    </w:numPr>
                    <w:spacing w:line="240" w:lineRule="auto"/>
                    <w:jc w:val="center"/>
                    <w:outlineLvl w:val="0"/>
                    <w:rPr>
                      <w:rFonts w:hint="default" w:ascii="Times New Roman" w:hAnsi="Times New Roman" w:eastAsia="宋体" w:cs="Times New Roman"/>
                      <w:b/>
                      <w:bCs/>
                      <w:color w:val="000000"/>
                      <w:sz w:val="21"/>
                      <w:szCs w:val="21"/>
                      <w:vertAlign w:val="baseline"/>
                      <w:lang w:val="en-US" w:eastAsia="zh-CN"/>
                    </w:rPr>
                  </w:pPr>
                  <w:r>
                    <w:rPr>
                      <w:rFonts w:hint="eastAsia" w:cs="Times New Roman"/>
                      <w:b/>
                      <w:bCs/>
                      <w:color w:val="00000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1</w:t>
                  </w:r>
                </w:p>
              </w:tc>
              <w:tc>
                <w:tcPr>
                  <w:tcW w:w="780" w:type="dxa"/>
                  <w:vMerge w:val="restart"/>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原料</w:t>
                  </w:r>
                </w:p>
              </w:tc>
              <w:tc>
                <w:tcPr>
                  <w:tcW w:w="14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rPr>
                  </w:pPr>
                  <w:r>
                    <w:rPr>
                      <w:rFonts w:hint="eastAsia" w:cs="Times New Roman"/>
                      <w:b w:val="0"/>
                      <w:bCs w:val="0"/>
                      <w:color w:val="000000"/>
                      <w:sz w:val="21"/>
                      <w:szCs w:val="21"/>
                      <w:vertAlign w:val="baseline"/>
                      <w:lang w:val="en-US" w:eastAsia="zh-CN"/>
                    </w:rPr>
                    <w:t>软质</w:t>
                  </w:r>
                  <w:r>
                    <w:rPr>
                      <w:rFonts w:hint="default" w:ascii="Times New Roman" w:hAnsi="Times New Roman" w:eastAsia="宋体" w:cs="Times New Roman"/>
                      <w:b w:val="0"/>
                      <w:bCs w:val="0"/>
                      <w:color w:val="000000"/>
                      <w:sz w:val="21"/>
                      <w:szCs w:val="21"/>
                      <w:vertAlign w:val="baseline"/>
                      <w:lang w:val="en-US" w:eastAsia="zh-CN"/>
                    </w:rPr>
                    <w:t>PVC</w:t>
                  </w:r>
                  <w:r>
                    <w:rPr>
                      <w:rFonts w:hint="eastAsia" w:cs="Times New Roman"/>
                      <w:b w:val="0"/>
                      <w:bCs w:val="0"/>
                      <w:color w:val="000000"/>
                      <w:sz w:val="21"/>
                      <w:szCs w:val="21"/>
                      <w:vertAlign w:val="baseline"/>
                      <w:lang w:val="en-US" w:eastAsia="zh-CN"/>
                    </w:rPr>
                    <w:t>基膜</w:t>
                  </w:r>
                </w:p>
              </w:tc>
              <w:tc>
                <w:tcPr>
                  <w:tcW w:w="126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600</w:t>
                  </w:r>
                </w:p>
              </w:tc>
              <w:tc>
                <w:tcPr>
                  <w:tcW w:w="12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30</w:t>
                  </w:r>
                </w:p>
              </w:tc>
              <w:tc>
                <w:tcPr>
                  <w:tcW w:w="1353"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立托/悬挂</w:t>
                  </w:r>
                </w:p>
              </w:tc>
              <w:tc>
                <w:tcPr>
                  <w:tcW w:w="782"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车间仓库</w:t>
                  </w:r>
                </w:p>
              </w:tc>
              <w:tc>
                <w:tcPr>
                  <w:tcW w:w="1119"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2</w:t>
                  </w:r>
                </w:p>
              </w:tc>
              <w:tc>
                <w:tcPr>
                  <w:tcW w:w="780" w:type="dxa"/>
                  <w:vMerge w:val="continue"/>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p>
              </w:tc>
              <w:tc>
                <w:tcPr>
                  <w:tcW w:w="14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rPr>
                  </w:pPr>
                  <w:r>
                    <w:rPr>
                      <w:rFonts w:hint="default" w:ascii="Times New Roman" w:hAnsi="Times New Roman" w:eastAsia="宋体" w:cs="Times New Roman"/>
                      <w:b w:val="0"/>
                      <w:bCs w:val="0"/>
                      <w:color w:val="000000"/>
                      <w:sz w:val="21"/>
                      <w:szCs w:val="21"/>
                      <w:vertAlign w:val="baseline"/>
                      <w:lang w:val="en-US" w:eastAsia="zh-CN"/>
                    </w:rPr>
                    <w:t>PP</w:t>
                  </w:r>
                  <w:r>
                    <w:rPr>
                      <w:rFonts w:hint="eastAsia" w:cs="Times New Roman"/>
                      <w:b w:val="0"/>
                      <w:bCs w:val="0"/>
                      <w:color w:val="000000"/>
                      <w:sz w:val="21"/>
                      <w:szCs w:val="21"/>
                      <w:vertAlign w:val="baseline"/>
                      <w:lang w:val="en-US" w:eastAsia="zh-CN"/>
                    </w:rPr>
                    <w:t>基膜</w:t>
                  </w:r>
                </w:p>
              </w:tc>
              <w:tc>
                <w:tcPr>
                  <w:tcW w:w="126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240</w:t>
                  </w:r>
                </w:p>
              </w:tc>
              <w:tc>
                <w:tcPr>
                  <w:tcW w:w="12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24</w:t>
                  </w:r>
                </w:p>
              </w:tc>
              <w:tc>
                <w:tcPr>
                  <w:tcW w:w="1353"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rPr>
                  </w:pPr>
                  <w:r>
                    <w:rPr>
                      <w:rFonts w:hint="default" w:ascii="Times New Roman" w:hAnsi="Times New Roman" w:eastAsia="宋体" w:cs="Times New Roman"/>
                      <w:b w:val="0"/>
                      <w:bCs w:val="0"/>
                      <w:color w:val="000000"/>
                      <w:sz w:val="21"/>
                      <w:szCs w:val="21"/>
                      <w:vertAlign w:val="baseline"/>
                      <w:lang w:val="en-US" w:eastAsia="zh-CN"/>
                    </w:rPr>
                    <w:t>立托/悬挂</w:t>
                  </w:r>
                </w:p>
              </w:tc>
              <w:tc>
                <w:tcPr>
                  <w:tcW w:w="782"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rPr>
                  </w:pPr>
                  <w:r>
                    <w:rPr>
                      <w:rFonts w:hint="default" w:ascii="Times New Roman" w:hAnsi="Times New Roman" w:eastAsia="宋体" w:cs="Times New Roman"/>
                      <w:b w:val="0"/>
                      <w:bCs w:val="0"/>
                      <w:color w:val="000000"/>
                      <w:sz w:val="21"/>
                      <w:szCs w:val="21"/>
                      <w:vertAlign w:val="baseline"/>
                      <w:lang w:val="en-US" w:eastAsia="zh-CN"/>
                    </w:rPr>
                    <w:t>车间仓库</w:t>
                  </w:r>
                </w:p>
              </w:tc>
              <w:tc>
                <w:tcPr>
                  <w:tcW w:w="1119"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3</w:t>
                  </w:r>
                </w:p>
              </w:tc>
              <w:tc>
                <w:tcPr>
                  <w:tcW w:w="780" w:type="dxa"/>
                  <w:vMerge w:val="continue"/>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p>
              </w:tc>
              <w:tc>
                <w:tcPr>
                  <w:tcW w:w="14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PET环保材料</w:t>
                  </w:r>
                </w:p>
              </w:tc>
              <w:tc>
                <w:tcPr>
                  <w:tcW w:w="126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360</w:t>
                  </w:r>
                </w:p>
              </w:tc>
              <w:tc>
                <w:tcPr>
                  <w:tcW w:w="12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30</w:t>
                  </w:r>
                </w:p>
              </w:tc>
              <w:tc>
                <w:tcPr>
                  <w:tcW w:w="1353"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rPr>
                  </w:pPr>
                  <w:r>
                    <w:rPr>
                      <w:rFonts w:hint="default" w:ascii="Times New Roman" w:hAnsi="Times New Roman" w:eastAsia="宋体" w:cs="Times New Roman"/>
                      <w:b w:val="0"/>
                      <w:bCs w:val="0"/>
                      <w:color w:val="000000"/>
                      <w:sz w:val="21"/>
                      <w:szCs w:val="21"/>
                      <w:vertAlign w:val="baseline"/>
                      <w:lang w:val="en-US" w:eastAsia="zh-CN"/>
                    </w:rPr>
                    <w:t>立托/悬挂</w:t>
                  </w:r>
                </w:p>
              </w:tc>
              <w:tc>
                <w:tcPr>
                  <w:tcW w:w="782"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rPr>
                  </w:pPr>
                  <w:r>
                    <w:rPr>
                      <w:rFonts w:hint="default" w:ascii="Times New Roman" w:hAnsi="Times New Roman" w:eastAsia="宋体" w:cs="Times New Roman"/>
                      <w:b w:val="0"/>
                      <w:bCs w:val="0"/>
                      <w:color w:val="000000"/>
                      <w:sz w:val="21"/>
                      <w:szCs w:val="21"/>
                      <w:vertAlign w:val="baseline"/>
                      <w:lang w:val="en-US" w:eastAsia="zh-CN"/>
                    </w:rPr>
                    <w:t>车间仓库</w:t>
                  </w:r>
                </w:p>
              </w:tc>
              <w:tc>
                <w:tcPr>
                  <w:tcW w:w="1119"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780" w:type="dxa"/>
                  <w:vMerge w:val="continue"/>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4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水性涂料</w:t>
                  </w:r>
                </w:p>
              </w:tc>
              <w:tc>
                <w:tcPr>
                  <w:tcW w:w="126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12.72</w:t>
                  </w:r>
                </w:p>
              </w:tc>
              <w:tc>
                <w:tcPr>
                  <w:tcW w:w="12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3.82</w:t>
                  </w:r>
                </w:p>
              </w:tc>
              <w:tc>
                <w:tcPr>
                  <w:tcW w:w="1353"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放置托盘</w:t>
                  </w:r>
                </w:p>
              </w:tc>
              <w:tc>
                <w:tcPr>
                  <w:tcW w:w="782"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rPr>
                  </w:pPr>
                  <w:r>
                    <w:rPr>
                      <w:rFonts w:hint="default" w:ascii="Times New Roman" w:hAnsi="Times New Roman" w:eastAsia="宋体" w:cs="Times New Roman"/>
                      <w:b w:val="0"/>
                      <w:bCs w:val="0"/>
                      <w:color w:val="000000"/>
                      <w:sz w:val="21"/>
                      <w:szCs w:val="21"/>
                      <w:vertAlign w:val="baseline"/>
                      <w:lang w:val="en-US" w:eastAsia="zh-CN"/>
                    </w:rPr>
                    <w:t>车间仓库</w:t>
                  </w:r>
                </w:p>
              </w:tc>
              <w:tc>
                <w:tcPr>
                  <w:tcW w:w="1119"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eastAsia" w:cs="Times New Roman"/>
                      <w:b w:val="0"/>
                      <w:bCs w:val="0"/>
                      <w:color w:val="000000" w:themeColor="text1"/>
                      <w:sz w:val="21"/>
                      <w:szCs w:val="21"/>
                      <w:vertAlign w:val="baseline"/>
                      <w:lang w:val="en-US" w:eastAsia="zh-CN"/>
                      <w14:textFill>
                        <w14:solidFill>
                          <w14:schemeClr w14:val="tx1"/>
                        </w14:solidFill>
                      </w14:textFill>
                    </w:rPr>
                    <w:t>25kg/桶，</w:t>
                  </w:r>
                  <w:r>
                    <w:rPr>
                      <w:rFonts w:hint="default" w:ascii="Times New Roman" w:hAnsi="Times New Roman" w:eastAsia="宋体" w:cs="Times New Roman"/>
                      <w:b w:val="0"/>
                      <w:bCs w:val="0"/>
                      <w:color w:val="000000"/>
                      <w:sz w:val="21"/>
                      <w:szCs w:val="21"/>
                      <w:vertAlign w:val="baseli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5</w:t>
                  </w:r>
                </w:p>
              </w:tc>
              <w:tc>
                <w:tcPr>
                  <w:tcW w:w="780" w:type="dxa"/>
                  <w:vMerge w:val="restart"/>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辅料</w:t>
                  </w:r>
                </w:p>
              </w:tc>
              <w:tc>
                <w:tcPr>
                  <w:tcW w:w="14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机油</w:t>
                  </w:r>
                </w:p>
              </w:tc>
              <w:tc>
                <w:tcPr>
                  <w:tcW w:w="1260" w:type="dxa"/>
                  <w:noWrap w:val="0"/>
                  <w:vAlign w:val="center"/>
                </w:tcPr>
                <w:p>
                  <w:pPr>
                    <w:numPr>
                      <w:ilvl w:val="0"/>
                      <w:numId w:val="0"/>
                    </w:numPr>
                    <w:spacing w:line="240" w:lineRule="auto"/>
                    <w:jc w:val="center"/>
                    <w:outlineLvl w:val="0"/>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0.01</w:t>
                  </w:r>
                </w:p>
              </w:tc>
              <w:tc>
                <w:tcPr>
                  <w:tcW w:w="1225" w:type="dxa"/>
                  <w:noWrap w:val="0"/>
                  <w:vAlign w:val="center"/>
                </w:tcPr>
                <w:p>
                  <w:pPr>
                    <w:numPr>
                      <w:ilvl w:val="0"/>
                      <w:numId w:val="0"/>
                    </w:numPr>
                    <w:spacing w:line="240" w:lineRule="auto"/>
                    <w:jc w:val="center"/>
                    <w:outlineLvl w:val="0"/>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0.01</w:t>
                  </w:r>
                </w:p>
              </w:tc>
              <w:tc>
                <w:tcPr>
                  <w:tcW w:w="1353"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放置托盘</w:t>
                  </w:r>
                </w:p>
              </w:tc>
              <w:tc>
                <w:tcPr>
                  <w:tcW w:w="782"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车间仓库</w:t>
                  </w:r>
                </w:p>
              </w:tc>
              <w:tc>
                <w:tcPr>
                  <w:tcW w:w="1119" w:type="dxa"/>
                  <w:noWrap w:val="0"/>
                  <w:vAlign w:val="center"/>
                </w:tcPr>
                <w:p>
                  <w:pPr>
                    <w:numPr>
                      <w:ilvl w:val="0"/>
                      <w:numId w:val="0"/>
                    </w:numPr>
                    <w:spacing w:line="240" w:lineRule="auto"/>
                    <w:jc w:val="center"/>
                    <w:outlineLvl w:val="0"/>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10kg/桶，</w:t>
                  </w:r>
                  <w:r>
                    <w:rPr>
                      <w:rFonts w:hint="default" w:ascii="Times New Roman" w:hAnsi="Times New Roman" w:eastAsia="宋体" w:cs="Times New Roman"/>
                      <w:b w:val="0"/>
                      <w:bCs w:val="0"/>
                      <w:color w:val="000000"/>
                      <w:sz w:val="21"/>
                      <w:szCs w:val="21"/>
                      <w:vertAlign w:val="baseli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0" w:type="dxa"/>
                  <w:noWrap w:val="0"/>
                  <w:vAlign w:val="center"/>
                </w:tcPr>
                <w:p>
                  <w:pPr>
                    <w:numPr>
                      <w:ilvl w:val="0"/>
                      <w:numId w:val="0"/>
                    </w:numPr>
                    <w:spacing w:line="240" w:lineRule="auto"/>
                    <w:ind w:left="0" w:leftChars="0" w:firstLine="0" w:firstLineChars="0"/>
                    <w:jc w:val="center"/>
                    <w:outlineLvl w:val="0"/>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sz w:val="21"/>
                      <w:szCs w:val="21"/>
                      <w:vertAlign w:val="baseline"/>
                      <w:lang w:val="en-US" w:eastAsia="zh-CN"/>
                    </w:rPr>
                    <w:t>6</w:t>
                  </w:r>
                </w:p>
              </w:tc>
              <w:tc>
                <w:tcPr>
                  <w:tcW w:w="780" w:type="dxa"/>
                  <w:vMerge w:val="continue"/>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4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活性炭</w:t>
                  </w:r>
                </w:p>
              </w:tc>
              <w:tc>
                <w:tcPr>
                  <w:tcW w:w="1260" w:type="dxa"/>
                  <w:noWrap w:val="0"/>
                  <w:vAlign w:val="center"/>
                </w:tcPr>
                <w:p>
                  <w:pPr>
                    <w:numPr>
                      <w:ilvl w:val="0"/>
                      <w:numId w:val="0"/>
                    </w:numPr>
                    <w:spacing w:line="240" w:lineRule="auto"/>
                    <w:jc w:val="center"/>
                    <w:outlineLvl w:val="0"/>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2.767</w:t>
                  </w:r>
                </w:p>
              </w:tc>
              <w:tc>
                <w:tcPr>
                  <w:tcW w:w="1225" w:type="dxa"/>
                  <w:noWrap w:val="0"/>
                  <w:vAlign w:val="center"/>
                </w:tcPr>
                <w:p>
                  <w:pPr>
                    <w:numPr>
                      <w:ilvl w:val="0"/>
                      <w:numId w:val="0"/>
                    </w:numPr>
                    <w:spacing w:line="240" w:lineRule="auto"/>
                    <w:jc w:val="center"/>
                    <w:outlineLvl w:val="0"/>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0.7</w:t>
                  </w:r>
                </w:p>
              </w:tc>
              <w:tc>
                <w:tcPr>
                  <w:tcW w:w="1353"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二级活性炭设备</w:t>
                  </w:r>
                </w:p>
              </w:tc>
              <w:tc>
                <w:tcPr>
                  <w:tcW w:w="782"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w:t>
                  </w:r>
                </w:p>
              </w:tc>
              <w:tc>
                <w:tcPr>
                  <w:tcW w:w="1119" w:type="dxa"/>
                  <w:noWrap w:val="0"/>
                  <w:vAlign w:val="center"/>
                </w:tcPr>
                <w:p>
                  <w:pPr>
                    <w:numPr>
                      <w:ilvl w:val="0"/>
                      <w:numId w:val="0"/>
                    </w:numPr>
                    <w:spacing w:line="240" w:lineRule="auto"/>
                    <w:jc w:val="center"/>
                    <w:outlineLvl w:val="0"/>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0" w:type="dxa"/>
                  <w:noWrap w:val="0"/>
                  <w:vAlign w:val="center"/>
                </w:tcPr>
                <w:p>
                  <w:pPr>
                    <w:numPr>
                      <w:ilvl w:val="0"/>
                      <w:numId w:val="0"/>
                    </w:numPr>
                    <w:spacing w:line="240" w:lineRule="auto"/>
                    <w:ind w:left="0" w:leftChars="0" w:firstLine="0" w:firstLineChars="0"/>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7</w:t>
                  </w:r>
                </w:p>
              </w:tc>
              <w:tc>
                <w:tcPr>
                  <w:tcW w:w="780" w:type="dxa"/>
                  <w:vMerge w:val="restart"/>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能源</w:t>
                  </w:r>
                </w:p>
              </w:tc>
              <w:tc>
                <w:tcPr>
                  <w:tcW w:w="14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水</w:t>
                  </w:r>
                </w:p>
              </w:tc>
              <w:tc>
                <w:tcPr>
                  <w:tcW w:w="1260" w:type="dxa"/>
                  <w:shd w:val="clear" w:color="auto" w:fill="auto"/>
                  <w:noWrap w:val="0"/>
                  <w:vAlign w:val="center"/>
                </w:tcPr>
                <w:p>
                  <w:pPr>
                    <w:numPr>
                      <w:ilvl w:val="0"/>
                      <w:numId w:val="0"/>
                    </w:numPr>
                    <w:spacing w:line="240" w:lineRule="auto"/>
                    <w:ind w:left="0" w:leftChars="0" w:firstLine="0" w:firstLineChars="0"/>
                    <w:jc w:val="center"/>
                    <w:outlineLvl w:val="0"/>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cs="Times New Roman"/>
                      <w:b w:val="0"/>
                      <w:bCs w:val="0"/>
                      <w:color w:val="000000" w:themeColor="text1"/>
                      <w:sz w:val="21"/>
                      <w:szCs w:val="21"/>
                      <w:vertAlign w:val="baseline"/>
                      <w:lang w:val="en-US" w:eastAsia="zh-CN"/>
                      <w14:textFill>
                        <w14:solidFill>
                          <w14:schemeClr w14:val="tx1"/>
                        </w14:solidFill>
                      </w14:textFill>
                    </w:rPr>
                    <w:t>699.28</w:t>
                  </w:r>
                </w:p>
              </w:tc>
              <w:tc>
                <w:tcPr>
                  <w:tcW w:w="1225" w:type="dxa"/>
                  <w:noWrap w:val="0"/>
                  <w:vAlign w:val="center"/>
                </w:tcPr>
                <w:p>
                  <w:pPr>
                    <w:numPr>
                      <w:ilvl w:val="0"/>
                      <w:numId w:val="0"/>
                    </w:numPr>
                    <w:spacing w:line="240" w:lineRule="auto"/>
                    <w:jc w:val="center"/>
                    <w:outlineLvl w:val="0"/>
                    <w:rPr>
                      <w:rFonts w:hint="eastAsia" w:ascii="Times New Roman" w:hAnsi="Times New Roman" w:eastAsia="宋体"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w:t>
                  </w:r>
                </w:p>
              </w:tc>
              <w:tc>
                <w:tcPr>
                  <w:tcW w:w="1353" w:type="dxa"/>
                  <w:noWrap w:val="0"/>
                  <w:vAlign w:val="center"/>
                </w:tcPr>
                <w:p>
                  <w:pPr>
                    <w:numPr>
                      <w:ilvl w:val="0"/>
                      <w:numId w:val="0"/>
                    </w:numPr>
                    <w:spacing w:line="240" w:lineRule="auto"/>
                    <w:jc w:val="center"/>
                    <w:outlineLvl w:val="0"/>
                    <w:rPr>
                      <w:rFonts w:hint="eastAsia" w:ascii="Times New Roman" w:hAnsi="Times New Roman" w:eastAsia="宋体"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w:t>
                  </w:r>
                </w:p>
              </w:tc>
              <w:tc>
                <w:tcPr>
                  <w:tcW w:w="782" w:type="dxa"/>
                  <w:noWrap w:val="0"/>
                  <w:vAlign w:val="center"/>
                </w:tcPr>
                <w:p>
                  <w:pPr>
                    <w:numPr>
                      <w:ilvl w:val="0"/>
                      <w:numId w:val="0"/>
                    </w:numPr>
                    <w:spacing w:line="240" w:lineRule="auto"/>
                    <w:jc w:val="center"/>
                    <w:outlineLvl w:val="0"/>
                    <w:rPr>
                      <w:rFonts w:hint="eastAsia" w:ascii="Times New Roman" w:hAnsi="Times New Roman" w:eastAsia="宋体"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w:t>
                  </w:r>
                </w:p>
              </w:tc>
              <w:tc>
                <w:tcPr>
                  <w:tcW w:w="1119"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园区管网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3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8</w:t>
                  </w:r>
                </w:p>
              </w:tc>
              <w:tc>
                <w:tcPr>
                  <w:tcW w:w="780" w:type="dxa"/>
                  <w:vMerge w:val="continue"/>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rPr>
                  </w:pPr>
                </w:p>
              </w:tc>
              <w:tc>
                <w:tcPr>
                  <w:tcW w:w="14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电</w:t>
                  </w:r>
                </w:p>
              </w:tc>
              <w:tc>
                <w:tcPr>
                  <w:tcW w:w="1260"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103万kw.h</w:t>
                  </w:r>
                </w:p>
              </w:tc>
              <w:tc>
                <w:tcPr>
                  <w:tcW w:w="1225"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w:t>
                  </w:r>
                </w:p>
              </w:tc>
              <w:tc>
                <w:tcPr>
                  <w:tcW w:w="1353"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w:t>
                  </w:r>
                </w:p>
              </w:tc>
              <w:tc>
                <w:tcPr>
                  <w:tcW w:w="782"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w:t>
                  </w:r>
                </w:p>
              </w:tc>
              <w:tc>
                <w:tcPr>
                  <w:tcW w:w="1119" w:type="dxa"/>
                  <w:noWrap w:val="0"/>
                  <w:vAlign w:val="center"/>
                </w:tcPr>
                <w:p>
                  <w:pPr>
                    <w:numPr>
                      <w:ilvl w:val="0"/>
                      <w:numId w:val="0"/>
                    </w:numPr>
                    <w:spacing w:line="240" w:lineRule="auto"/>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园区供电</w:t>
                  </w:r>
                </w:p>
              </w:tc>
            </w:tr>
          </w:tbl>
          <w:p>
            <w:pPr>
              <w:ind w:firstLine="480"/>
              <w:rPr>
                <w:b/>
                <w:bCs/>
                <w:u w:val="none"/>
              </w:rPr>
            </w:pPr>
            <w:r>
              <w:rPr>
                <w:rFonts w:hint="eastAsia"/>
                <w:b/>
                <w:bCs/>
                <w:u w:val="none"/>
                <w:lang w:eastAsia="zh-CN"/>
              </w:rPr>
              <w:t>（</w:t>
            </w:r>
            <w:r>
              <w:rPr>
                <w:rFonts w:hint="eastAsia"/>
                <w:b/>
                <w:bCs/>
                <w:u w:val="none"/>
                <w:lang w:val="en-US" w:eastAsia="zh-CN"/>
              </w:rPr>
              <w:t>1</w:t>
            </w:r>
            <w:r>
              <w:rPr>
                <w:rFonts w:hint="eastAsia"/>
                <w:b/>
                <w:bCs/>
                <w:u w:val="none"/>
                <w:lang w:eastAsia="zh-CN"/>
              </w:rPr>
              <w:t>）</w:t>
            </w:r>
            <w:r>
              <w:rPr>
                <w:rFonts w:hint="eastAsia"/>
                <w:b/>
                <w:bCs/>
                <w:u w:val="none"/>
              </w:rPr>
              <w:t>项目原辅材料理化性质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表2-5 本项目原辅材料理化性质表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pct"/>
                  <w:vAlign w:val="center"/>
                </w:tcPr>
                <w:p>
                  <w:pPr>
                    <w:pStyle w:val="37"/>
                    <w:ind w:left="0" w:leftChars="0"/>
                    <w:rPr>
                      <w:rFonts w:hint="default" w:ascii="Times New Roman" w:hAnsi="Times New Roman" w:cs="Times New Roman"/>
                      <w:sz w:val="21"/>
                      <w:szCs w:val="21"/>
                      <w:u w:val="none"/>
                    </w:rPr>
                  </w:pPr>
                  <w:r>
                    <w:rPr>
                      <w:rFonts w:hint="default" w:ascii="Times New Roman" w:hAnsi="Times New Roman" w:cs="Times New Roman"/>
                      <w:sz w:val="21"/>
                      <w:szCs w:val="21"/>
                      <w:u w:val="none"/>
                    </w:rPr>
                    <w:t>原料名称</w:t>
                  </w:r>
                </w:p>
              </w:tc>
              <w:tc>
                <w:tcPr>
                  <w:tcW w:w="4308" w:type="pct"/>
                  <w:vAlign w:val="center"/>
                </w:tcPr>
                <w:p>
                  <w:pPr>
                    <w:pStyle w:val="37"/>
                    <w:ind w:left="0" w:leftChars="0"/>
                    <w:rPr>
                      <w:rFonts w:hint="default" w:ascii="Times New Roman" w:hAnsi="Times New Roman" w:cs="Times New Roman"/>
                      <w:sz w:val="21"/>
                      <w:szCs w:val="21"/>
                      <w:u w:val="none"/>
                    </w:rPr>
                  </w:pPr>
                  <w:r>
                    <w:rPr>
                      <w:rFonts w:hint="default" w:ascii="Times New Roman" w:hAnsi="Times New Roman" w:cs="Times New Roman"/>
                      <w:sz w:val="21"/>
                      <w:szCs w:val="21"/>
                      <w:u w:val="none"/>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pct"/>
                  <w:vAlign w:val="center"/>
                </w:tcPr>
                <w:p>
                  <w:pPr>
                    <w:numPr>
                      <w:ilvl w:val="0"/>
                      <w:numId w:val="0"/>
                    </w:numPr>
                    <w:spacing w:line="240" w:lineRule="auto"/>
                    <w:ind w:left="0" w:leftChars="0" w:firstLine="0" w:firstLineChars="0"/>
                    <w:jc w:val="center"/>
                    <w:outlineLvl w:val="0"/>
                    <w:rPr>
                      <w:rFonts w:hint="default" w:ascii="Times New Roman" w:hAnsi="Times New Roman" w:cs="Times New Roman"/>
                      <w:sz w:val="21"/>
                      <w:szCs w:val="21"/>
                      <w:u w:val="none"/>
                      <w:lang w:val="en-US"/>
                    </w:rPr>
                  </w:pPr>
                  <w:r>
                    <w:rPr>
                      <w:rFonts w:hint="eastAsia" w:cs="Times New Roman"/>
                      <w:b w:val="0"/>
                      <w:bCs w:val="0"/>
                      <w:color w:val="000000"/>
                      <w:sz w:val="21"/>
                      <w:szCs w:val="21"/>
                      <w:vertAlign w:val="baseline"/>
                      <w:lang w:val="en-US" w:eastAsia="zh-CN"/>
                    </w:rPr>
                    <w:t>软质</w:t>
                  </w:r>
                  <w:r>
                    <w:rPr>
                      <w:rFonts w:hint="default" w:ascii="Times New Roman" w:hAnsi="Times New Roman" w:eastAsia="宋体" w:cs="Times New Roman"/>
                      <w:b w:val="0"/>
                      <w:bCs w:val="0"/>
                      <w:color w:val="000000"/>
                      <w:sz w:val="21"/>
                      <w:szCs w:val="21"/>
                      <w:vertAlign w:val="baseline"/>
                      <w:lang w:val="en-US" w:eastAsia="zh-CN"/>
                    </w:rPr>
                    <w:t>PVC</w:t>
                  </w:r>
                  <w:r>
                    <w:rPr>
                      <w:rFonts w:hint="eastAsia" w:cs="Times New Roman"/>
                      <w:b w:val="0"/>
                      <w:bCs w:val="0"/>
                      <w:color w:val="000000"/>
                      <w:sz w:val="21"/>
                      <w:szCs w:val="21"/>
                      <w:vertAlign w:val="baseline"/>
                      <w:lang w:val="en-US" w:eastAsia="zh-CN"/>
                    </w:rPr>
                    <w:t>基膜</w:t>
                  </w:r>
                </w:p>
              </w:tc>
              <w:tc>
                <w:tcPr>
                  <w:tcW w:w="430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lang w:val="en-US" w:eastAsia="zh-CN"/>
                    </w:rPr>
                  </w:pPr>
                  <w:r>
                    <w:rPr>
                      <w:rFonts w:hint="default" w:ascii="Times New Roman" w:hAnsi="Times New Roman" w:eastAsia="宋体" w:cs="Times New Roman"/>
                      <w:kern w:val="2"/>
                      <w:sz w:val="21"/>
                      <w:szCs w:val="21"/>
                      <w:u w:val="none"/>
                      <w:lang w:val="en-US" w:eastAsia="zh-CN" w:bidi="ar-SA"/>
                    </w:rPr>
                    <w:t>PVC（聚氯乙烯）基膜是一种以聚氯乙烯树脂为主要成分，通过添加增塑剂、稳定剂等助剂并经压延或吹塑工艺制成的薄膜材料。‌外观与透明度</w:t>
                  </w:r>
                  <w:r>
                    <w:rPr>
                      <w:rFonts w:hint="eastAsia" w:ascii="Times New Roman" w:hAnsi="Times New Roman" w:eastAsia="宋体"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呈现微黄色半透明状，具有光泽，其透明度优于聚乙烯和聚丙烯，但低于聚苯乙烯。 ‌密度</w:t>
                  </w:r>
                  <w:r>
                    <w:rPr>
                      <w:rFonts w:hint="eastAsia" w:ascii="Times New Roman" w:hAnsi="Times New Roman" w:eastAsia="宋体"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约为1.35–1.45 g/cm³，显著高于聚乙烯等常见塑料。‌热性能</w:t>
                  </w:r>
                  <w:r>
                    <w:rPr>
                      <w:rFonts w:hint="eastAsia" w:ascii="Times New Roman" w:hAnsi="Times New Roman" w:eastAsia="宋体"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热稳定性较差</w:t>
                  </w:r>
                  <w:r>
                    <w:rPr>
                      <w:rFonts w:hint="eastAsia" w:ascii="Times New Roman" w:hAnsi="Times New Roman" w:eastAsia="宋体"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纯PVC在80–85℃开始软化，100℃以上或长时间受热/</w:t>
                  </w:r>
                  <w:r>
                    <w:rPr>
                      <w:rFonts w:hint="eastAsia" w:cs="Times New Roman"/>
                      <w:kern w:val="2"/>
                      <w:sz w:val="21"/>
                      <w:szCs w:val="21"/>
                      <w:u w:val="none"/>
                      <w:lang w:val="en-US" w:eastAsia="zh-CN" w:bidi="ar-SA"/>
                    </w:rPr>
                    <w:t>暴晒</w:t>
                  </w:r>
                  <w:r>
                    <w:rPr>
                      <w:rFonts w:hint="default" w:ascii="Times New Roman" w:hAnsi="Times New Roman" w:eastAsia="宋体" w:cs="Times New Roman"/>
                      <w:kern w:val="2"/>
                      <w:sz w:val="21"/>
                      <w:szCs w:val="21"/>
                      <w:u w:val="none"/>
                      <w:lang w:val="en-US" w:eastAsia="zh-CN" w:bidi="ar-SA"/>
                    </w:rPr>
                    <w:t>会分解并释放氯化氢（HCl），导致变色和性能下降。‌机械性能</w:t>
                  </w:r>
                  <w:r>
                    <w:rPr>
                      <w:rFonts w:hint="eastAsia" w:ascii="Times New Roman" w:hAnsi="Times New Roman" w:eastAsia="宋体"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软质PVC膜（增塑）则因添加了增塑剂（含量可达10%–50%）而具有良好的柔韧性和延展性，手感粘，但其强度和耐久性会随增塑剂的迁移而降低。‌化学稳定性</w:t>
                  </w:r>
                  <w:r>
                    <w:rPr>
                      <w:rFonts w:hint="eastAsia" w:ascii="Times New Roman" w:hAnsi="Times New Roman" w:eastAsia="宋体"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在常温下具有良好的耐化学腐蚀性，能耐受20%以下的盐酸、50%以下的硫酸和40%以下的氢氧化钠溶液。但不耐浓硫酸（&gt;90%）、浓硝酸（&gt;50%）以及酮类（如丙酮）、酯类和氯化烃类溶剂，这些物质会导致其溶胀或溶解。‌化学性质</w:t>
                  </w:r>
                  <w:r>
                    <w:rPr>
                      <w:rFonts w:hint="eastAsia" w:ascii="Times New Roman" w:hAnsi="Times New Roman" w:eastAsia="宋体"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‌分解与燃烧</w:t>
                  </w:r>
                  <w:r>
                    <w:rPr>
                      <w:rFonts w:hint="eastAsia" w:ascii="Times New Roman" w:hAnsi="Times New Roman" w:eastAsia="宋体"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 xml:space="preserve"> 在170℃左右开始分解，高温下（&gt;180℃）会分解释放氯化氢气体，燃烧时会产生黑烟及二噁英等有毒物质。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pct"/>
                  <w:vAlign w:val="center"/>
                </w:tcPr>
                <w:p>
                  <w:pPr>
                    <w:numPr>
                      <w:ilvl w:val="0"/>
                      <w:numId w:val="0"/>
                    </w:numPr>
                    <w:spacing w:line="240" w:lineRule="auto"/>
                    <w:ind w:left="0" w:leftChars="0" w:firstLine="0" w:firstLineChars="0"/>
                    <w:jc w:val="center"/>
                    <w:outlineLvl w:val="0"/>
                    <w:rPr>
                      <w:rFonts w:hint="default" w:ascii="Times New Roman" w:hAnsi="Times New Roman" w:cs="Times New Roman"/>
                      <w:sz w:val="21"/>
                      <w:szCs w:val="21"/>
                      <w:u w:val="none"/>
                      <w:lang w:val="en-US"/>
                    </w:rPr>
                  </w:pPr>
                  <w:r>
                    <w:rPr>
                      <w:rFonts w:hint="default" w:ascii="Times New Roman" w:hAnsi="Times New Roman" w:eastAsia="宋体" w:cs="Times New Roman"/>
                      <w:b w:val="0"/>
                      <w:bCs w:val="0"/>
                      <w:color w:val="000000"/>
                      <w:sz w:val="21"/>
                      <w:szCs w:val="21"/>
                      <w:vertAlign w:val="baseline"/>
                      <w:lang w:val="en-US" w:eastAsia="zh-CN"/>
                    </w:rPr>
                    <w:t>PP</w:t>
                  </w:r>
                  <w:r>
                    <w:rPr>
                      <w:rFonts w:hint="eastAsia" w:cs="Times New Roman"/>
                      <w:b w:val="0"/>
                      <w:bCs w:val="0"/>
                      <w:color w:val="000000"/>
                      <w:sz w:val="21"/>
                      <w:szCs w:val="21"/>
                      <w:vertAlign w:val="baseline"/>
                      <w:lang w:val="en-US" w:eastAsia="zh-CN"/>
                    </w:rPr>
                    <w:t>基膜</w:t>
                  </w:r>
                </w:p>
              </w:tc>
              <w:tc>
                <w:tcPr>
                  <w:tcW w:w="4308" w:type="pct"/>
                  <w:vAlign w:val="center"/>
                </w:tcPr>
                <w:p>
                  <w:pPr>
                    <w:pStyle w:val="37"/>
                    <w:ind w:left="0" w:leftChars="0"/>
                    <w:jc w:val="both"/>
                    <w:rPr>
                      <w:rFonts w:hint="default" w:ascii="Times New Roman" w:hAnsi="Times New Roman" w:cs="Times New Roman"/>
                      <w:sz w:val="21"/>
                      <w:szCs w:val="21"/>
                      <w:u w:val="none"/>
                    </w:rPr>
                  </w:pPr>
                  <w:r>
                    <w:rPr>
                      <w:rFonts w:hint="default" w:ascii="Times New Roman" w:hAnsi="Times New Roman" w:cs="Times New Roman"/>
                      <w:sz w:val="21"/>
                      <w:szCs w:val="21"/>
                      <w:u w:val="none"/>
                    </w:rPr>
                    <w:t>PP（聚丙烯）</w:t>
                  </w:r>
                  <w:r>
                    <w:rPr>
                      <w:rFonts w:hint="default" w:ascii="Times New Roman" w:hAnsi="Times New Roman" w:cs="Times New Roman"/>
                      <w:sz w:val="21"/>
                      <w:szCs w:val="21"/>
                      <w:u w:val="none"/>
                      <w:lang w:eastAsia="zh-CN"/>
                    </w:rPr>
                    <w:t>，</w:t>
                  </w:r>
                  <w:r>
                    <w:rPr>
                      <w:rFonts w:hint="default" w:ascii="Times New Roman" w:hAnsi="Times New Roman" w:cs="Times New Roman"/>
                      <w:sz w:val="21"/>
                      <w:szCs w:val="21"/>
                      <w:u w:val="none"/>
                    </w:rPr>
                    <w:t>耐热性‌：优异，连续使用温度可达110-120℃，熔点高达167℃，是唯一可微波加热的塑料。力学性能‌：拉伸强度21-39兆帕，弯曲强度42-56兆帕，压缩强度39-56兆帕，断裂伸长率200%-400%，缺口冲击强度2.2-5 kJ/m²。化学稳定性‌：耐酸碱腐蚀，除强氧化剂外，与大多数化学药品不发生作用。感官特性‌：手感硬、有弹性，白色透明，透明度较高，常有胶带及印刷字。环保性‌：无毒、无味，可重复使用，但需注意避免盛装酸性或碱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pct"/>
                  <w:vAlign w:val="center"/>
                </w:tcPr>
                <w:p>
                  <w:pPr>
                    <w:numPr>
                      <w:ilvl w:val="0"/>
                      <w:numId w:val="0"/>
                    </w:numPr>
                    <w:spacing w:line="240" w:lineRule="auto"/>
                    <w:ind w:left="0" w:leftChars="0" w:firstLine="0" w:firstLineChars="0"/>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PET环保材料</w:t>
                  </w:r>
                </w:p>
              </w:tc>
              <w:tc>
                <w:tcPr>
                  <w:tcW w:w="4308" w:type="pct"/>
                  <w:vAlign w:val="center"/>
                </w:tcPr>
                <w:p>
                  <w:pPr>
                    <w:pStyle w:val="37"/>
                    <w:ind w:left="0" w:leftChars="0"/>
                    <w:jc w:val="both"/>
                    <w:rPr>
                      <w:rFonts w:hint="default" w:ascii="Times New Roman" w:hAnsi="Times New Roman" w:cs="Times New Roman"/>
                      <w:sz w:val="21"/>
                      <w:szCs w:val="21"/>
                      <w:u w:val="none"/>
                    </w:rPr>
                  </w:pPr>
                  <w:r>
                    <w:rPr>
                      <w:rFonts w:hint="default" w:ascii="Times New Roman" w:hAnsi="Times New Roman" w:cs="Times New Roman"/>
                      <w:sz w:val="21"/>
                      <w:szCs w:val="21"/>
                      <w:u w:val="none"/>
                    </w:rPr>
                    <w:t>PET基膜，即聚对苯二甲酸乙二醇酯（PET）基膜，是一种高性能的塑料薄膜，</w:t>
                  </w:r>
                </w:p>
                <w:p>
                  <w:pPr>
                    <w:pStyle w:val="37"/>
                    <w:ind w:left="0" w:leftChars="0"/>
                    <w:jc w:val="both"/>
                    <w:rPr>
                      <w:rFonts w:hint="default" w:ascii="Times New Roman" w:hAnsi="Times New Roman" w:cs="Times New Roman"/>
                      <w:sz w:val="21"/>
                      <w:szCs w:val="21"/>
                      <w:u w:val="none"/>
                    </w:rPr>
                  </w:pPr>
                  <w:r>
                    <w:rPr>
                      <w:rFonts w:hint="default" w:ascii="Times New Roman" w:hAnsi="Times New Roman" w:cs="Times New Roman"/>
                      <w:sz w:val="21"/>
                      <w:szCs w:val="21"/>
                      <w:u w:val="none"/>
                    </w:rPr>
                    <w:t>具有高透明度和良好的光泽度，雾度低，使其适用于需要清晰视觉效果的场合，如包装和光学膜。PET基膜的玻璃化转变温度（Tg）约为67℃，熔融温度（Tm）约为267℃，可在较宽温度范围内保持性能稳定，适用于高温灭菌或低温环境。 ‌</w:t>
                  </w:r>
                </w:p>
                <w:p>
                  <w:pPr>
                    <w:pStyle w:val="37"/>
                    <w:ind w:left="0" w:leftChars="0"/>
                    <w:jc w:val="both"/>
                    <w:rPr>
                      <w:rFonts w:hint="default" w:ascii="Times New Roman" w:hAnsi="Times New Roman" w:cs="Times New Roman"/>
                      <w:sz w:val="21"/>
                      <w:szCs w:val="21"/>
                      <w:u w:val="none"/>
                    </w:rPr>
                  </w:pPr>
                  <w:r>
                    <w:rPr>
                      <w:rFonts w:hint="default" w:ascii="Times New Roman" w:hAnsi="Times New Roman" w:cs="Times New Roman"/>
                      <w:sz w:val="21"/>
                      <w:szCs w:val="21"/>
                      <w:u w:val="none"/>
                    </w:rPr>
                    <w:t>当温度接近其分解温度（约300℃以上）时，PET才会发生显著的化学降解，释放出如乙二醇、对苯二甲酸等潜在有害物质。‌‌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691" w:type="pct"/>
                  <w:vAlign w:val="center"/>
                </w:tcPr>
                <w:p>
                  <w:pPr>
                    <w:numPr>
                      <w:ilvl w:val="0"/>
                      <w:numId w:val="0"/>
                    </w:numPr>
                    <w:spacing w:line="240" w:lineRule="auto"/>
                    <w:ind w:left="0" w:leftChars="0" w:firstLine="0" w:firstLineChars="0"/>
                    <w:jc w:val="center"/>
                    <w:outlineLvl w:val="0"/>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水性环保涂料</w:t>
                  </w:r>
                </w:p>
              </w:tc>
              <w:tc>
                <w:tcPr>
                  <w:tcW w:w="4308" w:type="pct"/>
                  <w:vAlign w:val="center"/>
                </w:tcPr>
                <w:p>
                  <w:pPr>
                    <w:pStyle w:val="37"/>
                    <w:ind w:left="0" w:leftChars="0"/>
                    <w:jc w:val="both"/>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主要成分：丙烯酸树脂</w:t>
                  </w:r>
                  <w:r>
                    <w:rPr>
                      <w:rFonts w:hint="eastAsia" w:ascii="Times New Roman" w:hAnsi="Times New Roman" w:eastAsia="宋体" w:cs="Times New Roman"/>
                      <w:bCs/>
                      <w:color w:val="000000"/>
                      <w:kern w:val="0"/>
                      <w:sz w:val="21"/>
                      <w:szCs w:val="21"/>
                      <w:highlight w:val="none"/>
                      <w:u w:val="none"/>
                      <w:lang w:val="en-US" w:eastAsia="zh-CN"/>
                    </w:rPr>
                    <w:t>20-30</w:t>
                  </w:r>
                  <w:r>
                    <w:rPr>
                      <w:rFonts w:hint="default" w:ascii="Times New Roman" w:hAnsi="Times New Roman" w:eastAsia="宋体" w:cs="Times New Roman"/>
                      <w:bCs/>
                      <w:color w:val="000000"/>
                      <w:kern w:val="0"/>
                      <w:sz w:val="21"/>
                      <w:szCs w:val="21"/>
                      <w:highlight w:val="none"/>
                      <w:u w:val="none"/>
                    </w:rPr>
                    <w:t>%</w:t>
                  </w:r>
                  <w:r>
                    <w:rPr>
                      <w:rFonts w:hint="eastAsia" w:ascii="Times New Roman" w:hAnsi="Times New Roman" w:eastAsia="宋体" w:cs="Times New Roman"/>
                      <w:bCs/>
                      <w:color w:val="000000"/>
                      <w:kern w:val="0"/>
                      <w:sz w:val="21"/>
                      <w:szCs w:val="21"/>
                      <w:highlight w:val="none"/>
                      <w:u w:val="none"/>
                      <w:lang w:eastAsia="zh-CN"/>
                    </w:rPr>
                    <w:t>、</w:t>
                  </w:r>
                  <w:r>
                    <w:rPr>
                      <w:rFonts w:hint="default" w:ascii="Times New Roman" w:hAnsi="Times New Roman" w:cs="Times New Roman"/>
                      <w:sz w:val="21"/>
                      <w:szCs w:val="21"/>
                      <w:u w:val="none"/>
                      <w:lang w:val="en-US" w:eastAsia="zh-CN"/>
                    </w:rPr>
                    <w:t>聚氨酯树脂</w:t>
                  </w:r>
                  <w:r>
                    <w:rPr>
                      <w:rFonts w:hint="eastAsia" w:ascii="Times New Roman" w:hAnsi="Times New Roman" w:eastAsia="宋体" w:cs="Times New Roman"/>
                      <w:bCs/>
                      <w:color w:val="000000"/>
                      <w:kern w:val="0"/>
                      <w:sz w:val="21"/>
                      <w:szCs w:val="21"/>
                      <w:highlight w:val="none"/>
                      <w:u w:val="none"/>
                      <w:lang w:val="en-US" w:eastAsia="zh-CN"/>
                    </w:rPr>
                    <w:t>10-20</w:t>
                  </w:r>
                  <w:r>
                    <w:rPr>
                      <w:rFonts w:hint="default" w:ascii="Times New Roman" w:hAnsi="Times New Roman" w:eastAsia="宋体" w:cs="Times New Roman"/>
                      <w:bCs/>
                      <w:color w:val="000000"/>
                      <w:kern w:val="0"/>
                      <w:sz w:val="21"/>
                      <w:szCs w:val="21"/>
                      <w:highlight w:val="none"/>
                      <w:u w:val="none"/>
                    </w:rPr>
                    <w:t>%</w:t>
                  </w:r>
                  <w:r>
                    <w:rPr>
                      <w:rFonts w:hint="eastAsia" w:ascii="Times New Roman" w:hAnsi="Times New Roman" w:eastAsia="宋体" w:cs="Times New Roman"/>
                      <w:bCs/>
                      <w:color w:val="000000"/>
                      <w:kern w:val="0"/>
                      <w:sz w:val="21"/>
                      <w:szCs w:val="21"/>
                      <w:highlight w:val="none"/>
                      <w:u w:val="none"/>
                      <w:lang w:eastAsia="zh-CN"/>
                    </w:rPr>
                    <w:t>、</w:t>
                  </w:r>
                  <w:r>
                    <w:rPr>
                      <w:rFonts w:hint="default" w:ascii="Times New Roman" w:hAnsi="Times New Roman" w:cs="Times New Roman"/>
                      <w:sz w:val="21"/>
                      <w:szCs w:val="21"/>
                      <w:u w:val="none"/>
                      <w:lang w:val="en-US" w:eastAsia="zh-CN"/>
                    </w:rPr>
                    <w:t>无水乙醇</w:t>
                  </w:r>
                  <w:r>
                    <w:rPr>
                      <w:rFonts w:hint="eastAsia" w:ascii="Times New Roman" w:hAnsi="Times New Roman" w:eastAsia="宋体" w:cs="Times New Roman"/>
                      <w:bCs/>
                      <w:color w:val="000000"/>
                      <w:kern w:val="0"/>
                      <w:sz w:val="21"/>
                      <w:szCs w:val="21"/>
                      <w:highlight w:val="none"/>
                      <w:u w:val="none"/>
                      <w:lang w:val="en-US" w:eastAsia="zh-CN"/>
                    </w:rPr>
                    <w:t>3-8</w:t>
                  </w:r>
                  <w:r>
                    <w:rPr>
                      <w:rFonts w:hint="default" w:ascii="Times New Roman" w:hAnsi="Times New Roman" w:eastAsia="宋体" w:cs="Times New Roman"/>
                      <w:bCs/>
                      <w:color w:val="000000"/>
                      <w:kern w:val="0"/>
                      <w:sz w:val="21"/>
                      <w:szCs w:val="21"/>
                      <w:highlight w:val="none"/>
                      <w:u w:val="none"/>
                    </w:rPr>
                    <w:t>%</w:t>
                  </w:r>
                  <w:r>
                    <w:rPr>
                      <w:rFonts w:hint="eastAsia" w:ascii="Times New Roman" w:hAnsi="Times New Roman" w:eastAsia="宋体" w:cs="Times New Roman"/>
                      <w:bCs/>
                      <w:color w:val="000000"/>
                      <w:kern w:val="0"/>
                      <w:sz w:val="21"/>
                      <w:szCs w:val="21"/>
                      <w:highlight w:val="none"/>
                      <w:u w:val="none"/>
                      <w:lang w:eastAsia="zh-CN"/>
                    </w:rPr>
                    <w:t>、</w:t>
                  </w:r>
                  <w:r>
                    <w:rPr>
                      <w:rFonts w:hint="default" w:ascii="Times New Roman" w:hAnsi="Times New Roman" w:cs="Times New Roman"/>
                      <w:sz w:val="21"/>
                      <w:szCs w:val="21"/>
                      <w:u w:val="none"/>
                      <w:lang w:val="en-US" w:eastAsia="zh-CN"/>
                    </w:rPr>
                    <w:t>有机胺</w:t>
                  </w:r>
                </w:p>
                <w:p>
                  <w:pPr>
                    <w:pStyle w:val="37"/>
                    <w:ind w:left="0" w:leftChars="0"/>
                    <w:jc w:val="both"/>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bCs/>
                      <w:color w:val="000000"/>
                      <w:kern w:val="0"/>
                      <w:sz w:val="21"/>
                      <w:szCs w:val="21"/>
                      <w:highlight w:val="none"/>
                      <w:u w:val="none"/>
                      <w:lang w:val="en-US" w:eastAsia="zh-CN"/>
                    </w:rPr>
                    <w:t>0.5-1.5%、</w:t>
                  </w:r>
                  <w:r>
                    <w:rPr>
                      <w:rFonts w:hint="default" w:ascii="Times New Roman" w:hAnsi="Times New Roman" w:cs="Times New Roman"/>
                      <w:sz w:val="21"/>
                      <w:szCs w:val="21"/>
                      <w:u w:val="none"/>
                      <w:lang w:val="en-US" w:eastAsia="zh-CN"/>
                    </w:rPr>
                    <w:t>有机或无机颜料</w:t>
                  </w:r>
                  <w:r>
                    <w:rPr>
                      <w:rFonts w:hint="eastAsia" w:ascii="Times New Roman" w:hAnsi="Times New Roman" w:eastAsia="宋体" w:cs="Times New Roman"/>
                      <w:bCs/>
                      <w:color w:val="000000"/>
                      <w:kern w:val="0"/>
                      <w:sz w:val="21"/>
                      <w:szCs w:val="21"/>
                      <w:highlight w:val="none"/>
                      <w:u w:val="none"/>
                      <w:lang w:val="en-US" w:eastAsia="zh-CN"/>
                    </w:rPr>
                    <w:t>15-2</w:t>
                  </w:r>
                  <w:r>
                    <w:rPr>
                      <w:rFonts w:hint="default" w:ascii="Times New Roman" w:hAnsi="Times New Roman" w:eastAsia="宋体" w:cs="Times New Roman"/>
                      <w:bCs/>
                      <w:color w:val="000000"/>
                      <w:kern w:val="0"/>
                      <w:sz w:val="21"/>
                      <w:szCs w:val="21"/>
                      <w:highlight w:val="none"/>
                      <w:u w:val="none"/>
                      <w:lang w:val="en-US" w:eastAsia="zh-CN"/>
                    </w:rPr>
                    <w:t>5</w:t>
                  </w:r>
                  <w:r>
                    <w:rPr>
                      <w:rFonts w:hint="default" w:ascii="Times New Roman" w:hAnsi="Times New Roman" w:eastAsia="宋体" w:cs="Times New Roman"/>
                      <w:bCs/>
                      <w:color w:val="000000"/>
                      <w:kern w:val="0"/>
                      <w:sz w:val="21"/>
                      <w:szCs w:val="21"/>
                      <w:highlight w:val="none"/>
                      <w:u w:val="none"/>
                    </w:rPr>
                    <w:t>%</w:t>
                  </w:r>
                  <w:r>
                    <w:rPr>
                      <w:rFonts w:hint="eastAsia" w:ascii="Times New Roman" w:hAnsi="Times New Roman" w:eastAsia="宋体" w:cs="Times New Roman"/>
                      <w:bCs/>
                      <w:color w:val="000000"/>
                      <w:kern w:val="0"/>
                      <w:sz w:val="21"/>
                      <w:szCs w:val="21"/>
                      <w:highlight w:val="none"/>
                      <w:u w:val="none"/>
                      <w:lang w:eastAsia="zh-CN"/>
                    </w:rPr>
                    <w:t>、</w:t>
                  </w:r>
                  <w:r>
                    <w:rPr>
                      <w:rFonts w:hint="default" w:ascii="Times New Roman" w:hAnsi="Times New Roman" w:cs="Times New Roman"/>
                      <w:sz w:val="21"/>
                      <w:szCs w:val="21"/>
                      <w:u w:val="none"/>
                      <w:lang w:val="en-US" w:eastAsia="zh-CN"/>
                    </w:rPr>
                    <w:t>聚乙烯蜡</w:t>
                  </w:r>
                  <w:r>
                    <w:rPr>
                      <w:rFonts w:hint="eastAsia" w:ascii="Times New Roman" w:hAnsi="Times New Roman" w:eastAsia="宋体" w:cs="Times New Roman"/>
                      <w:bCs/>
                      <w:color w:val="000000"/>
                      <w:kern w:val="0"/>
                      <w:sz w:val="21"/>
                      <w:szCs w:val="21"/>
                      <w:highlight w:val="none"/>
                      <w:u w:val="none"/>
                      <w:lang w:val="en-US" w:eastAsia="zh-CN"/>
                    </w:rPr>
                    <w:t>1-3</w:t>
                  </w:r>
                  <w:r>
                    <w:rPr>
                      <w:rFonts w:hint="default" w:ascii="Times New Roman" w:hAnsi="Times New Roman" w:eastAsia="宋体" w:cs="Times New Roman"/>
                      <w:bCs/>
                      <w:color w:val="000000"/>
                      <w:kern w:val="0"/>
                      <w:sz w:val="21"/>
                      <w:szCs w:val="21"/>
                      <w:highlight w:val="none"/>
                      <w:u w:val="none"/>
                    </w:rPr>
                    <w:t>%</w:t>
                  </w:r>
                  <w:r>
                    <w:rPr>
                      <w:rFonts w:hint="eastAsia" w:ascii="Times New Roman" w:hAnsi="Times New Roman" w:eastAsia="宋体" w:cs="Times New Roman"/>
                      <w:bCs/>
                      <w:color w:val="000000"/>
                      <w:kern w:val="0"/>
                      <w:sz w:val="21"/>
                      <w:szCs w:val="21"/>
                      <w:highlight w:val="none"/>
                      <w:u w:val="none"/>
                      <w:lang w:eastAsia="zh-CN"/>
                    </w:rPr>
                    <w:t>、</w:t>
                  </w:r>
                  <w:r>
                    <w:rPr>
                      <w:rFonts w:hint="default" w:ascii="Times New Roman" w:hAnsi="Times New Roman" w:cs="Times New Roman"/>
                      <w:sz w:val="21"/>
                      <w:szCs w:val="21"/>
                      <w:u w:val="none"/>
                      <w:lang w:val="en-US" w:eastAsia="zh-CN"/>
                    </w:rPr>
                    <w:t>水</w:t>
                  </w:r>
                  <w:r>
                    <w:rPr>
                      <w:rFonts w:hint="eastAsia" w:ascii="Times New Roman" w:hAnsi="Times New Roman" w:eastAsia="宋体" w:cs="Times New Roman"/>
                      <w:bCs/>
                      <w:color w:val="000000"/>
                      <w:kern w:val="0"/>
                      <w:sz w:val="21"/>
                      <w:szCs w:val="21"/>
                      <w:highlight w:val="none"/>
                      <w:u w:val="none"/>
                      <w:lang w:val="en-US" w:eastAsia="zh-CN"/>
                    </w:rPr>
                    <w:t>35-45</w:t>
                  </w:r>
                  <w:r>
                    <w:rPr>
                      <w:rFonts w:hint="default" w:ascii="Times New Roman" w:hAnsi="Times New Roman" w:eastAsia="宋体" w:cs="Times New Roman"/>
                      <w:bCs/>
                      <w:color w:val="000000"/>
                      <w:kern w:val="0"/>
                      <w:sz w:val="21"/>
                      <w:szCs w:val="21"/>
                      <w:highlight w:val="none"/>
                      <w:u w:val="none"/>
                    </w:rPr>
                    <w:t>%</w:t>
                  </w:r>
                  <w:r>
                    <w:rPr>
                      <w:rFonts w:hint="eastAsia" w:ascii="Times New Roman" w:hAnsi="Times New Roman" w:eastAsia="宋体" w:cs="Times New Roman"/>
                      <w:bCs/>
                      <w:color w:val="000000"/>
                      <w:kern w:val="0"/>
                      <w:sz w:val="21"/>
                      <w:szCs w:val="21"/>
                      <w:highlight w:val="none"/>
                      <w:u w:val="none"/>
                      <w:lang w:eastAsia="zh-CN"/>
                    </w:rPr>
                    <w:t>。</w:t>
                  </w:r>
                  <w:r>
                    <w:rPr>
                      <w:rFonts w:hint="default" w:ascii="Times New Roman" w:hAnsi="Times New Roman" w:cs="Times New Roman"/>
                      <w:sz w:val="21"/>
                      <w:szCs w:val="21"/>
                      <w:u w:val="none"/>
                      <w:lang w:val="en-US" w:eastAsia="zh-CN"/>
                    </w:rPr>
                    <w:t>外观：</w:t>
                  </w:r>
                  <w:r>
                    <w:rPr>
                      <w:rFonts w:hint="eastAsia" w:cs="Times New Roman"/>
                      <w:sz w:val="21"/>
                      <w:szCs w:val="21"/>
                      <w:u w:val="none"/>
                      <w:lang w:val="en-US" w:eastAsia="zh-CN"/>
                    </w:rPr>
                    <w:t>混合</w:t>
                  </w:r>
                  <w:r>
                    <w:rPr>
                      <w:rFonts w:hint="default" w:ascii="Times New Roman" w:hAnsi="Times New Roman" w:cs="Times New Roman"/>
                      <w:sz w:val="21"/>
                      <w:szCs w:val="21"/>
                      <w:u w:val="none"/>
                      <w:lang w:val="en-US" w:eastAsia="zh-CN"/>
                    </w:rPr>
                    <w:t>色；气味：轻微醇醚味道；PH：</w:t>
                  </w:r>
                  <w:r>
                    <w:rPr>
                      <w:rFonts w:hint="eastAsia" w:cs="Times New Roman"/>
                      <w:sz w:val="21"/>
                      <w:szCs w:val="21"/>
                      <w:u w:val="none"/>
                      <w:lang w:val="en-US" w:eastAsia="zh-CN"/>
                    </w:rPr>
                    <w:t>6.0-7.0</w:t>
                  </w:r>
                  <w:r>
                    <w:rPr>
                      <w:rFonts w:hint="default" w:ascii="Times New Roman" w:hAnsi="Times New Roman" w:cs="Times New Roman"/>
                      <w:sz w:val="21"/>
                      <w:szCs w:val="21"/>
                      <w:u w:val="none"/>
                      <w:lang w:val="en-US" w:eastAsia="zh-CN"/>
                    </w:rPr>
                    <w:t>；密度：1.2g/cm</w:t>
                  </w:r>
                  <w:r>
                    <w:rPr>
                      <w:rFonts w:hint="default" w:ascii="Times New Roman" w:hAnsi="Times New Roman" w:cs="Times New Roman"/>
                      <w:sz w:val="21"/>
                      <w:szCs w:val="21"/>
                      <w:u w:val="none"/>
                      <w:vertAlign w:val="superscript"/>
                      <w:lang w:val="en-US" w:eastAsia="zh-CN"/>
                    </w:rPr>
                    <w:t>3</w:t>
                  </w:r>
                  <w:r>
                    <w:rPr>
                      <w:rFonts w:hint="default" w:ascii="Times New Roman" w:hAnsi="Times New Roman" w:cs="Times New Roman"/>
                      <w:sz w:val="21"/>
                      <w:szCs w:val="21"/>
                      <w:u w:val="none"/>
                      <w:lang w:val="en-US" w:eastAsia="zh-CN"/>
                    </w:rPr>
                    <w:t>；水溶性：良好。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000000"/>
                <w:sz w:val="24"/>
                <w:u w:val="none"/>
                <w:lang w:val="en-US" w:eastAsia="zh-CN"/>
              </w:rPr>
            </w:pPr>
            <w:r>
              <w:rPr>
                <w:rFonts w:hint="eastAsia" w:ascii="Times New Roman" w:hAnsi="Times New Roman" w:eastAsia="宋体" w:cs="Times New Roman"/>
                <w:b/>
                <w:bCs/>
                <w:color w:val="000000"/>
                <w:sz w:val="24"/>
                <w:u w:val="none"/>
                <w:lang w:val="en-US" w:eastAsia="zh-CN"/>
              </w:rPr>
              <w:t>（2）水性涂料用量核算及成分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color w:val="000000"/>
                <w:sz w:val="24"/>
                <w:u w:val="none"/>
                <w:lang w:val="en-US" w:eastAsia="zh-CN"/>
              </w:rPr>
            </w:pPr>
            <w:r>
              <w:rPr>
                <w:rFonts w:hint="eastAsia" w:ascii="Times New Roman" w:hAnsi="Times New Roman" w:eastAsia="宋体" w:cs="Times New Roman"/>
                <w:b w:val="0"/>
                <w:bCs w:val="0"/>
                <w:color w:val="000000"/>
                <w:sz w:val="24"/>
                <w:u w:val="none"/>
                <w:lang w:val="en-US" w:eastAsia="zh-CN"/>
              </w:rPr>
              <w:t>根据建设单位提供资料，本项目水性涂料</w:t>
            </w:r>
            <w:r>
              <w:rPr>
                <w:rFonts w:hint="eastAsia" w:ascii="Times New Roman" w:hAnsi="Times New Roman" w:eastAsia="宋体" w:cs="Times New Roman"/>
                <w:b w:val="0"/>
                <w:bCs w:val="0"/>
                <w:color w:val="000000"/>
                <w:sz w:val="24"/>
                <w:u w:val="none"/>
              </w:rPr>
              <w:t>涂层厚度（湿胶厚度）</w:t>
            </w:r>
            <w:r>
              <w:rPr>
                <w:rFonts w:hint="eastAsia" w:cs="Times New Roman"/>
                <w:b w:val="0"/>
                <w:bCs w:val="0"/>
                <w:color w:val="000000"/>
                <w:sz w:val="24"/>
                <w:u w:val="none"/>
                <w:lang w:val="en-US" w:eastAsia="zh-CN"/>
              </w:rPr>
              <w:t>为</w:t>
            </w:r>
            <w:r>
              <w:rPr>
                <w:rFonts w:hint="eastAsia" w:ascii="Times New Roman" w:hAnsi="Times New Roman" w:eastAsia="宋体" w:cs="Times New Roman"/>
                <w:b w:val="0"/>
                <w:bCs w:val="0"/>
                <w:color w:val="000000"/>
                <w:sz w:val="24"/>
                <w:u w:val="none"/>
              </w:rPr>
              <w:t>0.8微米，水性涂料密度1.0-1.4g/cm</w:t>
            </w:r>
            <w:r>
              <w:rPr>
                <w:rFonts w:hint="eastAsia" w:ascii="Times New Roman" w:hAnsi="Times New Roman" w:eastAsia="宋体" w:cs="Times New Roman"/>
                <w:b w:val="0"/>
                <w:bCs w:val="0"/>
                <w:color w:val="000000"/>
                <w:sz w:val="24"/>
                <w:u w:val="none"/>
                <w:vertAlign w:val="superscript"/>
              </w:rPr>
              <w:t>3</w:t>
            </w:r>
            <w:r>
              <w:rPr>
                <w:rFonts w:hint="eastAsia" w:ascii="Times New Roman" w:hAnsi="Times New Roman" w:eastAsia="宋体" w:cs="Times New Roman"/>
                <w:b w:val="0"/>
                <w:bCs w:val="0"/>
                <w:color w:val="000000"/>
                <w:sz w:val="24"/>
                <w:u w:val="none"/>
              </w:rPr>
              <w:t>，本项目取1.2g/cm</w:t>
            </w:r>
            <w:r>
              <w:rPr>
                <w:rFonts w:hint="eastAsia" w:ascii="Times New Roman" w:hAnsi="Times New Roman" w:eastAsia="宋体" w:cs="Times New Roman"/>
                <w:b w:val="0"/>
                <w:bCs w:val="0"/>
                <w:color w:val="000000"/>
                <w:sz w:val="24"/>
                <w:u w:val="none"/>
                <w:vertAlign w:val="superscript"/>
              </w:rPr>
              <w:t>3</w:t>
            </w:r>
            <w:r>
              <w:rPr>
                <w:rFonts w:hint="eastAsia" w:ascii="Times New Roman" w:hAnsi="Times New Roman" w:eastAsia="宋体" w:cs="Times New Roman"/>
                <w:b w:val="0"/>
                <w:bCs w:val="0"/>
                <w:color w:val="000000"/>
                <w:sz w:val="24"/>
                <w:u w:val="none"/>
              </w:rPr>
              <w:t>，</w:t>
            </w:r>
            <w:r>
              <w:rPr>
                <w:rFonts w:hint="eastAsia"/>
                <w:lang w:val="en-US" w:eastAsia="zh-CN"/>
              </w:rPr>
              <w:t>本项目</w:t>
            </w:r>
            <w:r>
              <w:rPr>
                <w:rFonts w:hint="eastAsia" w:ascii="Times New Roman" w:hAnsi="Times New Roman" w:eastAsia="宋体" w:cs="Times New Roman"/>
                <w:b w:val="0"/>
                <w:bCs w:val="0"/>
                <w:color w:val="000000"/>
                <w:sz w:val="24"/>
                <w:u w:val="none"/>
                <w:lang w:val="en-US" w:eastAsia="zh-CN"/>
              </w:rPr>
              <w:t>涂层面积为1325万m</w:t>
            </w:r>
            <w:r>
              <w:rPr>
                <w:rFonts w:hint="eastAsia" w:ascii="Times New Roman" w:hAnsi="Times New Roman" w:eastAsia="宋体" w:cs="Times New Roman"/>
                <w:b w:val="0"/>
                <w:bCs w:val="0"/>
                <w:color w:val="000000"/>
                <w:sz w:val="24"/>
                <w:u w:val="none"/>
                <w:vertAlign w:val="superscript"/>
                <w:lang w:val="en-US" w:eastAsia="zh-CN"/>
              </w:rPr>
              <w:t>2</w:t>
            </w:r>
            <w:r>
              <w:rPr>
                <w:rFonts w:hint="eastAsia" w:cs="Times New Roman"/>
                <w:b w:val="0"/>
                <w:bCs w:val="0"/>
                <w:color w:val="000000"/>
                <w:sz w:val="24"/>
                <w:u w:val="none"/>
                <w:vertAlign w:val="baseline"/>
                <w:lang w:val="en-US" w:eastAsia="zh-CN"/>
              </w:rPr>
              <w:t>，</w:t>
            </w:r>
            <w:r>
              <w:rPr>
                <w:rFonts w:hint="eastAsia" w:ascii="Times New Roman" w:hAnsi="Times New Roman" w:eastAsia="宋体"/>
                <w:b w:val="0"/>
                <w:bCs w:val="0"/>
                <w:color w:val="000000"/>
                <w:sz w:val="24"/>
                <w:u w:val="none"/>
                <w:lang w:val="en-US" w:eastAsia="zh-CN"/>
              </w:rPr>
              <w:t>则本项目涂布工序使用的水性涂料用量为</w:t>
            </w:r>
            <w:r>
              <w:rPr>
                <w:rFonts w:hint="eastAsia" w:ascii="Times New Roman" w:hAnsi="Times New Roman" w:eastAsia="宋体" w:cs="Times New Roman"/>
                <w:b w:val="0"/>
                <w:bCs w:val="0"/>
                <w:color w:val="000000"/>
                <w:sz w:val="24"/>
                <w:u w:val="none"/>
              </w:rPr>
              <w:t>=1325</w:t>
            </w:r>
            <w:r>
              <w:rPr>
                <w:rFonts w:hint="eastAsia" w:cs="Times New Roman"/>
                <w:b w:val="0"/>
                <w:bCs w:val="0"/>
                <w:color w:val="000000"/>
                <w:sz w:val="24"/>
                <w:u w:val="none"/>
                <w:lang w:val="en-US" w:eastAsia="zh-CN"/>
              </w:rPr>
              <w:t>×</w:t>
            </w:r>
            <w:r>
              <w:rPr>
                <w:rFonts w:hint="eastAsia" w:ascii="Times New Roman" w:hAnsi="Times New Roman" w:eastAsia="宋体" w:cs="Times New Roman"/>
                <w:b w:val="0"/>
                <w:bCs w:val="0"/>
                <w:color w:val="000000"/>
                <w:sz w:val="24"/>
                <w:u w:val="none"/>
              </w:rPr>
              <w:t>10</w:t>
            </w:r>
            <w:r>
              <w:rPr>
                <w:rFonts w:hint="eastAsia" w:ascii="Times New Roman" w:hAnsi="Times New Roman" w:eastAsia="宋体" w:cs="Times New Roman"/>
                <w:b w:val="0"/>
                <w:bCs w:val="0"/>
                <w:color w:val="000000"/>
                <w:sz w:val="24"/>
                <w:u w:val="none"/>
                <w:vertAlign w:val="superscript"/>
              </w:rPr>
              <w:t>4</w:t>
            </w:r>
            <w:r>
              <w:rPr>
                <w:rFonts w:hint="eastAsia" w:ascii="Times New Roman" w:hAnsi="Times New Roman" w:eastAsia="宋体" w:cs="Times New Roman"/>
                <w:b w:val="0"/>
                <w:bCs w:val="0"/>
                <w:color w:val="000000"/>
                <w:sz w:val="24"/>
                <w:u w:val="none"/>
              </w:rPr>
              <w:t>*0.8*10</w:t>
            </w:r>
            <w:r>
              <w:rPr>
                <w:rFonts w:hint="eastAsia" w:ascii="Times New Roman" w:hAnsi="Times New Roman" w:eastAsia="宋体" w:cs="Times New Roman"/>
                <w:b w:val="0"/>
                <w:bCs w:val="0"/>
                <w:color w:val="000000"/>
                <w:sz w:val="24"/>
                <w:u w:val="none"/>
                <w:vertAlign w:val="superscript"/>
              </w:rPr>
              <w:t>-6</w:t>
            </w:r>
            <w:r>
              <w:rPr>
                <w:rFonts w:hint="eastAsia" w:ascii="Times New Roman" w:hAnsi="Times New Roman" w:eastAsia="宋体" w:cs="Times New Roman"/>
                <w:b w:val="0"/>
                <w:bCs w:val="0"/>
                <w:color w:val="000000"/>
                <w:sz w:val="24"/>
                <w:u w:val="none"/>
              </w:rPr>
              <w:t>*1.2=12.72t/a</w:t>
            </w:r>
            <w:r>
              <w:rPr>
                <w:rFonts w:hint="eastAsia" w:ascii="Times New Roman" w:hAnsi="Times New Roman" w:eastAsia="宋体"/>
                <w:b w:val="0"/>
                <w:bCs w:val="0"/>
                <w:color w:val="000000"/>
                <w:sz w:val="24"/>
                <w:u w:val="none"/>
                <w:lang w:val="en-US" w:eastAsia="zh-CN"/>
              </w:rPr>
              <w:t>。</w:t>
            </w:r>
          </w:p>
          <w:p>
            <w:pPr>
              <w:pStyle w:val="58"/>
              <w:keepNext w:val="0"/>
              <w:keepLines w:val="0"/>
              <w:suppressLineNumbers w:val="0"/>
              <w:spacing w:before="5" w:beforeAutospacing="0" w:after="0" w:afterAutospacing="0" w:line="364" w:lineRule="auto"/>
              <w:ind w:left="0" w:right="86" w:firstLine="480" w:firstLineChars="200"/>
              <w:jc w:val="both"/>
              <w:rPr>
                <w:rFonts w:hint="eastAsia" w:ascii="Times New Roman" w:hAnsi="Times New Roman" w:cs="Times New Roman"/>
                <w:bCs/>
                <w:color w:val="000000"/>
                <w:sz w:val="24"/>
                <w:lang w:val="en-US" w:eastAsia="zh-CN"/>
              </w:rPr>
            </w:pPr>
            <w:r>
              <w:rPr>
                <w:rFonts w:hint="eastAsia" w:ascii="Times New Roman" w:hAnsi="Times New Roman" w:cs="Times New Roman"/>
                <w:bCs/>
                <w:color w:val="000000"/>
                <w:sz w:val="24"/>
                <w:lang w:val="en-US" w:eastAsia="zh-CN"/>
              </w:rPr>
              <w:t>本评价要求企业采用涂料符合《低挥发性有机化合物含量涂料产品技术要求》（GB/T38597-2020）标准要求。</w:t>
            </w:r>
          </w:p>
          <w:p>
            <w:pPr>
              <w:pStyle w:val="57"/>
              <w:widowControl w:val="0"/>
              <w:adjustRightInd/>
              <w:spacing w:line="360" w:lineRule="auto"/>
              <w:ind w:firstLine="480" w:firstLineChars="200"/>
              <w:rPr>
                <w:rFonts w:hint="default" w:ascii="Times New Roman" w:hAnsi="Times New Roman" w:eastAsia="宋体" w:cs="Times New Roman"/>
                <w:color w:val="auto"/>
                <w:sz w:val="24"/>
                <w:szCs w:val="32"/>
                <w:u w:val="none"/>
              </w:rPr>
            </w:pPr>
            <w:r>
              <w:rPr>
                <w:rFonts w:hint="default" w:ascii="Times New Roman" w:hAnsi="Times New Roman" w:eastAsia="宋体" w:cs="Times New Roman"/>
                <w:color w:val="auto"/>
                <w:sz w:val="24"/>
                <w:szCs w:val="32"/>
                <w:u w:val="none"/>
              </w:rPr>
              <w:t>参考</w:t>
            </w:r>
            <w:r>
              <w:rPr>
                <w:rFonts w:hint="eastAsia" w:ascii="Times New Roman" w:hAnsi="Times New Roman" w:eastAsia="宋体" w:cs="Times New Roman"/>
                <w:color w:val="auto"/>
                <w:sz w:val="24"/>
                <w:szCs w:val="32"/>
                <w:u w:val="none"/>
                <w:lang w:val="en-US" w:eastAsia="zh-CN"/>
              </w:rPr>
              <w:t>水性涂料</w:t>
            </w:r>
            <w:r>
              <w:rPr>
                <w:rFonts w:hint="default" w:ascii="Times New Roman" w:hAnsi="Times New Roman" w:eastAsia="宋体" w:cs="Times New Roman"/>
                <w:color w:val="auto"/>
                <w:sz w:val="24"/>
                <w:szCs w:val="32"/>
                <w:u w:val="none"/>
              </w:rPr>
              <w:t>供应商提供的供货成分说明书</w:t>
            </w:r>
            <w:r>
              <w:rPr>
                <w:rFonts w:hint="default" w:ascii="Times New Roman" w:hAnsi="Times New Roman" w:eastAsia="宋体" w:cs="Times New Roman"/>
                <w:color w:val="auto"/>
                <w:sz w:val="24"/>
                <w:szCs w:val="32"/>
                <w:highlight w:val="none"/>
                <w:u w:val="none"/>
              </w:rPr>
              <w:t>（详见附件</w:t>
            </w:r>
            <w:r>
              <w:rPr>
                <w:rFonts w:hint="eastAsia" w:cs="Times New Roman"/>
                <w:color w:val="auto"/>
                <w:sz w:val="24"/>
                <w:szCs w:val="32"/>
                <w:highlight w:val="none"/>
                <w:u w:val="none"/>
                <w:lang w:val="en-US" w:eastAsia="zh-CN"/>
              </w:rPr>
              <w:t>5水性涂料</w:t>
            </w:r>
            <w:r>
              <w:rPr>
                <w:rFonts w:hint="default" w:ascii="Times New Roman" w:hAnsi="Times New Roman" w:eastAsia="宋体" w:cs="Times New Roman"/>
                <w:color w:val="auto"/>
                <w:sz w:val="24"/>
                <w:szCs w:val="32"/>
                <w:highlight w:val="none"/>
                <w:u w:val="none"/>
              </w:rPr>
              <w:t>MSDS）</w:t>
            </w:r>
            <w:r>
              <w:rPr>
                <w:rFonts w:hint="default" w:ascii="Times New Roman" w:hAnsi="Times New Roman" w:eastAsia="宋体" w:cs="Times New Roman"/>
                <w:color w:val="auto"/>
                <w:sz w:val="24"/>
                <w:szCs w:val="32"/>
                <w:u w:val="none"/>
              </w:rPr>
              <w:t>，本项目涉及的</w:t>
            </w:r>
            <w:r>
              <w:rPr>
                <w:rFonts w:hint="eastAsia" w:ascii="Times New Roman" w:hAnsi="Times New Roman" w:eastAsia="宋体" w:cs="Times New Roman"/>
                <w:color w:val="auto"/>
                <w:sz w:val="24"/>
                <w:szCs w:val="32"/>
                <w:u w:val="none"/>
                <w:lang w:val="en-US" w:eastAsia="zh-CN"/>
              </w:rPr>
              <w:t>涂布</w:t>
            </w:r>
            <w:r>
              <w:rPr>
                <w:rFonts w:hint="default" w:ascii="Times New Roman" w:hAnsi="Times New Roman" w:eastAsia="宋体" w:cs="Times New Roman"/>
                <w:color w:val="auto"/>
                <w:sz w:val="24"/>
                <w:szCs w:val="32"/>
                <w:u w:val="none"/>
              </w:rPr>
              <w:t>工序所使用的</w:t>
            </w:r>
            <w:r>
              <w:rPr>
                <w:rFonts w:hint="eastAsia" w:ascii="Times New Roman" w:hAnsi="Times New Roman" w:eastAsia="宋体" w:cs="Times New Roman"/>
                <w:color w:val="auto"/>
                <w:sz w:val="24"/>
                <w:szCs w:val="32"/>
                <w:u w:val="none"/>
                <w:lang w:val="en-US" w:eastAsia="zh-CN"/>
              </w:rPr>
              <w:t>水性涂料</w:t>
            </w:r>
            <w:r>
              <w:rPr>
                <w:rFonts w:hint="default" w:ascii="Times New Roman" w:hAnsi="Times New Roman" w:eastAsia="宋体" w:cs="Times New Roman"/>
                <w:color w:val="auto"/>
                <w:sz w:val="24"/>
                <w:szCs w:val="32"/>
                <w:u w:val="none"/>
              </w:rPr>
              <w:t>的主要成分构成见下表：</w:t>
            </w:r>
          </w:p>
          <w:p>
            <w:pPr>
              <w:pStyle w:val="5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color w:val="auto"/>
                <w:sz w:val="24"/>
                <w:szCs w:val="32"/>
                <w:u w:val="none"/>
              </w:rPr>
            </w:pPr>
            <w:r>
              <w:rPr>
                <w:rFonts w:hint="default" w:ascii="Times New Roman" w:hAnsi="Times New Roman" w:eastAsia="宋体" w:cs="Times New Roman"/>
                <w:b/>
                <w:color w:val="auto"/>
                <w:sz w:val="24"/>
                <w:szCs w:val="32"/>
                <w:u w:val="none"/>
              </w:rPr>
              <w:t>表</w:t>
            </w:r>
            <w:r>
              <w:rPr>
                <w:rFonts w:hint="eastAsia" w:ascii="Times New Roman" w:hAnsi="Times New Roman" w:eastAsia="宋体" w:cs="Times New Roman"/>
                <w:b/>
                <w:color w:val="auto"/>
                <w:sz w:val="24"/>
                <w:szCs w:val="32"/>
                <w:u w:val="none"/>
                <w:lang w:val="en-US" w:eastAsia="zh-CN"/>
              </w:rPr>
              <w:t>2-</w:t>
            </w:r>
            <w:r>
              <w:rPr>
                <w:rFonts w:hint="eastAsia" w:cs="Times New Roman"/>
                <w:b/>
                <w:bCs w:val="0"/>
                <w:kern w:val="24"/>
                <w:sz w:val="24"/>
                <w:szCs w:val="20"/>
                <w:u w:val="none"/>
                <w:lang w:val="en-US" w:eastAsia="zh-CN" w:bidi="ar-SA"/>
              </w:rPr>
              <w:t>6</w:t>
            </w:r>
            <w:r>
              <w:rPr>
                <w:rFonts w:hint="eastAsia" w:ascii="Times New Roman" w:hAnsi="Times New Roman" w:eastAsia="宋体" w:cs="Times New Roman"/>
                <w:b/>
                <w:color w:val="auto"/>
                <w:sz w:val="24"/>
                <w:szCs w:val="32"/>
                <w:u w:val="none"/>
                <w:lang w:val="en-US" w:eastAsia="zh-CN"/>
              </w:rPr>
              <w:t>水性涂料</w:t>
            </w:r>
            <w:r>
              <w:rPr>
                <w:rFonts w:hint="default" w:ascii="Times New Roman" w:hAnsi="Times New Roman" w:eastAsia="宋体" w:cs="Times New Roman"/>
                <w:b/>
                <w:color w:val="auto"/>
                <w:sz w:val="24"/>
                <w:szCs w:val="32"/>
                <w:u w:val="none"/>
              </w:rPr>
              <w:t>主要成分组成表</w:t>
            </w:r>
          </w:p>
          <w:tbl>
            <w:tblPr>
              <w:tblStyle w:val="23"/>
              <w:tblW w:w="8618"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0" w:type="dxa"/>
                <w:bottom w:w="0" w:type="dxa"/>
                <w:right w:w="0" w:type="dxa"/>
              </w:tblCellMar>
            </w:tblPr>
            <w:tblGrid>
              <w:gridCol w:w="568"/>
              <w:gridCol w:w="1139"/>
              <w:gridCol w:w="1628"/>
              <w:gridCol w:w="994"/>
              <w:gridCol w:w="906"/>
              <w:gridCol w:w="952"/>
              <w:gridCol w:w="1066"/>
              <w:gridCol w:w="1365"/>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68" w:hRule="atLeast"/>
                <w:jc w:val="center"/>
              </w:trPr>
              <w:tc>
                <w:tcPr>
                  <w:tcW w:w="329" w:type="pct"/>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000000"/>
                      <w:sz w:val="21"/>
                      <w:szCs w:val="21"/>
                      <w:highlight w:val="none"/>
                      <w:u w:val="none"/>
                      <w:lang w:eastAsia="zh-CN"/>
                    </w:rPr>
                  </w:pPr>
                  <w:r>
                    <w:rPr>
                      <w:rFonts w:hint="default" w:ascii="Times New Roman" w:hAnsi="Times New Roman" w:eastAsia="宋体" w:cs="Times New Roman"/>
                      <w:b/>
                      <w:bCs w:val="0"/>
                      <w:color w:val="000000"/>
                      <w:sz w:val="21"/>
                      <w:szCs w:val="21"/>
                      <w:highlight w:val="none"/>
                      <w:u w:val="none"/>
                      <w:lang w:val="en-US" w:eastAsia="zh-CN"/>
                    </w:rPr>
                    <w:t>工序</w:t>
                  </w:r>
                </w:p>
              </w:tc>
              <w:tc>
                <w:tcPr>
                  <w:tcW w:w="660" w:type="pct"/>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000000"/>
                      <w:sz w:val="21"/>
                      <w:szCs w:val="21"/>
                      <w:highlight w:val="none"/>
                      <w:u w:val="none"/>
                      <w:lang w:val="en-US" w:eastAsia="zh-CN"/>
                    </w:rPr>
                  </w:pPr>
                  <w:r>
                    <w:rPr>
                      <w:rFonts w:hint="default" w:ascii="Times New Roman" w:hAnsi="Times New Roman" w:eastAsia="宋体" w:cs="Times New Roman"/>
                      <w:b/>
                      <w:bCs w:val="0"/>
                      <w:color w:val="000000"/>
                      <w:sz w:val="21"/>
                      <w:szCs w:val="21"/>
                      <w:highlight w:val="none"/>
                      <w:u w:val="none"/>
                      <w:lang w:val="en-US" w:eastAsia="zh-CN"/>
                    </w:rPr>
                    <w:t>涂料量</w:t>
                  </w:r>
                </w:p>
              </w:tc>
              <w:tc>
                <w:tcPr>
                  <w:tcW w:w="944" w:type="pct"/>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000000"/>
                      <w:sz w:val="21"/>
                      <w:szCs w:val="21"/>
                      <w:highlight w:val="none"/>
                      <w:u w:val="none"/>
                    </w:rPr>
                  </w:pPr>
                  <w:r>
                    <w:rPr>
                      <w:rFonts w:hint="default" w:ascii="Times New Roman" w:hAnsi="Times New Roman" w:eastAsia="宋体" w:cs="Times New Roman"/>
                      <w:b/>
                      <w:bCs w:val="0"/>
                      <w:color w:val="000000"/>
                      <w:sz w:val="21"/>
                      <w:szCs w:val="21"/>
                      <w:highlight w:val="none"/>
                      <w:u w:val="none"/>
                    </w:rPr>
                    <w:t>主要化学成分</w:t>
                  </w:r>
                </w:p>
              </w:tc>
              <w:tc>
                <w:tcPr>
                  <w:tcW w:w="576" w:type="pct"/>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val="0"/>
                      <w:color w:val="000000"/>
                      <w:sz w:val="21"/>
                      <w:szCs w:val="21"/>
                      <w:highlight w:val="none"/>
                      <w:u w:val="none"/>
                      <w:lang w:val="en-US" w:eastAsia="zh-CN"/>
                    </w:rPr>
                  </w:pPr>
                  <w:r>
                    <w:rPr>
                      <w:rFonts w:hint="eastAsia" w:ascii="Times New Roman" w:hAnsi="Times New Roman" w:eastAsia="宋体" w:cs="Times New Roman"/>
                      <w:b/>
                      <w:bCs w:val="0"/>
                      <w:color w:val="000000"/>
                      <w:sz w:val="21"/>
                      <w:szCs w:val="21"/>
                      <w:highlight w:val="none"/>
                      <w:u w:val="none"/>
                      <w:lang w:val="en-US" w:eastAsia="zh-CN"/>
                    </w:rPr>
                    <w:t>作用</w:t>
                  </w:r>
                </w:p>
              </w:tc>
              <w:tc>
                <w:tcPr>
                  <w:tcW w:w="525" w:type="pct"/>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000000"/>
                      <w:sz w:val="21"/>
                      <w:szCs w:val="21"/>
                      <w:highlight w:val="none"/>
                      <w:u w:val="none"/>
                    </w:rPr>
                  </w:pPr>
                  <w:r>
                    <w:rPr>
                      <w:rFonts w:hint="default" w:ascii="Times New Roman" w:hAnsi="Times New Roman" w:eastAsia="宋体" w:cs="Times New Roman"/>
                      <w:b/>
                      <w:bCs w:val="0"/>
                      <w:color w:val="000000"/>
                      <w:sz w:val="21"/>
                      <w:szCs w:val="21"/>
                      <w:highlight w:val="none"/>
                      <w:u w:val="none"/>
                    </w:rPr>
                    <w:t>成分比例</w:t>
                  </w:r>
                </w:p>
              </w:tc>
              <w:tc>
                <w:tcPr>
                  <w:tcW w:w="5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000000"/>
                      <w:sz w:val="21"/>
                      <w:szCs w:val="21"/>
                      <w:highlight w:val="none"/>
                      <w:u w:val="none"/>
                    </w:rPr>
                  </w:pPr>
                  <w:r>
                    <w:rPr>
                      <w:rFonts w:hint="default" w:ascii="Times New Roman" w:hAnsi="Times New Roman" w:eastAsia="宋体" w:cs="Times New Roman"/>
                      <w:b/>
                      <w:bCs w:val="0"/>
                      <w:color w:val="000000"/>
                      <w:sz w:val="21"/>
                      <w:szCs w:val="21"/>
                      <w:highlight w:val="none"/>
                      <w:u w:val="none"/>
                    </w:rPr>
                    <w:t>类型</w:t>
                  </w:r>
                </w:p>
              </w:tc>
              <w:tc>
                <w:tcPr>
                  <w:tcW w:w="61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000000"/>
                      <w:sz w:val="21"/>
                      <w:szCs w:val="21"/>
                      <w:highlight w:val="none"/>
                      <w:u w:val="none"/>
                      <w:lang w:val="en-US" w:eastAsia="zh-CN"/>
                    </w:rPr>
                  </w:pPr>
                  <w:r>
                    <w:rPr>
                      <w:rFonts w:hint="default" w:ascii="Times New Roman" w:hAnsi="Times New Roman" w:eastAsia="宋体" w:cs="Times New Roman"/>
                      <w:b/>
                      <w:bCs w:val="0"/>
                      <w:color w:val="000000"/>
                      <w:sz w:val="21"/>
                      <w:szCs w:val="21"/>
                      <w:highlight w:val="none"/>
                      <w:u w:val="none"/>
                    </w:rPr>
                    <w:t>VOC</w:t>
                  </w:r>
                  <w:r>
                    <w:rPr>
                      <w:rFonts w:hint="default" w:ascii="Times New Roman" w:hAnsi="Times New Roman" w:eastAsia="宋体" w:cs="Times New Roman"/>
                      <w:b/>
                      <w:bCs w:val="0"/>
                      <w:color w:val="000000"/>
                      <w:sz w:val="21"/>
                      <w:szCs w:val="21"/>
                      <w:highlight w:val="none"/>
                      <w:u w:val="none"/>
                      <w:vertAlign w:val="subscript"/>
                    </w:rPr>
                    <w:t>S</w:t>
                  </w:r>
                  <w:r>
                    <w:rPr>
                      <w:rFonts w:hint="default" w:ascii="Times New Roman" w:hAnsi="Times New Roman" w:eastAsia="宋体" w:cs="Times New Roman"/>
                      <w:b/>
                      <w:bCs w:val="0"/>
                      <w:color w:val="000000"/>
                      <w:sz w:val="21"/>
                      <w:szCs w:val="21"/>
                      <w:highlight w:val="none"/>
                      <w:u w:val="none"/>
                    </w:rPr>
                    <w:t>含量</w:t>
                  </w:r>
                </w:p>
              </w:tc>
              <w:tc>
                <w:tcPr>
                  <w:tcW w:w="79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000000"/>
                      <w:sz w:val="21"/>
                      <w:szCs w:val="21"/>
                      <w:highlight w:val="none"/>
                      <w:u w:val="none"/>
                      <w:lang w:val="en-US" w:eastAsia="zh-CN"/>
                    </w:rPr>
                  </w:pPr>
                  <w:r>
                    <w:rPr>
                      <w:rFonts w:hint="default" w:ascii="Times New Roman" w:hAnsi="Times New Roman" w:eastAsia="宋体" w:cs="Times New Roman"/>
                      <w:b/>
                      <w:bCs w:val="0"/>
                      <w:color w:val="000000"/>
                      <w:sz w:val="21"/>
                      <w:szCs w:val="21"/>
                      <w:highlight w:val="none"/>
                      <w:u w:val="none"/>
                    </w:rPr>
                    <w:t>固含率</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329" w:type="pct"/>
                  <w:vMerge w:val="restart"/>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lang w:val="en-US" w:eastAsia="zh-CN"/>
                    </w:rPr>
                  </w:pPr>
                  <w:r>
                    <w:rPr>
                      <w:rFonts w:hint="eastAsia" w:ascii="Times New Roman" w:hAnsi="Times New Roman" w:eastAsia="宋体" w:cs="Times New Roman"/>
                      <w:bCs/>
                      <w:color w:val="000000"/>
                      <w:sz w:val="21"/>
                      <w:szCs w:val="21"/>
                      <w:highlight w:val="none"/>
                      <w:u w:val="none"/>
                      <w:lang w:val="en-US" w:eastAsia="zh-CN"/>
                    </w:rPr>
                    <w:t>涂布</w:t>
                  </w:r>
                </w:p>
              </w:tc>
              <w:tc>
                <w:tcPr>
                  <w:tcW w:w="660" w:type="pct"/>
                  <w:vMerge w:val="restart"/>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none"/>
                      <w:u w:val="none"/>
                    </w:rPr>
                  </w:pPr>
                  <w:r>
                    <w:rPr>
                      <w:rFonts w:hint="eastAsia" w:ascii="Times New Roman" w:hAnsi="Times New Roman" w:eastAsia="宋体" w:cs="Times New Roman"/>
                      <w:color w:val="000000"/>
                      <w:sz w:val="21"/>
                      <w:szCs w:val="21"/>
                      <w:highlight w:val="none"/>
                      <w:u w:val="none"/>
                      <w:lang w:val="en-US" w:eastAsia="zh-CN"/>
                    </w:rPr>
                    <w:t>水性涂料</w:t>
                  </w:r>
                  <w:r>
                    <w:rPr>
                      <w:rFonts w:hint="default" w:ascii="Times New Roman" w:hAnsi="Times New Roman" w:eastAsia="宋体" w:cs="Times New Roman"/>
                      <w:color w:val="000000"/>
                      <w:sz w:val="21"/>
                      <w:szCs w:val="21"/>
                      <w:highlight w:val="none"/>
                      <w:u w:val="none"/>
                    </w:rPr>
                    <w:br w:type="textWrapping"/>
                  </w:r>
                  <w:r>
                    <w:rPr>
                      <w:rFonts w:hint="default" w:ascii="Times New Roman" w:hAnsi="Times New Roman" w:eastAsia="宋体" w:cs="Times New Roman"/>
                      <w:color w:val="000000"/>
                      <w:spacing w:val="-6"/>
                      <w:sz w:val="21"/>
                      <w:szCs w:val="21"/>
                      <w:highlight w:val="none"/>
                      <w:u w:val="none"/>
                      <w:lang w:val="en-US" w:eastAsia="zh-CN"/>
                    </w:rPr>
                    <w:t>（</w:t>
                  </w:r>
                  <w:r>
                    <w:rPr>
                      <w:rFonts w:hint="eastAsia" w:ascii="Times New Roman" w:hAnsi="Times New Roman" w:eastAsia="宋体" w:cs="Times New Roman"/>
                      <w:color w:val="000000"/>
                      <w:spacing w:val="-6"/>
                      <w:sz w:val="21"/>
                      <w:szCs w:val="21"/>
                      <w:highlight w:val="none"/>
                      <w:u w:val="none"/>
                      <w:lang w:val="en-US" w:eastAsia="zh-CN"/>
                    </w:rPr>
                    <w:t>1</w:t>
                  </w:r>
                  <w:r>
                    <w:rPr>
                      <w:rFonts w:hint="eastAsia" w:cs="Times New Roman"/>
                      <w:color w:val="000000"/>
                      <w:spacing w:val="-6"/>
                      <w:sz w:val="21"/>
                      <w:szCs w:val="21"/>
                      <w:highlight w:val="none"/>
                      <w:u w:val="none"/>
                      <w:lang w:val="en-US" w:eastAsia="zh-CN"/>
                    </w:rPr>
                    <w:t>2.72</w:t>
                  </w:r>
                  <w:r>
                    <w:rPr>
                      <w:rFonts w:hint="default" w:ascii="Times New Roman" w:hAnsi="Times New Roman" w:eastAsia="宋体" w:cs="Times New Roman"/>
                      <w:color w:val="000000"/>
                      <w:spacing w:val="-6"/>
                      <w:sz w:val="21"/>
                      <w:szCs w:val="21"/>
                      <w:highlight w:val="none"/>
                      <w:u w:val="none"/>
                      <w:lang w:val="en-US" w:eastAsia="zh-CN"/>
                    </w:rPr>
                    <w:t>t/a）</w:t>
                  </w:r>
                </w:p>
              </w:tc>
              <w:tc>
                <w:tcPr>
                  <w:tcW w:w="944"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丙烯酸树脂</w:t>
                  </w:r>
                </w:p>
              </w:tc>
              <w:tc>
                <w:tcPr>
                  <w:tcW w:w="576" w:type="pct"/>
                  <w:vMerge w:val="restar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成膜剂与黏合剂</w:t>
                  </w:r>
                </w:p>
              </w:tc>
              <w:tc>
                <w:tcPr>
                  <w:tcW w:w="525"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000000"/>
                      <w:kern w:val="2"/>
                      <w:sz w:val="21"/>
                      <w:szCs w:val="21"/>
                      <w:highlight w:val="none"/>
                      <w:u w:val="none"/>
                      <w:lang w:val="en-US" w:eastAsia="zh-CN" w:bidi="ar-SA"/>
                    </w:rPr>
                  </w:pPr>
                  <w:r>
                    <w:rPr>
                      <w:rFonts w:hint="eastAsia" w:ascii="Times New Roman" w:hAnsi="Times New Roman" w:eastAsia="宋体" w:cs="Times New Roman"/>
                      <w:bCs/>
                      <w:color w:val="000000"/>
                      <w:kern w:val="0"/>
                      <w:sz w:val="21"/>
                      <w:szCs w:val="21"/>
                      <w:highlight w:val="none"/>
                      <w:u w:val="none"/>
                      <w:lang w:val="en-US" w:eastAsia="zh-CN"/>
                    </w:rPr>
                    <w:t>20-30</w:t>
                  </w:r>
                  <w:r>
                    <w:rPr>
                      <w:rFonts w:hint="default" w:ascii="Times New Roman" w:hAnsi="Times New Roman" w:eastAsia="宋体" w:cs="Times New Roman"/>
                      <w:bCs/>
                      <w:color w:val="000000"/>
                      <w:kern w:val="0"/>
                      <w:sz w:val="21"/>
                      <w:szCs w:val="21"/>
                      <w:highlight w:val="none"/>
                      <w:u w:val="none"/>
                    </w:rPr>
                    <w:t>%</w:t>
                  </w:r>
                </w:p>
              </w:tc>
              <w:tc>
                <w:tcPr>
                  <w:tcW w:w="552"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kern w:val="2"/>
                      <w:sz w:val="21"/>
                      <w:szCs w:val="21"/>
                      <w:highlight w:val="none"/>
                      <w:u w:val="none"/>
                      <w:lang w:val="en-US" w:eastAsia="zh-CN" w:bidi="ar-SA"/>
                    </w:rPr>
                  </w:pPr>
                  <w:r>
                    <w:rPr>
                      <w:rFonts w:hint="default" w:ascii="Times New Roman" w:hAnsi="Times New Roman" w:eastAsia="宋体" w:cs="Times New Roman"/>
                      <w:bCs/>
                      <w:color w:val="000000"/>
                      <w:sz w:val="21"/>
                      <w:szCs w:val="21"/>
                      <w:highlight w:val="none"/>
                      <w:u w:val="none"/>
                    </w:rPr>
                    <w:t>成膜固分</w:t>
                  </w:r>
                </w:p>
              </w:tc>
              <w:tc>
                <w:tcPr>
                  <w:tcW w:w="618"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kern w:val="2"/>
                      <w:sz w:val="21"/>
                      <w:szCs w:val="21"/>
                      <w:highlight w:val="none"/>
                      <w:u w:val="none"/>
                      <w:lang w:val="en-US" w:eastAsia="zh-CN" w:bidi="ar-SA"/>
                    </w:rPr>
                  </w:pPr>
                  <w:r>
                    <w:rPr>
                      <w:rFonts w:hint="eastAsia" w:ascii="Times New Roman" w:hAnsi="Times New Roman" w:eastAsia="宋体" w:cs="Times New Roman"/>
                      <w:bCs/>
                      <w:color w:val="000000"/>
                      <w:kern w:val="2"/>
                      <w:sz w:val="21"/>
                      <w:szCs w:val="21"/>
                      <w:highlight w:val="none"/>
                      <w:u w:val="none"/>
                      <w:lang w:val="en-US" w:eastAsia="zh-CN" w:bidi="ar-SA"/>
                    </w:rPr>
                    <w:t>9.5%</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kern w:val="2"/>
                      <w:sz w:val="21"/>
                      <w:szCs w:val="21"/>
                      <w:highlight w:val="none"/>
                      <w:u w:val="none"/>
                      <w:lang w:val="en-US" w:eastAsia="zh-CN" w:bidi="ar-SA"/>
                    </w:rPr>
                  </w:pPr>
                  <w:r>
                    <w:rPr>
                      <w:rFonts w:hint="eastAsia" w:ascii="Times New Roman" w:hAnsi="Times New Roman" w:eastAsia="宋体" w:cs="Times New Roman"/>
                      <w:bCs/>
                      <w:color w:val="000000"/>
                      <w:kern w:val="2"/>
                      <w:sz w:val="21"/>
                      <w:szCs w:val="21"/>
                      <w:highlight w:val="none"/>
                      <w:u w:val="none"/>
                      <w:lang w:val="en-US" w:eastAsia="zh-CN" w:bidi="ar-SA"/>
                    </w:rPr>
                    <w:t>（1.</w:t>
                  </w:r>
                  <w:r>
                    <w:rPr>
                      <w:rFonts w:hint="eastAsia" w:cs="Times New Roman"/>
                      <w:bCs/>
                      <w:color w:val="000000"/>
                      <w:kern w:val="2"/>
                      <w:sz w:val="21"/>
                      <w:szCs w:val="21"/>
                      <w:highlight w:val="none"/>
                      <w:u w:val="none"/>
                      <w:lang w:val="en-US" w:eastAsia="zh-CN" w:bidi="ar-SA"/>
                    </w:rPr>
                    <w:t>21</w:t>
                  </w:r>
                  <w:r>
                    <w:rPr>
                      <w:rFonts w:hint="eastAsia" w:ascii="Times New Roman" w:hAnsi="Times New Roman" w:eastAsia="宋体" w:cs="Times New Roman"/>
                      <w:bCs/>
                      <w:color w:val="000000"/>
                      <w:kern w:val="2"/>
                      <w:sz w:val="21"/>
                      <w:szCs w:val="21"/>
                      <w:highlight w:val="none"/>
                      <w:u w:val="none"/>
                      <w:lang w:val="en-US" w:eastAsia="zh-CN" w:bidi="ar-SA"/>
                    </w:rPr>
                    <w:t>t/a）</w:t>
                  </w:r>
                </w:p>
              </w:tc>
              <w:tc>
                <w:tcPr>
                  <w:tcW w:w="791"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lang w:val="en-US" w:eastAsia="zh-CN"/>
                    </w:rPr>
                  </w:pPr>
                  <w:r>
                    <w:rPr>
                      <w:rFonts w:hint="eastAsia" w:cs="Times New Roman"/>
                      <w:bCs/>
                      <w:color w:val="000000"/>
                      <w:sz w:val="21"/>
                      <w:szCs w:val="21"/>
                      <w:highlight w:val="none"/>
                      <w:u w:val="none"/>
                      <w:lang w:val="en-US" w:eastAsia="zh-CN"/>
                    </w:rPr>
                    <w:t>78</w:t>
                  </w:r>
                  <w:r>
                    <w:rPr>
                      <w:rFonts w:hint="default" w:ascii="Times New Roman" w:hAnsi="Times New Roman" w:eastAsia="宋体" w:cs="Times New Roman"/>
                      <w:bCs/>
                      <w:color w:val="000000"/>
                      <w:sz w:val="21"/>
                      <w:szCs w:val="21"/>
                      <w:highlight w:val="none"/>
                      <w:u w:val="none"/>
                    </w:rPr>
                    <w:t>%</w:t>
                  </w:r>
                  <w:r>
                    <w:rPr>
                      <w:rFonts w:hint="default" w:ascii="Times New Roman" w:hAnsi="Times New Roman" w:eastAsia="宋体" w:cs="Times New Roman"/>
                      <w:bCs/>
                      <w:color w:val="000000"/>
                      <w:sz w:val="21"/>
                      <w:szCs w:val="21"/>
                      <w:highlight w:val="none"/>
                      <w:u w:val="none"/>
                    </w:rPr>
                    <w:br w:type="textWrapping"/>
                  </w:r>
                  <w:r>
                    <w:rPr>
                      <w:rFonts w:hint="default" w:ascii="Times New Roman" w:hAnsi="Times New Roman" w:eastAsia="宋体" w:cs="Times New Roman"/>
                      <w:bCs/>
                      <w:color w:val="000000"/>
                      <w:sz w:val="21"/>
                      <w:szCs w:val="21"/>
                      <w:highlight w:val="none"/>
                      <w:u w:val="none"/>
                      <w:lang w:eastAsia="zh-CN"/>
                    </w:rPr>
                    <w:t>（</w:t>
                  </w:r>
                  <w:r>
                    <w:rPr>
                      <w:rFonts w:hint="eastAsia" w:cs="Times New Roman"/>
                      <w:bCs/>
                      <w:color w:val="000000"/>
                      <w:sz w:val="21"/>
                      <w:szCs w:val="21"/>
                      <w:highlight w:val="none"/>
                      <w:u w:val="none"/>
                      <w:lang w:val="en-US" w:eastAsia="zh-CN"/>
                    </w:rPr>
                    <w:t>9.922</w:t>
                  </w:r>
                  <w:r>
                    <w:rPr>
                      <w:rFonts w:hint="default" w:ascii="Times New Roman" w:hAnsi="Times New Roman" w:eastAsia="宋体" w:cs="Times New Roman"/>
                      <w:bCs/>
                      <w:color w:val="000000"/>
                      <w:sz w:val="21"/>
                      <w:szCs w:val="21"/>
                      <w:highlight w:val="none"/>
                      <w:u w:val="none"/>
                      <w:lang w:val="en-US" w:eastAsia="zh-CN"/>
                    </w:rPr>
                    <w:t>t/a</w:t>
                  </w:r>
                  <w:r>
                    <w:rPr>
                      <w:rFonts w:hint="default" w:ascii="Times New Roman" w:hAnsi="Times New Roman" w:eastAsia="宋体" w:cs="Times New Roman"/>
                      <w:bCs/>
                      <w:color w:val="000000"/>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329"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660"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944"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聚氨酯树脂</w:t>
                  </w:r>
                </w:p>
              </w:tc>
              <w:tc>
                <w:tcPr>
                  <w:tcW w:w="576"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p>
              </w:tc>
              <w:tc>
                <w:tcPr>
                  <w:tcW w:w="525"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000000"/>
                      <w:kern w:val="0"/>
                      <w:sz w:val="21"/>
                      <w:szCs w:val="21"/>
                      <w:highlight w:val="none"/>
                      <w:u w:val="none"/>
                      <w:lang w:val="en-US" w:eastAsia="zh-CN"/>
                    </w:rPr>
                  </w:pPr>
                  <w:r>
                    <w:rPr>
                      <w:rFonts w:hint="eastAsia" w:ascii="Times New Roman" w:hAnsi="Times New Roman" w:eastAsia="宋体" w:cs="Times New Roman"/>
                      <w:bCs/>
                      <w:color w:val="000000"/>
                      <w:kern w:val="0"/>
                      <w:sz w:val="21"/>
                      <w:szCs w:val="21"/>
                      <w:highlight w:val="none"/>
                      <w:u w:val="none"/>
                      <w:lang w:val="en-US" w:eastAsia="zh-CN"/>
                    </w:rPr>
                    <w:t>10-20</w:t>
                  </w:r>
                  <w:r>
                    <w:rPr>
                      <w:rFonts w:hint="default" w:ascii="Times New Roman" w:hAnsi="Times New Roman" w:eastAsia="宋体" w:cs="Times New Roman"/>
                      <w:bCs/>
                      <w:color w:val="000000"/>
                      <w:kern w:val="0"/>
                      <w:sz w:val="21"/>
                      <w:szCs w:val="21"/>
                      <w:highlight w:val="none"/>
                      <w:u w:val="none"/>
                    </w:rPr>
                    <w:t>%</w:t>
                  </w:r>
                </w:p>
              </w:tc>
              <w:tc>
                <w:tcPr>
                  <w:tcW w:w="552"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kern w:val="2"/>
                      <w:sz w:val="21"/>
                      <w:szCs w:val="21"/>
                      <w:highlight w:val="none"/>
                      <w:u w:val="none"/>
                      <w:lang w:val="en-US" w:eastAsia="zh-CN" w:bidi="ar-SA"/>
                    </w:rPr>
                  </w:pPr>
                </w:p>
              </w:tc>
              <w:tc>
                <w:tcPr>
                  <w:tcW w:w="618"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79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329"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660"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944"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有机或无机颜料</w:t>
                  </w:r>
                </w:p>
              </w:tc>
              <w:tc>
                <w:tcPr>
                  <w:tcW w:w="576"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显色剂</w:t>
                  </w:r>
                </w:p>
              </w:tc>
              <w:tc>
                <w:tcPr>
                  <w:tcW w:w="525"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bCs/>
                      <w:color w:val="000000"/>
                      <w:kern w:val="0"/>
                      <w:sz w:val="21"/>
                      <w:szCs w:val="21"/>
                      <w:highlight w:val="none"/>
                      <w:u w:val="none"/>
                      <w:lang w:val="en-US" w:eastAsia="zh-CN"/>
                    </w:rPr>
                  </w:pPr>
                  <w:r>
                    <w:rPr>
                      <w:rFonts w:hint="eastAsia" w:ascii="Times New Roman" w:hAnsi="Times New Roman" w:eastAsia="宋体" w:cs="Times New Roman"/>
                      <w:bCs/>
                      <w:color w:val="000000"/>
                      <w:kern w:val="0"/>
                      <w:sz w:val="21"/>
                      <w:szCs w:val="21"/>
                      <w:highlight w:val="none"/>
                      <w:u w:val="none"/>
                      <w:lang w:val="en-US" w:eastAsia="zh-CN"/>
                    </w:rPr>
                    <w:t>15-2</w:t>
                  </w:r>
                  <w:r>
                    <w:rPr>
                      <w:rFonts w:hint="default" w:ascii="Times New Roman" w:hAnsi="Times New Roman" w:eastAsia="宋体" w:cs="Times New Roman"/>
                      <w:bCs/>
                      <w:color w:val="000000"/>
                      <w:kern w:val="0"/>
                      <w:sz w:val="21"/>
                      <w:szCs w:val="21"/>
                      <w:highlight w:val="none"/>
                      <w:u w:val="none"/>
                      <w:lang w:val="en-US" w:eastAsia="zh-CN"/>
                    </w:rPr>
                    <w:t>5</w:t>
                  </w:r>
                  <w:r>
                    <w:rPr>
                      <w:rFonts w:hint="default" w:ascii="Times New Roman" w:hAnsi="Times New Roman" w:eastAsia="宋体" w:cs="Times New Roman"/>
                      <w:bCs/>
                      <w:color w:val="000000"/>
                      <w:kern w:val="0"/>
                      <w:sz w:val="21"/>
                      <w:szCs w:val="21"/>
                      <w:highlight w:val="none"/>
                      <w:u w:val="none"/>
                    </w:rPr>
                    <w:t>%</w:t>
                  </w:r>
                </w:p>
              </w:tc>
              <w:tc>
                <w:tcPr>
                  <w:tcW w:w="552" w:type="pct"/>
                  <w:vMerge w:val="continue"/>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000000"/>
                      <w:kern w:val="2"/>
                      <w:sz w:val="21"/>
                      <w:szCs w:val="21"/>
                      <w:highlight w:val="none"/>
                      <w:u w:val="none"/>
                      <w:lang w:val="en-US" w:eastAsia="zh-CN" w:bidi="ar-SA"/>
                    </w:rPr>
                  </w:pPr>
                </w:p>
              </w:tc>
              <w:tc>
                <w:tcPr>
                  <w:tcW w:w="618"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79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329"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660"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944"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聚乙烯蜡</w:t>
                  </w:r>
                </w:p>
              </w:tc>
              <w:tc>
                <w:tcPr>
                  <w:tcW w:w="576"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助</w:t>
                  </w:r>
                  <w:r>
                    <w:rPr>
                      <w:rFonts w:hint="default" w:ascii="Times New Roman" w:hAnsi="Times New Roman" w:eastAsia="宋体" w:cs="Times New Roman"/>
                      <w:sz w:val="21"/>
                      <w:szCs w:val="21"/>
                    </w:rPr>
                    <w:t>剂</w:t>
                  </w:r>
                </w:p>
              </w:tc>
              <w:tc>
                <w:tcPr>
                  <w:tcW w:w="525"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bCs/>
                      <w:color w:val="000000"/>
                      <w:kern w:val="0"/>
                      <w:sz w:val="21"/>
                      <w:szCs w:val="21"/>
                      <w:highlight w:val="none"/>
                      <w:u w:val="none"/>
                      <w:lang w:val="en-US" w:eastAsia="zh-CN"/>
                    </w:rPr>
                  </w:pPr>
                  <w:r>
                    <w:rPr>
                      <w:rFonts w:hint="eastAsia" w:ascii="Times New Roman" w:hAnsi="Times New Roman" w:eastAsia="宋体" w:cs="Times New Roman"/>
                      <w:bCs/>
                      <w:color w:val="000000"/>
                      <w:kern w:val="0"/>
                      <w:sz w:val="21"/>
                      <w:szCs w:val="21"/>
                      <w:highlight w:val="none"/>
                      <w:u w:val="none"/>
                      <w:lang w:val="en-US" w:eastAsia="zh-CN"/>
                    </w:rPr>
                    <w:t>1-3</w:t>
                  </w:r>
                  <w:r>
                    <w:rPr>
                      <w:rFonts w:hint="default" w:ascii="Times New Roman" w:hAnsi="Times New Roman" w:eastAsia="宋体" w:cs="Times New Roman"/>
                      <w:bCs/>
                      <w:color w:val="000000"/>
                      <w:kern w:val="0"/>
                      <w:sz w:val="21"/>
                      <w:szCs w:val="21"/>
                      <w:highlight w:val="none"/>
                      <w:u w:val="none"/>
                    </w:rPr>
                    <w:t>%</w:t>
                  </w:r>
                </w:p>
              </w:tc>
              <w:tc>
                <w:tcPr>
                  <w:tcW w:w="552" w:type="pct"/>
                  <w:vMerge w:val="continue"/>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000000"/>
                      <w:kern w:val="2"/>
                      <w:sz w:val="21"/>
                      <w:szCs w:val="21"/>
                      <w:highlight w:val="none"/>
                      <w:u w:val="none"/>
                      <w:lang w:val="en-US" w:eastAsia="zh-CN" w:bidi="ar-SA"/>
                    </w:rPr>
                  </w:pPr>
                </w:p>
              </w:tc>
              <w:tc>
                <w:tcPr>
                  <w:tcW w:w="618"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79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329"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660"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944"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无水乙醇</w:t>
                  </w:r>
                </w:p>
              </w:tc>
              <w:tc>
                <w:tcPr>
                  <w:tcW w:w="576"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溶剂</w:t>
                  </w:r>
                </w:p>
              </w:tc>
              <w:tc>
                <w:tcPr>
                  <w:tcW w:w="525"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000000"/>
                      <w:kern w:val="2"/>
                      <w:sz w:val="21"/>
                      <w:szCs w:val="21"/>
                      <w:highlight w:val="none"/>
                      <w:u w:val="none"/>
                      <w:lang w:val="en-US" w:eastAsia="zh-CN" w:bidi="ar-SA"/>
                    </w:rPr>
                  </w:pPr>
                  <w:r>
                    <w:rPr>
                      <w:rFonts w:hint="eastAsia" w:ascii="Times New Roman" w:hAnsi="Times New Roman" w:eastAsia="宋体" w:cs="Times New Roman"/>
                      <w:bCs/>
                      <w:color w:val="000000"/>
                      <w:kern w:val="0"/>
                      <w:sz w:val="21"/>
                      <w:szCs w:val="21"/>
                      <w:highlight w:val="none"/>
                      <w:u w:val="none"/>
                      <w:lang w:val="en-US" w:eastAsia="zh-CN"/>
                    </w:rPr>
                    <w:t>3-8</w:t>
                  </w:r>
                  <w:r>
                    <w:rPr>
                      <w:rFonts w:hint="default" w:ascii="Times New Roman" w:hAnsi="Times New Roman" w:eastAsia="宋体" w:cs="Times New Roman"/>
                      <w:bCs/>
                      <w:color w:val="000000"/>
                      <w:kern w:val="0"/>
                      <w:sz w:val="21"/>
                      <w:szCs w:val="21"/>
                      <w:highlight w:val="none"/>
                      <w:u w:val="none"/>
                    </w:rPr>
                    <w:t>%</w:t>
                  </w:r>
                </w:p>
              </w:tc>
              <w:tc>
                <w:tcPr>
                  <w:tcW w:w="552"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kern w:val="2"/>
                      <w:sz w:val="21"/>
                      <w:szCs w:val="21"/>
                      <w:highlight w:val="none"/>
                      <w:u w:val="none"/>
                      <w:lang w:val="en-US" w:eastAsia="zh-CN" w:bidi="ar-SA"/>
                    </w:rPr>
                  </w:pPr>
                  <w:r>
                    <w:rPr>
                      <w:rFonts w:hint="default" w:ascii="Times New Roman" w:hAnsi="Times New Roman" w:eastAsia="宋体" w:cs="Times New Roman"/>
                      <w:bCs/>
                      <w:color w:val="000000"/>
                      <w:sz w:val="21"/>
                      <w:szCs w:val="21"/>
                      <w:highlight w:val="none"/>
                      <w:u w:val="none"/>
                    </w:rPr>
                    <w:t>挥发分</w:t>
                  </w:r>
                </w:p>
              </w:tc>
              <w:tc>
                <w:tcPr>
                  <w:tcW w:w="618"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79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329"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660"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944"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有机胺</w:t>
                  </w:r>
                </w:p>
              </w:tc>
              <w:tc>
                <w:tcPr>
                  <w:tcW w:w="576"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成膜助剂</w:t>
                  </w:r>
                </w:p>
              </w:tc>
              <w:tc>
                <w:tcPr>
                  <w:tcW w:w="525"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000000"/>
                      <w:kern w:val="0"/>
                      <w:sz w:val="21"/>
                      <w:szCs w:val="21"/>
                      <w:highlight w:val="none"/>
                      <w:u w:val="none"/>
                      <w:lang w:val="en-US" w:eastAsia="zh-CN"/>
                    </w:rPr>
                  </w:pPr>
                  <w:r>
                    <w:rPr>
                      <w:rFonts w:hint="eastAsia" w:ascii="Times New Roman" w:hAnsi="Times New Roman" w:eastAsia="宋体" w:cs="Times New Roman"/>
                      <w:bCs/>
                      <w:color w:val="000000"/>
                      <w:kern w:val="0"/>
                      <w:sz w:val="21"/>
                      <w:szCs w:val="21"/>
                      <w:highlight w:val="none"/>
                      <w:u w:val="none"/>
                      <w:lang w:val="en-US" w:eastAsia="zh-CN"/>
                    </w:rPr>
                    <w:t>0.5-1.5%</w:t>
                  </w:r>
                </w:p>
              </w:tc>
              <w:tc>
                <w:tcPr>
                  <w:tcW w:w="552"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618"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79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329"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660" w:type="pct"/>
                  <w:vMerge w:val="continue"/>
                  <w:noWrap w:val="0"/>
                  <w:tcMar>
                    <w:left w:w="51" w:type="dxa"/>
                    <w:right w:w="51"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944"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水</w:t>
                  </w:r>
                </w:p>
              </w:tc>
              <w:tc>
                <w:tcPr>
                  <w:tcW w:w="576"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溶剂</w:t>
                  </w:r>
                </w:p>
              </w:tc>
              <w:tc>
                <w:tcPr>
                  <w:tcW w:w="525" w:type="pct"/>
                  <w:noWrap w:val="0"/>
                  <w:tcMar>
                    <w:left w:w="51" w:type="dxa"/>
                    <w:right w:w="51" w:type="dxa"/>
                  </w:tcMar>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000000"/>
                      <w:kern w:val="0"/>
                      <w:sz w:val="21"/>
                      <w:szCs w:val="21"/>
                      <w:highlight w:val="none"/>
                      <w:u w:val="none"/>
                      <w:lang w:val="en-US" w:eastAsia="zh-CN"/>
                    </w:rPr>
                  </w:pPr>
                  <w:r>
                    <w:rPr>
                      <w:rFonts w:hint="eastAsia" w:ascii="Times New Roman" w:hAnsi="Times New Roman" w:eastAsia="宋体" w:cs="Times New Roman"/>
                      <w:bCs/>
                      <w:color w:val="000000"/>
                      <w:kern w:val="0"/>
                      <w:sz w:val="21"/>
                      <w:szCs w:val="21"/>
                      <w:highlight w:val="none"/>
                      <w:u w:val="none"/>
                      <w:lang w:val="en-US" w:eastAsia="zh-CN"/>
                    </w:rPr>
                    <w:t>35-45</w:t>
                  </w:r>
                  <w:r>
                    <w:rPr>
                      <w:rFonts w:hint="default" w:ascii="Times New Roman" w:hAnsi="Times New Roman" w:eastAsia="宋体" w:cs="Times New Roman"/>
                      <w:bCs/>
                      <w:color w:val="000000"/>
                      <w:kern w:val="0"/>
                      <w:sz w:val="21"/>
                      <w:szCs w:val="21"/>
                      <w:highlight w:val="none"/>
                      <w:u w:val="none"/>
                    </w:rPr>
                    <w:t>%</w:t>
                  </w:r>
                </w:p>
              </w:tc>
              <w:tc>
                <w:tcPr>
                  <w:tcW w:w="552"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618"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c>
                <w:tcPr>
                  <w:tcW w:w="79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p>
              </w:tc>
            </w:tr>
          </w:tbl>
          <w:p>
            <w:pPr>
              <w:ind w:firstLine="480"/>
              <w:rPr>
                <w:b/>
                <w:bCs/>
                <w:u w:val="none"/>
              </w:rPr>
            </w:pPr>
            <w:r>
              <w:rPr>
                <w:rFonts w:hint="eastAsia"/>
                <w:b/>
                <w:bCs/>
                <w:u w:val="none"/>
              </w:rPr>
              <w:t>7、总平面布局</w:t>
            </w:r>
          </w:p>
          <w:p>
            <w:pPr>
              <w:ind w:firstLine="480"/>
              <w:rPr>
                <w:u w:val="none"/>
              </w:rPr>
            </w:pPr>
            <w:r>
              <w:rPr>
                <w:rFonts w:hint="eastAsia"/>
                <w:u w:val="none"/>
              </w:rPr>
              <w:t>本项目租赁</w:t>
            </w:r>
            <w:r>
              <w:rPr>
                <w:rFonts w:hint="eastAsia"/>
                <w:u w:val="none"/>
                <w:lang w:eastAsia="zh-CN"/>
              </w:rPr>
              <w:t>湖南省岳阳市湘阴县洋沙湖镇高新区洋沙湖片区新华路东侧新华标厂1栋101室</w:t>
            </w:r>
            <w:r>
              <w:rPr>
                <w:rFonts w:hint="eastAsia"/>
                <w:u w:val="none"/>
              </w:rPr>
              <w:t>。厂房东侧设置</w:t>
            </w:r>
            <w:r>
              <w:rPr>
                <w:rFonts w:hint="eastAsia"/>
                <w:u w:val="none"/>
                <w:lang w:val="en-US" w:eastAsia="zh-CN"/>
              </w:rPr>
              <w:t>办公区</w:t>
            </w:r>
            <w:r>
              <w:rPr>
                <w:rFonts w:hint="eastAsia"/>
                <w:u w:val="none"/>
              </w:rPr>
              <w:t>，厂房</w:t>
            </w:r>
            <w:r>
              <w:rPr>
                <w:rFonts w:hint="eastAsia"/>
                <w:u w:val="none"/>
                <w:lang w:val="en-US" w:eastAsia="zh-CN"/>
              </w:rPr>
              <w:t>南</w:t>
            </w:r>
            <w:r>
              <w:rPr>
                <w:rFonts w:hint="eastAsia"/>
                <w:u w:val="none"/>
              </w:rPr>
              <w:t>侧</w:t>
            </w:r>
            <w:r>
              <w:rPr>
                <w:rFonts w:hint="eastAsia"/>
                <w:u w:val="none"/>
                <w:lang w:val="en-US" w:eastAsia="zh-CN"/>
              </w:rPr>
              <w:t>设置生产区</w:t>
            </w:r>
            <w:r>
              <w:rPr>
                <w:rFonts w:hint="eastAsia"/>
                <w:u w:val="none"/>
              </w:rPr>
              <w:t>，厂房</w:t>
            </w:r>
            <w:r>
              <w:rPr>
                <w:rFonts w:hint="eastAsia"/>
                <w:u w:val="none"/>
                <w:lang w:val="en-US" w:eastAsia="zh-CN"/>
              </w:rPr>
              <w:t>北</w:t>
            </w:r>
            <w:r>
              <w:rPr>
                <w:rFonts w:hint="eastAsia"/>
                <w:color w:val="000000" w:themeColor="text1"/>
                <w:u w:val="none"/>
                <w14:textFill>
                  <w14:solidFill>
                    <w14:schemeClr w14:val="tx1"/>
                  </w14:solidFill>
                </w14:textFill>
              </w:rPr>
              <w:t>侧</w:t>
            </w:r>
            <w:r>
              <w:rPr>
                <w:rFonts w:hint="eastAsia"/>
                <w:color w:val="000000" w:themeColor="text1"/>
                <w:u w:val="none"/>
                <w:lang w:val="en-US" w:eastAsia="zh-CN"/>
                <w14:textFill>
                  <w14:solidFill>
                    <w14:schemeClr w14:val="tx1"/>
                  </w14:solidFill>
                </w14:textFill>
              </w:rPr>
              <w:t>设置仓库、危废暂存间、一般固废暂存间</w:t>
            </w:r>
            <w:r>
              <w:rPr>
                <w:rFonts w:hint="eastAsia"/>
                <w:color w:val="000000" w:themeColor="text1"/>
                <w:u w:val="none"/>
                <w14:textFill>
                  <w14:solidFill>
                    <w14:schemeClr w14:val="tx1"/>
                  </w14:solidFill>
                </w14:textFill>
              </w:rPr>
              <w:t>。</w:t>
            </w:r>
            <w:r>
              <w:rPr>
                <w:rFonts w:hint="eastAsia"/>
                <w:u w:val="none"/>
              </w:rPr>
              <w:t>项目总平面布置根据场地布置，地面均采取硬化措施，各功能区既有明确分区又保持一定联系，整个布置工艺流程顺畅、管线短捷、物流通畅、方便生产及管理，可满足生产、消防的功能要求。</w:t>
            </w:r>
          </w:p>
          <w:p>
            <w:pPr>
              <w:ind w:firstLine="480"/>
              <w:rPr>
                <w:b/>
                <w:bCs/>
                <w:u w:val="none"/>
              </w:rPr>
            </w:pPr>
            <w:r>
              <w:rPr>
                <w:rFonts w:hint="eastAsia"/>
                <w:b/>
                <w:bCs/>
                <w:u w:val="none"/>
              </w:rPr>
              <w:t>8、给排水</w:t>
            </w:r>
          </w:p>
          <w:p>
            <w:pPr>
              <w:ind w:firstLine="480"/>
              <w:rPr>
                <w:b/>
                <w:bCs/>
                <w:u w:val="none"/>
              </w:rPr>
            </w:pPr>
            <w:r>
              <w:rPr>
                <w:rFonts w:hint="eastAsia"/>
                <w:b/>
                <w:bCs/>
                <w:u w:val="none"/>
              </w:rPr>
              <w:t>（1）给水工程</w:t>
            </w:r>
          </w:p>
          <w:p>
            <w:pPr>
              <w:ind w:firstLine="480"/>
              <w:rPr>
                <w:rFonts w:hint="eastAsia"/>
                <w:u w:val="none"/>
              </w:rPr>
            </w:pPr>
            <w:r>
              <w:rPr>
                <w:rFonts w:hint="eastAsia"/>
                <w:u w:val="none"/>
              </w:rPr>
              <w:t>本项目给水由市政供水管网供给，主要为地面清洗用水、生活用水、</w:t>
            </w:r>
            <w:r>
              <w:rPr>
                <w:rFonts w:hint="eastAsia"/>
                <w:u w:val="none"/>
                <w:lang w:val="en-US" w:eastAsia="zh-CN"/>
              </w:rPr>
              <w:t>冷却辊</w:t>
            </w:r>
            <w:r>
              <w:rPr>
                <w:rFonts w:hint="eastAsia"/>
                <w:u w:val="none"/>
              </w:rPr>
              <w:t>用水。</w:t>
            </w:r>
          </w:p>
          <w:p>
            <w:pPr>
              <w:ind w:firstLine="480"/>
              <w:rPr>
                <w:rFonts w:hint="eastAsia"/>
                <w:u w:val="none"/>
              </w:rPr>
            </w:pPr>
            <w:r>
              <w:rPr>
                <w:rFonts w:hint="eastAsia"/>
                <w:u w:val="none"/>
              </w:rPr>
              <w:t>①生活用水：本企业共有劳动定员</w:t>
            </w:r>
            <w:r>
              <w:rPr>
                <w:rFonts w:hint="eastAsia"/>
                <w:u w:val="none"/>
                <w:lang w:val="en-US" w:eastAsia="zh-CN"/>
              </w:rPr>
              <w:t>17</w:t>
            </w:r>
            <w:r>
              <w:rPr>
                <w:rFonts w:hint="eastAsia"/>
                <w:u w:val="none"/>
              </w:rPr>
              <w:t>人，均不在</w:t>
            </w:r>
            <w:r>
              <w:rPr>
                <w:rFonts w:hint="eastAsia"/>
                <w:u w:val="none"/>
                <w:lang w:val="en-US" w:eastAsia="zh-CN"/>
              </w:rPr>
              <w:t>厂区</w:t>
            </w:r>
            <w:r>
              <w:rPr>
                <w:rFonts w:hint="eastAsia"/>
                <w:u w:val="none"/>
              </w:rPr>
              <w:t>内食宿。根据《湖南省用水定额》（DB43/T 388-2025）中“第3部分：生活、服务业及建筑业”办公楼用水通用值38m</w:t>
            </w:r>
            <w:r>
              <w:rPr>
                <w:rFonts w:hint="eastAsia"/>
                <w:u w:val="none"/>
                <w:vertAlign w:val="superscript"/>
              </w:rPr>
              <w:t>3</w:t>
            </w:r>
            <w:r>
              <w:rPr>
                <w:rFonts w:hint="eastAsia"/>
                <w:u w:val="none"/>
              </w:rPr>
              <w:t>/人·a，则本项目员工生活用水量为</w:t>
            </w:r>
            <w:r>
              <w:rPr>
                <w:rFonts w:hint="eastAsia"/>
                <w:u w:val="none"/>
                <w:lang w:val="en-US" w:eastAsia="zh-CN"/>
              </w:rPr>
              <w:t>646</w:t>
            </w:r>
            <w:r>
              <w:rPr>
                <w:rFonts w:hint="eastAsia"/>
                <w:u w:val="none"/>
              </w:rPr>
              <w:t>m</w:t>
            </w:r>
            <w:r>
              <w:rPr>
                <w:rFonts w:hint="eastAsia"/>
                <w:u w:val="none"/>
                <w:vertAlign w:val="superscript"/>
              </w:rPr>
              <w:t>3</w:t>
            </w:r>
            <w:r>
              <w:rPr>
                <w:rFonts w:hint="eastAsia"/>
                <w:u w:val="none"/>
              </w:rPr>
              <w:t>/a（</w:t>
            </w:r>
            <w:r>
              <w:rPr>
                <w:rFonts w:hint="eastAsia"/>
                <w:u w:val="none"/>
                <w:lang w:val="en-US" w:eastAsia="zh-CN"/>
              </w:rPr>
              <w:t>2.153</w:t>
            </w:r>
            <w:r>
              <w:rPr>
                <w:rFonts w:hint="eastAsia"/>
                <w:u w:val="none"/>
              </w:rPr>
              <w:t>m</w:t>
            </w:r>
            <w:r>
              <w:rPr>
                <w:rFonts w:hint="eastAsia"/>
                <w:u w:val="none"/>
                <w:vertAlign w:val="superscript"/>
              </w:rPr>
              <w:t>3</w:t>
            </w:r>
            <w:r>
              <w:rPr>
                <w:rFonts w:hint="eastAsia"/>
                <w:u w:val="none"/>
              </w:rPr>
              <w:t>/d）。</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Times New Roman" w:hAnsi="Times New Roman" w:eastAsia="宋体" w:cs="Times New Roman"/>
                <w:color w:val="auto"/>
                <w:spacing w:val="6"/>
                <w:sz w:val="24"/>
                <w:szCs w:val="24"/>
                <w:u w:val="none"/>
                <w:lang w:val="en-US" w:eastAsia="zh-CN"/>
              </w:rPr>
            </w:pPr>
            <w:r>
              <w:rPr>
                <w:rFonts w:hint="eastAsia" w:ascii="Times New Roman" w:hAnsi="Times New Roman" w:eastAsia="宋体" w:cs="Times New Roman"/>
                <w:b w:val="0"/>
                <w:bCs w:val="0"/>
                <w:color w:val="auto"/>
                <w:kern w:val="0"/>
                <w:sz w:val="24"/>
                <w:u w:val="none"/>
                <w:lang w:val="en-US" w:eastAsia="zh-CN"/>
              </w:rPr>
              <w:t>②地面清洁废水：</w:t>
            </w:r>
            <w:r>
              <w:rPr>
                <w:rFonts w:hint="eastAsia" w:ascii="Times New Roman" w:hAnsi="Times New Roman" w:eastAsia="宋体" w:cs="Times New Roman"/>
                <w:b w:val="0"/>
                <w:bCs/>
                <w:color w:val="auto"/>
                <w:sz w:val="24"/>
                <w:szCs w:val="24"/>
                <w:u w:val="none"/>
                <w:lang w:val="en-US" w:eastAsia="zh-CN"/>
              </w:rPr>
              <w:t>项目生产车间地面需定</w:t>
            </w:r>
            <w:r>
              <w:rPr>
                <w:rFonts w:hint="eastAsia" w:ascii="Times New Roman" w:hAnsi="Times New Roman" w:eastAsia="宋体" w:cs="Times New Roman"/>
                <w:color w:val="auto"/>
                <w:spacing w:val="6"/>
                <w:sz w:val="24"/>
                <w:szCs w:val="24"/>
                <w:u w:val="none"/>
                <w:lang w:val="en-US" w:eastAsia="zh-CN"/>
              </w:rPr>
              <w:t>期清洁，采用拖把进行清洁，清洁频次约为1周1次，即48次/</w:t>
            </w:r>
            <w:r>
              <w:rPr>
                <w:rFonts w:hint="eastAsia" w:ascii="Times New Roman" w:hAnsi="Times New Roman" w:eastAsia="宋体" w:cs="Times New Roman"/>
                <w:lang w:val="en-US" w:eastAsia="zh-CN"/>
              </w:rPr>
              <w:t>年，地面拖洗用水按1.5L/m</w:t>
            </w:r>
            <w:r>
              <w:rPr>
                <w:rFonts w:hint="eastAsia" w:ascii="Times New Roman" w:hAnsi="Times New Roman" w:eastAsia="宋体" w:cs="Times New Roman"/>
                <w:vertAlign w:val="superscript"/>
                <w:lang w:val="en-US" w:eastAsia="zh-CN"/>
              </w:rPr>
              <w:t>2</w:t>
            </w:r>
            <w:r>
              <w:rPr>
                <w:rFonts w:hint="eastAsia" w:ascii="Times New Roman" w:hAnsi="Times New Roman" w:eastAsia="宋体" w:cs="Times New Roman"/>
                <w:lang w:val="en-US" w:eastAsia="zh-CN"/>
              </w:rPr>
              <w:t>·次计，本项目生产车间面积约为740m</w:t>
            </w:r>
            <w:r>
              <w:rPr>
                <w:rFonts w:hint="eastAsia" w:ascii="Times New Roman" w:hAnsi="Times New Roman" w:eastAsia="宋体" w:cs="Times New Roman"/>
                <w:vertAlign w:val="superscript"/>
                <w:lang w:val="en-US" w:eastAsia="zh-CN"/>
              </w:rPr>
              <w:t>2</w:t>
            </w:r>
            <w:r>
              <w:rPr>
                <w:rFonts w:hint="eastAsia" w:ascii="Times New Roman" w:hAnsi="Times New Roman" w:eastAsia="宋体" w:cs="Times New Roman"/>
                <w:lang w:val="en-US" w:eastAsia="zh-CN"/>
              </w:rPr>
              <w:t>，则年用水量为53.28t/a。排放量按照产生量的90%计，则排放量为48m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/a（0.16m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/d）。</w:t>
            </w:r>
          </w:p>
          <w:p>
            <w:pPr>
              <w:spacing w:line="360" w:lineRule="auto"/>
              <w:ind w:firstLine="480" w:firstLineChars="200"/>
              <w:rPr>
                <w:rFonts w:hint="default" w:ascii="Times New Roman" w:hAnsi="Times New Roman" w:eastAsia="宋体" w:cs="Times New Roman"/>
                <w:lang w:val="en-US" w:eastAsia="zh-CN"/>
              </w:rPr>
            </w:pPr>
            <w:r>
              <w:rPr>
                <w:rFonts w:hint="default" w:ascii="Times New Roman" w:hAnsi="Times New Roman" w:cs="Times New Roman"/>
                <w:lang w:val="en-US" w:eastAsia="zh-CN"/>
              </w:rPr>
              <w:t>③冷却辊用水：</w:t>
            </w:r>
            <w:r>
              <w:rPr>
                <w:rFonts w:hint="default" w:ascii="Times New Roman" w:hAnsi="Times New Roman" w:eastAsia="宋体" w:cs="Times New Roman"/>
                <w:lang w:val="en-US" w:eastAsia="zh-CN"/>
              </w:rPr>
              <w:t>项目涂布设备自带冷却辊对涂布烘干后的基膜进行冷却，</w:t>
            </w:r>
            <w:r>
              <w:rPr>
                <w:rFonts w:hint="eastAsia" w:ascii="Times New Roman" w:hAnsi="Times New Roman" w:eastAsia="宋体" w:cs="Times New Roman"/>
                <w:lang w:val="en-US" w:eastAsia="zh-CN"/>
              </w:rPr>
              <w:t>冷却介质为外购纯水。</w:t>
            </w:r>
            <w:r>
              <w:rPr>
                <w:rFonts w:hint="default" w:ascii="Times New Roman" w:hAnsi="Times New Roman" w:eastAsia="宋体" w:cs="Times New Roman"/>
                <w:lang w:val="en-US" w:eastAsia="zh-CN"/>
              </w:rPr>
              <w:t>冷却系统主要由冷水机及循环系统组成，冷却机自带循环水池。循环水给水管直接从循环水站接入送至用水点，循环水回水直接送回至循环水站。项目循环水量为0.</w:t>
            </w:r>
            <w:r>
              <w:rPr>
                <w:rFonts w:hint="eastAsia" w:cs="Times New Roman"/>
                <w:lang w:val="en-US" w:eastAsia="zh-CN"/>
              </w:rPr>
              <w:t>5</w:t>
            </w:r>
            <w:r>
              <w:rPr>
                <w:rFonts w:hint="default" w:ascii="Times New Roman" w:hAnsi="Times New Roman" w:eastAsia="宋体" w:cs="Times New Roman"/>
                <w:lang w:val="en-US" w:eastAsia="zh-CN"/>
              </w:rPr>
              <w:t>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/h，配备循环水池0.</w:t>
            </w:r>
            <w:r>
              <w:rPr>
                <w:rFonts w:hint="eastAsia" w:cs="Times New Roman"/>
                <w:lang w:val="en-US" w:eastAsia="zh-CN"/>
              </w:rPr>
              <w:t>5</w:t>
            </w:r>
            <w:r>
              <w:rPr>
                <w:rFonts w:hint="default" w:ascii="Times New Roman" w:hAnsi="Times New Roman" w:eastAsia="宋体" w:cs="Times New Roman"/>
                <w:lang w:val="en-US" w:eastAsia="zh-CN"/>
              </w:rPr>
              <w:t>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，进水温度45-50℃，出水温度为10℃，项目循环水冷却系统可满足本项目使用。项目为间接冷却，冷却水循环使用，不外排。本项目配套冷却循环水用量为0.</w:t>
            </w:r>
            <w:r>
              <w:rPr>
                <w:rFonts w:hint="eastAsia" w:cs="Times New Roman"/>
                <w:lang w:val="en-US" w:eastAsia="zh-CN"/>
              </w:rPr>
              <w:t>5</w:t>
            </w:r>
            <w:r>
              <w:rPr>
                <w:rFonts w:hint="default" w:ascii="Times New Roman" w:hAnsi="Times New Roman" w:eastAsia="宋体" w:cs="Times New Roman"/>
                <w:lang w:val="en-US" w:eastAsia="zh-CN"/>
              </w:rPr>
              <w:t>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/h，循环水利用率在99.5%以上，日运行时间以</w:t>
            </w:r>
            <w:r>
              <w:rPr>
                <w:rFonts w:hint="eastAsia" w:cs="Times New Roman"/>
                <w:lang w:val="en-US" w:eastAsia="zh-CN"/>
              </w:rPr>
              <w:t>24</w:t>
            </w:r>
            <w:r>
              <w:rPr>
                <w:rFonts w:hint="default" w:ascii="Times New Roman" w:hAnsi="Times New Roman" w:eastAsia="宋体" w:cs="Times New Roman"/>
                <w:lang w:val="en-US" w:eastAsia="zh-CN"/>
              </w:rPr>
              <w:t>h计，则循环水补充量为0.</w:t>
            </w:r>
            <w:r>
              <w:rPr>
                <w:rFonts w:hint="eastAsia" w:cs="Times New Roman"/>
                <w:lang w:val="en-US" w:eastAsia="zh-CN"/>
              </w:rPr>
              <w:t>06</w:t>
            </w:r>
            <w:r>
              <w:rPr>
                <w:rFonts w:hint="default" w:ascii="Times New Roman" w:hAnsi="Times New Roman" w:eastAsia="宋体" w:cs="Times New Roman"/>
                <w:lang w:val="en-US" w:eastAsia="zh-CN"/>
              </w:rPr>
              <w:t>/d(</w:t>
            </w:r>
            <w:r>
              <w:rPr>
                <w:rFonts w:hint="eastAsia" w:cs="Times New Roman"/>
                <w:lang w:val="en-US" w:eastAsia="zh-CN"/>
              </w:rPr>
              <w:t>18</w:t>
            </w:r>
            <w:r>
              <w:rPr>
                <w:rFonts w:hint="default" w:ascii="Times New Roman" w:hAnsi="Times New Roman" w:eastAsia="宋体" w:cs="Times New Roman"/>
                <w:lang w:val="en-US" w:eastAsia="zh-CN"/>
              </w:rPr>
              <w:t>t/a)。</w:t>
            </w:r>
          </w:p>
          <w:p>
            <w:pPr>
              <w:ind w:firstLine="480"/>
              <w:rPr>
                <w:b/>
                <w:bCs/>
                <w:u w:val="none"/>
              </w:rPr>
            </w:pPr>
            <w:r>
              <w:rPr>
                <w:rFonts w:hint="eastAsia"/>
                <w:b/>
                <w:bCs/>
                <w:u w:val="none"/>
              </w:rPr>
              <w:t>（2）排水工程</w:t>
            </w:r>
          </w:p>
          <w:p>
            <w:pPr>
              <w:ind w:firstLine="480"/>
              <w:rPr>
                <w:rFonts w:hint="eastAsia"/>
                <w:u w:val="none"/>
              </w:rPr>
            </w:pPr>
            <w:r>
              <w:rPr>
                <w:rFonts w:hint="default" w:ascii="Times New Roman" w:hAnsi="Times New Roman" w:cs="Times New Roman"/>
                <w:b w:val="0"/>
                <w:bCs w:val="0"/>
                <w:color w:val="auto"/>
                <w:kern w:val="0"/>
                <w:sz w:val="24"/>
                <w:u w:val="none"/>
                <w:lang w:eastAsia="zh-CN"/>
              </w:rPr>
              <w:t>①</w:t>
            </w:r>
            <w:r>
              <w:rPr>
                <w:rFonts w:hint="default" w:ascii="Times New Roman" w:hAnsi="Times New Roman" w:cs="Times New Roman"/>
                <w:b w:val="0"/>
                <w:bCs w:val="0"/>
                <w:color w:val="auto"/>
                <w:kern w:val="0"/>
                <w:sz w:val="24"/>
                <w:u w:val="none"/>
              </w:rPr>
              <w:t>生活污水</w:t>
            </w:r>
            <w:r>
              <w:rPr>
                <w:rFonts w:hint="eastAsia" w:ascii="Times New Roman" w:hAnsi="Times New Roman" w:cs="Times New Roman"/>
                <w:b w:val="0"/>
                <w:bCs w:val="0"/>
                <w:color w:val="auto"/>
                <w:kern w:val="0"/>
                <w:sz w:val="24"/>
                <w:u w:val="none"/>
                <w:lang w:eastAsia="zh-CN"/>
              </w:rPr>
              <w:t>：</w:t>
            </w:r>
            <w:r>
              <w:rPr>
                <w:rFonts w:hint="eastAsia"/>
                <w:u w:val="none"/>
              </w:rPr>
              <w:t>本项目采取雨污分流，雨水经厂房外雨水收集管网收集后排入市政雨水管网；根据《建筑给水排水设计标准》（GB50015-2019）相关设计参数，生活污水产生量按用水量的80%计算，则生活污水产生量为</w:t>
            </w:r>
            <w:r>
              <w:rPr>
                <w:rFonts w:hint="eastAsia"/>
                <w:u w:val="none"/>
                <w:lang w:val="en-US" w:eastAsia="zh-CN"/>
              </w:rPr>
              <w:t>516.8</w:t>
            </w:r>
            <w:r>
              <w:rPr>
                <w:rFonts w:hint="eastAsia"/>
                <w:u w:val="none"/>
              </w:rPr>
              <w:t>m</w:t>
            </w:r>
            <w:r>
              <w:rPr>
                <w:rFonts w:hint="eastAsia"/>
                <w:u w:val="none"/>
                <w:vertAlign w:val="superscript"/>
              </w:rPr>
              <w:t>3</w:t>
            </w:r>
            <w:r>
              <w:rPr>
                <w:rFonts w:hint="eastAsia"/>
                <w:u w:val="none"/>
              </w:rPr>
              <w:t>/a，依托租赁公司化粪池处理后排入市政污水管网，进入湘阴县第二污水处理厂处理。</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Times New Roman" w:hAnsi="Times New Roman" w:eastAsia="宋体" w:cs="Times New Roman"/>
                <w:bCs/>
                <w:color w:val="auto"/>
                <w:sz w:val="24"/>
                <w:szCs w:val="24"/>
                <w:u w:val="none"/>
                <w:lang w:val="en-US" w:eastAsia="zh-CN"/>
              </w:rPr>
            </w:pPr>
            <w:r>
              <w:rPr>
                <w:rFonts w:hint="eastAsia" w:ascii="Times New Roman" w:hAnsi="Times New Roman" w:eastAsia="宋体" w:cs="Times New Roman"/>
                <w:b w:val="0"/>
                <w:bCs w:val="0"/>
                <w:color w:val="auto"/>
                <w:kern w:val="0"/>
                <w:sz w:val="24"/>
                <w:u w:val="none"/>
                <w:lang w:val="en-US" w:eastAsia="zh-CN"/>
              </w:rPr>
              <w:t>②地面清洁废水：根据计算，地面清洁废水</w:t>
            </w:r>
            <w:r>
              <w:rPr>
                <w:rFonts w:hint="eastAsia" w:ascii="Times New Roman" w:hAnsi="Times New Roman" w:eastAsia="宋体" w:cs="Times New Roman"/>
                <w:color w:val="auto"/>
                <w:spacing w:val="6"/>
                <w:sz w:val="24"/>
                <w:szCs w:val="24"/>
                <w:u w:val="none"/>
                <w:lang w:val="en-US" w:eastAsia="zh-CN"/>
              </w:rPr>
              <w:t>排放量为</w:t>
            </w:r>
            <w:r>
              <w:rPr>
                <w:rFonts w:hint="eastAsia" w:cs="Times New Roman"/>
                <w:color w:val="auto"/>
                <w:spacing w:val="6"/>
                <w:sz w:val="24"/>
                <w:szCs w:val="24"/>
                <w:u w:val="none"/>
                <w:lang w:val="en-US" w:eastAsia="zh-CN"/>
              </w:rPr>
              <w:t>48</w:t>
            </w:r>
            <w:r>
              <w:rPr>
                <w:rFonts w:hint="eastAsia" w:ascii="Times New Roman" w:hAnsi="Times New Roman" w:eastAsia="宋体" w:cs="Times New Roman"/>
                <w:color w:val="auto"/>
                <w:spacing w:val="6"/>
                <w:sz w:val="24"/>
                <w:szCs w:val="24"/>
                <w:u w:val="none"/>
                <w:lang w:val="en-US" w:eastAsia="zh-CN"/>
              </w:rPr>
              <w:t>m</w:t>
            </w:r>
            <w:r>
              <w:rPr>
                <w:rFonts w:hint="eastAsia" w:ascii="Times New Roman" w:hAnsi="Times New Roman" w:eastAsia="宋体" w:cs="Times New Roman"/>
                <w:color w:val="auto"/>
                <w:spacing w:val="6"/>
                <w:sz w:val="24"/>
                <w:szCs w:val="24"/>
                <w:u w:val="none"/>
                <w:vertAlign w:val="superscript"/>
                <w:lang w:val="en-US" w:eastAsia="zh-CN"/>
              </w:rPr>
              <w:t>3</w:t>
            </w:r>
            <w:r>
              <w:rPr>
                <w:rFonts w:hint="eastAsia" w:ascii="Times New Roman" w:hAnsi="Times New Roman" w:eastAsia="宋体" w:cs="Times New Roman"/>
                <w:color w:val="auto"/>
                <w:spacing w:val="6"/>
                <w:sz w:val="24"/>
                <w:szCs w:val="24"/>
                <w:u w:val="none"/>
                <w:lang w:val="en-US" w:eastAsia="zh-CN"/>
              </w:rPr>
              <w:t>/a（0.</w:t>
            </w:r>
            <w:r>
              <w:rPr>
                <w:rFonts w:hint="eastAsia" w:cs="Times New Roman"/>
                <w:color w:val="auto"/>
                <w:spacing w:val="6"/>
                <w:sz w:val="24"/>
                <w:szCs w:val="24"/>
                <w:u w:val="none"/>
                <w:lang w:val="en-US" w:eastAsia="zh-CN"/>
              </w:rPr>
              <w:t>16</w:t>
            </w:r>
            <w:r>
              <w:rPr>
                <w:rFonts w:hint="eastAsia" w:ascii="Times New Roman" w:hAnsi="Times New Roman" w:eastAsia="宋体" w:cs="Times New Roman"/>
                <w:color w:val="auto"/>
                <w:spacing w:val="6"/>
                <w:sz w:val="24"/>
                <w:szCs w:val="24"/>
                <w:u w:val="none"/>
                <w:lang w:val="en-US" w:eastAsia="zh-CN"/>
              </w:rPr>
              <w:t>m</w:t>
            </w:r>
            <w:r>
              <w:rPr>
                <w:rFonts w:hint="eastAsia" w:ascii="Times New Roman" w:hAnsi="Times New Roman" w:eastAsia="宋体" w:cs="Times New Roman"/>
                <w:color w:val="auto"/>
                <w:spacing w:val="6"/>
                <w:sz w:val="24"/>
                <w:szCs w:val="24"/>
                <w:u w:val="none"/>
                <w:vertAlign w:val="superscript"/>
                <w:lang w:val="en-US" w:eastAsia="zh-CN"/>
              </w:rPr>
              <w:t>3</w:t>
            </w:r>
            <w:r>
              <w:rPr>
                <w:rFonts w:hint="eastAsia" w:ascii="Times New Roman" w:hAnsi="Times New Roman" w:eastAsia="宋体" w:cs="Times New Roman"/>
                <w:color w:val="auto"/>
                <w:spacing w:val="6"/>
                <w:sz w:val="24"/>
                <w:szCs w:val="24"/>
                <w:u w:val="none"/>
                <w:lang w:val="en-US" w:eastAsia="zh-CN"/>
              </w:rPr>
              <w:t>/d）。地面清洁废</w:t>
            </w:r>
            <w:r>
              <w:rPr>
                <w:rFonts w:hint="eastAsia" w:ascii="Times New Roman" w:hAnsi="Times New Roman" w:eastAsia="宋体" w:cs="Times New Roman"/>
                <w:color w:val="auto"/>
                <w:sz w:val="24"/>
                <w:szCs w:val="24"/>
                <w:u w:val="none"/>
                <w:lang w:val="en-US" w:eastAsia="zh-CN"/>
              </w:rPr>
              <w:t>水</w:t>
            </w:r>
            <w:r>
              <w:rPr>
                <w:rFonts w:hint="default" w:ascii="Times New Roman" w:hAnsi="Times New Roman" w:cs="Times New Roman"/>
                <w:color w:val="auto"/>
                <w:kern w:val="0"/>
                <w:sz w:val="24"/>
                <w:u w:val="none"/>
              </w:rPr>
              <w:t>经厂区的</w:t>
            </w:r>
            <w:r>
              <w:rPr>
                <w:rFonts w:hint="default" w:ascii="Times New Roman" w:hAnsi="Times New Roman" w:cs="Times New Roman"/>
                <w:color w:val="auto"/>
                <w:sz w:val="24"/>
                <w:u w:val="none"/>
              </w:rPr>
              <w:t>化粪池处理后排入市政污水管网，进入湘阴县第二污水处理厂处理。</w:t>
            </w:r>
          </w:p>
          <w:p>
            <w:pPr>
              <w:pStyle w:val="37"/>
              <w:ind w:left="480"/>
              <w:rPr>
                <w:u w:val="none"/>
              </w:rPr>
            </w:pPr>
            <w:r>
              <w:rPr>
                <w:u w:val="none"/>
              </w:rPr>
              <w:object>
                <v:shape id="_x0000_i1025" o:spt="75" type="#_x0000_t75" style="height:242.5pt;width:396.95pt;" o:ole="t" filled="f" o:preferrelative="t" stroked="f" coordsize="21600,21600">
                  <v:path/>
                  <v:fill on="f" focussize="0,0"/>
                  <v:stroke on="f"/>
                  <v:imagedata r:id="rId11" o:title=""/>
                  <o:lock v:ext="edit" aspectratio="f"/>
                  <w10:wrap type="none"/>
                  <w10:anchorlock/>
                </v:shape>
                <o:OLEObject Type="Embed" ProgID="Visio.Drawing.15" ShapeID="_x0000_i1025" DrawAspect="Content" ObjectID="_1468075725" r:id="rId10">
                  <o:LockedField>false</o:LockedField>
                </o:OLEObject>
              </w:object>
            </w:r>
          </w:p>
          <w:p>
            <w:pPr>
              <w:pStyle w:val="36"/>
              <w:ind w:left="480"/>
              <w:rPr>
                <w:u w:val="none"/>
              </w:rPr>
            </w:pPr>
            <w:r>
              <w:rPr>
                <w:rFonts w:hint="eastAsia"/>
                <w:u w:val="none"/>
              </w:rPr>
              <w:t>图2-1 水平衡图（m</w:t>
            </w:r>
            <w:r>
              <w:rPr>
                <w:rFonts w:hint="eastAsia"/>
                <w:u w:val="none"/>
                <w:vertAlign w:val="superscript"/>
              </w:rPr>
              <w:t>3</w:t>
            </w:r>
            <w:r>
              <w:rPr>
                <w:rFonts w:hint="eastAsia"/>
                <w:u w:val="none"/>
              </w:rPr>
              <w:t>/a）</w:t>
            </w:r>
          </w:p>
          <w:p>
            <w:pPr>
              <w:ind w:firstLine="480"/>
              <w:rPr>
                <w:b/>
                <w:bCs/>
                <w:u w:val="none"/>
              </w:rPr>
            </w:pPr>
            <w:r>
              <w:rPr>
                <w:rFonts w:hint="eastAsia"/>
                <w:b/>
                <w:bCs/>
                <w:u w:val="none"/>
              </w:rPr>
              <w:t>9、工作制度及劳动定员</w:t>
            </w:r>
          </w:p>
          <w:p>
            <w:pPr>
              <w:ind w:firstLine="480"/>
              <w:rPr>
                <w:u w:val="none"/>
              </w:rPr>
            </w:pPr>
            <w:r>
              <w:rPr>
                <w:rFonts w:hint="eastAsia"/>
                <w:u w:val="none"/>
              </w:rPr>
              <w:t>劳动定员：本项目劳动定员1</w:t>
            </w:r>
            <w:r>
              <w:rPr>
                <w:rFonts w:hint="eastAsia"/>
                <w:u w:val="none"/>
                <w:lang w:val="en-US" w:eastAsia="zh-CN"/>
              </w:rPr>
              <w:t>7</w:t>
            </w:r>
            <w:r>
              <w:rPr>
                <w:rFonts w:hint="eastAsia"/>
                <w:u w:val="none"/>
              </w:rPr>
              <w:t>人，均不在厂内就餐、住宿。</w:t>
            </w:r>
          </w:p>
          <w:p>
            <w:pPr>
              <w:ind w:firstLine="480"/>
              <w:rPr>
                <w:u w:val="none"/>
              </w:rPr>
            </w:pPr>
            <w:r>
              <w:rPr>
                <w:rFonts w:hint="eastAsia"/>
                <w:u w:val="none"/>
              </w:rPr>
              <w:t>工作制度：年生产300天，</w:t>
            </w:r>
            <w:r>
              <w:rPr>
                <w:rFonts w:hint="eastAsia"/>
                <w:u w:val="none"/>
                <w:lang w:val="en-US" w:eastAsia="zh-CN"/>
              </w:rPr>
              <w:t>三</w:t>
            </w:r>
            <w:r>
              <w:rPr>
                <w:rFonts w:hint="eastAsia"/>
                <w:u w:val="none"/>
              </w:rPr>
              <w:t>班制，</w:t>
            </w:r>
            <w:r>
              <w:rPr>
                <w:rFonts w:hint="eastAsia"/>
                <w:u w:val="none"/>
                <w:lang w:val="en-US" w:eastAsia="zh-CN"/>
              </w:rPr>
              <w:t>每班8小时</w:t>
            </w:r>
            <w:r>
              <w:rPr>
                <w:rFonts w:hint="eastAsia"/>
                <w:u w:val="none"/>
              </w:rPr>
              <w:t>，年工作时间</w:t>
            </w:r>
            <w:r>
              <w:rPr>
                <w:rFonts w:hint="eastAsia"/>
                <w:u w:val="none"/>
                <w:lang w:val="en-US" w:eastAsia="zh-CN"/>
              </w:rPr>
              <w:t>72</w:t>
            </w:r>
            <w:r>
              <w:rPr>
                <w:rFonts w:hint="eastAsia"/>
                <w:u w:val="none"/>
              </w:rPr>
              <w:t>00小时。</w:t>
            </w:r>
          </w:p>
          <w:p>
            <w:pPr>
              <w:ind w:firstLine="480"/>
              <w:rPr>
                <w:b/>
                <w:bCs/>
                <w:u w:val="none"/>
              </w:rPr>
            </w:pPr>
            <w:r>
              <w:rPr>
                <w:rFonts w:hint="eastAsia"/>
                <w:b/>
                <w:bCs/>
                <w:u w:val="none"/>
              </w:rPr>
              <w:t>10、项目公用工程</w:t>
            </w:r>
          </w:p>
          <w:p>
            <w:pPr>
              <w:ind w:firstLine="480"/>
              <w:rPr>
                <w:u w:val="none"/>
              </w:rPr>
            </w:pPr>
            <w:r>
              <w:rPr>
                <w:rFonts w:hint="eastAsia"/>
                <w:u w:val="none"/>
              </w:rPr>
              <w:t>本项目供电依托当地市政电网供电，供水依托当地自来水管网供给，电力、自来水供应均能得到保障。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Borders>
              <w:top w:val="single" w:color="auto" w:sz="4" w:space="0"/>
            </w:tcBorders>
            <w:vAlign w:val="center"/>
          </w:tcPr>
          <w:p>
            <w:pPr>
              <w:ind w:firstLine="0" w:firstLineChars="0"/>
              <w:jc w:val="center"/>
              <w:rPr>
                <w:u w:val="none"/>
              </w:rPr>
            </w:pPr>
            <w:r>
              <w:rPr>
                <w:rFonts w:hint="eastAsia"/>
                <w:u w:val="none"/>
              </w:rPr>
              <w:t>工艺流程及产排污环节</w:t>
            </w:r>
          </w:p>
        </w:tc>
        <w:tc>
          <w:tcPr>
            <w:tcW w:w="8830" w:type="dxa"/>
            <w:tcBorders>
              <w:top w:val="single" w:color="auto" w:sz="4" w:space="0"/>
            </w:tcBorders>
          </w:tcPr>
          <w:p>
            <w:pPr>
              <w:ind w:firstLine="480"/>
              <w:rPr>
                <w:b/>
                <w:bCs/>
                <w:u w:val="none"/>
              </w:rPr>
            </w:pPr>
            <w:r>
              <w:rPr>
                <w:rFonts w:hint="eastAsia"/>
                <w:b/>
                <w:bCs/>
                <w:u w:val="none"/>
              </w:rPr>
              <w:t>1、施工期工艺流程及产污环节</w:t>
            </w:r>
          </w:p>
          <w:p>
            <w:pPr>
              <w:ind w:firstLine="480"/>
              <w:rPr>
                <w:u w:val="none"/>
              </w:rPr>
            </w:pPr>
            <w:r>
              <w:rPr>
                <w:rFonts w:hint="eastAsia"/>
                <w:u w:val="none"/>
              </w:rPr>
              <w:t>本项目施工期仅涉及设备安装，不涉及主体结构的改建。</w:t>
            </w:r>
          </w:p>
          <w:p>
            <w:pPr>
              <w:ind w:firstLine="480"/>
              <w:rPr>
                <w:u w:val="none"/>
              </w:rPr>
            </w:pPr>
            <w:r>
              <w:rPr>
                <w:rFonts w:hint="eastAsia"/>
                <w:u w:val="none"/>
              </w:rPr>
              <w:t>施工期主要为设备安装过程产生的噪声、少量焊接烟气，因施工量较小，上述过程污染物产生量较小，且均在厂房内进行，焊接烟气经自然沉降后不会排放到外环境，设备安装噪声经厂房隔声后对外环境影响较小。</w:t>
            </w:r>
          </w:p>
          <w:p>
            <w:pPr>
              <w:ind w:firstLine="480"/>
              <w:rPr>
                <w:u w:val="none"/>
              </w:rPr>
            </w:pPr>
            <w:r>
              <w:rPr>
                <w:rFonts w:hint="eastAsia"/>
                <w:u w:val="none"/>
              </w:rPr>
              <w:t>本项目施工期较短，污染源强较小，施工期对周围环境影响较小。</w:t>
            </w:r>
          </w:p>
          <w:p>
            <w:pPr>
              <w:numPr>
                <w:ilvl w:val="0"/>
                <w:numId w:val="0"/>
              </w:numPr>
              <w:ind w:firstLine="482" w:firstLineChars="200"/>
              <w:rPr>
                <w:b/>
                <w:bCs/>
                <w:u w:val="none"/>
              </w:rPr>
            </w:pPr>
            <w:r>
              <w:rPr>
                <w:rFonts w:hint="eastAsia" w:cs="Times New Roman"/>
                <w:b/>
                <w:bCs/>
                <w:kern w:val="2"/>
                <w:sz w:val="24"/>
                <w:szCs w:val="24"/>
                <w:lang w:val="en-US" w:eastAsia="zh-CN" w:bidi="ar-SA"/>
              </w:rPr>
              <w:t>2</w:t>
            </w:r>
            <w:r>
              <w:rPr>
                <w:rFonts w:ascii="Times New Roman" w:hAnsi="Times New Roman" w:eastAsia="宋体" w:cs="Times New Roman"/>
                <w:b/>
                <w:bCs/>
                <w:kern w:val="2"/>
                <w:sz w:val="24"/>
                <w:szCs w:val="24"/>
                <w:lang w:val="en-US" w:eastAsia="zh-CN" w:bidi="ar-SA"/>
              </w:rPr>
              <w:t>、</w:t>
            </w:r>
            <w:r>
              <w:rPr>
                <w:rFonts w:hint="eastAsia"/>
                <w:b/>
                <w:bCs/>
                <w:u w:val="none"/>
                <w:lang w:val="en-US" w:eastAsia="zh-CN"/>
              </w:rPr>
              <w:t>运营期</w:t>
            </w:r>
            <w:r>
              <w:rPr>
                <w:rFonts w:hint="eastAsia"/>
                <w:b/>
                <w:bCs/>
                <w:u w:val="none"/>
              </w:rPr>
              <w:t>生产工艺流程及产污环节</w:t>
            </w:r>
          </w:p>
          <w:p>
            <w:pPr>
              <w:pStyle w:val="37"/>
              <w:ind w:left="0" w:leftChars="0"/>
              <w:rPr>
                <w:u w:val="none"/>
              </w:rPr>
            </w:pPr>
            <w:r>
              <w:rPr>
                <w:rFonts w:hint="eastAsia"/>
                <w:u w:val="none"/>
              </w:rPr>
              <w:object>
                <v:shape id="_x0000_i1026" o:spt="75" type="#_x0000_t75" style="height:487.2pt;width:350pt;" o:ole="t" filled="f" o:preferrelative="t" stroked="f" coordsize="21600,21600">
                  <v:path/>
                  <v:fill on="f" focussize="0,0"/>
                  <v:stroke on="f"/>
                  <v:imagedata r:id="rId13" o:title=""/>
                  <o:lock v:ext="edit" aspectratio="f"/>
                  <w10:wrap type="none"/>
                  <w10:anchorlock/>
                </v:shape>
                <o:OLEObject Type="Embed" ProgID="Visio.Drawing.15" ShapeID="_x0000_i1026" DrawAspect="Content" ObjectID="_1468075726" r:id="rId12">
                  <o:LockedField>false</o:LockedField>
                </o:OLEObject>
              </w:object>
            </w:r>
          </w:p>
          <w:p>
            <w:pPr>
              <w:pStyle w:val="36"/>
              <w:ind w:left="480"/>
              <w:rPr>
                <w:u w:val="none"/>
              </w:rPr>
            </w:pPr>
            <w:r>
              <w:rPr>
                <w:rFonts w:hint="eastAsia"/>
                <w:u w:val="none"/>
              </w:rPr>
              <w:t xml:space="preserve">图2-2 </w:t>
            </w:r>
            <w:r>
              <w:rPr>
                <w:rFonts w:hint="eastAsia"/>
                <w:u w:val="none"/>
                <w:lang w:val="en-US" w:eastAsia="zh-CN"/>
              </w:rPr>
              <w:t>项目</w:t>
            </w:r>
            <w:r>
              <w:rPr>
                <w:rFonts w:hint="eastAsia"/>
                <w:u w:val="none"/>
              </w:rPr>
              <w:t>生产工艺流程及产排污环节图</w:t>
            </w:r>
          </w:p>
          <w:p>
            <w:pPr>
              <w:spacing w:line="360" w:lineRule="auto"/>
              <w:ind w:firstLine="480"/>
              <w:rPr>
                <w:u w:val="none"/>
              </w:rPr>
            </w:pPr>
            <w:r>
              <w:rPr>
                <w:rFonts w:hint="eastAsia"/>
                <w:u w:val="none"/>
              </w:rPr>
              <w:t>生产工艺流程说明：</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lang w:val="en-US" w:eastAsia="zh-CN"/>
              </w:rPr>
            </w:pPr>
            <w:r>
              <w:rPr>
                <w:rFonts w:hint="eastAsia"/>
                <w:u w:val="none"/>
                <w:lang w:eastAsia="zh-CN"/>
              </w:rPr>
              <w:t>（</w:t>
            </w:r>
            <w:r>
              <w:rPr>
                <w:rFonts w:hint="eastAsia"/>
                <w:u w:val="none"/>
                <w:lang w:val="en-US" w:eastAsia="zh-CN"/>
              </w:rPr>
              <w:t>1</w:t>
            </w:r>
            <w:r>
              <w:rPr>
                <w:rFonts w:hint="eastAsia"/>
                <w:u w:val="none"/>
                <w:lang w:eastAsia="zh-CN"/>
              </w:rPr>
              <w:t>）</w:t>
            </w:r>
            <w:r>
              <w:rPr>
                <w:rFonts w:hint="eastAsia"/>
                <w:u w:val="none"/>
              </w:rPr>
              <w:t>上料：</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2</w:t>
            </w:r>
            <w:r>
              <w:rPr>
                <w:rFonts w:hint="default" w:ascii="Times New Roman" w:hAnsi="Times New Roman" w:eastAsia="宋体" w:cs="Times New Roman"/>
                <w:u w:val="none"/>
                <w:lang w:eastAsia="zh-CN"/>
              </w:rPr>
              <w:t>）</w:t>
            </w:r>
            <w:r>
              <w:rPr>
                <w:rFonts w:hint="eastAsia" w:cs="Times New Roman"/>
                <w:u w:val="none"/>
                <w:lang w:val="en-US" w:eastAsia="zh-CN"/>
              </w:rPr>
              <w:t>放卷</w:t>
            </w:r>
            <w:r>
              <w:rPr>
                <w:rFonts w:hint="default" w:ascii="Times New Roman" w:hAnsi="Times New Roman" w:eastAsia="宋体" w:cs="Times New Roman"/>
                <w:u w:val="none"/>
              </w:rPr>
              <w:t>：</w:t>
            </w:r>
            <w:r>
              <w:rPr>
                <w:rFonts w:hint="default" w:ascii="Times New Roman" w:hAnsi="Times New Roman" w:eastAsia="宋体" w:cs="Times New Roman"/>
                <w:u w:val="none"/>
                <w:lang w:val="en-US" w:eastAsia="zh-CN"/>
              </w:rPr>
              <w:t>本环评对</w:t>
            </w:r>
            <w:r>
              <w:rPr>
                <w:rFonts w:hint="eastAsia" w:cs="Times New Roman"/>
                <w:u w:val="none"/>
                <w:lang w:val="en-US" w:eastAsia="zh-CN"/>
              </w:rPr>
              <w:t>放卷烫平</w:t>
            </w:r>
            <w:r>
              <w:rPr>
                <w:rFonts w:hint="default" w:ascii="Times New Roman" w:hAnsi="Times New Roman" w:eastAsia="宋体" w:cs="Times New Roman"/>
                <w:u w:val="none"/>
                <w:lang w:val="en-US" w:eastAsia="zh-CN"/>
              </w:rPr>
              <w:t>工序产生的废气不进行定量分析。</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lang w:val="en-US"/>
              </w:rPr>
            </w:pP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3</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rPr>
              <w:t>涂布：</w:t>
            </w:r>
            <w:r>
              <w:rPr>
                <w:rFonts w:hint="eastAsia" w:cs="Times New Roman"/>
                <w:u w:val="none"/>
                <w:lang w:val="en-US" w:eastAsia="zh-CN"/>
              </w:rPr>
              <w:t>该工序</w:t>
            </w:r>
            <w:r>
              <w:rPr>
                <w:rFonts w:hint="default" w:ascii="Times New Roman" w:hAnsi="Times New Roman" w:eastAsia="宋体" w:cs="Times New Roman"/>
                <w:u w:val="none"/>
                <w:lang w:val="en-US" w:eastAsia="zh-CN"/>
              </w:rPr>
              <w:t>产生少量VOCs</w:t>
            </w:r>
            <w:r>
              <w:rPr>
                <w:rFonts w:hint="eastAsia" w:cs="Times New Roman"/>
                <w:u w:val="none"/>
                <w:lang w:val="en-US" w:eastAsia="zh-CN"/>
              </w:rPr>
              <w:t>，</w:t>
            </w:r>
            <w:r>
              <w:rPr>
                <w:rFonts w:hint="default" w:ascii="Times New Roman" w:hAnsi="Times New Roman" w:eastAsia="宋体" w:cs="Times New Roman"/>
                <w:u w:val="none"/>
                <w:lang w:val="en-US" w:eastAsia="zh-CN"/>
              </w:rPr>
              <w:t>涂布</w:t>
            </w:r>
            <w:r>
              <w:rPr>
                <w:rFonts w:hint="eastAsia" w:ascii="Times New Roman" w:hAnsi="Times New Roman" w:eastAsia="宋体" w:cs="Times New Roman"/>
                <w:u w:val="none"/>
                <w:lang w:val="en-US" w:eastAsia="zh-CN"/>
              </w:rPr>
              <w:t>辊筒</w:t>
            </w:r>
            <w:r>
              <w:rPr>
                <w:rFonts w:hint="default" w:ascii="Times New Roman" w:hAnsi="Times New Roman" w:eastAsia="宋体" w:cs="Times New Roman"/>
                <w:u w:val="none"/>
                <w:lang w:val="en-US" w:eastAsia="zh-CN"/>
              </w:rPr>
              <w:t>清洁使用无尘擦拭布清理，会产生少量废抹布</w:t>
            </w:r>
            <w:r>
              <w:rPr>
                <w:rFonts w:hint="eastAsia" w:cs="Times New Roman"/>
                <w:u w:val="none"/>
                <w:lang w:val="en-US" w:eastAsia="zh-CN"/>
              </w:rPr>
              <w:t>手套</w:t>
            </w:r>
            <w:r>
              <w:rPr>
                <w:rFonts w:hint="default" w:ascii="Times New Roman" w:hAnsi="Times New Roman" w:eastAsia="宋体" w:cs="Times New Roman"/>
                <w:u w:val="none"/>
                <w:lang w:val="en-US" w:eastAsia="zh-CN"/>
              </w:rPr>
              <w:t>、废</w:t>
            </w:r>
            <w:r>
              <w:rPr>
                <w:rFonts w:hint="eastAsia" w:cs="Times New Roman"/>
                <w:u w:val="none"/>
                <w:lang w:val="en-US" w:eastAsia="zh-CN"/>
              </w:rPr>
              <w:t>水性</w:t>
            </w:r>
            <w:r>
              <w:rPr>
                <w:rFonts w:hint="default" w:ascii="Times New Roman" w:hAnsi="Times New Roman" w:eastAsia="宋体" w:cs="Times New Roman"/>
                <w:u w:val="none"/>
                <w:lang w:val="en-US" w:eastAsia="zh-CN"/>
              </w:rPr>
              <w:t>涂料桶</w:t>
            </w:r>
            <w:r>
              <w:rPr>
                <w:rFonts w:hint="eastAsia" w:cs="Times New Roman"/>
                <w:u w:val="none"/>
                <w:lang w:val="en-US" w:eastAsia="zh-CN"/>
              </w:rPr>
              <w:t>、废水性涂料</w:t>
            </w:r>
            <w:r>
              <w:rPr>
                <w:rFonts w:hint="default" w:ascii="Times New Roman" w:hAnsi="Times New Roman" w:eastAsia="宋体" w:cs="Times New Roman"/>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4</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rPr>
              <w:t>烘干：湿膜进入多段温区烘道</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rPr>
              <w:t>通过</w:t>
            </w:r>
            <w:r>
              <w:rPr>
                <w:rFonts w:hint="default" w:ascii="Times New Roman" w:hAnsi="Times New Roman" w:eastAsia="宋体" w:cs="Times New Roman"/>
                <w:u w:val="none"/>
                <w:lang w:val="en-US" w:eastAsia="zh-CN"/>
              </w:rPr>
              <w:t>电加热，</w:t>
            </w:r>
            <w:r>
              <w:rPr>
                <w:rFonts w:hint="default" w:ascii="Times New Roman" w:hAnsi="Times New Roman" w:eastAsia="宋体" w:cs="Times New Roman"/>
                <w:u w:val="none"/>
              </w:rPr>
              <w:t>热风循环使水分蒸发、树脂成膜固化</w:t>
            </w:r>
            <w:r>
              <w:rPr>
                <w:rFonts w:hint="default" w:ascii="Times New Roman" w:hAnsi="Times New Roman" w:eastAsia="宋体" w:cs="Times New Roman"/>
                <w:u w:val="none"/>
                <w:lang w:val="en-US" w:eastAsia="zh-CN"/>
              </w:rPr>
              <w:t>该工序会产生</w:t>
            </w:r>
            <w:r>
              <w:rPr>
                <w:rFonts w:hint="eastAsia" w:ascii="Times New Roman" w:hAnsi="Times New Roman" w:eastAsia="宋体" w:cs="Times New Roman"/>
                <w:u w:val="none"/>
                <w:lang w:val="en-US" w:eastAsia="zh-CN"/>
              </w:rPr>
              <w:t>VOCs</w:t>
            </w:r>
            <w:r>
              <w:rPr>
                <w:rFonts w:hint="default" w:ascii="Times New Roman" w:hAnsi="Times New Roman" w:eastAsia="宋体" w:cs="Times New Roman"/>
                <w:u w:val="none"/>
                <w:lang w:val="en-US" w:eastAsia="zh-CN"/>
              </w:rPr>
              <w:t>废气。</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lang w:eastAsia="zh-CN"/>
              </w:rPr>
            </w:pP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5</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rPr>
              <w:t>冷却：固化后的膜材经冷却辊降温定型</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冷却介质为纯水，循环使用不外排，定期补充纯水。</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rPr>
            </w:pP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6</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rPr>
              <w:t>收卷下机：由高精度收卷机在恒定张力下，收成大卷半成品（母卷）。</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7</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rPr>
              <w:t>分切：根据客户订单要求，设定参数，进行纵向分条和横向裁切。</w:t>
            </w:r>
            <w:r>
              <w:rPr>
                <w:rFonts w:hint="default" w:ascii="Times New Roman" w:hAnsi="Times New Roman" w:eastAsia="宋体" w:cs="Times New Roman"/>
                <w:u w:val="none"/>
                <w:lang w:val="en-US" w:eastAsia="zh-CN"/>
              </w:rPr>
              <w:t>该工序会产生边角料。</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8</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rPr>
              <w:t>分检：操作工对分切后的小卷进行外观检验，剔除有涂层瑕疵、毛边、污渍或接头不良的产品。</w:t>
            </w:r>
            <w:r>
              <w:rPr>
                <w:rFonts w:hint="default" w:ascii="Times New Roman" w:hAnsi="Times New Roman" w:eastAsia="宋体" w:cs="Times New Roman"/>
                <w:u w:val="none"/>
                <w:lang w:val="en-US" w:eastAsia="zh-CN"/>
              </w:rPr>
              <w:t>该工序会产生一定的不合格产品。</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9</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rPr>
              <w:t>包装：</w:t>
            </w:r>
            <w:r>
              <w:rPr>
                <w:rFonts w:hint="default" w:ascii="Times New Roman" w:hAnsi="Times New Roman" w:eastAsia="宋体" w:cs="Times New Roman"/>
                <w:u w:val="none"/>
                <w:lang w:val="en-US" w:eastAsia="zh-CN"/>
              </w:rPr>
              <w:t>人工</w:t>
            </w:r>
            <w:r>
              <w:rPr>
                <w:rFonts w:hint="default" w:ascii="Times New Roman" w:hAnsi="Times New Roman" w:eastAsia="宋体" w:cs="Times New Roman"/>
                <w:u w:val="none"/>
              </w:rPr>
              <w:t>使用PE袋、气泡膜等内包装，纸箱或缠绕膜外包装，加固保护。</w:t>
            </w:r>
            <w:r>
              <w:rPr>
                <w:rFonts w:hint="default" w:ascii="Times New Roman" w:hAnsi="Times New Roman" w:eastAsia="宋体" w:cs="Times New Roman"/>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rPr>
            </w:pPr>
            <w:r>
              <w:rPr>
                <w:rFonts w:hint="default" w:ascii="Times New Roman" w:hAnsi="Times New Roman" w:eastAsia="宋体" w:cs="Times New Roman"/>
                <w:u w:val="none"/>
                <w:lang w:eastAsia="zh-CN"/>
              </w:rPr>
              <w:t>（</w:t>
            </w:r>
            <w:r>
              <w:rPr>
                <w:rFonts w:hint="default" w:ascii="Times New Roman" w:hAnsi="Times New Roman" w:eastAsia="宋体" w:cs="Times New Roman"/>
                <w:u w:val="none"/>
                <w:lang w:val="en-US" w:eastAsia="zh-CN"/>
              </w:rPr>
              <w:t>10</w:t>
            </w:r>
            <w:r>
              <w:rPr>
                <w:rFonts w:hint="default" w:ascii="Times New Roman" w:hAnsi="Times New Roman" w:eastAsia="宋体" w:cs="Times New Roman"/>
                <w:u w:val="none"/>
                <w:lang w:eastAsia="zh-CN"/>
              </w:rPr>
              <w:t>）</w:t>
            </w:r>
            <w:r>
              <w:rPr>
                <w:rFonts w:hint="default" w:ascii="Times New Roman" w:hAnsi="Times New Roman" w:eastAsia="宋体" w:cs="Times New Roman"/>
                <w:u w:val="none"/>
              </w:rPr>
              <w:t>入库与出货：包装后成品送入成品库，按定置管理存放。依据订单计划出库发货。</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val="0"/>
                <w:u w:val="none"/>
              </w:rPr>
            </w:pPr>
            <w:r>
              <w:rPr>
                <w:rFonts w:hint="eastAsia" w:ascii="Times New Roman" w:hAnsi="Times New Roman" w:cs="Times New Roman"/>
                <w:b/>
                <w:bCs w:val="0"/>
                <w:u w:val="none"/>
              </w:rPr>
              <w:t>表2-</w:t>
            </w:r>
            <w:r>
              <w:rPr>
                <w:rFonts w:hint="eastAsia" w:ascii="Times New Roman" w:hAnsi="Times New Roman" w:cs="Times New Roman"/>
                <w:b/>
                <w:bCs w:val="0"/>
                <w:u w:val="none"/>
                <w:lang w:val="en-US" w:eastAsia="zh-CN"/>
              </w:rPr>
              <w:t>7</w:t>
            </w:r>
            <w:r>
              <w:rPr>
                <w:rFonts w:hint="eastAsia" w:ascii="Times New Roman" w:hAnsi="Times New Roman" w:cs="Times New Roman"/>
                <w:b/>
                <w:bCs w:val="0"/>
                <w:u w:val="none"/>
              </w:rPr>
              <w:t xml:space="preserve"> 主要污染物产生情况</w:t>
            </w:r>
          </w:p>
          <w:tbl>
            <w:tblPr>
              <w:tblStyle w:val="24"/>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922"/>
              <w:gridCol w:w="1683"/>
              <w:gridCol w:w="1514"/>
              <w:gridCol w:w="1247"/>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Align w:val="center"/>
                </w:tcPr>
                <w:p>
                  <w:pPr>
                    <w:pStyle w:val="37"/>
                    <w:ind w:left="0" w:leftChars="0"/>
                    <w:rPr>
                      <w:b/>
                      <w:bCs/>
                      <w:color w:val="000000" w:themeColor="text1"/>
                      <w:u w:val="none"/>
                      <w14:textFill>
                        <w14:solidFill>
                          <w14:schemeClr w14:val="tx1"/>
                        </w14:solidFill>
                      </w14:textFill>
                    </w:rPr>
                  </w:pPr>
                  <w:r>
                    <w:rPr>
                      <w:b/>
                      <w:bCs/>
                      <w:color w:val="000000" w:themeColor="text1"/>
                      <w:u w:val="none"/>
                      <w14:textFill>
                        <w14:solidFill>
                          <w14:schemeClr w14:val="tx1"/>
                        </w14:solidFill>
                      </w14:textFill>
                    </w:rPr>
                    <w:t>污染物类别</w:t>
                  </w:r>
                </w:p>
              </w:tc>
              <w:tc>
                <w:tcPr>
                  <w:tcW w:w="922" w:type="dxa"/>
                  <w:vAlign w:val="center"/>
                </w:tcPr>
                <w:p>
                  <w:pPr>
                    <w:pStyle w:val="37"/>
                    <w:ind w:left="0" w:leftChars="0"/>
                    <w:rPr>
                      <w:b/>
                      <w:bCs/>
                      <w:color w:val="000000" w:themeColor="text1"/>
                      <w:u w:val="none"/>
                      <w14:textFill>
                        <w14:solidFill>
                          <w14:schemeClr w14:val="tx1"/>
                        </w14:solidFill>
                      </w14:textFill>
                    </w:rPr>
                  </w:pPr>
                  <w:r>
                    <w:rPr>
                      <w:b/>
                      <w:bCs/>
                      <w:color w:val="000000" w:themeColor="text1"/>
                      <w:u w:val="none"/>
                      <w14:textFill>
                        <w14:solidFill>
                          <w14:schemeClr w14:val="tx1"/>
                        </w14:solidFill>
                      </w14:textFill>
                    </w:rPr>
                    <w:t>污染物代码</w:t>
                  </w:r>
                </w:p>
              </w:tc>
              <w:tc>
                <w:tcPr>
                  <w:tcW w:w="1683" w:type="dxa"/>
                  <w:vAlign w:val="center"/>
                </w:tcPr>
                <w:p>
                  <w:pPr>
                    <w:pStyle w:val="37"/>
                    <w:ind w:left="0" w:leftChars="0"/>
                    <w:rPr>
                      <w:b/>
                      <w:bCs/>
                      <w:color w:val="000000" w:themeColor="text1"/>
                      <w:u w:val="none"/>
                      <w14:textFill>
                        <w14:solidFill>
                          <w14:schemeClr w14:val="tx1"/>
                        </w14:solidFill>
                      </w14:textFill>
                    </w:rPr>
                  </w:pPr>
                  <w:r>
                    <w:rPr>
                      <w:b/>
                      <w:bCs/>
                      <w:color w:val="000000" w:themeColor="text1"/>
                      <w:u w:val="none"/>
                      <w14:textFill>
                        <w14:solidFill>
                          <w14:schemeClr w14:val="tx1"/>
                        </w14:solidFill>
                      </w14:textFill>
                    </w:rPr>
                    <w:t>污染物名称</w:t>
                  </w:r>
                </w:p>
              </w:tc>
              <w:tc>
                <w:tcPr>
                  <w:tcW w:w="1514" w:type="dxa"/>
                  <w:vAlign w:val="center"/>
                </w:tcPr>
                <w:p>
                  <w:pPr>
                    <w:pStyle w:val="37"/>
                    <w:ind w:left="0" w:leftChars="0"/>
                    <w:rPr>
                      <w:b/>
                      <w:bCs/>
                      <w:color w:val="000000" w:themeColor="text1"/>
                      <w:u w:val="none"/>
                      <w14:textFill>
                        <w14:solidFill>
                          <w14:schemeClr w14:val="tx1"/>
                        </w14:solidFill>
                      </w14:textFill>
                    </w:rPr>
                  </w:pPr>
                  <w:r>
                    <w:rPr>
                      <w:b/>
                      <w:bCs/>
                      <w:color w:val="000000" w:themeColor="text1"/>
                      <w:u w:val="none"/>
                      <w14:textFill>
                        <w14:solidFill>
                          <w14:schemeClr w14:val="tx1"/>
                        </w14:solidFill>
                      </w14:textFill>
                    </w:rPr>
                    <w:t>产物节点</w:t>
                  </w:r>
                </w:p>
              </w:tc>
              <w:tc>
                <w:tcPr>
                  <w:tcW w:w="1247" w:type="dxa"/>
                  <w:vAlign w:val="center"/>
                </w:tcPr>
                <w:p>
                  <w:pPr>
                    <w:pStyle w:val="37"/>
                    <w:ind w:left="0" w:leftChars="0"/>
                    <w:rPr>
                      <w:b/>
                      <w:bCs/>
                      <w:color w:val="000000" w:themeColor="text1"/>
                      <w:u w:val="none"/>
                      <w14:textFill>
                        <w14:solidFill>
                          <w14:schemeClr w14:val="tx1"/>
                        </w14:solidFill>
                      </w14:textFill>
                    </w:rPr>
                  </w:pPr>
                  <w:r>
                    <w:rPr>
                      <w:b/>
                      <w:bCs/>
                      <w:color w:val="000000" w:themeColor="text1"/>
                      <w:u w:val="none"/>
                      <w14:textFill>
                        <w14:solidFill>
                          <w14:schemeClr w14:val="tx1"/>
                        </w14:solidFill>
                      </w14:textFill>
                    </w:rPr>
                    <w:t>处理方式</w:t>
                  </w:r>
                </w:p>
              </w:tc>
              <w:tc>
                <w:tcPr>
                  <w:tcW w:w="2351" w:type="dxa"/>
                  <w:vAlign w:val="center"/>
                </w:tcPr>
                <w:p>
                  <w:pPr>
                    <w:pStyle w:val="37"/>
                    <w:ind w:left="0" w:leftChars="0"/>
                    <w:rPr>
                      <w:b/>
                      <w:bCs/>
                      <w:color w:val="000000" w:themeColor="text1"/>
                      <w:u w:val="none"/>
                      <w14:textFill>
                        <w14:solidFill>
                          <w14:schemeClr w14:val="tx1"/>
                        </w14:solidFill>
                      </w14:textFill>
                    </w:rPr>
                  </w:pPr>
                  <w:r>
                    <w:rPr>
                      <w:b/>
                      <w:bCs/>
                      <w:color w:val="000000" w:themeColor="text1"/>
                      <w:u w:val="none"/>
                      <w14:textFill>
                        <w14:solidFill>
                          <w14:schemeClr w14:val="tx1"/>
                        </w14:solidFill>
                      </w14:textFill>
                    </w:rPr>
                    <w:t>污染物去向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9" w:type="dxa"/>
                  <w:vMerge w:val="restart"/>
                  <w:vAlign w:val="center"/>
                </w:tcPr>
                <w:p>
                  <w:pPr>
                    <w:pStyle w:val="37"/>
                    <w:ind w:left="0" w:left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废水</w:t>
                  </w:r>
                </w:p>
              </w:tc>
              <w:tc>
                <w:tcPr>
                  <w:tcW w:w="922"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W</w:t>
                  </w:r>
                  <w:r>
                    <w:rPr>
                      <w:rFonts w:hint="eastAsia"/>
                      <w:color w:val="000000" w:themeColor="text1"/>
                      <w:u w:val="none"/>
                      <w14:textFill>
                        <w14:solidFill>
                          <w14:schemeClr w14:val="tx1"/>
                        </w14:solidFill>
                      </w14:textFill>
                    </w:rPr>
                    <w:t>1</w:t>
                  </w:r>
                </w:p>
              </w:tc>
              <w:tc>
                <w:tcPr>
                  <w:tcW w:w="1683"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生活污水</w:t>
                  </w:r>
                </w:p>
              </w:tc>
              <w:tc>
                <w:tcPr>
                  <w:tcW w:w="1514"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员工生活</w:t>
                  </w:r>
                </w:p>
              </w:tc>
              <w:tc>
                <w:tcPr>
                  <w:tcW w:w="1247" w:type="dxa"/>
                  <w:vMerge w:val="restart"/>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化粪池</w:t>
                  </w:r>
                </w:p>
              </w:tc>
              <w:tc>
                <w:tcPr>
                  <w:tcW w:w="2351" w:type="dxa"/>
                  <w:vMerge w:val="restart"/>
                  <w:vAlign w:val="center"/>
                </w:tcPr>
                <w:p>
                  <w:pPr>
                    <w:pStyle w:val="37"/>
                    <w:ind w:left="0" w:leftChars="0"/>
                    <w:rPr>
                      <w:rFonts w:ascii="Times New Roman" w:hAnsi="Times New Roman" w:eastAsia="宋体" w:cs="Times New Roman"/>
                      <w:color w:val="000000" w:themeColor="text1"/>
                      <w:u w:val="none"/>
                      <w14:textFill>
                        <w14:solidFill>
                          <w14:schemeClr w14:val="tx1"/>
                        </w14:solidFill>
                      </w14:textFill>
                    </w:rPr>
                  </w:pPr>
                  <w:r>
                    <w:rPr>
                      <w:rFonts w:ascii="Times New Roman" w:hAnsi="Times New Roman" w:eastAsia="宋体" w:cs="Times New Roman"/>
                      <w:color w:val="000000" w:themeColor="text1"/>
                      <w:u w:val="none"/>
                      <w14:textFill>
                        <w14:solidFill>
                          <w14:schemeClr w14:val="tx1"/>
                        </w14:solidFill>
                      </w14:textFill>
                    </w:rPr>
                    <w:t>经化粪池预处理后排入市政管网进入湘阴县第二污水处理厂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89" w:type="dxa"/>
                  <w:vMerge w:val="continue"/>
                  <w:vAlign w:val="center"/>
                </w:tcPr>
                <w:p>
                  <w:pPr>
                    <w:pStyle w:val="37"/>
                    <w:ind w:left="0" w:leftChars="0"/>
                    <w:rPr>
                      <w:rFonts w:hint="eastAsia"/>
                      <w:color w:val="000000" w:themeColor="text1"/>
                      <w:u w:val="none"/>
                      <w14:textFill>
                        <w14:solidFill>
                          <w14:schemeClr w14:val="tx1"/>
                        </w14:solidFill>
                      </w14:textFill>
                    </w:rPr>
                  </w:pPr>
                </w:p>
              </w:tc>
              <w:tc>
                <w:tcPr>
                  <w:tcW w:w="922" w:type="dxa"/>
                  <w:vAlign w:val="center"/>
                </w:tcPr>
                <w:p>
                  <w:pPr>
                    <w:pStyle w:val="37"/>
                    <w:ind w:left="0" w:left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W2</w:t>
                  </w:r>
                </w:p>
              </w:tc>
              <w:tc>
                <w:tcPr>
                  <w:tcW w:w="1683" w:type="dxa"/>
                  <w:vAlign w:val="center"/>
                </w:tcPr>
                <w:p>
                  <w:pPr>
                    <w:pStyle w:val="37"/>
                    <w:ind w:left="0" w:left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地面清洁废水</w:t>
                  </w:r>
                </w:p>
              </w:tc>
              <w:tc>
                <w:tcPr>
                  <w:tcW w:w="1514" w:type="dxa"/>
                  <w:vAlign w:val="center"/>
                </w:tcPr>
                <w:p>
                  <w:pPr>
                    <w:pStyle w:val="37"/>
                    <w:ind w:left="0" w:leftChars="0"/>
                    <w:rPr>
                      <w:rFonts w:hint="eastAsia"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地面清洁</w:t>
                  </w:r>
                </w:p>
              </w:tc>
              <w:tc>
                <w:tcPr>
                  <w:tcW w:w="1247" w:type="dxa"/>
                  <w:vMerge w:val="continue"/>
                  <w:vAlign w:val="center"/>
                </w:tcPr>
                <w:p>
                  <w:pPr>
                    <w:pStyle w:val="37"/>
                    <w:ind w:left="0" w:leftChars="0"/>
                    <w:rPr>
                      <w:rFonts w:hint="eastAsia" w:eastAsia="宋体"/>
                      <w:color w:val="000000" w:themeColor="text1"/>
                      <w:u w:val="none"/>
                      <w:lang w:val="en-US" w:eastAsia="zh-CN"/>
                      <w14:textFill>
                        <w14:solidFill>
                          <w14:schemeClr w14:val="tx1"/>
                        </w14:solidFill>
                      </w14:textFill>
                    </w:rPr>
                  </w:pPr>
                </w:p>
              </w:tc>
              <w:tc>
                <w:tcPr>
                  <w:tcW w:w="2351" w:type="dxa"/>
                  <w:vMerge w:val="continue"/>
                  <w:vAlign w:val="center"/>
                </w:tcPr>
                <w:p>
                  <w:pPr>
                    <w:pStyle w:val="37"/>
                    <w:ind w:left="0" w:leftChars="0"/>
                    <w:rPr>
                      <w:rFonts w:ascii="Times New Roman" w:hAnsi="Times New Roman" w:eastAsia="宋体" w:cs="Times New Roman"/>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Align w:val="center"/>
                </w:tcPr>
                <w:p>
                  <w:pPr>
                    <w:pStyle w:val="37"/>
                    <w:ind w:left="0" w:left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废气</w:t>
                  </w:r>
                </w:p>
              </w:tc>
              <w:tc>
                <w:tcPr>
                  <w:tcW w:w="922"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G</w:t>
                  </w:r>
                  <w:r>
                    <w:rPr>
                      <w:rFonts w:hint="eastAsia"/>
                      <w:color w:val="000000" w:themeColor="text1"/>
                      <w:u w:val="none"/>
                      <w14:textFill>
                        <w14:solidFill>
                          <w14:schemeClr w14:val="tx1"/>
                        </w14:solidFill>
                      </w14:textFill>
                    </w:rPr>
                    <w:t>1</w:t>
                  </w:r>
                </w:p>
              </w:tc>
              <w:tc>
                <w:tcPr>
                  <w:tcW w:w="1683"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有机废气</w:t>
                  </w:r>
                </w:p>
              </w:tc>
              <w:tc>
                <w:tcPr>
                  <w:tcW w:w="1514" w:type="dxa"/>
                  <w:vAlign w:val="center"/>
                </w:tcPr>
                <w:p>
                  <w:pPr>
                    <w:pStyle w:val="37"/>
                    <w:ind w:left="0" w:left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涂布烘干</w:t>
                  </w:r>
                </w:p>
              </w:tc>
              <w:tc>
                <w:tcPr>
                  <w:tcW w:w="1247" w:type="dxa"/>
                  <w:vAlign w:val="center"/>
                </w:tcPr>
                <w:p>
                  <w:pPr>
                    <w:pStyle w:val="37"/>
                    <w:ind w:left="0" w:left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二级活性炭</w:t>
                  </w:r>
                </w:p>
              </w:tc>
              <w:tc>
                <w:tcPr>
                  <w:tcW w:w="2351" w:type="dxa"/>
                  <w:vAlign w:val="center"/>
                </w:tcPr>
                <w:p>
                  <w:pPr>
                    <w:pStyle w:val="37"/>
                    <w:ind w:left="0" w:leftChars="0"/>
                    <w:rPr>
                      <w:rFonts w:ascii="Times New Roman" w:hAnsi="Times New Roman" w:eastAsia="宋体" w:cs="Times New Roman"/>
                      <w:color w:val="000000" w:themeColor="text1"/>
                      <w:u w:val="none"/>
                      <w14:textFill>
                        <w14:solidFill>
                          <w14:schemeClr w14:val="tx1"/>
                        </w14:solidFill>
                      </w14:textFill>
                    </w:rPr>
                  </w:pPr>
                  <w:r>
                    <w:rPr>
                      <w:rFonts w:hint="eastAsia" w:ascii="Times New Roman" w:hAnsi="Times New Roman" w:eastAsia="宋体" w:cs="Times New Roman"/>
                      <w:color w:val="000000" w:themeColor="text1"/>
                      <w:u w:val="none"/>
                      <w14:textFill>
                        <w14:solidFill>
                          <w14:schemeClr w14:val="tx1"/>
                        </w14:solidFill>
                      </w14:textFill>
                    </w:rPr>
                    <w:t>经过</w:t>
                  </w:r>
                  <w:r>
                    <w:rPr>
                      <w:rFonts w:hint="eastAsia" w:ascii="Times New Roman" w:hAnsi="Times New Roman" w:eastAsia="宋体" w:cs="Times New Roman"/>
                      <w:color w:val="000000" w:themeColor="text1"/>
                      <w:u w:val="none"/>
                      <w:lang w:val="en-US" w:eastAsia="zh-CN"/>
                      <w14:textFill>
                        <w14:solidFill>
                          <w14:schemeClr w14:val="tx1"/>
                        </w14:solidFill>
                      </w14:textFill>
                    </w:rPr>
                    <w:t>二级活性炭</w:t>
                  </w:r>
                  <w:r>
                    <w:rPr>
                      <w:rFonts w:hint="eastAsia" w:ascii="Times New Roman" w:hAnsi="Times New Roman" w:eastAsia="宋体" w:cs="Times New Roman"/>
                      <w:color w:val="000000" w:themeColor="text1"/>
                      <w:u w:val="none"/>
                      <w14:textFill>
                        <w14:solidFill>
                          <w14:schemeClr w14:val="tx1"/>
                        </w14:solidFill>
                      </w14:textFill>
                    </w:rPr>
                    <w:t>装置处理后通过一根15m高排气筒DA001排放。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噪声</w:t>
                  </w:r>
                </w:p>
              </w:tc>
              <w:tc>
                <w:tcPr>
                  <w:tcW w:w="922"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N1</w:t>
                  </w:r>
                </w:p>
              </w:tc>
              <w:tc>
                <w:tcPr>
                  <w:tcW w:w="1683"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噪声</w:t>
                  </w:r>
                </w:p>
              </w:tc>
              <w:tc>
                <w:tcPr>
                  <w:tcW w:w="1514" w:type="dxa"/>
                  <w:vAlign w:val="center"/>
                </w:tcPr>
                <w:p>
                  <w:pPr>
                    <w:pStyle w:val="37"/>
                    <w:ind w:left="0" w:leftChars="0"/>
                    <w:rPr>
                      <w:rFonts w:hint="default" w:eastAsia="宋体"/>
                      <w:color w:val="000000" w:themeColor="text1"/>
                      <w:u w:val="none"/>
                      <w:lang w:val="en-US" w:eastAsia="zh-CN"/>
                      <w14:textFill>
                        <w14:solidFill>
                          <w14:schemeClr w14:val="tx1"/>
                        </w14:solidFill>
                      </w14:textFill>
                    </w:rPr>
                  </w:pPr>
                  <w:r>
                    <w:rPr>
                      <w:rFonts w:hint="eastAsia"/>
                      <w:color w:val="000000" w:themeColor="text1"/>
                      <w:kern w:val="0"/>
                      <w:u w:val="none"/>
                      <w:lang w:val="en-US" w:eastAsia="zh-CN" w:bidi="ar"/>
                      <w14:textFill>
                        <w14:solidFill>
                          <w14:schemeClr w14:val="tx1"/>
                        </w14:solidFill>
                      </w14:textFill>
                    </w:rPr>
                    <w:t>设备运行</w:t>
                  </w:r>
                </w:p>
              </w:tc>
              <w:tc>
                <w:tcPr>
                  <w:tcW w:w="3598" w:type="dxa"/>
                  <w:gridSpan w:val="2"/>
                  <w:vAlign w:val="center"/>
                </w:tcPr>
                <w:p>
                  <w:pPr>
                    <w:pStyle w:val="37"/>
                    <w:ind w:left="0" w:left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基础减振、合理布置、合理安排作业时间、设备基础安装减震软垫。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restart"/>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固废</w:t>
                  </w:r>
                </w:p>
              </w:tc>
              <w:tc>
                <w:tcPr>
                  <w:tcW w:w="922"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S1</w:t>
                  </w:r>
                </w:p>
              </w:tc>
              <w:tc>
                <w:tcPr>
                  <w:tcW w:w="1683" w:type="dxa"/>
                  <w:vAlign w:val="center"/>
                </w:tcPr>
                <w:p>
                  <w:pPr>
                    <w:pStyle w:val="37"/>
                    <w:ind w:left="0" w:left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废包装材料</w:t>
                  </w:r>
                </w:p>
              </w:tc>
              <w:tc>
                <w:tcPr>
                  <w:tcW w:w="1514" w:type="dxa"/>
                  <w:vAlign w:val="center"/>
                </w:tcPr>
                <w:p>
                  <w:pPr>
                    <w:pStyle w:val="37"/>
                    <w:ind w:left="0" w:leftChars="0" w:firstLine="0" w:firstLine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包装材料</w:t>
                  </w:r>
                </w:p>
              </w:tc>
              <w:tc>
                <w:tcPr>
                  <w:tcW w:w="3598" w:type="dxa"/>
                  <w:gridSpan w:val="2"/>
                  <w:vMerge w:val="restart"/>
                  <w:vAlign w:val="center"/>
                </w:tcPr>
                <w:p>
                  <w:pPr>
                    <w:pStyle w:val="37"/>
                    <w:ind w:left="0" w:leftChars="0"/>
                    <w:jc w:val="both"/>
                    <w:rPr>
                      <w:color w:val="000000" w:themeColor="text1"/>
                      <w:u w:val="none"/>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暂存于一般固废暂存间，</w:t>
                  </w:r>
                  <w:r>
                    <w:rPr>
                      <w:rFonts w:hint="eastAsia" w:ascii="宋体" w:hAnsi="宋体" w:eastAsia="宋体" w:cs="宋体"/>
                      <w:color w:val="000000"/>
                      <w:kern w:val="2"/>
                      <w:sz w:val="21"/>
                      <w:szCs w:val="21"/>
                      <w:lang w:val="en-US" w:eastAsia="zh-CN" w:bidi="ar"/>
                    </w:rPr>
                    <w:t>定期由</w:t>
                  </w:r>
                  <w:r>
                    <w:rPr>
                      <w:rFonts w:hint="eastAsia" w:ascii="宋体" w:hAnsi="宋体" w:cs="宋体"/>
                      <w:color w:val="000000"/>
                      <w:kern w:val="2"/>
                      <w:sz w:val="21"/>
                      <w:szCs w:val="21"/>
                      <w:lang w:val="en-US" w:eastAsia="zh-CN" w:bidi="ar"/>
                    </w:rPr>
                    <w:t>回收利用单位回收。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89" w:type="dxa"/>
                  <w:vMerge w:val="continue"/>
                  <w:vAlign w:val="center"/>
                </w:tcPr>
                <w:p>
                  <w:pPr>
                    <w:pStyle w:val="37"/>
                    <w:ind w:left="0" w:leftChars="0"/>
                    <w:rPr>
                      <w:color w:val="000000" w:themeColor="text1"/>
                      <w:u w:val="none"/>
                      <w14:textFill>
                        <w14:solidFill>
                          <w14:schemeClr w14:val="tx1"/>
                        </w14:solidFill>
                      </w14:textFill>
                    </w:rPr>
                  </w:pPr>
                </w:p>
              </w:tc>
              <w:tc>
                <w:tcPr>
                  <w:tcW w:w="922" w:type="dxa"/>
                  <w:vAlign w:val="center"/>
                </w:tcPr>
                <w:p>
                  <w:pPr>
                    <w:pStyle w:val="37"/>
                    <w:ind w:left="0" w:leftChars="0"/>
                    <w:rPr>
                      <w:color w:val="000000" w:themeColor="text1"/>
                      <w:u w:val="none"/>
                      <w14:textFill>
                        <w14:solidFill>
                          <w14:schemeClr w14:val="tx1"/>
                        </w14:solidFill>
                      </w14:textFill>
                    </w:rPr>
                  </w:pPr>
                  <w:r>
                    <w:rPr>
                      <w:color w:val="000000" w:themeColor="text1"/>
                      <w:u w:val="none"/>
                      <w14:textFill>
                        <w14:solidFill>
                          <w14:schemeClr w14:val="tx1"/>
                        </w14:solidFill>
                      </w14:textFill>
                    </w:rPr>
                    <w:t>S</w:t>
                  </w:r>
                  <w:r>
                    <w:rPr>
                      <w:rFonts w:hint="eastAsia"/>
                      <w:color w:val="000000" w:themeColor="text1"/>
                      <w:u w:val="none"/>
                      <w14:textFill>
                        <w14:solidFill>
                          <w14:schemeClr w14:val="tx1"/>
                        </w14:solidFill>
                      </w14:textFill>
                    </w:rPr>
                    <w:t>2</w:t>
                  </w:r>
                </w:p>
              </w:tc>
              <w:tc>
                <w:tcPr>
                  <w:tcW w:w="1683" w:type="dxa"/>
                  <w:vAlign w:val="center"/>
                </w:tcPr>
                <w:p>
                  <w:pPr>
                    <w:pStyle w:val="37"/>
                    <w:ind w:left="0" w:leftChars="0" w:firstLine="0" w:firstLineChars="0"/>
                    <w:rPr>
                      <w:color w:val="000000" w:themeColor="text1"/>
                      <w:u w:val="none"/>
                      <w14:textFill>
                        <w14:solidFill>
                          <w14:schemeClr w14:val="tx1"/>
                        </w14:solidFill>
                      </w14:textFill>
                    </w:rPr>
                  </w:pPr>
                  <w:r>
                    <w:rPr>
                      <w:rFonts w:hint="eastAsia"/>
                      <w:color w:val="000000" w:themeColor="text1"/>
                      <w:u w:val="none"/>
                      <w:lang w:val="en-US" w:eastAsia="zh-CN"/>
                      <w14:textFill>
                        <w14:solidFill>
                          <w14:schemeClr w14:val="tx1"/>
                        </w14:solidFill>
                      </w14:textFill>
                    </w:rPr>
                    <w:t>废边角料及不合格产品</w:t>
                  </w:r>
                </w:p>
              </w:tc>
              <w:tc>
                <w:tcPr>
                  <w:tcW w:w="1514" w:type="dxa"/>
                  <w:shd w:val="clear" w:color="auto" w:fill="auto"/>
                  <w:vAlign w:val="center"/>
                </w:tcPr>
                <w:p>
                  <w:pPr>
                    <w:pStyle w:val="37"/>
                    <w:ind w:left="0" w:leftChars="0" w:firstLine="0" w:firstLine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14:textFill>
                        <w14:solidFill>
                          <w14:schemeClr w14:val="tx1"/>
                        </w14:solidFill>
                      </w14:textFill>
                    </w:rPr>
                    <w:t>生产过程</w:t>
                  </w:r>
                </w:p>
              </w:tc>
              <w:tc>
                <w:tcPr>
                  <w:tcW w:w="3598" w:type="dxa"/>
                  <w:gridSpan w:val="2"/>
                  <w:vMerge w:val="continue"/>
                  <w:vAlign w:val="center"/>
                </w:tcPr>
                <w:p>
                  <w:pPr>
                    <w:pStyle w:val="37"/>
                    <w:ind w:left="0" w:leftChars="0"/>
                    <w:jc w:val="both"/>
                    <w:rPr>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89" w:type="dxa"/>
                  <w:vMerge w:val="continue"/>
                  <w:vAlign w:val="center"/>
                </w:tcPr>
                <w:p>
                  <w:pPr>
                    <w:pStyle w:val="37"/>
                    <w:ind w:left="0" w:leftChars="0"/>
                    <w:rPr>
                      <w:color w:val="000000" w:themeColor="text1"/>
                      <w:u w:val="none"/>
                      <w14:textFill>
                        <w14:solidFill>
                          <w14:schemeClr w14:val="tx1"/>
                        </w14:solidFill>
                      </w14:textFill>
                    </w:rPr>
                  </w:pPr>
                </w:p>
              </w:tc>
              <w:tc>
                <w:tcPr>
                  <w:tcW w:w="922" w:type="dxa"/>
                  <w:vAlign w:val="center"/>
                </w:tcPr>
                <w:p>
                  <w:pPr>
                    <w:pStyle w:val="37"/>
                    <w:ind w:left="0" w:left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S3</w:t>
                  </w:r>
                </w:p>
              </w:tc>
              <w:tc>
                <w:tcPr>
                  <w:tcW w:w="1683" w:type="dxa"/>
                  <w:vAlign w:val="center"/>
                </w:tcPr>
                <w:p>
                  <w:pPr>
                    <w:pStyle w:val="37"/>
                    <w:ind w:left="0" w:leftChars="0" w:firstLine="0" w:firstLineChars="0"/>
                    <w:rPr>
                      <w:color w:val="000000" w:themeColor="text1"/>
                      <w:u w:val="none"/>
                      <w14:textFill>
                        <w14:solidFill>
                          <w14:schemeClr w14:val="tx1"/>
                        </w14:solidFill>
                      </w14:textFill>
                    </w:rPr>
                  </w:pPr>
                  <w:r>
                    <w:rPr>
                      <w:rFonts w:hint="eastAsia"/>
                      <w:color w:val="000000" w:themeColor="text1"/>
                      <w:u w:val="none"/>
                      <w:lang w:val="en-US" w:eastAsia="zh-CN"/>
                      <w14:textFill>
                        <w14:solidFill>
                          <w14:schemeClr w14:val="tx1"/>
                        </w14:solidFill>
                      </w14:textFill>
                    </w:rPr>
                    <w:t>废抹布手套、废水性涂料桶、废水性涂料</w:t>
                  </w:r>
                </w:p>
              </w:tc>
              <w:tc>
                <w:tcPr>
                  <w:tcW w:w="1514" w:type="dxa"/>
                  <w:shd w:val="clear" w:color="auto" w:fill="auto"/>
                  <w:vAlign w:val="center"/>
                </w:tcPr>
                <w:p>
                  <w:pPr>
                    <w:pStyle w:val="37"/>
                    <w:ind w:left="0" w:leftChars="0" w:firstLine="0" w:firstLineChars="0"/>
                    <w:rPr>
                      <w:rFonts w:hint="default"/>
                      <w:color w:val="000000" w:themeColor="text1"/>
                      <w:u w:val="none"/>
                      <w:lang w:val="en-US"/>
                      <w14:textFill>
                        <w14:solidFill>
                          <w14:schemeClr w14:val="tx1"/>
                        </w14:solidFill>
                      </w14:textFill>
                    </w:rPr>
                  </w:pPr>
                  <w:r>
                    <w:rPr>
                      <w:rFonts w:hint="eastAsia"/>
                      <w:color w:val="000000" w:themeColor="text1"/>
                      <w:u w:val="none"/>
                      <w:lang w:val="en-US" w:eastAsia="zh-CN"/>
                      <w14:textFill>
                        <w14:solidFill>
                          <w14:schemeClr w14:val="tx1"/>
                        </w14:solidFill>
                      </w14:textFill>
                    </w:rPr>
                    <w:t>生产过程</w:t>
                  </w:r>
                </w:p>
              </w:tc>
              <w:tc>
                <w:tcPr>
                  <w:tcW w:w="3598" w:type="dxa"/>
                  <w:gridSpan w:val="2"/>
                  <w:vMerge w:val="restart"/>
                  <w:vAlign w:val="center"/>
                </w:tcPr>
                <w:p>
                  <w:pPr>
                    <w:pStyle w:val="37"/>
                    <w:ind w:left="0" w:left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暂存于</w:t>
                  </w:r>
                  <w:r>
                    <w:rPr>
                      <w:rFonts w:hint="eastAsia"/>
                      <w:color w:val="000000" w:themeColor="text1"/>
                      <w:u w:val="none"/>
                      <w14:textFill>
                        <w14:solidFill>
                          <w14:schemeClr w14:val="tx1"/>
                        </w14:solidFill>
                      </w14:textFill>
                    </w:rPr>
                    <w:t>危废暂</w:t>
                  </w:r>
                  <w:r>
                    <w:rPr>
                      <w:color w:val="000000" w:themeColor="text1"/>
                      <w:u w:val="none"/>
                      <w14:textFill>
                        <w14:solidFill>
                          <w14:schemeClr w14:val="tx1"/>
                        </w14:solidFill>
                      </w14:textFill>
                    </w:rPr>
                    <w:t>存间，定期交由</w:t>
                  </w:r>
                  <w:r>
                    <w:rPr>
                      <w:rFonts w:hint="eastAsia"/>
                      <w:color w:val="000000" w:themeColor="text1"/>
                      <w:u w:val="none"/>
                      <w14:textFill>
                        <w14:solidFill>
                          <w14:schemeClr w14:val="tx1"/>
                        </w14:solidFill>
                      </w14:textFill>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vAlign w:val="center"/>
                </w:tcPr>
                <w:p>
                  <w:pPr>
                    <w:pStyle w:val="37"/>
                    <w:ind w:left="0" w:leftChars="0"/>
                    <w:rPr>
                      <w:color w:val="000000" w:themeColor="text1"/>
                      <w:u w:val="none"/>
                      <w14:textFill>
                        <w14:solidFill>
                          <w14:schemeClr w14:val="tx1"/>
                        </w14:solidFill>
                      </w14:textFill>
                    </w:rPr>
                  </w:pPr>
                </w:p>
              </w:tc>
              <w:tc>
                <w:tcPr>
                  <w:tcW w:w="922" w:type="dxa"/>
                  <w:vAlign w:val="center"/>
                </w:tcPr>
                <w:p>
                  <w:pPr>
                    <w:spacing w:line="240" w:lineRule="auto"/>
                    <w:ind w:firstLine="0" w:firstLineChars="0"/>
                    <w:jc w:val="center"/>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S4</w:t>
                  </w:r>
                </w:p>
              </w:tc>
              <w:tc>
                <w:tcPr>
                  <w:tcW w:w="1683" w:type="dxa"/>
                  <w:vAlign w:val="center"/>
                </w:tcPr>
                <w:p>
                  <w:pPr>
                    <w:pStyle w:val="37"/>
                    <w:ind w:left="0" w:leftChars="0" w:firstLine="0" w:firstLineChars="0"/>
                    <w:rPr>
                      <w:rFonts w:hint="eastAsia" w:eastAsia="宋体"/>
                      <w:color w:val="000000" w:themeColor="text1"/>
                      <w:u w:val="none"/>
                      <w:lang w:val="en-US" w:eastAsia="zh-CN"/>
                      <w14:textFill>
                        <w14:solidFill>
                          <w14:schemeClr w14:val="tx1"/>
                        </w14:solidFill>
                      </w14:textFill>
                    </w:rPr>
                  </w:pPr>
                  <w:r>
                    <w:rPr>
                      <w:rFonts w:hint="eastAsia"/>
                      <w:color w:val="000000" w:themeColor="text1"/>
                      <w:u w:val="none"/>
                      <w14:textFill>
                        <w14:solidFill>
                          <w14:schemeClr w14:val="tx1"/>
                        </w14:solidFill>
                      </w14:textFill>
                    </w:rPr>
                    <w:t>废活性炭</w:t>
                  </w:r>
                </w:p>
              </w:tc>
              <w:tc>
                <w:tcPr>
                  <w:tcW w:w="1514" w:type="dxa"/>
                  <w:vAlign w:val="center"/>
                </w:tcPr>
                <w:p>
                  <w:pPr>
                    <w:pStyle w:val="37"/>
                    <w:ind w:left="0" w:leftChars="0" w:firstLine="0" w:firstLine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废气治理</w:t>
                  </w:r>
                </w:p>
              </w:tc>
              <w:tc>
                <w:tcPr>
                  <w:tcW w:w="3598" w:type="dxa"/>
                  <w:gridSpan w:val="2"/>
                  <w:vMerge w:val="continue"/>
                  <w:vAlign w:val="center"/>
                </w:tcPr>
                <w:p>
                  <w:pPr>
                    <w:pStyle w:val="37"/>
                    <w:ind w:left="0" w:leftChars="0"/>
                    <w:jc w:val="both"/>
                    <w:rPr>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vAlign w:val="center"/>
                </w:tcPr>
                <w:p>
                  <w:pPr>
                    <w:pStyle w:val="37"/>
                    <w:ind w:left="0" w:leftChars="0"/>
                    <w:rPr>
                      <w:color w:val="000000" w:themeColor="text1"/>
                      <w:u w:val="none"/>
                      <w14:textFill>
                        <w14:solidFill>
                          <w14:schemeClr w14:val="tx1"/>
                        </w14:solidFill>
                      </w14:textFill>
                    </w:rPr>
                  </w:pPr>
                </w:p>
              </w:tc>
              <w:tc>
                <w:tcPr>
                  <w:tcW w:w="922" w:type="dxa"/>
                  <w:vAlign w:val="center"/>
                </w:tcPr>
                <w:p>
                  <w:pPr>
                    <w:spacing w:line="240" w:lineRule="auto"/>
                    <w:ind w:firstLine="0" w:firstLineChars="0"/>
                    <w:jc w:val="center"/>
                    <w:rPr>
                      <w:rFonts w:hint="default" w:eastAsia="宋体"/>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S5</w:t>
                  </w:r>
                </w:p>
              </w:tc>
              <w:tc>
                <w:tcPr>
                  <w:tcW w:w="1683" w:type="dxa"/>
                  <w:vAlign w:val="center"/>
                </w:tcPr>
                <w:p>
                  <w:pPr>
                    <w:pStyle w:val="37"/>
                    <w:ind w:left="0" w:leftChars="0" w:firstLine="0" w:firstLineChars="0"/>
                    <w:rPr>
                      <w:rFonts w:hint="eastAsia" w:eastAsia="宋体"/>
                      <w:color w:val="000000" w:themeColor="text1"/>
                      <w:u w:val="none"/>
                      <w:lang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废机油</w:t>
                  </w:r>
                </w:p>
              </w:tc>
              <w:tc>
                <w:tcPr>
                  <w:tcW w:w="1514" w:type="dxa"/>
                  <w:vMerge w:val="restart"/>
                  <w:vAlign w:val="center"/>
                </w:tcPr>
                <w:p>
                  <w:pPr>
                    <w:pStyle w:val="37"/>
                    <w:ind w:left="0" w:leftChars="0" w:firstLine="0" w:firstLine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设备维修</w:t>
                  </w:r>
                </w:p>
              </w:tc>
              <w:tc>
                <w:tcPr>
                  <w:tcW w:w="3598" w:type="dxa"/>
                  <w:gridSpan w:val="2"/>
                  <w:vMerge w:val="continue"/>
                  <w:vAlign w:val="center"/>
                </w:tcPr>
                <w:p>
                  <w:pPr>
                    <w:pStyle w:val="37"/>
                    <w:ind w:left="0" w:leftChars="0"/>
                    <w:jc w:val="both"/>
                    <w:rPr>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vAlign w:val="center"/>
                </w:tcPr>
                <w:p>
                  <w:pPr>
                    <w:pStyle w:val="37"/>
                    <w:ind w:left="0" w:leftChars="0"/>
                    <w:rPr>
                      <w:color w:val="000000" w:themeColor="text1"/>
                      <w:u w:val="none"/>
                      <w14:textFill>
                        <w14:solidFill>
                          <w14:schemeClr w14:val="tx1"/>
                        </w14:solidFill>
                      </w14:textFill>
                    </w:rPr>
                  </w:pPr>
                </w:p>
              </w:tc>
              <w:tc>
                <w:tcPr>
                  <w:tcW w:w="922" w:type="dxa"/>
                  <w:vAlign w:val="center"/>
                </w:tcPr>
                <w:p>
                  <w:pPr>
                    <w:spacing w:line="240" w:lineRule="auto"/>
                    <w:ind w:firstLine="0" w:firstLineChars="0"/>
                    <w:jc w:val="center"/>
                    <w:rPr>
                      <w:rFonts w:hint="eastAsia" w:eastAsia="宋体"/>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14:textFill>
                        <w14:solidFill>
                          <w14:schemeClr w14:val="tx1"/>
                        </w14:solidFill>
                      </w14:textFill>
                    </w:rPr>
                    <w:t>S</w:t>
                  </w:r>
                  <w:r>
                    <w:rPr>
                      <w:rFonts w:hint="eastAsia"/>
                      <w:color w:val="000000" w:themeColor="text1"/>
                      <w:sz w:val="21"/>
                      <w:szCs w:val="21"/>
                      <w:u w:val="none"/>
                      <w:lang w:val="en-US" w:eastAsia="zh-CN"/>
                      <w14:textFill>
                        <w14:solidFill>
                          <w14:schemeClr w14:val="tx1"/>
                        </w14:solidFill>
                      </w14:textFill>
                    </w:rPr>
                    <w:t>6</w:t>
                  </w:r>
                </w:p>
              </w:tc>
              <w:tc>
                <w:tcPr>
                  <w:tcW w:w="1683" w:type="dxa"/>
                  <w:vAlign w:val="center"/>
                </w:tcPr>
                <w:p>
                  <w:pPr>
                    <w:pStyle w:val="37"/>
                    <w:ind w:left="0" w:leftChars="0" w:firstLine="0" w:firstLine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废机油桶</w:t>
                  </w:r>
                </w:p>
              </w:tc>
              <w:tc>
                <w:tcPr>
                  <w:tcW w:w="1514" w:type="dxa"/>
                  <w:vMerge w:val="continue"/>
                  <w:vAlign w:val="center"/>
                </w:tcPr>
                <w:p>
                  <w:pPr>
                    <w:pStyle w:val="37"/>
                    <w:ind w:left="0" w:leftChars="0" w:firstLine="0" w:firstLineChars="0"/>
                    <w:rPr>
                      <w:color w:val="000000" w:themeColor="text1"/>
                      <w:u w:val="none"/>
                      <w14:textFill>
                        <w14:solidFill>
                          <w14:schemeClr w14:val="tx1"/>
                        </w14:solidFill>
                      </w14:textFill>
                    </w:rPr>
                  </w:pPr>
                </w:p>
              </w:tc>
              <w:tc>
                <w:tcPr>
                  <w:tcW w:w="3598" w:type="dxa"/>
                  <w:gridSpan w:val="2"/>
                  <w:vMerge w:val="continue"/>
                  <w:vAlign w:val="center"/>
                </w:tcPr>
                <w:p>
                  <w:pPr>
                    <w:pStyle w:val="37"/>
                    <w:ind w:left="0" w:leftChars="0"/>
                    <w:jc w:val="both"/>
                    <w:rPr>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vAlign w:val="center"/>
                </w:tcPr>
                <w:p>
                  <w:pPr>
                    <w:pStyle w:val="37"/>
                    <w:ind w:left="0" w:leftChars="0"/>
                    <w:rPr>
                      <w:color w:val="000000" w:themeColor="text1"/>
                      <w:u w:val="none"/>
                      <w14:textFill>
                        <w14:solidFill>
                          <w14:schemeClr w14:val="tx1"/>
                        </w14:solidFill>
                      </w14:textFill>
                    </w:rPr>
                  </w:pPr>
                </w:p>
              </w:tc>
              <w:tc>
                <w:tcPr>
                  <w:tcW w:w="922" w:type="dxa"/>
                  <w:vAlign w:val="center"/>
                </w:tcPr>
                <w:p>
                  <w:pPr>
                    <w:spacing w:line="240" w:lineRule="auto"/>
                    <w:ind w:firstLine="0" w:firstLineChars="0"/>
                    <w:jc w:val="center"/>
                    <w:rPr>
                      <w:rFonts w:hint="default"/>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S7</w:t>
                  </w:r>
                </w:p>
              </w:tc>
              <w:tc>
                <w:tcPr>
                  <w:tcW w:w="1683" w:type="dxa"/>
                  <w:vAlign w:val="center"/>
                </w:tcPr>
                <w:p>
                  <w:pPr>
                    <w:pStyle w:val="37"/>
                    <w:ind w:left="0" w:leftChars="0" w:firstLine="0" w:firstLine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含油抹布手套</w:t>
                  </w:r>
                </w:p>
              </w:tc>
              <w:tc>
                <w:tcPr>
                  <w:tcW w:w="1514" w:type="dxa"/>
                  <w:vMerge w:val="continue"/>
                  <w:vAlign w:val="center"/>
                </w:tcPr>
                <w:p>
                  <w:pPr>
                    <w:pStyle w:val="37"/>
                    <w:ind w:left="0" w:leftChars="0" w:firstLine="0" w:firstLineChars="0"/>
                    <w:rPr>
                      <w:color w:val="000000" w:themeColor="text1"/>
                      <w:u w:val="none"/>
                      <w14:textFill>
                        <w14:solidFill>
                          <w14:schemeClr w14:val="tx1"/>
                        </w14:solidFill>
                      </w14:textFill>
                    </w:rPr>
                  </w:pPr>
                </w:p>
              </w:tc>
              <w:tc>
                <w:tcPr>
                  <w:tcW w:w="3598" w:type="dxa"/>
                  <w:gridSpan w:val="2"/>
                  <w:vMerge w:val="continue"/>
                  <w:vAlign w:val="center"/>
                </w:tcPr>
                <w:p>
                  <w:pPr>
                    <w:pStyle w:val="37"/>
                    <w:ind w:left="0" w:leftChars="0"/>
                    <w:jc w:val="both"/>
                    <w:rPr>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vAlign w:val="center"/>
                </w:tcPr>
                <w:p>
                  <w:pPr>
                    <w:pStyle w:val="37"/>
                    <w:ind w:left="0" w:leftChars="0"/>
                    <w:rPr>
                      <w:color w:val="000000" w:themeColor="text1"/>
                      <w:u w:val="none"/>
                      <w14:textFill>
                        <w14:solidFill>
                          <w14:schemeClr w14:val="tx1"/>
                        </w14:solidFill>
                      </w14:textFill>
                    </w:rPr>
                  </w:pPr>
                </w:p>
              </w:tc>
              <w:tc>
                <w:tcPr>
                  <w:tcW w:w="922" w:type="dxa"/>
                  <w:vAlign w:val="center"/>
                </w:tcPr>
                <w:p>
                  <w:pPr>
                    <w:spacing w:line="240" w:lineRule="auto"/>
                    <w:ind w:firstLine="0" w:firstLineChars="0"/>
                    <w:jc w:val="center"/>
                    <w:rPr>
                      <w:rFonts w:hint="default"/>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S8</w:t>
                  </w:r>
                </w:p>
              </w:tc>
              <w:tc>
                <w:tcPr>
                  <w:tcW w:w="1683" w:type="dxa"/>
                  <w:vAlign w:val="center"/>
                </w:tcPr>
                <w:p>
                  <w:pPr>
                    <w:pStyle w:val="37"/>
                    <w:ind w:left="0" w:leftChars="0" w:firstLine="0" w:firstLineChars="0"/>
                    <w:rPr>
                      <w:color w:val="000000" w:themeColor="text1"/>
                      <w:u w:val="none"/>
                      <w14:textFill>
                        <w14:solidFill>
                          <w14:schemeClr w14:val="tx1"/>
                        </w14:solidFill>
                      </w14:textFill>
                    </w:rPr>
                  </w:pPr>
                  <w:r>
                    <w:rPr>
                      <w:color w:val="000000" w:themeColor="text1"/>
                      <w:u w:val="none"/>
                      <w14:textFill>
                        <w14:solidFill>
                          <w14:schemeClr w14:val="tx1"/>
                        </w14:solidFill>
                      </w14:textFill>
                    </w:rPr>
                    <w:t>生活垃圾</w:t>
                  </w:r>
                </w:p>
              </w:tc>
              <w:tc>
                <w:tcPr>
                  <w:tcW w:w="1514" w:type="dxa"/>
                  <w:vAlign w:val="center"/>
                </w:tcPr>
                <w:p>
                  <w:pPr>
                    <w:pStyle w:val="37"/>
                    <w:ind w:left="0" w:leftChars="0" w:firstLine="0" w:firstLineChars="0"/>
                    <w:rPr>
                      <w:color w:val="000000" w:themeColor="text1"/>
                      <w:u w:val="none"/>
                      <w14:textFill>
                        <w14:solidFill>
                          <w14:schemeClr w14:val="tx1"/>
                        </w14:solidFill>
                      </w14:textFill>
                    </w:rPr>
                  </w:pPr>
                  <w:r>
                    <w:rPr>
                      <w:color w:val="000000" w:themeColor="text1"/>
                      <w:u w:val="none"/>
                      <w14:textFill>
                        <w14:solidFill>
                          <w14:schemeClr w14:val="tx1"/>
                        </w14:solidFill>
                      </w14:textFill>
                    </w:rPr>
                    <w:t>日常办公</w:t>
                  </w:r>
                </w:p>
              </w:tc>
              <w:tc>
                <w:tcPr>
                  <w:tcW w:w="3598" w:type="dxa"/>
                  <w:gridSpan w:val="2"/>
                  <w:vAlign w:val="center"/>
                </w:tcPr>
                <w:p>
                  <w:pPr>
                    <w:pStyle w:val="37"/>
                    <w:ind w:left="0" w:leftChars="0" w:firstLine="0" w:firstLineChars="0"/>
                    <w:jc w:val="both"/>
                    <w:rPr>
                      <w:color w:val="000000" w:themeColor="text1"/>
                      <w:u w:val="none"/>
                      <w14:textFill>
                        <w14:solidFill>
                          <w14:schemeClr w14:val="tx1"/>
                        </w14:solidFill>
                      </w14:textFill>
                    </w:rPr>
                  </w:pPr>
                  <w:r>
                    <w:rPr>
                      <w:color w:val="000000" w:themeColor="text1"/>
                      <w:u w:val="none"/>
                      <w14:textFill>
                        <w14:solidFill>
                          <w14:schemeClr w14:val="tx1"/>
                        </w14:solidFill>
                      </w14:textFill>
                    </w:rPr>
                    <w:t>统一收集后定期由环卫部门进行清运。</w:t>
                  </w:r>
                </w:p>
              </w:tc>
            </w:tr>
          </w:tbl>
          <w:p>
            <w:pPr>
              <w:ind w:firstLine="480"/>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240" w:lineRule="auto"/>
              <w:ind w:firstLine="0" w:firstLineChars="0"/>
              <w:jc w:val="center"/>
              <w:rPr>
                <w:u w:val="none"/>
              </w:rPr>
            </w:pPr>
            <w:r>
              <w:rPr>
                <w:rFonts w:hint="eastAsia"/>
                <w:u w:val="none"/>
              </w:rPr>
              <w:t>与项目有关的原有环境污染问题</w:t>
            </w:r>
          </w:p>
        </w:tc>
        <w:tc>
          <w:tcPr>
            <w:tcW w:w="8830" w:type="dxa"/>
            <w:vAlign w:val="center"/>
          </w:tcPr>
          <w:p>
            <w:pPr>
              <w:ind w:firstLine="480"/>
              <w:jc w:val="left"/>
              <w:rPr>
                <w:u w:val="none"/>
              </w:rPr>
            </w:pPr>
            <w:r>
              <w:rPr>
                <w:rFonts w:hint="default"/>
                <w:u w:val="none"/>
                <w:lang w:val="en-US" w:eastAsia="zh-CN"/>
              </w:rPr>
              <w:t>本项目为新建项目，租赁</w:t>
            </w:r>
            <w:r>
              <w:rPr>
                <w:rFonts w:hint="eastAsia"/>
                <w:u w:val="none"/>
                <w:lang w:val="en-US" w:eastAsia="zh-CN"/>
              </w:rPr>
              <w:t>湖南省岳阳市湘阴县洋沙湖镇高新区洋沙湖片区新华路东侧新华标厂1栋101室，厂房为空置新建厂房，无原有环境污染问题。</w:t>
            </w:r>
          </w:p>
        </w:tc>
      </w:tr>
    </w:tbl>
    <w:p>
      <w:pPr>
        <w:ind w:firstLine="0" w:firstLineChars="0"/>
      </w:pPr>
    </w:p>
    <w:p>
      <w:pPr>
        <w:ind w:firstLine="480"/>
      </w:pPr>
      <w:r>
        <w:br w:type="page"/>
      </w:r>
    </w:p>
    <w:p>
      <w:pPr>
        <w:ind w:firstLine="0" w:firstLineChars="0"/>
        <w:sectPr>
          <w:pgSz w:w="11906" w:h="16838"/>
          <w:pgMar w:top="1440" w:right="1417" w:bottom="1440" w:left="1417" w:header="851" w:footer="992" w:gutter="0"/>
          <w:cols w:space="425" w:num="1"/>
          <w:docGrid w:type="lines" w:linePitch="312" w:charSpace="0"/>
        </w:sectPr>
      </w:pPr>
    </w:p>
    <w:p>
      <w:pPr>
        <w:pStyle w:val="8"/>
        <w:rPr>
          <w:rFonts w:hint="default"/>
        </w:rPr>
      </w:pPr>
      <w:bookmarkStart w:id="30" w:name="_Toc18540"/>
      <w:bookmarkStart w:id="31" w:name="_Toc19578"/>
      <w:r>
        <w:t>三、区域环境质量现状、环境保护目标及评价标准</w:t>
      </w:r>
      <w:bookmarkEnd w:id="30"/>
      <w:bookmarkEnd w:id="31"/>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453" w:type="dxa"/>
            <w:vAlign w:val="center"/>
          </w:tcPr>
          <w:p>
            <w:pPr>
              <w:ind w:firstLine="0" w:firstLineChars="0"/>
              <w:jc w:val="center"/>
              <w:rPr>
                <w:u w:val="none"/>
              </w:rPr>
            </w:pPr>
            <w:r>
              <w:rPr>
                <w:rFonts w:hint="eastAsia"/>
                <w:u w:val="none"/>
              </w:rPr>
              <w:t>区域环境质量现状</w:t>
            </w:r>
          </w:p>
        </w:tc>
        <w:tc>
          <w:tcPr>
            <w:tcW w:w="8835" w:type="dxa"/>
          </w:tcPr>
          <w:p>
            <w:pPr>
              <w:ind w:firstLine="480"/>
              <w:rPr>
                <w:b/>
                <w:bCs/>
                <w:u w:val="none"/>
              </w:rPr>
            </w:pPr>
            <w:r>
              <w:rPr>
                <w:b/>
                <w:bCs/>
                <w:u w:val="none"/>
              </w:rPr>
              <w:t>1、环境空气质量现状</w:t>
            </w:r>
          </w:p>
          <w:p>
            <w:pPr>
              <w:ind w:firstLine="480"/>
              <w:rPr>
                <w:u w:val="none"/>
              </w:rPr>
            </w:pPr>
            <w:r>
              <w:rPr>
                <w:u w:val="none"/>
              </w:rPr>
              <w:t>（1）常规因子</w:t>
            </w:r>
          </w:p>
          <w:p>
            <w:pPr>
              <w:ind w:firstLine="480"/>
              <w:rPr>
                <w:u w:val="none"/>
              </w:rPr>
            </w:pPr>
            <w:r>
              <w:rPr>
                <w:u w:val="none"/>
              </w:rPr>
              <w:t>为了解本项目所在区域环境质量现状，本环评收集了</w:t>
            </w:r>
            <w:r>
              <w:rPr>
                <w:rFonts w:hint="eastAsia"/>
                <w:u w:val="none"/>
              </w:rPr>
              <w:t>岳阳市2024年度生态环境质量公报中</w:t>
            </w:r>
            <w:r>
              <w:rPr>
                <w:u w:val="none"/>
              </w:rPr>
              <w:t>湘阴县环境质量状况数据，是与本项目距离最近的地方环境空气质量监测网数据，符合数据有效性要求。根据《环境空气质量评价技术规范（试行）》（HJ663-2013）表1中年评价相关要求对湘阴县例行监测数据进行统计分析，湘阴县202</w:t>
            </w:r>
            <w:r>
              <w:rPr>
                <w:rFonts w:hint="eastAsia"/>
                <w:u w:val="none"/>
              </w:rPr>
              <w:t>4</w:t>
            </w:r>
            <w:r>
              <w:rPr>
                <w:u w:val="none"/>
              </w:rPr>
              <w:t>年环境空气质量统计见下表：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lang w:val="en-US" w:eastAsia="zh-CN"/>
              </w:rPr>
            </w:pPr>
            <w:r>
              <w:rPr>
                <w:rFonts w:hint="eastAsia" w:ascii="Times New Roman" w:hAnsi="Times New Roman" w:cs="Times New Roman"/>
                <w:b/>
                <w:bCs w:val="0"/>
                <w:u w:val="none"/>
                <w:lang w:val="en-US" w:eastAsia="zh-CN"/>
              </w:rPr>
              <w:t>表3-1 2024年湘阴县空气质量现状评价表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9"/>
              <w:gridCol w:w="2903"/>
              <w:gridCol w:w="1107"/>
              <w:gridCol w:w="1003"/>
              <w:gridCol w:w="1000"/>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2" w:type="pct"/>
                  <w:gridSpan w:val="2"/>
                  <w:tcBorders>
                    <w:top w:val="single" w:color="auto" w:sz="4" w:space="0"/>
                    <w:left w:val="single" w:color="auto" w:sz="4" w:space="0"/>
                    <w:bottom w:val="single" w:color="auto" w:sz="4" w:space="0"/>
                    <w:right w:val="single" w:color="auto" w:sz="4" w:space="0"/>
                  </w:tcBorders>
                  <w:vAlign w:val="center"/>
                </w:tcPr>
                <w:p>
                  <w:pPr>
                    <w:pStyle w:val="5"/>
                    <w:spacing w:line="240" w:lineRule="auto"/>
                    <w:ind w:firstLine="0" w:firstLineChars="0"/>
                    <w:jc w:val="center"/>
                    <w:rPr>
                      <w:b/>
                      <w:bCs/>
                      <w:sz w:val="21"/>
                      <w:szCs w:val="21"/>
                      <w:u w:val="none"/>
                    </w:rPr>
                  </w:pPr>
                  <w:r>
                    <w:rPr>
                      <w:b/>
                      <w:bCs/>
                      <w:sz w:val="21"/>
                      <w:szCs w:val="21"/>
                      <w:u w:val="none"/>
                    </w:rPr>
                    <w:t>污染物</w:t>
                  </w:r>
                </w:p>
              </w:tc>
              <w:tc>
                <w:tcPr>
                  <w:tcW w:w="1685"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b/>
                      <w:bCs/>
                      <w:sz w:val="21"/>
                      <w:szCs w:val="21"/>
                      <w:u w:val="none"/>
                    </w:rPr>
                  </w:pPr>
                  <w:r>
                    <w:rPr>
                      <w:b/>
                      <w:bCs/>
                      <w:sz w:val="21"/>
                      <w:szCs w:val="21"/>
                      <w:u w:val="none"/>
                    </w:rPr>
                    <w:t>年评价指标</w:t>
                  </w:r>
                </w:p>
              </w:tc>
              <w:tc>
                <w:tcPr>
                  <w:tcW w:w="64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b/>
                      <w:bCs/>
                      <w:sz w:val="21"/>
                      <w:szCs w:val="21"/>
                      <w:u w:val="none"/>
                    </w:rPr>
                  </w:pPr>
                  <w:r>
                    <w:rPr>
                      <w:b/>
                      <w:bCs/>
                      <w:sz w:val="21"/>
                      <w:szCs w:val="21"/>
                      <w:u w:val="none"/>
                    </w:rPr>
                    <w:t>现状浓度ug/m</w:t>
                  </w:r>
                  <w:r>
                    <w:rPr>
                      <w:b/>
                      <w:bCs/>
                      <w:sz w:val="21"/>
                      <w:szCs w:val="21"/>
                      <w:u w:val="none"/>
                      <w:vertAlign w:val="superscript"/>
                    </w:rPr>
                    <w:t>3</w:t>
                  </w:r>
                </w:p>
              </w:tc>
              <w:tc>
                <w:tcPr>
                  <w:tcW w:w="58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b/>
                      <w:bCs/>
                      <w:sz w:val="21"/>
                      <w:szCs w:val="21"/>
                      <w:u w:val="none"/>
                    </w:rPr>
                  </w:pPr>
                  <w:r>
                    <w:rPr>
                      <w:b/>
                      <w:bCs/>
                      <w:sz w:val="21"/>
                      <w:szCs w:val="21"/>
                      <w:u w:val="none"/>
                    </w:rPr>
                    <w:t>标准值ug/m</w:t>
                  </w:r>
                  <w:r>
                    <w:rPr>
                      <w:b/>
                      <w:bCs/>
                      <w:sz w:val="21"/>
                      <w:szCs w:val="21"/>
                      <w:u w:val="none"/>
                      <w:vertAlign w:val="superscript"/>
                    </w:rPr>
                    <w:t>3</w:t>
                  </w:r>
                </w:p>
              </w:tc>
              <w:tc>
                <w:tcPr>
                  <w:tcW w:w="581"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b/>
                      <w:bCs/>
                      <w:sz w:val="21"/>
                      <w:szCs w:val="21"/>
                      <w:u w:val="none"/>
                    </w:rPr>
                  </w:pPr>
                  <w:r>
                    <w:rPr>
                      <w:b/>
                      <w:bCs/>
                      <w:sz w:val="21"/>
                      <w:szCs w:val="21"/>
                      <w:u w:val="none"/>
                    </w:rPr>
                    <w:t>占标率%</w:t>
                  </w:r>
                </w:p>
              </w:tc>
              <w:tc>
                <w:tcPr>
                  <w:tcW w:w="60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b/>
                      <w:bCs/>
                      <w:sz w:val="21"/>
                      <w:szCs w:val="21"/>
                      <w:u w:val="none"/>
                    </w:rPr>
                  </w:pPr>
                  <w:r>
                    <w:rPr>
                      <w:b/>
                      <w:bCs/>
                      <w:sz w:val="21"/>
                      <w:szCs w:val="21"/>
                      <w:u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restart"/>
                  <w:tcBorders>
                    <w:top w:val="single" w:color="auto" w:sz="4" w:space="0"/>
                    <w:left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湘阴县常规监测点</w:t>
                  </w:r>
                </w:p>
              </w:tc>
              <w:tc>
                <w:tcPr>
                  <w:tcW w:w="452" w:type="pct"/>
                  <w:tcBorders>
                    <w:top w:val="single" w:color="auto" w:sz="4" w:space="0"/>
                    <w:left w:val="single" w:color="auto" w:sz="4" w:space="0"/>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PM</w:t>
                  </w:r>
                  <w:r>
                    <w:rPr>
                      <w:sz w:val="21"/>
                      <w:szCs w:val="21"/>
                      <w:u w:val="none"/>
                      <w:vertAlign w:val="subscript"/>
                    </w:rPr>
                    <w:t>2.5</w:t>
                  </w:r>
                </w:p>
              </w:tc>
              <w:tc>
                <w:tcPr>
                  <w:tcW w:w="1685"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年平均质量浓度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sz w:val="21"/>
                      <w:szCs w:val="21"/>
                      <w:u w:val="none"/>
                    </w:rPr>
                  </w:pPr>
                  <w:r>
                    <w:rPr>
                      <w:color w:val="000000"/>
                      <w:kern w:val="0"/>
                      <w:sz w:val="21"/>
                      <w:szCs w:val="21"/>
                      <w:u w:val="none"/>
                      <w:lang w:bidi="ar"/>
                    </w:rPr>
                    <w:t>34</w:t>
                  </w:r>
                </w:p>
              </w:tc>
              <w:tc>
                <w:tcPr>
                  <w:tcW w:w="58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35</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none"/>
                      <w:lang w:bidi="ar"/>
                    </w:rPr>
                  </w:pPr>
                  <w:r>
                    <w:rPr>
                      <w:rFonts w:hint="eastAsia"/>
                      <w:color w:val="000000"/>
                      <w:kern w:val="0"/>
                      <w:sz w:val="21"/>
                      <w:szCs w:val="21"/>
                      <w:u w:val="none"/>
                      <w:lang w:val="en-US" w:eastAsia="zh-CN" w:bidi="ar"/>
                    </w:rPr>
                    <w:t xml:space="preserve">97 </w:t>
                  </w:r>
                </w:p>
              </w:tc>
              <w:tc>
                <w:tcPr>
                  <w:tcW w:w="60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right w:val="single" w:color="auto" w:sz="4" w:space="0"/>
                  </w:tcBorders>
                  <w:vAlign w:val="center"/>
                </w:tcPr>
                <w:p>
                  <w:pPr>
                    <w:pStyle w:val="5"/>
                    <w:spacing w:line="240" w:lineRule="auto"/>
                    <w:ind w:firstLine="0" w:firstLineChars="0"/>
                    <w:jc w:val="center"/>
                    <w:rPr>
                      <w:sz w:val="21"/>
                      <w:szCs w:val="21"/>
                      <w:u w:val="non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PM</w:t>
                  </w:r>
                  <w:r>
                    <w:rPr>
                      <w:sz w:val="21"/>
                      <w:szCs w:val="21"/>
                      <w:u w:val="none"/>
                      <w:vertAlign w:val="subscript"/>
                    </w:rPr>
                    <w:t>10</w:t>
                  </w:r>
                </w:p>
              </w:tc>
              <w:tc>
                <w:tcPr>
                  <w:tcW w:w="1685"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年平均质量浓度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default" w:eastAsia="宋体"/>
                      <w:sz w:val="21"/>
                      <w:szCs w:val="21"/>
                      <w:u w:val="none"/>
                      <w:lang w:val="en-US" w:eastAsia="zh-CN"/>
                    </w:rPr>
                  </w:pPr>
                  <w:r>
                    <w:rPr>
                      <w:rFonts w:hint="eastAsia"/>
                      <w:color w:val="000000"/>
                      <w:kern w:val="0"/>
                      <w:sz w:val="21"/>
                      <w:szCs w:val="21"/>
                      <w:u w:val="none"/>
                      <w:lang w:val="en-US" w:eastAsia="zh-CN" w:bidi="ar"/>
                    </w:rPr>
                    <w:t>43</w:t>
                  </w:r>
                </w:p>
              </w:tc>
              <w:tc>
                <w:tcPr>
                  <w:tcW w:w="58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70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none"/>
                      <w:lang w:bidi="ar"/>
                    </w:rPr>
                  </w:pPr>
                  <w:r>
                    <w:rPr>
                      <w:rFonts w:hint="eastAsia"/>
                      <w:color w:val="000000"/>
                      <w:kern w:val="0"/>
                      <w:sz w:val="21"/>
                      <w:szCs w:val="21"/>
                      <w:u w:val="none"/>
                      <w:lang w:val="en-US" w:eastAsia="zh-CN" w:bidi="ar"/>
                    </w:rPr>
                    <w:t xml:space="preserve">61 </w:t>
                  </w:r>
                </w:p>
              </w:tc>
              <w:tc>
                <w:tcPr>
                  <w:tcW w:w="60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right w:val="single" w:color="auto" w:sz="4" w:space="0"/>
                  </w:tcBorders>
                  <w:vAlign w:val="center"/>
                </w:tcPr>
                <w:p>
                  <w:pPr>
                    <w:pStyle w:val="5"/>
                    <w:spacing w:line="240" w:lineRule="auto"/>
                    <w:ind w:firstLine="0" w:firstLineChars="0"/>
                    <w:jc w:val="center"/>
                    <w:rPr>
                      <w:sz w:val="21"/>
                      <w:szCs w:val="21"/>
                      <w:u w:val="non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SO</w:t>
                  </w:r>
                  <w:r>
                    <w:rPr>
                      <w:sz w:val="21"/>
                      <w:szCs w:val="21"/>
                      <w:u w:val="none"/>
                      <w:vertAlign w:val="subscript"/>
                    </w:rPr>
                    <w:t>2</w:t>
                  </w:r>
                </w:p>
              </w:tc>
              <w:tc>
                <w:tcPr>
                  <w:tcW w:w="1685"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年平均质量浓度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eastAsia" w:eastAsia="宋体"/>
                      <w:sz w:val="21"/>
                      <w:szCs w:val="21"/>
                      <w:u w:val="none"/>
                      <w:lang w:eastAsia="zh-CN"/>
                    </w:rPr>
                  </w:pPr>
                  <w:r>
                    <w:rPr>
                      <w:rFonts w:hint="eastAsia"/>
                      <w:color w:val="000000"/>
                      <w:kern w:val="0"/>
                      <w:sz w:val="21"/>
                      <w:szCs w:val="21"/>
                      <w:u w:val="none"/>
                      <w:lang w:val="en-US" w:eastAsia="zh-CN" w:bidi="ar"/>
                    </w:rPr>
                    <w:t>6</w:t>
                  </w:r>
                </w:p>
              </w:tc>
              <w:tc>
                <w:tcPr>
                  <w:tcW w:w="58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60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none"/>
                      <w:lang w:bidi="ar"/>
                    </w:rPr>
                  </w:pPr>
                  <w:r>
                    <w:rPr>
                      <w:rFonts w:hint="eastAsia"/>
                      <w:color w:val="000000"/>
                      <w:kern w:val="0"/>
                      <w:sz w:val="21"/>
                      <w:szCs w:val="21"/>
                      <w:u w:val="none"/>
                      <w:lang w:val="en-US" w:eastAsia="zh-CN" w:bidi="ar"/>
                    </w:rPr>
                    <w:t>10</w:t>
                  </w:r>
                </w:p>
              </w:tc>
              <w:tc>
                <w:tcPr>
                  <w:tcW w:w="60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right w:val="single" w:color="auto" w:sz="4" w:space="0"/>
                  </w:tcBorders>
                  <w:vAlign w:val="center"/>
                </w:tcPr>
                <w:p>
                  <w:pPr>
                    <w:pStyle w:val="5"/>
                    <w:spacing w:line="240" w:lineRule="auto"/>
                    <w:ind w:firstLine="0" w:firstLineChars="0"/>
                    <w:jc w:val="center"/>
                    <w:rPr>
                      <w:sz w:val="21"/>
                      <w:szCs w:val="21"/>
                      <w:u w:val="non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NO</w:t>
                  </w:r>
                  <w:r>
                    <w:rPr>
                      <w:sz w:val="21"/>
                      <w:szCs w:val="21"/>
                      <w:u w:val="none"/>
                      <w:vertAlign w:val="subscript"/>
                    </w:rPr>
                    <w:t>2</w:t>
                  </w:r>
                </w:p>
              </w:tc>
              <w:tc>
                <w:tcPr>
                  <w:tcW w:w="1685"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年平均质量浓度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default" w:eastAsia="宋体"/>
                      <w:sz w:val="21"/>
                      <w:szCs w:val="21"/>
                      <w:u w:val="none"/>
                      <w:lang w:val="en-US" w:eastAsia="zh-CN"/>
                    </w:rPr>
                  </w:pPr>
                  <w:r>
                    <w:rPr>
                      <w:rFonts w:hint="eastAsia"/>
                      <w:color w:val="000000"/>
                      <w:kern w:val="0"/>
                      <w:sz w:val="21"/>
                      <w:szCs w:val="21"/>
                      <w:u w:val="none"/>
                      <w:lang w:val="en-US" w:eastAsia="zh-CN" w:bidi="ar"/>
                    </w:rPr>
                    <w:t>14</w:t>
                  </w:r>
                </w:p>
              </w:tc>
              <w:tc>
                <w:tcPr>
                  <w:tcW w:w="58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40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none"/>
                      <w:lang w:bidi="ar"/>
                    </w:rPr>
                  </w:pPr>
                  <w:r>
                    <w:rPr>
                      <w:rFonts w:hint="eastAsia"/>
                      <w:color w:val="000000"/>
                      <w:kern w:val="0"/>
                      <w:sz w:val="21"/>
                      <w:szCs w:val="21"/>
                      <w:u w:val="none"/>
                      <w:lang w:val="en-US" w:eastAsia="zh-CN" w:bidi="ar"/>
                    </w:rPr>
                    <w:t>35</w:t>
                  </w:r>
                </w:p>
              </w:tc>
              <w:tc>
                <w:tcPr>
                  <w:tcW w:w="60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right w:val="single" w:color="auto" w:sz="4" w:space="0"/>
                  </w:tcBorders>
                  <w:vAlign w:val="center"/>
                </w:tcPr>
                <w:p>
                  <w:pPr>
                    <w:pStyle w:val="5"/>
                    <w:spacing w:line="240" w:lineRule="auto"/>
                    <w:ind w:firstLine="0" w:firstLineChars="0"/>
                    <w:jc w:val="center"/>
                    <w:rPr>
                      <w:sz w:val="21"/>
                      <w:szCs w:val="21"/>
                      <w:u w:val="non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CO</w:t>
                  </w:r>
                </w:p>
              </w:tc>
              <w:tc>
                <w:tcPr>
                  <w:tcW w:w="1685"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95百分位数日平均质量浓度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eastAsia" w:eastAsia="宋体"/>
                      <w:sz w:val="21"/>
                      <w:szCs w:val="21"/>
                      <w:u w:val="none"/>
                      <w:lang w:eastAsia="zh-CN"/>
                    </w:rPr>
                  </w:pPr>
                  <w:r>
                    <w:rPr>
                      <w:rFonts w:hint="eastAsia"/>
                      <w:color w:val="000000"/>
                      <w:kern w:val="0"/>
                      <w:sz w:val="21"/>
                      <w:szCs w:val="21"/>
                      <w:u w:val="none"/>
                      <w:lang w:val="en-US" w:eastAsia="zh-CN" w:bidi="ar"/>
                    </w:rPr>
                    <w:t>1</w:t>
                  </w:r>
                </w:p>
              </w:tc>
              <w:tc>
                <w:tcPr>
                  <w:tcW w:w="58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400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none"/>
                      <w:lang w:bidi="ar"/>
                    </w:rPr>
                  </w:pPr>
                  <w:r>
                    <w:rPr>
                      <w:rFonts w:hint="eastAsia"/>
                      <w:color w:val="000000"/>
                      <w:kern w:val="0"/>
                      <w:sz w:val="21"/>
                      <w:szCs w:val="21"/>
                      <w:u w:val="none"/>
                      <w:lang w:val="en-US" w:eastAsia="zh-CN" w:bidi="ar"/>
                    </w:rPr>
                    <w:t>0.25</w:t>
                  </w:r>
                </w:p>
              </w:tc>
              <w:tc>
                <w:tcPr>
                  <w:tcW w:w="60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bottom w:val="single" w:color="auto" w:sz="4" w:space="0"/>
                    <w:right w:val="single" w:color="auto" w:sz="4" w:space="0"/>
                  </w:tcBorders>
                  <w:vAlign w:val="center"/>
                </w:tcPr>
                <w:p>
                  <w:pPr>
                    <w:pStyle w:val="5"/>
                    <w:spacing w:line="240" w:lineRule="auto"/>
                    <w:ind w:firstLine="0" w:firstLineChars="0"/>
                    <w:jc w:val="center"/>
                    <w:rPr>
                      <w:sz w:val="21"/>
                      <w:szCs w:val="21"/>
                      <w:u w:val="non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O</w:t>
                  </w:r>
                  <w:r>
                    <w:rPr>
                      <w:sz w:val="21"/>
                      <w:szCs w:val="21"/>
                      <w:u w:val="none"/>
                      <w:vertAlign w:val="subscript"/>
                    </w:rPr>
                    <w:t>3</w:t>
                  </w:r>
                </w:p>
              </w:tc>
              <w:tc>
                <w:tcPr>
                  <w:tcW w:w="1685"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90百分位数8小时平均质量浓度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default" w:eastAsia="宋体"/>
                      <w:sz w:val="21"/>
                      <w:szCs w:val="21"/>
                      <w:u w:val="none"/>
                      <w:lang w:val="en-US" w:eastAsia="zh-CN"/>
                    </w:rPr>
                  </w:pPr>
                  <w:r>
                    <w:rPr>
                      <w:rFonts w:hint="eastAsia"/>
                      <w:color w:val="000000"/>
                      <w:kern w:val="0"/>
                      <w:sz w:val="21"/>
                      <w:szCs w:val="21"/>
                      <w:u w:val="none"/>
                      <w:lang w:val="en-US" w:eastAsia="zh-CN" w:bidi="ar"/>
                    </w:rPr>
                    <w:t>146</w:t>
                  </w:r>
                </w:p>
              </w:tc>
              <w:tc>
                <w:tcPr>
                  <w:tcW w:w="58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160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none"/>
                      <w:lang w:bidi="ar"/>
                    </w:rPr>
                  </w:pPr>
                  <w:r>
                    <w:rPr>
                      <w:rFonts w:hint="eastAsia"/>
                      <w:color w:val="000000"/>
                      <w:kern w:val="0"/>
                      <w:sz w:val="21"/>
                      <w:szCs w:val="21"/>
                      <w:u w:val="none"/>
                      <w:lang w:val="en-US" w:eastAsia="zh-CN" w:bidi="ar"/>
                    </w:rPr>
                    <w:t>91</w:t>
                  </w:r>
                </w:p>
              </w:tc>
              <w:tc>
                <w:tcPr>
                  <w:tcW w:w="603" w:type="pct"/>
                  <w:tcBorders>
                    <w:top w:val="single" w:color="auto" w:sz="4" w:space="0"/>
                    <w:left w:val="nil"/>
                    <w:bottom w:val="single" w:color="auto" w:sz="4" w:space="0"/>
                    <w:right w:val="single" w:color="auto" w:sz="4" w:space="0"/>
                  </w:tcBorders>
                  <w:vAlign w:val="center"/>
                </w:tcPr>
                <w:p>
                  <w:pPr>
                    <w:pStyle w:val="5"/>
                    <w:spacing w:line="240" w:lineRule="auto"/>
                    <w:ind w:firstLine="0" w:firstLineChars="0"/>
                    <w:jc w:val="center"/>
                    <w:rPr>
                      <w:sz w:val="21"/>
                      <w:szCs w:val="21"/>
                      <w:u w:val="none"/>
                    </w:rPr>
                  </w:pPr>
                  <w:r>
                    <w:rPr>
                      <w:sz w:val="21"/>
                      <w:szCs w:val="21"/>
                      <w:u w:val="none"/>
                    </w:rPr>
                    <w:t>达标</w:t>
                  </w:r>
                </w:p>
              </w:tc>
            </w:tr>
          </w:tbl>
          <w:p>
            <w:pPr>
              <w:ind w:firstLine="480"/>
              <w:rPr>
                <w:u w:val="none"/>
              </w:rPr>
            </w:pPr>
            <w:r>
              <w:rPr>
                <w:u w:val="none"/>
              </w:rPr>
              <w:t>根据上表统计数据，202</w:t>
            </w:r>
            <w:r>
              <w:rPr>
                <w:rFonts w:hint="eastAsia"/>
                <w:u w:val="none"/>
              </w:rPr>
              <w:t>4</w:t>
            </w:r>
            <w:r>
              <w:rPr>
                <w:u w:val="none"/>
              </w:rPr>
              <w:t>年项目所在湘阴县区域内的PM</w:t>
            </w:r>
            <w:r>
              <w:rPr>
                <w:u w:val="none"/>
                <w:vertAlign w:val="subscript"/>
              </w:rPr>
              <w:t>2.5</w:t>
            </w:r>
            <w:r>
              <w:rPr>
                <w:u w:val="none"/>
              </w:rPr>
              <w:t>、PM</w:t>
            </w:r>
            <w:r>
              <w:rPr>
                <w:u w:val="none"/>
                <w:vertAlign w:val="subscript"/>
              </w:rPr>
              <w:t>2.5</w:t>
            </w:r>
            <w:r>
              <w:rPr>
                <w:u w:val="none"/>
              </w:rPr>
              <w:t>、O</w:t>
            </w:r>
            <w:r>
              <w:rPr>
                <w:u w:val="none"/>
                <w:vertAlign w:val="subscript"/>
              </w:rPr>
              <w:t>3</w:t>
            </w:r>
            <w:r>
              <w:rPr>
                <w:u w:val="none"/>
              </w:rPr>
              <w:t>、SO</w:t>
            </w:r>
            <w:r>
              <w:rPr>
                <w:u w:val="none"/>
                <w:vertAlign w:val="subscript"/>
              </w:rPr>
              <w:t>2</w:t>
            </w:r>
            <w:r>
              <w:rPr>
                <w:u w:val="none"/>
              </w:rPr>
              <w:t>、NO</w:t>
            </w:r>
            <w:r>
              <w:rPr>
                <w:u w:val="none"/>
                <w:vertAlign w:val="subscript"/>
              </w:rPr>
              <w:t>2</w:t>
            </w:r>
            <w:r>
              <w:rPr>
                <w:u w:val="none"/>
              </w:rPr>
              <w:t>、CO均符合《环境空气质量标准》（GB3095-2012）中相应的二级标准限值，因此本项目所在行政区属于环境空气质量达标区域。</w:t>
            </w:r>
          </w:p>
          <w:p>
            <w:pPr>
              <w:ind w:firstLine="480"/>
              <w:rPr>
                <w:u w:val="none"/>
              </w:rPr>
            </w:pPr>
            <w:r>
              <w:rPr>
                <w:u w:val="none"/>
              </w:rPr>
              <w:t>（2）其他污染物环境质量现状</w:t>
            </w:r>
          </w:p>
          <w:p>
            <w:pPr>
              <w:ind w:firstLine="480"/>
              <w:rPr>
                <w:u w:val="none"/>
              </w:rPr>
            </w:pPr>
            <w:r>
              <w:rPr>
                <w:u w:val="none"/>
              </w:rPr>
              <w:t>为了解项目评价区域内TVOC环境质量现状，本环评引用《金彩螺新材料科技有限公司年产8万吨金彩螺水性节能环保建筑涂料生产基地项目（重大变动）环境影响报告表》中湖南宏润检测有限公司于2023年9月12～9月14日对评价区域内TVOC进行的一期现场采样监测数据。</w:t>
            </w:r>
          </w:p>
          <w:p>
            <w:pPr>
              <w:ind w:firstLine="480"/>
              <w:rPr>
                <w:u w:val="none"/>
              </w:rPr>
            </w:pPr>
            <w:r>
              <w:rPr>
                <w:u w:val="none"/>
              </w:rPr>
              <w:t>本项目与“年产8万吨金彩螺水性节能环保建筑涂料生产基地项目（重大变动）”直线距离1.2km，数据符合引用要求。其他污染物环境质量现状详见下表：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表3-2 环境空气监测结果一览表</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5"/>
              <w:gridCol w:w="925"/>
              <w:gridCol w:w="1106"/>
              <w:gridCol w:w="1156"/>
              <w:gridCol w:w="1513"/>
              <w:gridCol w:w="1287"/>
              <w:gridCol w:w="875"/>
              <w:gridCol w:w="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0"/>
                    <w:spacing w:line="240" w:lineRule="auto"/>
                    <w:ind w:firstLine="0" w:firstLineChars="0"/>
                    <w:rPr>
                      <w:b/>
                      <w:bCs/>
                      <w:sz w:val="21"/>
                      <w:szCs w:val="21"/>
                      <w:u w:val="none"/>
                    </w:rPr>
                  </w:pPr>
                  <w:r>
                    <w:rPr>
                      <w:b/>
                      <w:bCs/>
                      <w:sz w:val="21"/>
                      <w:szCs w:val="21"/>
                      <w:u w:val="none"/>
                    </w:rPr>
                    <w:t>监测点位</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b/>
                      <w:bCs/>
                      <w:sz w:val="21"/>
                      <w:szCs w:val="21"/>
                      <w:u w:val="none"/>
                    </w:rPr>
                  </w:pPr>
                  <w:r>
                    <w:rPr>
                      <w:b/>
                      <w:bCs/>
                      <w:sz w:val="21"/>
                      <w:szCs w:val="21"/>
                      <w:u w:val="none"/>
                    </w:rPr>
                    <w:t>污染物</w:t>
                  </w:r>
                </w:p>
              </w:tc>
              <w:tc>
                <w:tcPr>
                  <w:tcW w:w="1106"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b/>
                      <w:bCs/>
                      <w:sz w:val="21"/>
                      <w:szCs w:val="21"/>
                      <w:u w:val="none"/>
                    </w:rPr>
                  </w:pPr>
                  <w:r>
                    <w:rPr>
                      <w:b/>
                      <w:bCs/>
                      <w:sz w:val="21"/>
                      <w:szCs w:val="21"/>
                      <w:u w:val="none"/>
                    </w:rPr>
                    <w:t>平均时间</w:t>
                  </w:r>
                </w:p>
              </w:tc>
              <w:tc>
                <w:tcPr>
                  <w:tcW w:w="1156"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b/>
                      <w:bCs/>
                      <w:sz w:val="21"/>
                      <w:szCs w:val="21"/>
                      <w:u w:val="none"/>
                    </w:rPr>
                  </w:pPr>
                  <w:r>
                    <w:rPr>
                      <w:b/>
                      <w:bCs/>
                      <w:sz w:val="21"/>
                      <w:szCs w:val="21"/>
                      <w:u w:val="none"/>
                    </w:rPr>
                    <w:t>评价标准/</w:t>
                  </w:r>
                </w:p>
                <w:p>
                  <w:pPr>
                    <w:pStyle w:val="50"/>
                    <w:spacing w:line="240" w:lineRule="auto"/>
                    <w:ind w:firstLine="0" w:firstLineChars="0"/>
                    <w:rPr>
                      <w:b/>
                      <w:bCs/>
                      <w:sz w:val="21"/>
                      <w:szCs w:val="21"/>
                      <w:u w:val="none"/>
                    </w:rPr>
                  </w:pPr>
                  <w:r>
                    <w:rPr>
                      <w:b/>
                      <w:bCs/>
                      <w:sz w:val="21"/>
                      <w:szCs w:val="21"/>
                      <w:u w:val="none"/>
                    </w:rPr>
                    <w:t>（mg/m</w:t>
                  </w:r>
                  <w:r>
                    <w:rPr>
                      <w:b/>
                      <w:bCs/>
                      <w:sz w:val="21"/>
                      <w:szCs w:val="21"/>
                      <w:u w:val="none"/>
                      <w:vertAlign w:val="superscript"/>
                    </w:rPr>
                    <w:t>3</w:t>
                  </w:r>
                  <w:r>
                    <w:rPr>
                      <w:b/>
                      <w:bCs/>
                      <w:sz w:val="21"/>
                      <w:szCs w:val="21"/>
                      <w:u w:val="none"/>
                    </w:rPr>
                    <w:t>）</w:t>
                  </w:r>
                </w:p>
              </w:tc>
              <w:tc>
                <w:tcPr>
                  <w:tcW w:w="1513"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b/>
                      <w:bCs/>
                      <w:sz w:val="21"/>
                      <w:szCs w:val="21"/>
                      <w:u w:val="none"/>
                    </w:rPr>
                  </w:pPr>
                  <w:r>
                    <w:rPr>
                      <w:b/>
                      <w:bCs/>
                      <w:sz w:val="21"/>
                      <w:szCs w:val="21"/>
                      <w:u w:val="none"/>
                    </w:rPr>
                    <w:t>监测浓度范围/（mg/m</w:t>
                  </w:r>
                  <w:r>
                    <w:rPr>
                      <w:b/>
                      <w:bCs/>
                      <w:sz w:val="21"/>
                      <w:szCs w:val="21"/>
                      <w:u w:val="none"/>
                      <w:vertAlign w:val="superscript"/>
                    </w:rPr>
                    <w:t>3</w:t>
                  </w:r>
                  <w:r>
                    <w:rPr>
                      <w:b/>
                      <w:bCs/>
                      <w:sz w:val="21"/>
                      <w:szCs w:val="21"/>
                      <w:u w:val="none"/>
                    </w:rPr>
                    <w:t>）</w:t>
                  </w:r>
                </w:p>
              </w:tc>
              <w:tc>
                <w:tcPr>
                  <w:tcW w:w="1287"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b/>
                      <w:bCs/>
                      <w:sz w:val="21"/>
                      <w:szCs w:val="21"/>
                      <w:u w:val="none"/>
                    </w:rPr>
                  </w:pPr>
                  <w:r>
                    <w:rPr>
                      <w:b/>
                      <w:bCs/>
                      <w:sz w:val="21"/>
                      <w:szCs w:val="21"/>
                      <w:u w:val="none"/>
                    </w:rPr>
                    <w:t>最大浓</w:t>
                  </w:r>
                  <w:r>
                    <w:rPr>
                      <w:b/>
                      <w:bCs/>
                      <w:sz w:val="21"/>
                      <w:szCs w:val="21"/>
                      <w:u w:val="none"/>
                    </w:rPr>
                    <w:cr/>
                  </w:r>
                  <w:r>
                    <w:rPr>
                      <w:b/>
                      <w:bCs/>
                      <w:sz w:val="21"/>
                      <w:szCs w:val="21"/>
                      <w:u w:val="none"/>
                    </w:rPr>
                    <w:t>占标率/%</w:t>
                  </w:r>
                </w:p>
              </w:tc>
              <w:tc>
                <w:tcPr>
                  <w:tcW w:w="875"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b/>
                      <w:bCs/>
                      <w:sz w:val="21"/>
                      <w:szCs w:val="21"/>
                      <w:u w:val="none"/>
                    </w:rPr>
                  </w:pPr>
                  <w:r>
                    <w:rPr>
                      <w:b/>
                      <w:bCs/>
                      <w:sz w:val="21"/>
                      <w:szCs w:val="21"/>
                      <w:u w:val="none"/>
                    </w:rPr>
                    <w:t>超标率/%</w:t>
                  </w:r>
                </w:p>
              </w:tc>
              <w:tc>
                <w:tcPr>
                  <w:tcW w:w="671"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b/>
                      <w:bCs/>
                      <w:sz w:val="21"/>
                      <w:szCs w:val="21"/>
                      <w:u w:val="none"/>
                    </w:rPr>
                  </w:pPr>
                  <w:r>
                    <w:rPr>
                      <w:b/>
                      <w:bCs/>
                      <w:sz w:val="21"/>
                      <w:szCs w:val="21"/>
                      <w:u w:val="none"/>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5" w:type="dxa"/>
                  <w:tcBorders>
                    <w:left w:val="single" w:color="000000" w:sz="4" w:space="0"/>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u w:val="none"/>
                    </w:rPr>
                  </w:pPr>
                  <w:r>
                    <w:rPr>
                      <w:sz w:val="21"/>
                      <w:szCs w:val="21"/>
                      <w:u w:val="none"/>
                    </w:rPr>
                    <w:t>厂界下风向南面50m</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u w:val="none"/>
                    </w:rPr>
                  </w:pPr>
                  <w:r>
                    <w:rPr>
                      <w:sz w:val="21"/>
                      <w:szCs w:val="21"/>
                      <w:u w:val="none"/>
                    </w:rPr>
                    <w:t>TVOC</w:t>
                  </w:r>
                </w:p>
              </w:tc>
              <w:tc>
                <w:tcPr>
                  <w:tcW w:w="1106"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u w:val="none"/>
                    </w:rPr>
                  </w:pPr>
                  <w:r>
                    <w:rPr>
                      <w:sz w:val="21"/>
                      <w:szCs w:val="21"/>
                      <w:u w:val="none"/>
                    </w:rPr>
                    <w:t>8h均值</w:t>
                  </w:r>
                </w:p>
              </w:tc>
              <w:tc>
                <w:tcPr>
                  <w:tcW w:w="1156"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u w:val="none"/>
                    </w:rPr>
                  </w:pPr>
                  <w:r>
                    <w:rPr>
                      <w:sz w:val="21"/>
                      <w:szCs w:val="21"/>
                      <w:u w:val="none"/>
                    </w:rPr>
                    <w:t>0.600</w:t>
                  </w:r>
                </w:p>
              </w:tc>
              <w:tc>
                <w:tcPr>
                  <w:tcW w:w="1513"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u w:val="none"/>
                    </w:rPr>
                  </w:pPr>
                  <w:r>
                    <w:rPr>
                      <w:sz w:val="21"/>
                      <w:szCs w:val="21"/>
                      <w:u w:val="none"/>
                    </w:rPr>
                    <w:t>0.048～0.066</w:t>
                  </w:r>
                </w:p>
              </w:tc>
              <w:tc>
                <w:tcPr>
                  <w:tcW w:w="1287"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u w:val="none"/>
                    </w:rPr>
                  </w:pPr>
                  <w:r>
                    <w:rPr>
                      <w:sz w:val="21"/>
                      <w:szCs w:val="21"/>
                      <w:u w:val="none"/>
                    </w:rPr>
                    <w:t>11.0</w:t>
                  </w:r>
                </w:p>
              </w:tc>
              <w:tc>
                <w:tcPr>
                  <w:tcW w:w="875"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u w:val="none"/>
                    </w:rPr>
                  </w:pPr>
                  <w:r>
                    <w:rPr>
                      <w:sz w:val="21"/>
                      <w:szCs w:val="21"/>
                      <w:u w:val="none"/>
                    </w:rPr>
                    <w:t>0</w:t>
                  </w:r>
                </w:p>
              </w:tc>
              <w:tc>
                <w:tcPr>
                  <w:tcW w:w="671"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u w:val="none"/>
                    </w:rPr>
                  </w:pPr>
                  <w:r>
                    <w:rPr>
                      <w:sz w:val="21"/>
                      <w:szCs w:val="21"/>
                      <w:u w:val="none"/>
                    </w:rPr>
                    <w:t>达标</w:t>
                  </w:r>
                </w:p>
              </w:tc>
            </w:tr>
          </w:tbl>
          <w:p>
            <w:pPr>
              <w:ind w:firstLine="480"/>
              <w:jc w:val="left"/>
              <w:rPr>
                <w:u w:val="none"/>
              </w:rPr>
            </w:pPr>
            <w:r>
              <w:rPr>
                <w:szCs w:val="32"/>
                <w:u w:val="none"/>
              </w:rPr>
              <w:t>由上表的监测结果可知，</w:t>
            </w:r>
            <w:r>
              <w:rPr>
                <w:u w:val="none"/>
              </w:rPr>
              <w:t>TVOC满足《环境影响评价技术导则大气环境》（HJ 2.2-2018）附录D的要求。</w:t>
            </w:r>
          </w:p>
          <w:p>
            <w:pPr>
              <w:ind w:firstLine="480"/>
              <w:rPr>
                <w:u w:val="none"/>
              </w:rPr>
            </w:pPr>
            <w:r>
              <w:rPr>
                <w:u w:val="none"/>
              </w:rPr>
              <w:t>2、地表水环境质量现状</w:t>
            </w:r>
          </w:p>
          <w:p>
            <w:pPr>
              <w:ind w:firstLine="480"/>
              <w:rPr>
                <w:u w:val="none"/>
              </w:rPr>
            </w:pPr>
            <w:r>
              <w:rPr>
                <w:u w:val="none"/>
              </w:rPr>
              <w:t>本项目生活污水</w:t>
            </w:r>
            <w:r>
              <w:rPr>
                <w:rFonts w:hint="eastAsia"/>
                <w:u w:val="none"/>
                <w:lang w:eastAsia="zh-CN"/>
              </w:rPr>
              <w:t>、</w:t>
            </w:r>
            <w:r>
              <w:rPr>
                <w:rFonts w:hint="eastAsia"/>
                <w:u w:val="none"/>
                <w:lang w:val="en-US" w:eastAsia="zh-CN"/>
              </w:rPr>
              <w:t>地面清洁废水</w:t>
            </w:r>
            <w:r>
              <w:rPr>
                <w:u w:val="none"/>
              </w:rPr>
              <w:t>依托</w:t>
            </w:r>
            <w:r>
              <w:rPr>
                <w:rFonts w:hint="eastAsia"/>
                <w:u w:val="none"/>
              </w:rPr>
              <w:t>租赁公司</w:t>
            </w:r>
            <w:r>
              <w:rPr>
                <w:u w:val="none"/>
              </w:rPr>
              <w:t>化粪池处理后排入市政污水管网进入湘阴县第二污水处理厂，处理达标后经洋沙湖排至湘江，为了解项目区域地表水的质量现状，本次</w:t>
            </w:r>
            <w:r>
              <w:rPr>
                <w:rFonts w:hint="eastAsia"/>
                <w:u w:val="none"/>
              </w:rPr>
              <w:t>评价根据</w:t>
            </w:r>
            <w:r>
              <w:rPr>
                <w:u w:val="none"/>
              </w:rPr>
              <w:t>湖南省生态环境厅在其网站上发布的202</w:t>
            </w:r>
            <w:r>
              <w:rPr>
                <w:rFonts w:hint="eastAsia"/>
                <w:u w:val="none"/>
              </w:rPr>
              <w:t>4</w:t>
            </w:r>
            <w:r>
              <w:rPr>
                <w:u w:val="none"/>
              </w:rPr>
              <w:t>年1-12月份湖南省地表水水质状况中湘江干流岳阳段共有5个监测断面，分别为乌龙嘴、屈原湘江取水口、屈原自来水厂、磊石山、白水港，202</w:t>
            </w:r>
            <w:r>
              <w:rPr>
                <w:rFonts w:hint="eastAsia"/>
                <w:u w:val="none"/>
              </w:rPr>
              <w:t>4</w:t>
            </w:r>
            <w:r>
              <w:rPr>
                <w:u w:val="none"/>
              </w:rPr>
              <w:t>年各断面水质类别分别为II类、II类、II类、II类、III类，湘江干、支流岳阳段水体水质总体为优。</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u w:val="none" w:color="auto"/>
                <w:lang w:val="en-US" w:eastAsia="zh-CN"/>
              </w:rPr>
            </w:pPr>
            <w:r>
              <w:rPr>
                <w:rFonts w:hint="default" w:ascii="Times New Roman" w:hAnsi="Times New Roman" w:eastAsia="宋体" w:cs="Times New Roman"/>
                <w:kern w:val="2"/>
                <w:sz w:val="24"/>
                <w:szCs w:val="24"/>
                <w:u w:val="none" w:color="auto"/>
                <w:lang w:val="en-US" w:eastAsia="zh-CN"/>
              </w:rPr>
              <w:t>为进一步了解项目区域地表水环境质量，本环评引用《湘阴高新技术产业开发区202</w:t>
            </w:r>
            <w:r>
              <w:rPr>
                <w:rFonts w:hint="eastAsia" w:ascii="Times New Roman" w:hAnsi="Times New Roman" w:eastAsia="宋体" w:cs="Times New Roman"/>
                <w:kern w:val="2"/>
                <w:sz w:val="24"/>
                <w:szCs w:val="24"/>
                <w:u w:val="none" w:color="auto"/>
                <w:lang w:val="en-US" w:eastAsia="zh-CN"/>
              </w:rPr>
              <w:t>3</w:t>
            </w:r>
            <w:r>
              <w:rPr>
                <w:rFonts w:hint="default" w:ascii="Times New Roman" w:hAnsi="Times New Roman" w:eastAsia="宋体" w:cs="Times New Roman"/>
                <w:kern w:val="2"/>
                <w:sz w:val="24"/>
                <w:szCs w:val="24"/>
                <w:u w:val="none" w:color="auto"/>
                <w:lang w:val="en-US" w:eastAsia="zh-CN"/>
              </w:rPr>
              <w:t>年度园区环境质量检测报告下半年环境质量检测》监测数据，引用数据在近三年内，因此引用可行，具体监测结果见下表。</w:t>
            </w:r>
          </w:p>
          <w:p>
            <w:pPr>
              <w:keepNext w:val="0"/>
              <w:keepLines w:val="0"/>
              <w:widowControl w:val="0"/>
              <w:suppressLineNumbers w:val="0"/>
              <w:spacing w:before="0" w:beforeAutospacing="0" w:after="0" w:afterAutospacing="0"/>
              <w:ind w:left="0" w:right="0" w:firstLine="0" w:firstLineChars="0"/>
              <w:jc w:val="center"/>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表3-</w:t>
            </w:r>
            <w:r>
              <w:rPr>
                <w:rFonts w:hint="eastAsia" w:cs="Times New Roman"/>
                <w:b/>
                <w:bCs/>
                <w:color w:val="auto"/>
                <w:sz w:val="24"/>
                <w:szCs w:val="24"/>
                <w:u w:val="none" w:color="auto"/>
                <w:lang w:val="en-US" w:eastAsia="zh-CN"/>
              </w:rPr>
              <w:t>3</w:t>
            </w:r>
            <w:r>
              <w:rPr>
                <w:rFonts w:hint="eastAsia" w:ascii="Times New Roman" w:hAnsi="Times New Roman" w:eastAsia="宋体" w:cs="Times New Roman"/>
                <w:b/>
                <w:bCs/>
                <w:color w:val="auto"/>
                <w:sz w:val="24"/>
                <w:szCs w:val="24"/>
                <w:u w:val="none" w:color="auto"/>
                <w:lang w:val="en-US" w:eastAsia="zh-CN"/>
              </w:rPr>
              <w:t>地表水监测布点说明表</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1"/>
              <w:gridCol w:w="960"/>
              <w:gridCol w:w="1829"/>
              <w:gridCol w:w="494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5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水体</w:t>
                  </w:r>
                </w:p>
              </w:tc>
              <w:tc>
                <w:tcPr>
                  <w:tcW w:w="55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序号</w:t>
                  </w:r>
                </w:p>
              </w:tc>
              <w:tc>
                <w:tcPr>
                  <w:tcW w:w="10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点位名称及位置</w:t>
                  </w:r>
                </w:p>
              </w:tc>
              <w:tc>
                <w:tcPr>
                  <w:tcW w:w="28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监测因子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0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洋沙湖</w:t>
                  </w:r>
                </w:p>
              </w:tc>
              <w:tc>
                <w:tcPr>
                  <w:tcW w:w="55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sz w:val="21"/>
                      <w:szCs w:val="21"/>
                    </w:rPr>
                    <w:t>S1</w:t>
                  </w:r>
                </w:p>
              </w:tc>
              <w:tc>
                <w:tcPr>
                  <w:tcW w:w="10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sz w:val="21"/>
                      <w:szCs w:val="21"/>
                    </w:rPr>
                    <w:t>洋沙湖片区芙蓉北路桥处</w:t>
                  </w:r>
                </w:p>
              </w:tc>
              <w:tc>
                <w:tcPr>
                  <w:tcW w:w="287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pH值、化学需氧量、五日生化需氧量、氨氮、总磷、氟化物、氰化物、挥发酚、石油类、阴离子表面活性剂、硫化物、粪大肠菌群、铜、锌、砷、镉、铅、铬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50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p>
              </w:tc>
              <w:tc>
                <w:tcPr>
                  <w:tcW w:w="55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sz w:val="21"/>
                      <w:szCs w:val="21"/>
                    </w:rPr>
                    <w:t>S2</w:t>
                  </w:r>
                </w:p>
              </w:tc>
              <w:tc>
                <w:tcPr>
                  <w:tcW w:w="10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sz w:val="21"/>
                      <w:szCs w:val="21"/>
                    </w:rPr>
                    <w:t>洋沙湖片区下游约700m</w:t>
                  </w:r>
                </w:p>
              </w:tc>
              <w:tc>
                <w:tcPr>
                  <w:tcW w:w="287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color w:val="auto"/>
                      <w:kern w:val="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50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p>
              </w:tc>
              <w:tc>
                <w:tcPr>
                  <w:tcW w:w="55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sz w:val="21"/>
                      <w:szCs w:val="21"/>
                    </w:rPr>
                    <w:t>S3</w:t>
                  </w:r>
                </w:p>
              </w:tc>
              <w:tc>
                <w:tcPr>
                  <w:tcW w:w="10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sz w:val="21"/>
                      <w:szCs w:val="21"/>
                    </w:rPr>
                    <w:t>洋沙湖湖中心</w:t>
                  </w:r>
                </w:p>
              </w:tc>
              <w:tc>
                <w:tcPr>
                  <w:tcW w:w="287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color w:val="auto"/>
                      <w:kern w:val="0"/>
                      <w:sz w:val="21"/>
                      <w:szCs w:val="21"/>
                      <w:u w:val="none" w:color="auto"/>
                    </w:rPr>
                  </w:pPr>
                </w:p>
              </w:tc>
            </w:tr>
          </w:tbl>
          <w:p>
            <w:pPr>
              <w:keepNext w:val="0"/>
              <w:keepLines w:val="0"/>
              <w:widowControl w:val="0"/>
              <w:suppressLineNumbers w:val="0"/>
              <w:spacing w:before="0" w:beforeAutospacing="0" w:after="0" w:afterAutospacing="0"/>
              <w:ind w:left="0" w:right="0" w:firstLine="0" w:firstLineChars="0"/>
              <w:jc w:val="center"/>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表3-</w:t>
            </w:r>
            <w:r>
              <w:rPr>
                <w:rFonts w:hint="eastAsia" w:cs="Times New Roman"/>
                <w:b/>
                <w:bCs/>
                <w:color w:val="auto"/>
                <w:sz w:val="24"/>
                <w:szCs w:val="24"/>
                <w:u w:val="none" w:color="auto"/>
                <w:lang w:val="en-US" w:eastAsia="zh-CN"/>
              </w:rPr>
              <w:t>4</w:t>
            </w:r>
            <w:r>
              <w:rPr>
                <w:rFonts w:hint="eastAsia" w:ascii="Times New Roman" w:hAnsi="Times New Roman" w:eastAsia="宋体" w:cs="Times New Roman"/>
                <w:b/>
                <w:bCs/>
                <w:color w:val="auto"/>
                <w:sz w:val="24"/>
                <w:szCs w:val="24"/>
                <w:u w:val="none" w:color="auto"/>
                <w:lang w:val="en-US" w:eastAsia="zh-CN"/>
              </w:rPr>
              <w:t xml:space="preserve"> 地表水检测结果统计   单位：mg/L（pH除外）</w:t>
            </w:r>
          </w:p>
          <w:tbl>
            <w:tblPr>
              <w:tblStyle w:val="61"/>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5"/>
              <w:gridCol w:w="1238"/>
              <w:gridCol w:w="1033"/>
              <w:gridCol w:w="1567"/>
              <w:gridCol w:w="1566"/>
              <w:gridCol w:w="146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snapToGrid/>
                      <w:kern w:val="2"/>
                      <w:sz w:val="21"/>
                      <w:szCs w:val="21"/>
                      <w:lang w:eastAsia="zh-CN"/>
                    </w:rPr>
                  </w:pPr>
                  <w:r>
                    <w:rPr>
                      <w:rFonts w:hint="eastAsia" w:ascii="Times New Roman" w:hAnsi="Times New Roman" w:eastAsia="宋体" w:cs="Times New Roman"/>
                      <w:b/>
                      <w:bCs/>
                      <w:snapToGrid/>
                      <w:kern w:val="2"/>
                      <w:sz w:val="21"/>
                      <w:szCs w:val="21"/>
                      <w:lang w:eastAsia="zh-CN"/>
                    </w:rPr>
                    <w:t>采样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snapToGrid/>
                      <w:kern w:val="2"/>
                      <w:sz w:val="21"/>
                      <w:szCs w:val="21"/>
                      <w:lang w:eastAsia="zh-CN"/>
                    </w:rPr>
                  </w:pPr>
                  <w:r>
                    <w:rPr>
                      <w:rFonts w:hint="eastAsia" w:ascii="Times New Roman" w:hAnsi="Times New Roman" w:eastAsia="宋体" w:cs="Times New Roman"/>
                      <w:b/>
                      <w:bCs/>
                      <w:snapToGrid/>
                      <w:kern w:val="2"/>
                      <w:sz w:val="21"/>
                      <w:szCs w:val="21"/>
                      <w:lang w:eastAsia="zh-CN"/>
                    </w:rPr>
                    <w:t>日期</w:t>
                  </w:r>
                </w:p>
              </w:tc>
              <w:tc>
                <w:tcPr>
                  <w:tcW w:w="123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snapToGrid/>
                      <w:kern w:val="2"/>
                      <w:sz w:val="21"/>
                      <w:szCs w:val="21"/>
                      <w:lang w:eastAsia="zh-CN"/>
                    </w:rPr>
                  </w:pPr>
                  <w:r>
                    <w:rPr>
                      <w:rFonts w:hint="eastAsia" w:ascii="Times New Roman" w:hAnsi="Times New Roman" w:eastAsia="宋体" w:cs="Times New Roman"/>
                      <w:b/>
                      <w:bCs/>
                      <w:snapToGrid/>
                      <w:kern w:val="2"/>
                      <w:sz w:val="21"/>
                      <w:szCs w:val="21"/>
                      <w:lang w:eastAsia="zh-CN"/>
                    </w:rPr>
                    <w:t>检测项目</w:t>
                  </w:r>
                </w:p>
              </w:tc>
              <w:tc>
                <w:tcPr>
                  <w:tcW w:w="103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snapToGrid/>
                      <w:kern w:val="2"/>
                      <w:sz w:val="21"/>
                      <w:szCs w:val="21"/>
                      <w:lang w:eastAsia="zh-CN"/>
                    </w:rPr>
                  </w:pPr>
                  <w:r>
                    <w:rPr>
                      <w:rFonts w:hint="eastAsia" w:ascii="Times New Roman" w:hAnsi="Times New Roman" w:eastAsia="宋体" w:cs="Times New Roman"/>
                      <w:b/>
                      <w:bCs/>
                      <w:snapToGrid/>
                      <w:kern w:val="2"/>
                      <w:sz w:val="21"/>
                      <w:szCs w:val="21"/>
                      <w:lang w:eastAsia="zh-CN"/>
                    </w:rPr>
                    <w:t>单位</w:t>
                  </w:r>
                </w:p>
              </w:tc>
              <w:tc>
                <w:tcPr>
                  <w:tcW w:w="460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b/>
                      <w:bCs/>
                      <w:snapToGrid/>
                      <w:kern w:val="2"/>
                      <w:sz w:val="21"/>
                      <w:szCs w:val="21"/>
                      <w:lang w:eastAsia="zh-CN"/>
                    </w:rPr>
                    <w:t>检测结果</w:t>
                  </w:r>
                </w:p>
              </w:tc>
              <w:tc>
                <w:tcPr>
                  <w:tcW w:w="113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kern w:val="2"/>
                      <w:sz w:val="21"/>
                      <w:szCs w:val="21"/>
                      <w:lang w:val="en-US" w:eastAsia="zh-CN"/>
                    </w:rPr>
                  </w:pPr>
                  <w:r>
                    <w:rPr>
                      <w:rFonts w:hint="eastAsia" w:ascii="Times New Roman" w:hAnsi="Times New Roman" w:eastAsia="宋体" w:cs="Times New Roman"/>
                      <w:b/>
                      <w:bCs/>
                      <w:snapToGrid/>
                      <w:kern w:val="2"/>
                      <w:sz w:val="21"/>
                      <w:szCs w:val="21"/>
                      <w:lang w:val="en-US" w:eastAsia="zh-CN"/>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03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洋沙湖片区芙蓉北路桥处S1</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洋沙湖片区下游约700mS2</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沙湖湖中心S3</w:t>
                  </w:r>
                </w:p>
              </w:tc>
              <w:tc>
                <w:tcPr>
                  <w:tcW w:w="113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03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微黄色、微浊、无异味</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微黄色、微浊、无异味</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无色、无浮油、无异味</w:t>
                  </w:r>
                </w:p>
              </w:tc>
              <w:tc>
                <w:tcPr>
                  <w:tcW w:w="113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12月25日</w:t>
                  </w: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水温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9.6</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8.7</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9.4</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pH值</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无量纲</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7.2</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7.1</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7.2</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化学需氧量</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13</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18</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16</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五日生化需氧量</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3.1</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2.7</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3.3</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≤4</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氨氮</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0.575</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0.875</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0.915</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总磷</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0.06</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0.10</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0.17</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氟化物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0.603</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0.432</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0.452</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氰化物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挥发酚</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石油类</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阴离子表面活性剂</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0.06</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硫化物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粪大肠菌群</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MPN/L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5.4×10³</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1.1×10³</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1.7×10³</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铜</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0.00046</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0.00150</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0.00062</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锌</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0.00329</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0.00390</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0.00480</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铅</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镉</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铬</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砷</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0.00056</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0.00042</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0.00056</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12月26日</w:t>
                  </w: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水温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8.4</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9.2</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8.4</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pH值</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无量纲</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7.1</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6.9</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7.0</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化学需氧量</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17</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15</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17</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五日生化需氧量</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3.2</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2.6</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3.4</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≤4</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氨氮</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0.544</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0.865</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0.941</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总磷</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0.07</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0.11</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0.18</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氟化物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0.611</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0.592</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0.499</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氰化物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挥发酚</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石油类</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阴离子表面活性剂</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硫化物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粪大肠菌群</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MPN/L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3.5×10³</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1.4×10³</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2.4×10³</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铜</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0.00047</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0.00148</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0.00055</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锌</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0.00348</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0.00402</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0.00473</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铅</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镉</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铬</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砷</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0.00057</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0.00048</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0.00071</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12月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27日</w:t>
                  </w: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水温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7.4</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7.8</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8.2</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pH值</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无量纲</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7.2</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7.1</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7.0</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化学需氧量</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19</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16</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18</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五日生化需氧量</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3.3</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2.7</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3.9</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≤4</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氨氮</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0.607</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0.912</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0.955</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总磷</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0.08</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0.09</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0.17</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氟化物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0.604</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0.585</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0.474</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氰化物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挥发酚</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石油类</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阴离子表面活性剂</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硫化物</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粪大肠菌群</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MPN/L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5.4×10³</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7.9×10²</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2.2×10³</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铜</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0.00028</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0.00161</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0.00062</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锌</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0.00371</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0.00398</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0.00354</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≤1</w:t>
                  </w:r>
                  <w:r>
                    <w:rPr>
                      <w:rFonts w:hint="eastAsia" w:cs="Times New Roman"/>
                      <w:snapToGrid/>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铅</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镉</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铬</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ND</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p>
              </w:tc>
              <w:tc>
                <w:tcPr>
                  <w:tcW w:w="12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砷</w:t>
                  </w:r>
                </w:p>
              </w:tc>
              <w:tc>
                <w:tcPr>
                  <w:tcW w:w="103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mg/L</w:t>
                  </w:r>
                </w:p>
              </w:tc>
              <w:tc>
                <w:tcPr>
                  <w:tcW w:w="15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0.00056</w:t>
                  </w:r>
                </w:p>
              </w:tc>
              <w:tc>
                <w:tcPr>
                  <w:tcW w:w="15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0.00069</w:t>
                  </w:r>
                </w:p>
              </w:tc>
              <w:tc>
                <w:tcPr>
                  <w:tcW w:w="146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eastAsia="zh-CN"/>
                    </w:rPr>
                    <w:t>0.00077</w:t>
                  </w:r>
                </w:p>
              </w:tc>
              <w:tc>
                <w:tcPr>
                  <w:tcW w:w="113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≤0.05</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kern w:val="2"/>
                <w:sz w:val="24"/>
                <w:szCs w:val="24"/>
                <w:u w:val="none" w:color="auto"/>
                <w:lang w:val="en-US" w:eastAsia="zh-CN"/>
              </w:rPr>
            </w:pPr>
            <w:r>
              <w:rPr>
                <w:rFonts w:hint="eastAsia" w:ascii="Times New Roman" w:hAnsi="Times New Roman" w:eastAsia="宋体" w:cs="Times New Roman"/>
                <w:kern w:val="2"/>
                <w:sz w:val="24"/>
                <w:szCs w:val="24"/>
                <w:u w:val="none" w:color="auto"/>
                <w:lang w:val="en-US" w:eastAsia="zh-CN"/>
              </w:rPr>
              <w:t>由上表可知，洋沙湖</w:t>
            </w:r>
            <w:r>
              <w:rPr>
                <w:rFonts w:hint="eastAsia" w:cs="Times New Roman"/>
                <w:kern w:val="2"/>
                <w:sz w:val="24"/>
                <w:szCs w:val="24"/>
                <w:u w:val="none" w:color="auto"/>
                <w:lang w:val="en-US" w:eastAsia="zh-CN"/>
              </w:rPr>
              <w:t>监测因子中总磷超标，其他</w:t>
            </w:r>
            <w:r>
              <w:rPr>
                <w:rFonts w:hint="eastAsia" w:ascii="Times New Roman" w:hAnsi="Times New Roman" w:eastAsia="宋体" w:cs="Times New Roman"/>
                <w:kern w:val="2"/>
                <w:sz w:val="24"/>
                <w:szCs w:val="24"/>
                <w:u w:val="none" w:color="auto"/>
                <w:lang w:val="en-US" w:eastAsia="zh-CN"/>
              </w:rPr>
              <w:t>因子均达到《地表水环境质量标准》（GB 3838-2002）中的Ⅲ类标准。</w:t>
            </w:r>
          </w:p>
          <w:p>
            <w:pPr>
              <w:ind w:firstLine="480"/>
              <w:rPr>
                <w:u w:val="none"/>
              </w:rPr>
            </w:pPr>
            <w:r>
              <w:rPr>
                <w:u w:val="none"/>
              </w:rPr>
              <w:t>3、声环境质量现状</w:t>
            </w:r>
          </w:p>
          <w:p>
            <w:pPr>
              <w:ind w:firstLine="480"/>
              <w:rPr>
                <w:u w:val="none"/>
              </w:rPr>
            </w:pPr>
            <w:r>
              <w:rPr>
                <w:u w:val="none"/>
              </w:rPr>
              <w:t>根据《建设项目环境影响报告表编制技术指南（污染影响类）（试行）》，厂界外周边50米范围内存在声环境保护目标的建设项目，应监测保护目标声环境质量现状并评价达标情况。本项目厂界外周边50米范围内不存在声环境保护目标，因此不需要进行声环境质量监测。</w:t>
            </w:r>
          </w:p>
          <w:p>
            <w:pPr>
              <w:ind w:left="480" w:leftChars="200" w:firstLine="0" w:firstLineChars="0"/>
              <w:rPr>
                <w:u w:val="none"/>
              </w:rPr>
            </w:pPr>
            <w:r>
              <w:rPr>
                <w:u w:val="none"/>
              </w:rPr>
              <w:t>4、生态环境</w:t>
            </w:r>
          </w:p>
          <w:p>
            <w:pPr>
              <w:ind w:firstLine="480"/>
              <w:rPr>
                <w:u w:val="none"/>
              </w:rPr>
            </w:pPr>
            <w:r>
              <w:rPr>
                <w:u w:val="none"/>
              </w:rPr>
              <w:t>生态环境项目所在区域属于工业园，全部为工业用地。根据现场踏勘，本项目无生态环境保护目标，不进行现状评价。</w:t>
            </w:r>
          </w:p>
          <w:p>
            <w:pPr>
              <w:ind w:left="480" w:leftChars="200" w:firstLine="0" w:firstLineChars="0"/>
              <w:rPr>
                <w:u w:val="none"/>
              </w:rPr>
            </w:pPr>
            <w:r>
              <w:rPr>
                <w:u w:val="none"/>
              </w:rPr>
              <w:t>5、电磁辐射</w:t>
            </w:r>
          </w:p>
          <w:p>
            <w:pPr>
              <w:ind w:firstLine="480"/>
              <w:rPr>
                <w:u w:val="none"/>
              </w:rPr>
            </w:pPr>
            <w:r>
              <w:rPr>
                <w:u w:val="none"/>
              </w:rPr>
              <w:t>本项目不属于电磁辐射类项目，参考《建设项目环境影响报告表编制技术指南（污染影响类）（试行）》，本项目无需开展电磁辐射环境现状调查。</w:t>
            </w:r>
          </w:p>
          <w:p>
            <w:pPr>
              <w:ind w:left="480" w:leftChars="200" w:firstLine="0" w:firstLineChars="0"/>
              <w:rPr>
                <w:u w:val="none"/>
              </w:rPr>
            </w:pPr>
            <w:r>
              <w:rPr>
                <w:u w:val="none"/>
              </w:rPr>
              <w:t>6、地下水、土壤环境</w:t>
            </w:r>
          </w:p>
          <w:p>
            <w:pPr>
              <w:pStyle w:val="14"/>
              <w:ind w:firstLine="480"/>
              <w:rPr>
                <w:u w:val="none"/>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本项目</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生活</w:t>
            </w:r>
            <w:r>
              <w:rPr>
                <w:rFonts w:hint="eastAsia" w:ascii="宋体" w:hAnsi="宋体" w:eastAsia="宋体" w:cs="宋体"/>
                <w:color w:val="000000" w:themeColor="text1"/>
                <w:kern w:val="2"/>
                <w:sz w:val="24"/>
                <w:szCs w:val="24"/>
                <w:lang w:val="en-US" w:eastAsia="zh-CN" w:bidi="ar"/>
                <w14:textFill>
                  <w14:solidFill>
                    <w14:schemeClr w14:val="tx1"/>
                  </w14:solidFill>
                </w14:textFill>
              </w:rPr>
              <w:t>污水</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u w:val="none"/>
                <w:lang w:val="en-US" w:eastAsia="zh-CN"/>
              </w:rPr>
              <w:t>地面清洁废水</w:t>
            </w:r>
            <w:r>
              <w:rPr>
                <w:rFonts w:hint="eastAsia" w:ascii="宋体" w:hAnsi="宋体" w:eastAsia="宋体" w:cs="宋体"/>
                <w:color w:val="000000" w:themeColor="text1"/>
                <w:kern w:val="2"/>
                <w:sz w:val="24"/>
                <w:szCs w:val="24"/>
                <w:lang w:val="en-US" w:eastAsia="zh-CN" w:bidi="ar"/>
                <w14:textFill>
                  <w14:solidFill>
                    <w14:schemeClr w14:val="tx1"/>
                  </w14:solidFill>
                </w14:textFill>
              </w:rPr>
              <w:t>经预处理后经园区污水管网排入湘阴县第二污水处理厂进行处理。项</w:t>
            </w:r>
            <w:r>
              <w:rPr>
                <w:rFonts w:hint="eastAsia" w:ascii="宋体" w:hAnsi="宋体" w:eastAsia="宋体" w:cs="宋体"/>
                <w:color w:val="000000"/>
                <w:kern w:val="2"/>
                <w:sz w:val="24"/>
                <w:szCs w:val="24"/>
                <w:lang w:val="en-US" w:eastAsia="zh-CN" w:bidi="ar"/>
              </w:rPr>
              <w:t>目建成后，生产车间地面均进行硬化处理，危废暂存间进行防渗处理后不会对地下水及土壤环境造成影响，厂区地面做好硬化及</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三防</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措施（防扬散、防流失、防渗漏）。因此，正常工况下项目不存在地下水和土壤环境污染途径，根据《建设项目环境影响报告表编制技术指南污染影响类》（试行），本项目地下水、土壤环境污染，不开展环境质量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firstLine="0" w:firstLineChars="0"/>
              <w:jc w:val="center"/>
              <w:rPr>
                <w:u w:val="none"/>
              </w:rPr>
            </w:pPr>
            <w:r>
              <w:rPr>
                <w:rFonts w:hint="eastAsia"/>
                <w:u w:val="none"/>
              </w:rPr>
              <w:t>环境保护目标</w:t>
            </w:r>
          </w:p>
        </w:tc>
        <w:tc>
          <w:tcPr>
            <w:tcW w:w="8835" w:type="dxa"/>
          </w:tcPr>
          <w:p>
            <w:pPr>
              <w:ind w:firstLine="480"/>
              <w:rPr>
                <w:highlight w:val="yellow"/>
                <w:u w:val="none"/>
              </w:rPr>
            </w:pPr>
            <w:r>
              <w:rPr>
                <w:u w:val="none"/>
              </w:rPr>
              <w:t>本项目位于</w:t>
            </w:r>
            <w:r>
              <w:rPr>
                <w:rFonts w:hint="eastAsia"/>
                <w:u w:val="none"/>
                <w:lang w:eastAsia="zh-CN"/>
              </w:rPr>
              <w:t>湖南省岳阳市湘阴县洋沙湖镇高新区洋沙湖片区新华路东侧新华标厂1栋101室</w:t>
            </w:r>
            <w:r>
              <w:rPr>
                <w:u w:val="none"/>
              </w:rPr>
              <w:t>，根据对区域的现场踏勘调查，周边主要为工业用地，</w:t>
            </w:r>
            <w:r>
              <w:rPr>
                <w:rFonts w:hint="eastAsia" w:ascii="宋体" w:hAnsi="宋体" w:eastAsia="宋体" w:cs="宋体"/>
                <w:color w:val="000000"/>
                <w:kern w:val="2"/>
                <w:sz w:val="24"/>
                <w:szCs w:val="24"/>
                <w:u w:val="none" w:color="auto"/>
                <w:lang w:val="en-US" w:eastAsia="zh-CN" w:bidi="ar"/>
              </w:rPr>
              <w:t>项</w:t>
            </w:r>
            <w:r>
              <w:rPr>
                <w:rFonts w:hint="default" w:ascii="Times New Roman" w:hAnsi="Times New Roman" w:eastAsia="宋体" w:cs="Times New Roman"/>
                <w:color w:val="000000"/>
                <w:kern w:val="2"/>
                <w:sz w:val="24"/>
                <w:szCs w:val="24"/>
                <w:u w:val="none" w:color="auto"/>
                <w:lang w:val="en-US" w:eastAsia="zh-CN" w:bidi="ar"/>
              </w:rPr>
              <w:t>目西南侧绍明小学现已改为柳庄左公酒厂（只进行酒类贮存，不进行发酵、调配生产）</w:t>
            </w:r>
            <w:r>
              <w:rPr>
                <w:rFonts w:hint="eastAsia" w:ascii="Times New Roman" w:hAnsi="Times New Roman" w:eastAsia="宋体" w:cs="Times New Roman"/>
                <w:color w:val="000000"/>
                <w:kern w:val="2"/>
                <w:sz w:val="24"/>
                <w:szCs w:val="24"/>
                <w:u w:val="none" w:color="auto"/>
                <w:lang w:val="en-US" w:eastAsia="zh-CN" w:bidi="ar"/>
              </w:rPr>
              <w:t>。</w:t>
            </w:r>
            <w:r>
              <w:rPr>
                <w:u w:val="none"/>
              </w:rPr>
              <w:t>厂界外500米范围内无地下水集中式饮用水源和热水、矿泉水、温泉等特殊地下水资。项目占地50m范围内无声环境保护目标。项目厂界外500m范围内环境保护目标见下表。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lang w:val="en-US" w:eastAsia="zh-CN"/>
              </w:rPr>
              <w:t>表3-</w:t>
            </w:r>
            <w:r>
              <w:rPr>
                <w:rFonts w:hint="eastAsia" w:cs="Times New Roman"/>
                <w:b/>
                <w:bCs w:val="0"/>
                <w:u w:val="none"/>
                <w:lang w:val="en-US" w:eastAsia="zh-CN"/>
              </w:rPr>
              <w:t>5</w:t>
            </w:r>
            <w:r>
              <w:rPr>
                <w:rFonts w:hint="eastAsia" w:ascii="Times New Roman" w:hAnsi="Times New Roman" w:cs="Times New Roman"/>
                <w:b/>
                <w:bCs w:val="0"/>
                <w:u w:val="none"/>
                <w:lang w:val="en-US" w:eastAsia="zh-CN"/>
              </w:rPr>
              <w:t>主要大气环境保护目标一览表</w:t>
            </w:r>
          </w:p>
          <w:tbl>
            <w:tblPr>
              <w:tblStyle w:val="24"/>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677"/>
              <w:gridCol w:w="1305"/>
              <w:gridCol w:w="1260"/>
              <w:gridCol w:w="1141"/>
              <w:gridCol w:w="1394"/>
              <w:gridCol w:w="793"/>
              <w:gridCol w:w="735"/>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8" w:type="pct"/>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eastAsia"/>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项目</w:t>
                  </w:r>
                </w:p>
              </w:tc>
              <w:tc>
                <w:tcPr>
                  <w:tcW w:w="388" w:type="pct"/>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范围</w:t>
                  </w:r>
                </w:p>
              </w:tc>
              <w:tc>
                <w:tcPr>
                  <w:tcW w:w="748" w:type="pct"/>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eastAsia"/>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目标</w:t>
                  </w:r>
                </w:p>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名称</w:t>
                  </w:r>
                </w:p>
              </w:tc>
              <w:tc>
                <w:tcPr>
                  <w:tcW w:w="1376" w:type="pct"/>
                  <w:gridSpan w:val="2"/>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坐标</w:t>
                  </w:r>
                </w:p>
              </w:tc>
              <w:tc>
                <w:tcPr>
                  <w:tcW w:w="799" w:type="pct"/>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保护内容</w:t>
                  </w:r>
                </w:p>
              </w:tc>
              <w:tc>
                <w:tcPr>
                  <w:tcW w:w="454" w:type="pct"/>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环境功能区</w:t>
                  </w:r>
                </w:p>
              </w:tc>
              <w:tc>
                <w:tcPr>
                  <w:tcW w:w="421" w:type="pct"/>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相对厂址方位</w:t>
                  </w:r>
                </w:p>
              </w:tc>
              <w:tc>
                <w:tcPr>
                  <w:tcW w:w="592" w:type="pct"/>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18"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388"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748"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722"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东经</w:t>
                  </w:r>
                </w:p>
              </w:tc>
              <w:tc>
                <w:tcPr>
                  <w:tcW w:w="654"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北纬</w:t>
                  </w:r>
                </w:p>
              </w:tc>
              <w:tc>
                <w:tcPr>
                  <w:tcW w:w="799"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454"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421"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592"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8" w:type="pct"/>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大气环境</w:t>
                  </w:r>
                </w:p>
              </w:tc>
              <w:tc>
                <w:tcPr>
                  <w:tcW w:w="388"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cs="Times New Roman"/>
                      <w:color w:val="auto"/>
                      <w:kern w:val="2"/>
                      <w:sz w:val="21"/>
                      <w:szCs w:val="21"/>
                      <w:highlight w:val="none"/>
                      <w:u w:val="none" w:color="auto"/>
                      <w:vertAlign w:val="baseline"/>
                      <w:lang w:val="en-US" w:eastAsia="zh-CN" w:bidi="ar-SA"/>
                    </w:rPr>
                  </w:pPr>
                  <w:r>
                    <w:rPr>
                      <w:rFonts w:hint="eastAsia" w:cs="Times New Roman"/>
                      <w:color w:val="auto"/>
                      <w:kern w:val="2"/>
                      <w:sz w:val="21"/>
                      <w:szCs w:val="21"/>
                      <w:highlight w:val="none"/>
                      <w:u w:val="none" w:color="auto"/>
                      <w:vertAlign w:val="baseline"/>
                      <w:lang w:val="en-US" w:eastAsia="zh-CN" w:bidi="ar-SA"/>
                    </w:rPr>
                    <w:t>厂界500m范围内</w:t>
                  </w:r>
                </w:p>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eastAsia="宋体"/>
                      <w:color w:val="auto"/>
                      <w:sz w:val="21"/>
                      <w:szCs w:val="21"/>
                      <w:u w:val="none" w:color="auto"/>
                      <w:lang w:val="en-US" w:eastAsia="zh-CN"/>
                    </w:rPr>
                  </w:pPr>
                </w:p>
              </w:tc>
              <w:tc>
                <w:tcPr>
                  <w:tcW w:w="74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涝溪桥村</w:t>
                  </w:r>
                  <w:r>
                    <w:rPr>
                      <w:rFonts w:hint="eastAsia" w:cs="Times New Roman"/>
                      <w:color w:val="auto"/>
                      <w:kern w:val="2"/>
                      <w:sz w:val="21"/>
                      <w:szCs w:val="21"/>
                      <w:highlight w:val="none"/>
                      <w:u w:val="none" w:color="auto"/>
                      <w:vertAlign w:val="baseline"/>
                      <w:lang w:val="en-US" w:eastAsia="zh-CN" w:bidi="ar-SA"/>
                    </w:rPr>
                    <w:t>委会</w:t>
                  </w:r>
                </w:p>
              </w:tc>
              <w:tc>
                <w:tcPr>
                  <w:tcW w:w="72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sz w:val="21"/>
                      <w:szCs w:val="21"/>
                      <w:u w:val="none" w:color="auto"/>
                    </w:rPr>
                    <w:t>112.914735</w:t>
                  </w:r>
                </w:p>
              </w:tc>
              <w:tc>
                <w:tcPr>
                  <w:tcW w:w="654"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sz w:val="21"/>
                      <w:szCs w:val="21"/>
                      <w:u w:val="none" w:color="auto"/>
                    </w:rPr>
                    <w:t>28.650279</w:t>
                  </w:r>
                </w:p>
              </w:tc>
              <w:tc>
                <w:tcPr>
                  <w:tcW w:w="79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cs="Times New Roman"/>
                      <w:color w:val="auto"/>
                      <w:kern w:val="2"/>
                      <w:sz w:val="21"/>
                      <w:szCs w:val="21"/>
                      <w:highlight w:val="none"/>
                      <w:u w:val="none" w:color="auto"/>
                      <w:vertAlign w:val="baseline"/>
                      <w:lang w:val="en-US" w:eastAsia="zh-CN" w:bidi="ar-SA"/>
                    </w:rPr>
                    <w:t>办公</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，约</w:t>
                  </w:r>
                  <w:r>
                    <w:rPr>
                      <w:rFonts w:hint="eastAsia" w:cs="Times New Roman"/>
                      <w:color w:val="auto"/>
                      <w:kern w:val="2"/>
                      <w:sz w:val="21"/>
                      <w:szCs w:val="21"/>
                      <w:highlight w:val="none"/>
                      <w:u w:val="none" w:color="auto"/>
                      <w:vertAlign w:val="baseline"/>
                      <w:lang w:val="en-US" w:eastAsia="zh-CN" w:bidi="ar-SA"/>
                    </w:rPr>
                    <w:t>15人</w:t>
                  </w:r>
                </w:p>
              </w:tc>
              <w:tc>
                <w:tcPr>
                  <w:tcW w:w="454" w:type="pct"/>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《环境空气质量标准》（GB3095-2012）二类区</w:t>
                  </w:r>
                </w:p>
              </w:tc>
              <w:tc>
                <w:tcPr>
                  <w:tcW w:w="421"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cs="Times New Roman"/>
                      <w:color w:val="auto"/>
                      <w:kern w:val="2"/>
                      <w:sz w:val="21"/>
                      <w:szCs w:val="21"/>
                      <w:highlight w:val="none"/>
                      <w:u w:val="none" w:color="auto"/>
                      <w:vertAlign w:val="baseline"/>
                      <w:lang w:val="en-US" w:eastAsia="zh-CN" w:bidi="ar-SA"/>
                    </w:rPr>
                    <w:t>NW</w:t>
                  </w:r>
                </w:p>
              </w:tc>
              <w:tc>
                <w:tcPr>
                  <w:tcW w:w="592"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cs="Times New Roman"/>
                      <w:color w:val="auto"/>
                      <w:kern w:val="2"/>
                      <w:sz w:val="21"/>
                      <w:szCs w:val="21"/>
                      <w:highlight w:val="none"/>
                      <w:u w:val="none" w:color="auto"/>
                      <w:vertAlign w:val="baseline"/>
                      <w:lang w:val="en-US" w:eastAsia="zh-CN" w:bidi="ar-SA"/>
                    </w:rPr>
                    <w:t>225-320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8"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eastAsia"/>
                      <w:color w:val="auto"/>
                      <w:sz w:val="21"/>
                      <w:szCs w:val="21"/>
                      <w:highlight w:val="none"/>
                      <w:u w:val="none" w:color="auto"/>
                      <w:vertAlign w:val="baseline"/>
                      <w:lang w:val="en-US" w:eastAsia="zh-CN"/>
                    </w:rPr>
                  </w:pPr>
                </w:p>
              </w:tc>
              <w:tc>
                <w:tcPr>
                  <w:tcW w:w="388"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eastAsia"/>
                      <w:color w:val="auto"/>
                      <w:sz w:val="21"/>
                      <w:szCs w:val="21"/>
                      <w:highlight w:val="none"/>
                      <w:u w:val="none" w:color="auto"/>
                      <w:vertAlign w:val="baseline"/>
                      <w:lang w:val="en-US" w:eastAsia="zh-CN"/>
                    </w:rPr>
                  </w:pPr>
                </w:p>
              </w:tc>
              <w:tc>
                <w:tcPr>
                  <w:tcW w:w="748"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涝溪家园</w:t>
                  </w:r>
                </w:p>
              </w:tc>
              <w:tc>
                <w:tcPr>
                  <w:tcW w:w="722"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r>
                    <w:rPr>
                      <w:rFonts w:hint="eastAsia"/>
                      <w:sz w:val="21"/>
                      <w:szCs w:val="21"/>
                      <w:u w:val="none" w:color="auto"/>
                    </w:rPr>
                    <w:t>112.916226</w:t>
                  </w:r>
                </w:p>
              </w:tc>
              <w:tc>
                <w:tcPr>
                  <w:tcW w:w="654"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r>
                    <w:rPr>
                      <w:rFonts w:hint="eastAsia"/>
                      <w:sz w:val="21"/>
                      <w:szCs w:val="21"/>
                      <w:u w:val="none" w:color="auto"/>
                    </w:rPr>
                    <w:t>28.651095</w:t>
                  </w:r>
                </w:p>
              </w:tc>
              <w:tc>
                <w:tcPr>
                  <w:tcW w:w="799"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居民，约200人</w:t>
                  </w:r>
                </w:p>
              </w:tc>
              <w:tc>
                <w:tcPr>
                  <w:tcW w:w="454"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421"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eastAsia="宋体" w:cs="Times New Roman"/>
                      <w:color w:val="auto"/>
                      <w:kern w:val="2"/>
                      <w:sz w:val="21"/>
                      <w:szCs w:val="21"/>
                      <w:highlight w:val="none"/>
                      <w:u w:val="none" w:color="auto"/>
                      <w:vertAlign w:val="baseline"/>
                      <w:lang w:val="en-US" w:eastAsia="zh-CN" w:bidi="ar-SA"/>
                    </w:rPr>
                    <w:t>SE</w:t>
                  </w:r>
                </w:p>
              </w:tc>
              <w:tc>
                <w:tcPr>
                  <w:tcW w:w="592"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cs="Times New Roman"/>
                      <w:color w:val="auto"/>
                      <w:kern w:val="2"/>
                      <w:sz w:val="21"/>
                      <w:szCs w:val="21"/>
                      <w:highlight w:val="none"/>
                      <w:u w:val="none" w:color="auto"/>
                      <w:vertAlign w:val="baseline"/>
                      <w:lang w:val="en-US" w:eastAsia="zh-CN" w:bidi="ar-SA"/>
                    </w:rPr>
                    <w:t>450-500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8"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eastAsia"/>
                      <w:color w:val="auto"/>
                      <w:sz w:val="21"/>
                      <w:szCs w:val="21"/>
                      <w:highlight w:val="none"/>
                      <w:u w:val="none" w:color="auto"/>
                      <w:vertAlign w:val="baseline"/>
                      <w:lang w:val="en-US" w:eastAsia="zh-CN"/>
                    </w:rPr>
                  </w:pPr>
                </w:p>
              </w:tc>
              <w:tc>
                <w:tcPr>
                  <w:tcW w:w="388" w:type="pct"/>
                  <w:vMerge w:val="continue"/>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lang w:val="en-US" w:eastAsia="zh-CN"/>
                    </w:rPr>
                  </w:pPr>
                </w:p>
              </w:tc>
              <w:tc>
                <w:tcPr>
                  <w:tcW w:w="748"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u w:val="none" w:color="auto"/>
                      <w:lang w:val="en-US" w:eastAsia="zh-CN"/>
                    </w:rPr>
                  </w:pPr>
                  <w:r>
                    <w:rPr>
                      <w:rFonts w:hint="eastAsia"/>
                      <w:color w:val="auto"/>
                      <w:sz w:val="21"/>
                      <w:szCs w:val="21"/>
                      <w:u w:val="none" w:color="auto"/>
                      <w:lang w:val="en-US" w:eastAsia="zh-CN"/>
                    </w:rPr>
                    <w:t>波里屋</w:t>
                  </w:r>
                </w:p>
              </w:tc>
              <w:tc>
                <w:tcPr>
                  <w:tcW w:w="722"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color w:val="auto"/>
                      <w:sz w:val="21"/>
                      <w:szCs w:val="21"/>
                      <w:u w:val="none" w:color="auto"/>
                    </w:rPr>
                    <w:t>112.914144</w:t>
                  </w:r>
                </w:p>
              </w:tc>
              <w:tc>
                <w:tcPr>
                  <w:tcW w:w="654"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color w:val="auto"/>
                      <w:sz w:val="21"/>
                      <w:szCs w:val="21"/>
                      <w:u w:val="none" w:color="auto"/>
                    </w:rPr>
                    <w:t>28.651329</w:t>
                  </w:r>
                </w:p>
              </w:tc>
              <w:tc>
                <w:tcPr>
                  <w:tcW w:w="799"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u w:val="none" w:color="auto"/>
                      <w:lang w:val="en-US" w:eastAsia="zh-CN"/>
                    </w:rPr>
                  </w:pPr>
                  <w:r>
                    <w:rPr>
                      <w:rFonts w:hint="eastAsia"/>
                      <w:color w:val="auto"/>
                      <w:sz w:val="21"/>
                      <w:szCs w:val="21"/>
                      <w:u w:val="none" w:color="auto"/>
                      <w:lang w:val="en-US" w:eastAsia="zh-CN"/>
                    </w:rPr>
                    <w:t>居民，约300人</w:t>
                  </w:r>
                </w:p>
              </w:tc>
              <w:tc>
                <w:tcPr>
                  <w:tcW w:w="454"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421"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highlight w:val="none"/>
                      <w:u w:val="none" w:color="auto"/>
                      <w:vertAlign w:val="baseline"/>
                      <w:lang w:val="en-US" w:eastAsia="zh-CN"/>
                    </w:rPr>
                  </w:pPr>
                  <w:r>
                    <w:rPr>
                      <w:rFonts w:hint="eastAsia"/>
                      <w:color w:val="auto"/>
                      <w:sz w:val="21"/>
                      <w:szCs w:val="21"/>
                      <w:u w:val="none" w:color="auto"/>
                      <w:lang w:val="en-US" w:eastAsia="zh-CN"/>
                    </w:rPr>
                    <w:t>NW</w:t>
                  </w:r>
                </w:p>
              </w:tc>
              <w:tc>
                <w:tcPr>
                  <w:tcW w:w="592"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315-500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8"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eastAsia"/>
                      <w:color w:val="auto"/>
                      <w:sz w:val="21"/>
                      <w:szCs w:val="21"/>
                      <w:highlight w:val="none"/>
                      <w:u w:val="none" w:color="auto"/>
                      <w:vertAlign w:val="baseline"/>
                      <w:lang w:val="en-US" w:eastAsia="zh-CN"/>
                    </w:rPr>
                  </w:pPr>
                </w:p>
              </w:tc>
              <w:tc>
                <w:tcPr>
                  <w:tcW w:w="388" w:type="pct"/>
                  <w:vMerge w:val="continue"/>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lang w:val="en-US" w:eastAsia="zh-CN"/>
                    </w:rPr>
                  </w:pPr>
                </w:p>
              </w:tc>
              <w:tc>
                <w:tcPr>
                  <w:tcW w:w="748"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u w:val="none" w:color="auto"/>
                      <w:lang w:val="en-US" w:eastAsia="zh-CN"/>
                    </w:rPr>
                  </w:pPr>
                  <w:r>
                    <w:rPr>
                      <w:rFonts w:hint="eastAsia"/>
                      <w:color w:val="auto"/>
                      <w:sz w:val="21"/>
                      <w:szCs w:val="21"/>
                      <w:u w:val="none" w:color="auto"/>
                      <w:lang w:val="en-US" w:eastAsia="zh-CN"/>
                    </w:rPr>
                    <w:t>涝溪铺居民点</w:t>
                  </w:r>
                </w:p>
              </w:tc>
              <w:tc>
                <w:tcPr>
                  <w:tcW w:w="722"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eastAsia="宋体"/>
                      <w:color w:val="auto"/>
                      <w:sz w:val="21"/>
                      <w:szCs w:val="21"/>
                      <w:u w:val="none" w:color="auto"/>
                      <w:lang w:eastAsia="zh-CN"/>
                    </w:rPr>
                  </w:pPr>
                  <w:r>
                    <w:rPr>
                      <w:rFonts w:hint="eastAsia"/>
                      <w:sz w:val="21"/>
                      <w:szCs w:val="21"/>
                      <w:u w:val="none" w:color="auto"/>
                    </w:rPr>
                    <w:t>112.921676</w:t>
                  </w:r>
                </w:p>
              </w:tc>
              <w:tc>
                <w:tcPr>
                  <w:tcW w:w="654"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sz w:val="21"/>
                      <w:szCs w:val="21"/>
                      <w:u w:val="none" w:color="auto"/>
                    </w:rPr>
                    <w:t>28.648285</w:t>
                  </w:r>
                </w:p>
              </w:tc>
              <w:tc>
                <w:tcPr>
                  <w:tcW w:w="799"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lang w:val="en-US" w:eastAsia="zh-CN"/>
                    </w:rPr>
                  </w:pPr>
                  <w:r>
                    <w:rPr>
                      <w:rFonts w:hint="eastAsia"/>
                      <w:color w:val="auto"/>
                      <w:sz w:val="21"/>
                      <w:szCs w:val="21"/>
                      <w:u w:val="none" w:color="auto"/>
                    </w:rPr>
                    <w:t>居民</w:t>
                  </w:r>
                  <w:r>
                    <w:rPr>
                      <w:rFonts w:hint="eastAsia"/>
                      <w:color w:val="auto"/>
                      <w:sz w:val="21"/>
                      <w:szCs w:val="21"/>
                      <w:u w:val="none" w:color="auto"/>
                      <w:lang w:eastAsia="zh-CN"/>
                    </w:rPr>
                    <w:t>，</w:t>
                  </w:r>
                  <w:r>
                    <w:rPr>
                      <w:rFonts w:hint="eastAsia"/>
                      <w:color w:val="auto"/>
                      <w:sz w:val="21"/>
                      <w:szCs w:val="21"/>
                      <w:u w:val="none" w:color="auto"/>
                    </w:rPr>
                    <w:t>约</w:t>
                  </w:r>
                  <w:r>
                    <w:rPr>
                      <w:rFonts w:hint="eastAsia"/>
                      <w:color w:val="auto"/>
                      <w:sz w:val="21"/>
                      <w:szCs w:val="21"/>
                      <w:u w:val="none" w:color="auto"/>
                      <w:lang w:val="en-US" w:eastAsia="zh-CN"/>
                    </w:rPr>
                    <w:t>10</w:t>
                  </w:r>
                  <w:r>
                    <w:rPr>
                      <w:rFonts w:hint="eastAsia"/>
                      <w:color w:val="auto"/>
                      <w:sz w:val="21"/>
                      <w:szCs w:val="21"/>
                      <w:u w:val="none" w:color="auto"/>
                    </w:rPr>
                    <w:t>0人</w:t>
                  </w:r>
                </w:p>
              </w:tc>
              <w:tc>
                <w:tcPr>
                  <w:tcW w:w="454"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421"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lang w:val="en-US" w:eastAsia="zh-CN"/>
                    </w:rPr>
                  </w:pPr>
                  <w:r>
                    <w:rPr>
                      <w:rFonts w:hint="eastAsia"/>
                      <w:color w:val="auto"/>
                      <w:sz w:val="21"/>
                      <w:szCs w:val="21"/>
                      <w:u w:val="none" w:color="auto"/>
                    </w:rPr>
                    <w:t>E</w:t>
                  </w:r>
                </w:p>
              </w:tc>
              <w:tc>
                <w:tcPr>
                  <w:tcW w:w="592"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400-500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8"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eastAsia"/>
                      <w:color w:val="auto"/>
                      <w:sz w:val="21"/>
                      <w:szCs w:val="21"/>
                      <w:highlight w:val="none"/>
                      <w:u w:val="none" w:color="auto"/>
                      <w:vertAlign w:val="baseline"/>
                      <w:lang w:val="en-US" w:eastAsia="zh-CN"/>
                    </w:rPr>
                  </w:pPr>
                </w:p>
              </w:tc>
              <w:tc>
                <w:tcPr>
                  <w:tcW w:w="388" w:type="pct"/>
                  <w:vMerge w:val="continue"/>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lang w:val="en-US" w:eastAsia="zh-CN"/>
                    </w:rPr>
                  </w:pPr>
                </w:p>
              </w:tc>
              <w:tc>
                <w:tcPr>
                  <w:tcW w:w="748"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lang w:val="en-US" w:eastAsia="zh-CN"/>
                    </w:rPr>
                  </w:pPr>
                  <w:r>
                    <w:rPr>
                      <w:rFonts w:hint="eastAsia"/>
                      <w:color w:val="auto"/>
                      <w:sz w:val="21"/>
                      <w:szCs w:val="21"/>
                      <w:u w:val="none" w:color="auto"/>
                      <w:lang w:val="en-US" w:eastAsia="zh-CN"/>
                    </w:rPr>
                    <w:t>杨家上屋</w:t>
                  </w:r>
                </w:p>
              </w:tc>
              <w:tc>
                <w:tcPr>
                  <w:tcW w:w="722"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sz w:val="21"/>
                      <w:szCs w:val="21"/>
                      <w:u w:val="none" w:color="auto"/>
                    </w:rPr>
                    <w:t>112.919541</w:t>
                  </w:r>
                </w:p>
              </w:tc>
              <w:tc>
                <w:tcPr>
                  <w:tcW w:w="654"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sz w:val="21"/>
                      <w:szCs w:val="21"/>
                      <w:u w:val="none" w:color="auto"/>
                    </w:rPr>
                    <w:t>28.651567</w:t>
                  </w:r>
                </w:p>
              </w:tc>
              <w:tc>
                <w:tcPr>
                  <w:tcW w:w="799"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color w:val="auto"/>
                      <w:sz w:val="21"/>
                      <w:szCs w:val="21"/>
                      <w:u w:val="none" w:color="auto"/>
                    </w:rPr>
                    <w:t>居民</w:t>
                  </w:r>
                  <w:r>
                    <w:rPr>
                      <w:rFonts w:hint="eastAsia"/>
                      <w:color w:val="auto"/>
                      <w:sz w:val="21"/>
                      <w:szCs w:val="21"/>
                      <w:u w:val="none" w:color="auto"/>
                      <w:lang w:eastAsia="zh-CN"/>
                    </w:rPr>
                    <w:t>，</w:t>
                  </w:r>
                  <w:r>
                    <w:rPr>
                      <w:rFonts w:hint="eastAsia"/>
                      <w:color w:val="auto"/>
                      <w:sz w:val="21"/>
                      <w:szCs w:val="21"/>
                      <w:u w:val="none" w:color="auto"/>
                    </w:rPr>
                    <w:t>约</w:t>
                  </w:r>
                  <w:r>
                    <w:rPr>
                      <w:rFonts w:hint="eastAsia"/>
                      <w:color w:val="auto"/>
                      <w:sz w:val="21"/>
                      <w:szCs w:val="21"/>
                      <w:u w:val="none" w:color="auto"/>
                      <w:lang w:val="en-US" w:eastAsia="zh-CN"/>
                    </w:rPr>
                    <w:t>1</w:t>
                  </w:r>
                  <w:r>
                    <w:rPr>
                      <w:rFonts w:hint="eastAsia"/>
                      <w:color w:val="auto"/>
                      <w:sz w:val="21"/>
                      <w:szCs w:val="21"/>
                      <w:u w:val="none" w:color="auto"/>
                    </w:rPr>
                    <w:t>0人</w:t>
                  </w:r>
                </w:p>
              </w:tc>
              <w:tc>
                <w:tcPr>
                  <w:tcW w:w="454"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421"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color w:val="auto"/>
                      <w:sz w:val="21"/>
                      <w:szCs w:val="21"/>
                      <w:u w:val="none" w:color="auto"/>
                      <w:lang w:val="en-US" w:eastAsia="zh-CN"/>
                    </w:rPr>
                    <w:t>NE</w:t>
                  </w:r>
                </w:p>
              </w:tc>
              <w:tc>
                <w:tcPr>
                  <w:tcW w:w="592"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400-500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8"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eastAsia"/>
                      <w:color w:val="auto"/>
                      <w:sz w:val="21"/>
                      <w:szCs w:val="21"/>
                      <w:highlight w:val="none"/>
                      <w:u w:val="none" w:color="auto"/>
                      <w:vertAlign w:val="baseline"/>
                      <w:lang w:val="en-US" w:eastAsia="zh-CN"/>
                    </w:rPr>
                  </w:pPr>
                </w:p>
              </w:tc>
              <w:tc>
                <w:tcPr>
                  <w:tcW w:w="388" w:type="pct"/>
                  <w:vMerge w:val="continue"/>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eastAsia="宋体"/>
                      <w:color w:val="auto"/>
                      <w:sz w:val="21"/>
                      <w:szCs w:val="21"/>
                      <w:u w:val="none" w:color="auto"/>
                      <w:lang w:val="en-US" w:eastAsia="zh-CN"/>
                    </w:rPr>
                  </w:pPr>
                </w:p>
              </w:tc>
              <w:tc>
                <w:tcPr>
                  <w:tcW w:w="748"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lang w:val="en-US" w:eastAsia="zh-CN"/>
                    </w:rPr>
                  </w:pPr>
                  <w:r>
                    <w:rPr>
                      <w:rFonts w:hint="eastAsia" w:eastAsia="宋体"/>
                      <w:color w:val="auto"/>
                      <w:sz w:val="21"/>
                      <w:szCs w:val="21"/>
                      <w:u w:val="none" w:color="auto"/>
                      <w:lang w:eastAsia="zh-CN"/>
                    </w:rPr>
                    <w:t>新华蛇咀十一组</w:t>
                  </w:r>
                </w:p>
              </w:tc>
              <w:tc>
                <w:tcPr>
                  <w:tcW w:w="722"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color w:val="auto"/>
                      <w:sz w:val="21"/>
                      <w:szCs w:val="21"/>
                      <w:u w:val="none" w:color="auto"/>
                    </w:rPr>
                    <w:t>112.91992</w:t>
                  </w:r>
                  <w:r>
                    <w:rPr>
                      <w:rFonts w:hint="eastAsia"/>
                      <w:color w:val="auto"/>
                      <w:sz w:val="21"/>
                      <w:szCs w:val="21"/>
                      <w:u w:val="none" w:color="auto"/>
                      <w:lang w:val="en-US" w:eastAsia="zh-CN"/>
                    </w:rPr>
                    <w:t>1</w:t>
                  </w:r>
                </w:p>
              </w:tc>
              <w:tc>
                <w:tcPr>
                  <w:tcW w:w="654"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color w:val="auto"/>
                      <w:sz w:val="21"/>
                      <w:szCs w:val="21"/>
                      <w:u w:val="none" w:color="auto"/>
                    </w:rPr>
                    <w:t>28.646829</w:t>
                  </w:r>
                </w:p>
              </w:tc>
              <w:tc>
                <w:tcPr>
                  <w:tcW w:w="799"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color w:val="auto"/>
                      <w:sz w:val="21"/>
                      <w:szCs w:val="21"/>
                      <w:u w:val="none" w:color="auto"/>
                    </w:rPr>
                  </w:pPr>
                  <w:r>
                    <w:rPr>
                      <w:rFonts w:hint="eastAsia"/>
                      <w:color w:val="auto"/>
                      <w:sz w:val="21"/>
                      <w:szCs w:val="21"/>
                      <w:u w:val="none" w:color="auto"/>
                      <w:lang w:val="en-US" w:eastAsia="zh-CN"/>
                    </w:rPr>
                    <w:t>居民，</w:t>
                  </w:r>
                  <w:r>
                    <w:rPr>
                      <w:rFonts w:hint="eastAsia"/>
                      <w:color w:val="auto"/>
                      <w:sz w:val="21"/>
                      <w:szCs w:val="21"/>
                      <w:u w:val="none" w:color="auto"/>
                    </w:rPr>
                    <w:t>约</w:t>
                  </w:r>
                  <w:r>
                    <w:rPr>
                      <w:rFonts w:hint="eastAsia"/>
                      <w:color w:val="auto"/>
                      <w:sz w:val="21"/>
                      <w:szCs w:val="21"/>
                      <w:u w:val="none" w:color="auto"/>
                      <w:lang w:val="en-US" w:eastAsia="zh-CN"/>
                    </w:rPr>
                    <w:t>800</w:t>
                  </w:r>
                  <w:r>
                    <w:rPr>
                      <w:rFonts w:hint="eastAsia"/>
                      <w:color w:val="auto"/>
                      <w:sz w:val="21"/>
                      <w:szCs w:val="21"/>
                      <w:u w:val="none" w:color="auto"/>
                    </w:rPr>
                    <w:t>人</w:t>
                  </w:r>
                </w:p>
              </w:tc>
              <w:tc>
                <w:tcPr>
                  <w:tcW w:w="454" w:type="pct"/>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p>
              </w:tc>
              <w:tc>
                <w:tcPr>
                  <w:tcW w:w="421"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eastAsia" w:eastAsia="宋体"/>
                      <w:color w:val="auto"/>
                      <w:sz w:val="21"/>
                      <w:szCs w:val="21"/>
                      <w:u w:val="none" w:color="auto"/>
                      <w:lang w:val="en-US" w:eastAsia="zh-CN"/>
                    </w:rPr>
                  </w:pPr>
                  <w:r>
                    <w:rPr>
                      <w:rFonts w:hint="eastAsia"/>
                      <w:color w:val="auto"/>
                      <w:sz w:val="21"/>
                      <w:szCs w:val="21"/>
                      <w:u w:val="none" w:color="auto"/>
                    </w:rPr>
                    <w:t>S</w:t>
                  </w:r>
                  <w:r>
                    <w:rPr>
                      <w:rFonts w:hint="eastAsia"/>
                      <w:color w:val="auto"/>
                      <w:sz w:val="21"/>
                      <w:szCs w:val="21"/>
                      <w:u w:val="none" w:color="auto"/>
                      <w:lang w:val="en-US" w:eastAsia="zh-CN"/>
                    </w:rPr>
                    <w:t>E</w:t>
                  </w:r>
                </w:p>
              </w:tc>
              <w:tc>
                <w:tcPr>
                  <w:tcW w:w="592"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18" w:type="pc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声环境</w:t>
                  </w:r>
                </w:p>
              </w:tc>
              <w:tc>
                <w:tcPr>
                  <w:tcW w:w="388" w:type="pct"/>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u w:val="none" w:color="auto"/>
                      <w:lang w:val="en-US" w:eastAsia="zh-CN"/>
                    </w:rPr>
                  </w:pPr>
                  <w:r>
                    <w:rPr>
                      <w:rFonts w:hint="eastAsia"/>
                      <w:color w:val="auto"/>
                      <w:sz w:val="21"/>
                      <w:szCs w:val="21"/>
                      <w:u w:val="none" w:color="auto"/>
                      <w:lang w:val="en-US" w:eastAsia="zh-CN"/>
                    </w:rPr>
                    <w:t>项目占地</w:t>
                  </w:r>
                </w:p>
              </w:tc>
              <w:tc>
                <w:tcPr>
                  <w:tcW w:w="4393" w:type="pct"/>
                  <w:gridSpan w:val="7"/>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50m范围内不存在声环境敏感目标</w:t>
                  </w:r>
                </w:p>
              </w:tc>
            </w:tr>
          </w:tbl>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lang w:val="en-US" w:eastAsia="zh-CN"/>
              </w:rPr>
            </w:pPr>
            <w:r>
              <w:rPr>
                <w:rFonts w:hint="eastAsia" w:ascii="Times New Roman" w:hAnsi="Times New Roman" w:cs="Times New Roman"/>
                <w:b/>
                <w:bCs w:val="0"/>
                <w:u w:val="none"/>
                <w:lang w:val="en-US" w:eastAsia="zh-CN"/>
              </w:rPr>
              <w:t>表3-</w:t>
            </w:r>
            <w:r>
              <w:rPr>
                <w:rFonts w:hint="eastAsia" w:cs="Times New Roman"/>
                <w:b/>
                <w:bCs w:val="0"/>
                <w:u w:val="none"/>
                <w:lang w:val="en-US" w:eastAsia="zh-CN"/>
              </w:rPr>
              <w:t>6</w:t>
            </w:r>
            <w:r>
              <w:rPr>
                <w:rFonts w:hint="eastAsia" w:ascii="Times New Roman" w:hAnsi="Times New Roman" w:cs="Times New Roman"/>
                <w:b/>
                <w:bCs w:val="0"/>
                <w:u w:val="none"/>
                <w:lang w:val="en-US" w:eastAsia="zh-CN"/>
              </w:rPr>
              <w:t>地表水、生态环境保护目标一览表</w:t>
            </w:r>
          </w:p>
          <w:tbl>
            <w:tblPr>
              <w:tblStyle w:val="2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
              <w:gridCol w:w="1147"/>
              <w:gridCol w:w="1836"/>
              <w:gridCol w:w="660"/>
              <w:gridCol w:w="1074"/>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项目</w:t>
                  </w:r>
                </w:p>
              </w:tc>
              <w:tc>
                <w:tcPr>
                  <w:tcW w:w="1149" w:type="dxa"/>
                  <w:gridSpan w:val="2"/>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保护目标</w:t>
                  </w:r>
                </w:p>
              </w:tc>
              <w:tc>
                <w:tcPr>
                  <w:tcW w:w="1836"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相对方位及距离</w:t>
                  </w:r>
                </w:p>
              </w:tc>
              <w:tc>
                <w:tcPr>
                  <w:tcW w:w="660"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规模</w:t>
                  </w:r>
                </w:p>
              </w:tc>
              <w:tc>
                <w:tcPr>
                  <w:tcW w:w="1074"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功能</w:t>
                  </w:r>
                </w:p>
              </w:tc>
              <w:tc>
                <w:tcPr>
                  <w:tcW w:w="2844"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地表水</w:t>
                  </w:r>
                </w:p>
              </w:tc>
              <w:tc>
                <w:tcPr>
                  <w:tcW w:w="1149" w:type="dxa"/>
                  <w:gridSpan w:val="2"/>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洋沙湖</w:t>
                  </w:r>
                </w:p>
              </w:tc>
              <w:tc>
                <w:tcPr>
                  <w:tcW w:w="1836"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W，2</w:t>
                  </w:r>
                  <w:r>
                    <w:rPr>
                      <w:rFonts w:hint="eastAsia" w:ascii="Times New Roman" w:hAnsi="Times New Roman" w:eastAsia="宋体" w:cs="Times New Roman"/>
                      <w:color w:val="auto"/>
                      <w:sz w:val="21"/>
                      <w:szCs w:val="21"/>
                      <w:highlight w:val="none"/>
                      <w:u w:val="none" w:color="auto"/>
                      <w:vertAlign w:val="baseline"/>
                      <w:lang w:val="en-US" w:eastAsia="zh-CN"/>
                    </w:rPr>
                    <w:t>.</w:t>
                  </w:r>
                  <w:r>
                    <w:rPr>
                      <w:rFonts w:hint="default" w:ascii="Times New Roman" w:hAnsi="Times New Roman" w:eastAsia="宋体" w:cs="Times New Roman"/>
                      <w:color w:val="auto"/>
                      <w:sz w:val="21"/>
                      <w:szCs w:val="21"/>
                      <w:highlight w:val="none"/>
                      <w:u w:val="none" w:color="auto"/>
                      <w:vertAlign w:val="baseline"/>
                      <w:lang w:val="en-US" w:eastAsia="zh-CN"/>
                    </w:rPr>
                    <w:t>35</w:t>
                  </w:r>
                  <w:r>
                    <w:rPr>
                      <w:rFonts w:hint="eastAsia" w:ascii="Times New Roman" w:hAnsi="Times New Roman" w:eastAsia="宋体" w:cs="Times New Roman"/>
                      <w:color w:val="auto"/>
                      <w:sz w:val="21"/>
                      <w:szCs w:val="21"/>
                      <w:highlight w:val="none"/>
                      <w:u w:val="none" w:color="auto"/>
                      <w:vertAlign w:val="baseline"/>
                      <w:lang w:val="en-US" w:eastAsia="zh-CN"/>
                    </w:rPr>
                    <w:t>km</w:t>
                  </w:r>
                </w:p>
              </w:tc>
              <w:tc>
                <w:tcPr>
                  <w:tcW w:w="660" w:type="dxa"/>
                  <w:shd w:val="clear" w:color="auto" w:fill="auto"/>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小湖</w:t>
                  </w:r>
                </w:p>
              </w:tc>
              <w:tc>
                <w:tcPr>
                  <w:tcW w:w="1074"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湿地</w:t>
                  </w:r>
                </w:p>
              </w:tc>
              <w:tc>
                <w:tcPr>
                  <w:tcW w:w="2844"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61" w:type="dxa"/>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p>
              </w:tc>
              <w:tc>
                <w:tcPr>
                  <w:tcW w:w="1149" w:type="dxa"/>
                  <w:gridSpan w:val="2"/>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湘江</w:t>
                  </w:r>
                </w:p>
              </w:tc>
              <w:tc>
                <w:tcPr>
                  <w:tcW w:w="1836"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NW，4</w:t>
                  </w:r>
                  <w:r>
                    <w:rPr>
                      <w:rFonts w:hint="eastAsia" w:ascii="Times New Roman" w:hAnsi="Times New Roman" w:eastAsia="宋体" w:cs="Times New Roman"/>
                      <w:color w:val="auto"/>
                      <w:sz w:val="21"/>
                      <w:szCs w:val="21"/>
                      <w:highlight w:val="none"/>
                      <w:u w:val="none" w:color="auto"/>
                      <w:vertAlign w:val="baseline"/>
                      <w:lang w:val="en-US" w:eastAsia="zh-CN"/>
                    </w:rPr>
                    <w:t>.</w:t>
                  </w:r>
                  <w:r>
                    <w:rPr>
                      <w:rFonts w:hint="default" w:ascii="Times New Roman" w:hAnsi="Times New Roman" w:eastAsia="宋体" w:cs="Times New Roman"/>
                      <w:color w:val="auto"/>
                      <w:sz w:val="21"/>
                      <w:szCs w:val="21"/>
                      <w:highlight w:val="none"/>
                      <w:u w:val="none" w:color="auto"/>
                      <w:vertAlign w:val="baseline"/>
                      <w:lang w:val="en-US" w:eastAsia="zh-CN"/>
                    </w:rPr>
                    <w:t>55</w:t>
                  </w:r>
                  <w:r>
                    <w:rPr>
                      <w:rFonts w:hint="eastAsia" w:ascii="Times New Roman" w:hAnsi="Times New Roman" w:eastAsia="宋体" w:cs="Times New Roman"/>
                      <w:color w:val="auto"/>
                      <w:sz w:val="21"/>
                      <w:szCs w:val="21"/>
                      <w:highlight w:val="none"/>
                      <w:u w:val="none" w:color="auto"/>
                      <w:vertAlign w:val="baseline"/>
                      <w:lang w:val="en-US" w:eastAsia="zh-CN"/>
                    </w:rPr>
                    <w:t>km</w:t>
                  </w:r>
                </w:p>
              </w:tc>
              <w:tc>
                <w:tcPr>
                  <w:tcW w:w="660" w:type="dxa"/>
                  <w:vMerge w:val="restart"/>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大河</w:t>
                  </w:r>
                </w:p>
              </w:tc>
              <w:tc>
                <w:tcPr>
                  <w:tcW w:w="1074"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渔业用水</w:t>
                  </w:r>
                </w:p>
              </w:tc>
              <w:tc>
                <w:tcPr>
                  <w:tcW w:w="2844" w:type="dxa"/>
                  <w:vMerge w:val="restart"/>
                  <w:vAlign w:val="center"/>
                </w:tcPr>
                <w:p>
                  <w:pPr>
                    <w:pStyle w:val="3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洋沙湖至磊石（东支）62.7km的渔业用水区，执行《地表水环境质量标准》（GB3838-2002）Ⅲ类标准，其中屈原管理区湘江湘阴段饮用水水源保护区一级保护区执行（GB3838-2002）II类</w:t>
                  </w:r>
                  <w:r>
                    <w:rPr>
                      <w:rFonts w:hint="eastAsia" w:ascii="Times New Roman" w:hAnsi="Times New Roman" w:eastAsia="宋体" w:cs="Times New Roman"/>
                      <w:color w:val="auto"/>
                      <w:sz w:val="21"/>
                      <w:szCs w:val="21"/>
                      <w:highlight w:val="none"/>
                      <w:u w:val="none" w:color="auto"/>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61" w:type="dxa"/>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p>
              </w:tc>
              <w:tc>
                <w:tcPr>
                  <w:tcW w:w="1149" w:type="dxa"/>
                  <w:gridSpan w:val="2"/>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p>
              </w:tc>
              <w:tc>
                <w:tcPr>
                  <w:tcW w:w="1836"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S，5km</w:t>
                  </w:r>
                </w:p>
              </w:tc>
              <w:tc>
                <w:tcPr>
                  <w:tcW w:w="660" w:type="dxa"/>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p>
              </w:tc>
              <w:tc>
                <w:tcPr>
                  <w:tcW w:w="1074"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工业、农业</w:t>
                  </w:r>
                </w:p>
              </w:tc>
              <w:tc>
                <w:tcPr>
                  <w:tcW w:w="2844" w:type="dxa"/>
                  <w:vMerge w:val="continue"/>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3" w:type="dxa"/>
                  <w:gridSpan w:val="2"/>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生态环保目标</w:t>
                  </w:r>
                </w:p>
              </w:tc>
              <w:tc>
                <w:tcPr>
                  <w:tcW w:w="1147"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湖南湘阴洋沙湖-东湖国家湿地公园</w:t>
                  </w:r>
                </w:p>
              </w:tc>
              <w:tc>
                <w:tcPr>
                  <w:tcW w:w="1836" w:type="dxa"/>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W，2.3km</w:t>
                  </w:r>
                </w:p>
              </w:tc>
              <w:tc>
                <w:tcPr>
                  <w:tcW w:w="4578" w:type="dxa"/>
                  <w:gridSpan w:val="3"/>
                  <w:vAlign w:val="center"/>
                </w:tcPr>
                <w:p>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国家湿地公园、湖南省第二批省级重要湿地，规划总面积约15平方公里，湿地公园内共有植物565种、动物198种，其中国家级保护分别达20种和16种。</w:t>
                  </w:r>
                </w:p>
              </w:tc>
            </w:tr>
          </w:tbl>
          <w:p>
            <w:pPr>
              <w:ind w:firstLine="0" w:firstLineChars="0"/>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firstLine="0" w:firstLineChars="0"/>
              <w:jc w:val="center"/>
              <w:rPr>
                <w:u w:val="none"/>
              </w:rPr>
            </w:pPr>
            <w:r>
              <w:rPr>
                <w:rFonts w:hint="eastAsia"/>
                <w:u w:val="none"/>
              </w:rPr>
              <w:t>污染物排放标准</w:t>
            </w:r>
          </w:p>
        </w:tc>
        <w:tc>
          <w:tcPr>
            <w:tcW w:w="8835" w:type="dxa"/>
          </w:tcPr>
          <w:p>
            <w:pPr>
              <w:ind w:firstLine="480"/>
              <w:rPr>
                <w:u w:val="none"/>
              </w:rPr>
            </w:pPr>
            <w:r>
              <w:rPr>
                <w:rFonts w:hint="eastAsia"/>
                <w:u w:val="none"/>
              </w:rPr>
              <w:t>1、废气</w:t>
            </w:r>
          </w:p>
          <w:p>
            <w:pPr>
              <w:ind w:firstLine="480"/>
              <w:rPr>
                <w:u w:val="none"/>
              </w:rPr>
            </w:pPr>
            <w:r>
              <w:rPr>
                <w:rFonts w:hint="eastAsia"/>
                <w:u w:val="none"/>
              </w:rPr>
              <w:t>项目有组织</w:t>
            </w:r>
            <w:r>
              <w:rPr>
                <w:rFonts w:hint="eastAsia"/>
                <w:u w:val="none"/>
                <w:lang w:val="en-US" w:eastAsia="zh-CN"/>
              </w:rPr>
              <w:t>VOCs（以</w:t>
            </w:r>
            <w:r>
              <w:rPr>
                <w:rFonts w:hint="eastAsia"/>
                <w:u w:val="none"/>
              </w:rPr>
              <w:t>非甲烷总烃</w:t>
            </w:r>
            <w:r>
              <w:rPr>
                <w:rFonts w:hint="eastAsia"/>
                <w:u w:val="none"/>
                <w:lang w:val="en-US" w:eastAsia="zh-CN"/>
              </w:rPr>
              <w:t>计）</w:t>
            </w:r>
            <w:r>
              <w:rPr>
                <w:rFonts w:hint="eastAsia"/>
                <w:u w:val="none"/>
              </w:rPr>
              <w:t>排放执行《大气污染物综合排放标准》（GB16297-1996）表2中二级</w:t>
            </w:r>
            <w:r>
              <w:rPr>
                <w:rFonts w:hint="eastAsia"/>
                <w:u w:val="none"/>
                <w:lang w:val="en-US" w:eastAsia="zh-CN"/>
              </w:rPr>
              <w:t>浓度限值，</w:t>
            </w:r>
            <w:r>
              <w:rPr>
                <w:rFonts w:hint="eastAsia"/>
                <w:u w:val="none"/>
              </w:rPr>
              <w:t>速率限值严格50%执行。</w:t>
            </w:r>
          </w:p>
          <w:p>
            <w:pPr>
              <w:ind w:firstLine="480"/>
              <w:rPr>
                <w:rFonts w:hint="eastAsia"/>
                <w:u w:val="none"/>
                <w:lang w:val="en-US" w:eastAsia="zh-CN"/>
              </w:rPr>
            </w:pPr>
            <w:r>
              <w:rPr>
                <w:rFonts w:hint="eastAsia"/>
                <w:u w:val="none"/>
              </w:rPr>
              <w:t>厂区内无组织非甲烷总烃排放执行《挥发性有机物无组织排放控制标准》（GB37822-2019）中限值要求</w:t>
            </w:r>
            <w:r>
              <w:rPr>
                <w:rFonts w:hint="eastAsia"/>
                <w:u w:val="none"/>
                <w:lang w:eastAsia="zh-CN"/>
              </w:rPr>
              <w:t>；</w:t>
            </w:r>
            <w:r>
              <w:rPr>
                <w:rFonts w:hint="eastAsia"/>
                <w:u w:val="none"/>
                <w:lang w:val="en-US" w:eastAsia="zh-CN"/>
              </w:rPr>
              <w:t>厂界非甲烷总烃无组织排放执行《大气污染物综合排放标准》（GB16297-1996）表2中无组织监控浓度限值。</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lang w:val="en-US" w:eastAsia="zh-CN"/>
              </w:rPr>
              <w:t>表3-</w:t>
            </w:r>
            <w:r>
              <w:rPr>
                <w:rFonts w:hint="eastAsia" w:cs="Times New Roman"/>
                <w:b/>
                <w:bCs w:val="0"/>
                <w:u w:val="none"/>
                <w:lang w:val="en-US" w:eastAsia="zh-CN"/>
              </w:rPr>
              <w:t>7</w:t>
            </w:r>
            <w:r>
              <w:rPr>
                <w:rFonts w:hint="eastAsia" w:ascii="Times New Roman" w:hAnsi="Times New Roman" w:cs="Times New Roman"/>
                <w:b/>
                <w:bCs w:val="0"/>
                <w:u w:val="none"/>
                <w:lang w:val="en-US" w:eastAsia="zh-CN"/>
              </w:rPr>
              <w:t>有组织废气排放限值一览表</w:t>
            </w:r>
          </w:p>
          <w:tbl>
            <w:tblPr>
              <w:tblStyle w:val="24"/>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683"/>
              <w:gridCol w:w="1850"/>
              <w:gridCol w:w="1733"/>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73"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color w:val="auto"/>
                      <w:kern w:val="2"/>
                      <w:sz w:val="21"/>
                      <w:szCs w:val="21"/>
                      <w:u w:val="none" w:color="auto"/>
                      <w:lang w:val="en-US" w:eastAsia="zh-CN" w:bidi="ar-SA"/>
                    </w:rPr>
                    <w:t>排放方式</w:t>
                  </w:r>
                </w:p>
              </w:tc>
              <w:tc>
                <w:tcPr>
                  <w:tcW w:w="1683"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color w:val="auto"/>
                      <w:kern w:val="2"/>
                      <w:sz w:val="21"/>
                      <w:szCs w:val="21"/>
                      <w:u w:val="none" w:color="auto"/>
                      <w:lang w:val="en-US" w:eastAsia="zh-CN" w:bidi="ar-SA"/>
                    </w:rPr>
                    <w:t>污染物</w:t>
                  </w:r>
                </w:p>
              </w:tc>
              <w:tc>
                <w:tcPr>
                  <w:tcW w:w="1850"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color w:val="auto"/>
                      <w:kern w:val="2"/>
                      <w:sz w:val="21"/>
                      <w:szCs w:val="21"/>
                      <w:u w:val="none" w:color="auto"/>
                      <w:lang w:val="en-US" w:eastAsia="zh-CN" w:bidi="ar-SA"/>
                    </w:rPr>
                    <w:t>排放浓度/(mg/m</w:t>
                  </w:r>
                  <w:r>
                    <w:rPr>
                      <w:rFonts w:hint="default" w:ascii="Times New Roman" w:hAnsi="Times New Roman" w:eastAsia="宋体" w:cs="Times New Roman"/>
                      <w:b/>
                      <w:bCs/>
                      <w:color w:val="auto"/>
                      <w:kern w:val="2"/>
                      <w:sz w:val="21"/>
                      <w:szCs w:val="21"/>
                      <w:u w:val="none" w:color="auto"/>
                      <w:vertAlign w:val="superscript"/>
                      <w:lang w:val="en-US" w:eastAsia="zh-CN" w:bidi="ar-SA"/>
                    </w:rPr>
                    <w:t>3</w:t>
                  </w:r>
                  <w:r>
                    <w:rPr>
                      <w:rFonts w:hint="default" w:ascii="Times New Roman" w:hAnsi="Times New Roman" w:eastAsia="宋体" w:cs="Times New Roman"/>
                      <w:b/>
                      <w:bCs/>
                      <w:color w:val="auto"/>
                      <w:kern w:val="2"/>
                      <w:sz w:val="21"/>
                      <w:szCs w:val="21"/>
                      <w:u w:val="none" w:color="auto"/>
                      <w:lang w:val="en-US" w:eastAsia="zh-CN" w:bidi="ar-SA"/>
                    </w:rPr>
                    <w:t>)</w:t>
                  </w:r>
                </w:p>
              </w:tc>
              <w:tc>
                <w:tcPr>
                  <w:tcW w:w="1733"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color w:val="auto"/>
                      <w:kern w:val="2"/>
                      <w:sz w:val="21"/>
                      <w:szCs w:val="21"/>
                      <w:u w:val="none" w:color="auto"/>
                      <w:lang w:val="en-US" w:eastAsia="zh-CN" w:bidi="ar-SA"/>
                    </w:rPr>
                    <w:t>排气筒高度/m</w:t>
                  </w:r>
                </w:p>
              </w:tc>
              <w:tc>
                <w:tcPr>
                  <w:tcW w:w="1827"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jc w:val="center"/>
                    <w:textAlignment w:val="auto"/>
                    <w:rPr>
                      <w:rFonts w:hint="default" w:ascii="Times New Roman" w:hAnsi="Times New Roman" w:eastAsia="宋体" w:cs="Times New Roman"/>
                      <w:b/>
                      <w:bCs/>
                      <w:color w:val="auto"/>
                      <w:kern w:val="2"/>
                      <w:sz w:val="21"/>
                      <w:szCs w:val="21"/>
                      <w:u w:val="none" w:color="auto"/>
                      <w:lang w:val="en-US" w:eastAsia="zh-CN" w:bidi="ar-SA"/>
                    </w:rPr>
                  </w:pPr>
                  <w:r>
                    <w:rPr>
                      <w:rFonts w:hint="default" w:ascii="Times New Roman" w:hAnsi="Times New Roman" w:eastAsia="宋体" w:cs="Times New Roman"/>
                      <w:b/>
                      <w:bCs/>
                      <w:color w:val="auto"/>
                      <w:kern w:val="2"/>
                      <w:sz w:val="21"/>
                      <w:szCs w:val="21"/>
                      <w:u w:val="none" w:color="auto"/>
                      <w:lang w:val="en-US" w:eastAsia="zh-CN" w:bidi="ar-SA"/>
                    </w:rPr>
                    <w:t>排放速率</w:t>
                  </w:r>
                </w:p>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color w:val="auto"/>
                      <w:kern w:val="2"/>
                      <w:sz w:val="21"/>
                      <w:szCs w:val="21"/>
                      <w:u w:val="none" w:color="auto"/>
                      <w:lang w:val="en-US" w:eastAsia="zh-CN" w:bidi="ar-SA"/>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73"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bCs w:val="0"/>
                      <w:color w:val="auto"/>
                      <w:kern w:val="2"/>
                      <w:sz w:val="21"/>
                      <w:szCs w:val="21"/>
                      <w:u w:val="none" w:color="auto"/>
                      <w:lang w:val="en-US" w:eastAsia="zh-CN" w:bidi="ar-SA"/>
                    </w:rPr>
                    <w:t>有组织</w:t>
                  </w:r>
                </w:p>
              </w:tc>
              <w:tc>
                <w:tcPr>
                  <w:tcW w:w="1683"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VOCs（以非甲烷总烃计）</w:t>
                  </w:r>
                </w:p>
              </w:tc>
              <w:tc>
                <w:tcPr>
                  <w:tcW w:w="1850"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bCs w:val="0"/>
                      <w:color w:val="auto"/>
                      <w:kern w:val="2"/>
                      <w:sz w:val="21"/>
                      <w:szCs w:val="21"/>
                      <w:u w:val="none" w:color="auto"/>
                      <w:lang w:val="en-US" w:eastAsia="zh-CN" w:bidi="ar-SA"/>
                    </w:rPr>
                    <w:t>120</w:t>
                  </w:r>
                </w:p>
              </w:tc>
              <w:tc>
                <w:tcPr>
                  <w:tcW w:w="1733"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bCs w:val="0"/>
                      <w:color w:val="auto"/>
                      <w:kern w:val="2"/>
                      <w:sz w:val="21"/>
                      <w:szCs w:val="21"/>
                      <w:u w:val="none" w:color="auto"/>
                      <w:lang w:val="en-US" w:eastAsia="zh-CN" w:bidi="ar-SA"/>
                    </w:rPr>
                    <w:t>15m</w:t>
                  </w:r>
                </w:p>
              </w:tc>
              <w:tc>
                <w:tcPr>
                  <w:tcW w:w="1827" w:type="dxa"/>
                  <w:vAlign w:val="center"/>
                </w:tcPr>
                <w:p>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bCs w:val="0"/>
                      <w:color w:val="auto"/>
                      <w:kern w:val="2"/>
                      <w:sz w:val="21"/>
                      <w:szCs w:val="21"/>
                      <w:u w:val="none" w:color="auto"/>
                      <w:lang w:val="en-US" w:eastAsia="zh-CN" w:bidi="ar-SA"/>
                    </w:rPr>
                    <w:t>5</w:t>
                  </w:r>
                </w:p>
              </w:tc>
            </w:tr>
          </w:tbl>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lang w:val="en-US" w:eastAsia="zh-CN"/>
              </w:rPr>
            </w:pPr>
            <w:r>
              <w:rPr>
                <w:rFonts w:hint="eastAsia" w:ascii="Times New Roman" w:hAnsi="Times New Roman" w:cs="Times New Roman"/>
                <w:b/>
                <w:bCs w:val="0"/>
                <w:u w:val="none"/>
                <w:lang w:val="en-US" w:eastAsia="zh-CN"/>
              </w:rPr>
              <w:t>表3-</w:t>
            </w:r>
            <w:r>
              <w:rPr>
                <w:rFonts w:hint="eastAsia" w:cs="Times New Roman"/>
                <w:b/>
                <w:bCs w:val="0"/>
                <w:u w:val="none"/>
                <w:lang w:val="en-US" w:eastAsia="zh-CN"/>
              </w:rPr>
              <w:t>8</w:t>
            </w:r>
            <w:r>
              <w:rPr>
                <w:rFonts w:hint="eastAsia" w:ascii="Times New Roman" w:hAnsi="Times New Roman" w:cs="Times New Roman"/>
                <w:b/>
                <w:bCs w:val="0"/>
                <w:u w:val="none"/>
                <w:lang w:val="en-US" w:eastAsia="zh-CN"/>
              </w:rPr>
              <w:t>无组织废气排放限值一览表</w:t>
            </w:r>
          </w:p>
          <w:tbl>
            <w:tblPr>
              <w:tblStyle w:val="2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1692"/>
              <w:gridCol w:w="2175"/>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53" w:type="dxa"/>
                  <w:vMerge w:val="restart"/>
                  <w:vAlign w:val="center"/>
                </w:tcPr>
                <w:p>
                  <w:pPr>
                    <w:pStyle w:val="37"/>
                    <w:ind w:left="0" w:leftChars="0"/>
                    <w:rPr>
                      <w:b/>
                      <w:bCs/>
                      <w:u w:val="none"/>
                    </w:rPr>
                  </w:pPr>
                  <w:r>
                    <w:rPr>
                      <w:rFonts w:hint="eastAsia"/>
                      <w:b/>
                      <w:bCs/>
                      <w:u w:val="none"/>
                    </w:rPr>
                    <w:t>项目</w:t>
                  </w:r>
                </w:p>
              </w:tc>
              <w:tc>
                <w:tcPr>
                  <w:tcW w:w="1692" w:type="dxa"/>
                  <w:vMerge w:val="restart"/>
                  <w:vAlign w:val="center"/>
                </w:tcPr>
                <w:p>
                  <w:pPr>
                    <w:pStyle w:val="37"/>
                    <w:ind w:left="0" w:leftChars="0"/>
                    <w:rPr>
                      <w:b/>
                      <w:bCs/>
                      <w:u w:val="none"/>
                    </w:rPr>
                  </w:pPr>
                  <w:r>
                    <w:rPr>
                      <w:b/>
                      <w:bCs/>
                      <w:u w:val="none"/>
                    </w:rPr>
                    <w:t>污染物</w:t>
                  </w:r>
                </w:p>
              </w:tc>
              <w:tc>
                <w:tcPr>
                  <w:tcW w:w="4754" w:type="dxa"/>
                  <w:gridSpan w:val="2"/>
                  <w:vAlign w:val="center"/>
                </w:tcPr>
                <w:p>
                  <w:pPr>
                    <w:pStyle w:val="37"/>
                    <w:ind w:left="0" w:leftChars="0"/>
                    <w:rPr>
                      <w:b/>
                      <w:bCs/>
                      <w:u w:val="none"/>
                    </w:rPr>
                  </w:pPr>
                  <w:r>
                    <w:rPr>
                      <w:b/>
                      <w:bCs/>
                      <w:u w:val="none"/>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2153" w:type="dxa"/>
                  <w:vMerge w:val="continue"/>
                  <w:vAlign w:val="center"/>
                </w:tcPr>
                <w:p>
                  <w:pPr>
                    <w:pStyle w:val="37"/>
                    <w:ind w:left="0" w:leftChars="0"/>
                    <w:rPr>
                      <w:b/>
                      <w:bCs/>
                      <w:u w:val="none"/>
                    </w:rPr>
                  </w:pPr>
                </w:p>
              </w:tc>
              <w:tc>
                <w:tcPr>
                  <w:tcW w:w="1692" w:type="dxa"/>
                  <w:vMerge w:val="continue"/>
                  <w:vAlign w:val="center"/>
                </w:tcPr>
                <w:p>
                  <w:pPr>
                    <w:pStyle w:val="37"/>
                    <w:ind w:left="0" w:leftChars="0"/>
                    <w:rPr>
                      <w:b/>
                      <w:bCs/>
                      <w:u w:val="none"/>
                    </w:rPr>
                  </w:pPr>
                </w:p>
              </w:tc>
              <w:tc>
                <w:tcPr>
                  <w:tcW w:w="2175" w:type="dxa"/>
                  <w:vAlign w:val="center"/>
                </w:tcPr>
                <w:p>
                  <w:pPr>
                    <w:pStyle w:val="37"/>
                    <w:ind w:left="0" w:leftChars="0"/>
                    <w:rPr>
                      <w:b/>
                      <w:bCs/>
                      <w:u w:val="none"/>
                    </w:rPr>
                  </w:pPr>
                  <w:r>
                    <w:rPr>
                      <w:b/>
                      <w:bCs/>
                      <w:u w:val="none"/>
                    </w:rPr>
                    <w:t>监控点</w:t>
                  </w:r>
                </w:p>
              </w:tc>
              <w:tc>
                <w:tcPr>
                  <w:tcW w:w="2579" w:type="dxa"/>
                  <w:vAlign w:val="center"/>
                </w:tcPr>
                <w:p>
                  <w:pPr>
                    <w:pStyle w:val="37"/>
                    <w:ind w:left="0" w:leftChars="0"/>
                    <w:rPr>
                      <w:b/>
                      <w:bCs/>
                      <w:u w:val="none"/>
                    </w:rPr>
                  </w:pPr>
                  <w:r>
                    <w:rPr>
                      <w:b/>
                      <w:bCs/>
                      <w:u w:val="none"/>
                    </w:rPr>
                    <w:t>浓度限值/(mg/m</w:t>
                  </w:r>
                  <w:r>
                    <w:rPr>
                      <w:b/>
                      <w:bCs/>
                      <w:u w:val="none"/>
                      <w:vertAlign w:val="superscript"/>
                    </w:rPr>
                    <w:t>3</w:t>
                  </w:r>
                  <w:r>
                    <w:rPr>
                      <w:b/>
                      <w:bCs/>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153" w:type="dxa"/>
                  <w:vAlign w:val="center"/>
                </w:tcPr>
                <w:p>
                  <w:pPr>
                    <w:pStyle w:val="37"/>
                    <w:ind w:left="0" w:leftChars="0"/>
                    <w:rPr>
                      <w:u w:val="none"/>
                    </w:rPr>
                  </w:pPr>
                  <w:r>
                    <w:rPr>
                      <w:rFonts w:hint="eastAsia"/>
                      <w:u w:val="none"/>
                    </w:rPr>
                    <w:t>厂界无组织废气</w:t>
                  </w:r>
                </w:p>
              </w:tc>
              <w:tc>
                <w:tcPr>
                  <w:tcW w:w="1692" w:type="dxa"/>
                  <w:vAlign w:val="center"/>
                </w:tcPr>
                <w:p>
                  <w:pPr>
                    <w:pStyle w:val="37"/>
                    <w:ind w:left="0" w:leftChars="0"/>
                    <w:rPr>
                      <w:u w:val="none"/>
                    </w:rPr>
                  </w:pPr>
                  <w:r>
                    <w:rPr>
                      <w:u w:val="none"/>
                    </w:rPr>
                    <w:t>非甲烷总烃</w:t>
                  </w:r>
                </w:p>
              </w:tc>
              <w:tc>
                <w:tcPr>
                  <w:tcW w:w="2175" w:type="dxa"/>
                  <w:vAlign w:val="center"/>
                </w:tcPr>
                <w:p>
                  <w:pPr>
                    <w:pStyle w:val="37"/>
                    <w:ind w:left="0" w:leftChars="0"/>
                    <w:rPr>
                      <w:u w:val="none"/>
                    </w:rPr>
                  </w:pPr>
                  <w:r>
                    <w:rPr>
                      <w:rFonts w:hint="eastAsia"/>
                      <w:u w:val="none"/>
                    </w:rPr>
                    <w:t>企业边界</w:t>
                  </w:r>
                </w:p>
              </w:tc>
              <w:tc>
                <w:tcPr>
                  <w:tcW w:w="2579" w:type="dxa"/>
                  <w:vAlign w:val="center"/>
                </w:tcPr>
                <w:p>
                  <w:pPr>
                    <w:pStyle w:val="37"/>
                    <w:ind w:left="0" w:leftChars="0"/>
                    <w:rPr>
                      <w:u w:val="none"/>
                    </w:rPr>
                  </w:pPr>
                  <w:r>
                    <w:rPr>
                      <w:rFonts w:hint="eastAsia"/>
                      <w:u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153" w:type="dxa"/>
                  <w:vAlign w:val="center"/>
                </w:tcPr>
                <w:p>
                  <w:pPr>
                    <w:pStyle w:val="37"/>
                    <w:ind w:left="0" w:leftChars="0"/>
                    <w:rPr>
                      <w:u w:val="none"/>
                    </w:rPr>
                  </w:pPr>
                  <w:r>
                    <w:rPr>
                      <w:rFonts w:hint="eastAsia"/>
                      <w:u w:val="none"/>
                    </w:rPr>
                    <w:t>厂区无组织废气</w:t>
                  </w:r>
                </w:p>
              </w:tc>
              <w:tc>
                <w:tcPr>
                  <w:tcW w:w="1692" w:type="dxa"/>
                  <w:vAlign w:val="center"/>
                </w:tcPr>
                <w:p>
                  <w:pPr>
                    <w:pStyle w:val="37"/>
                    <w:ind w:left="0" w:leftChars="0"/>
                    <w:rPr>
                      <w:u w:val="none"/>
                    </w:rPr>
                  </w:pPr>
                  <w:r>
                    <w:rPr>
                      <w:rFonts w:hint="default" w:ascii="Times New Roman" w:hAnsi="Times New Roman" w:cs="Times New Roman"/>
                      <w:color w:val="auto"/>
                      <w:sz w:val="21"/>
                      <w:szCs w:val="21"/>
                      <w:highlight w:val="none"/>
                      <w:u w:val="none" w:color="auto"/>
                      <w:vertAlign w:val="baseline"/>
                      <w:lang w:val="en-US" w:eastAsia="zh-CN"/>
                    </w:rPr>
                    <w:t>NMHC</w:t>
                  </w:r>
                </w:p>
              </w:tc>
              <w:tc>
                <w:tcPr>
                  <w:tcW w:w="2175" w:type="dxa"/>
                  <w:vAlign w:val="center"/>
                </w:tcPr>
                <w:p>
                  <w:pPr>
                    <w:pStyle w:val="37"/>
                    <w:ind w:left="0" w:leftChars="0"/>
                    <w:rPr>
                      <w:u w:val="none"/>
                    </w:rPr>
                  </w:pPr>
                  <w:r>
                    <w:rPr>
                      <w:u w:val="none"/>
                    </w:rPr>
                    <w:t>在厂房外设置监控点</w:t>
                  </w:r>
                </w:p>
              </w:tc>
              <w:tc>
                <w:tcPr>
                  <w:tcW w:w="2579" w:type="dxa"/>
                  <w:vAlign w:val="center"/>
                </w:tcPr>
                <w:p>
                  <w:pPr>
                    <w:pStyle w:val="37"/>
                    <w:ind w:left="0" w:leftChars="0"/>
                    <w:rPr>
                      <w:u w:val="none"/>
                    </w:rPr>
                  </w:pPr>
                  <w:r>
                    <w:rPr>
                      <w:u w:val="none"/>
                    </w:rPr>
                    <w:t>30（任意一次浓度值）</w:t>
                  </w:r>
                  <w:r>
                    <w:rPr>
                      <w:rFonts w:hint="eastAsia"/>
                      <w:u w:val="none"/>
                    </w:rPr>
                    <w:t>；</w:t>
                  </w:r>
                  <w:r>
                    <w:rPr>
                      <w:u w:val="none"/>
                    </w:rPr>
                    <w:t>10（1h平均浓度值）</w:t>
                  </w:r>
                </w:p>
              </w:tc>
            </w:tr>
          </w:tbl>
          <w:p>
            <w:pPr>
              <w:ind w:firstLine="480"/>
              <w:rPr>
                <w:u w:val="none"/>
              </w:rPr>
            </w:pPr>
            <w:r>
              <w:rPr>
                <w:rFonts w:hint="eastAsia"/>
                <w:u w:val="none"/>
              </w:rPr>
              <w:t>2、废水</w:t>
            </w:r>
          </w:p>
          <w:p>
            <w:pPr>
              <w:widowControl/>
              <w:wordWrap w:val="0"/>
              <w:ind w:firstLine="480"/>
              <w:jc w:val="left"/>
              <w:rPr>
                <w:u w:val="none"/>
              </w:rPr>
            </w:pPr>
            <w:r>
              <w:rPr>
                <w:rFonts w:hint="eastAsia"/>
                <w:u w:val="none"/>
              </w:rPr>
              <w:t>本项目</w:t>
            </w:r>
            <w:r>
              <w:rPr>
                <w:rFonts w:hint="eastAsia"/>
                <w:u w:val="none"/>
                <w:lang w:eastAsia="zh-CN"/>
              </w:rPr>
              <w:t>生活污水、地面清洁废水经化粪池处理后</w:t>
            </w:r>
            <w:r>
              <w:rPr>
                <w:rFonts w:hint="eastAsia" w:ascii="宋体" w:hAnsi="宋体" w:cs="宋体"/>
                <w:color w:val="000000"/>
                <w:kern w:val="0"/>
                <w:u w:val="none"/>
                <w:lang w:bidi="ar"/>
              </w:rPr>
              <w:t>达到</w:t>
            </w:r>
            <w:r>
              <w:rPr>
                <w:rFonts w:hint="eastAsia"/>
                <w:u w:val="none"/>
              </w:rPr>
              <w:t>《污水综合排放标准》（GB8978-1996）及修改单表4中三级排放标准限值及湘阴县第二污水处理厂进水水质要求的较严值。</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val="0"/>
                <w:u w:val="none"/>
              </w:rPr>
            </w:pPr>
            <w:r>
              <w:rPr>
                <w:rFonts w:hint="default" w:ascii="Times New Roman" w:hAnsi="Times New Roman" w:cs="Times New Roman"/>
                <w:b/>
                <w:bCs w:val="0"/>
                <w:u w:val="none"/>
              </w:rPr>
              <w:t>表3-</w:t>
            </w:r>
            <w:r>
              <w:rPr>
                <w:rFonts w:hint="eastAsia" w:cs="Times New Roman"/>
                <w:b/>
                <w:bCs w:val="0"/>
                <w:u w:val="none"/>
                <w:lang w:val="en-US" w:eastAsia="zh-CN"/>
              </w:rPr>
              <w:t>9</w:t>
            </w:r>
            <w:r>
              <w:rPr>
                <w:rFonts w:hint="default" w:ascii="Times New Roman" w:hAnsi="Times New Roman" w:cs="Times New Roman"/>
                <w:b/>
                <w:bCs w:val="0"/>
                <w:u w:val="none"/>
              </w:rPr>
              <w:t xml:space="preserve"> 本项目废水排放限值一览表</w:t>
            </w:r>
          </w:p>
          <w:p>
            <w:pPr>
              <w:pStyle w:val="37"/>
              <w:keepNext w:val="0"/>
              <w:keepLines w:val="0"/>
              <w:pageBreakBefore w:val="0"/>
              <w:widowControl w:val="0"/>
              <w:kinsoku/>
              <w:wordWrap/>
              <w:overflowPunct/>
              <w:topLinePunct w:val="0"/>
              <w:autoSpaceDE/>
              <w:autoSpaceDN/>
              <w:bidi w:val="0"/>
              <w:ind w:left="0" w:leftChars="0" w:firstLine="0" w:firstLineChars="0"/>
              <w:jc w:val="right"/>
              <w:textAlignment w:val="auto"/>
              <w:rPr>
                <w:rFonts w:hint="default" w:ascii="Times New Roman" w:hAnsi="Times New Roman" w:cs="Times New Roman"/>
                <w:b/>
                <w:bCs/>
                <w:u w:val="none"/>
              </w:rPr>
            </w:pPr>
            <w:r>
              <w:rPr>
                <w:rFonts w:hint="default" w:ascii="Times New Roman" w:hAnsi="Times New Roman" w:cs="Times New Roman"/>
                <w:b/>
                <w:bCs/>
                <w:u w:val="none"/>
              </w:rPr>
              <w:t>单位：mg/L（pH无量纲）</w:t>
            </w:r>
          </w:p>
          <w:tbl>
            <w:tblPr>
              <w:tblStyle w:val="24"/>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1233"/>
              <w:gridCol w:w="1200"/>
              <w:gridCol w:w="1284"/>
              <w:gridCol w:w="1316"/>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59"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sz w:val="21"/>
                      <w:u w:val="none"/>
                    </w:rPr>
                  </w:pPr>
                  <w:r>
                    <w:rPr>
                      <w:rFonts w:hint="default" w:ascii="Times New Roman" w:hAnsi="Times New Roman" w:cs="Times New Roman"/>
                      <w:b/>
                      <w:bCs/>
                      <w:sz w:val="21"/>
                      <w:u w:val="none"/>
                    </w:rPr>
                    <w:t>污染因子</w:t>
                  </w:r>
                </w:p>
              </w:tc>
              <w:tc>
                <w:tcPr>
                  <w:tcW w:w="1233"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sz w:val="21"/>
                      <w:u w:val="none"/>
                    </w:rPr>
                  </w:pPr>
                  <w:r>
                    <w:rPr>
                      <w:rFonts w:hint="default" w:ascii="Times New Roman" w:hAnsi="Times New Roman" w:cs="Times New Roman"/>
                      <w:b/>
                      <w:bCs/>
                      <w:sz w:val="21"/>
                      <w:u w:val="none"/>
                    </w:rPr>
                    <w:t>pH</w:t>
                  </w:r>
                </w:p>
              </w:tc>
              <w:tc>
                <w:tcPr>
                  <w:tcW w:w="1200"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sz w:val="21"/>
                      <w:u w:val="none"/>
                    </w:rPr>
                  </w:pPr>
                  <w:r>
                    <w:rPr>
                      <w:rFonts w:hint="default" w:ascii="Times New Roman" w:hAnsi="Times New Roman" w:cs="Times New Roman"/>
                      <w:b/>
                      <w:bCs/>
                      <w:sz w:val="21"/>
                      <w:u w:val="none"/>
                    </w:rPr>
                    <w:t>SS</w:t>
                  </w:r>
                </w:p>
              </w:tc>
              <w:tc>
                <w:tcPr>
                  <w:tcW w:w="1284"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sz w:val="21"/>
                      <w:u w:val="none"/>
                    </w:rPr>
                  </w:pPr>
                  <w:r>
                    <w:rPr>
                      <w:rFonts w:hint="default" w:ascii="Times New Roman" w:hAnsi="Times New Roman" w:cs="Times New Roman"/>
                      <w:b/>
                      <w:bCs/>
                      <w:sz w:val="21"/>
                      <w:u w:val="none"/>
                    </w:rPr>
                    <w:t>CODcr</w:t>
                  </w:r>
                </w:p>
              </w:tc>
              <w:tc>
                <w:tcPr>
                  <w:tcW w:w="1316"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sz w:val="21"/>
                      <w:u w:val="none"/>
                    </w:rPr>
                  </w:pPr>
                  <w:r>
                    <w:rPr>
                      <w:rFonts w:hint="default" w:ascii="Times New Roman" w:hAnsi="Times New Roman" w:cs="Times New Roman"/>
                      <w:b/>
                      <w:bCs/>
                      <w:sz w:val="21"/>
                      <w:u w:val="none"/>
                    </w:rPr>
                    <w:t>BOD</w:t>
                  </w:r>
                  <w:r>
                    <w:rPr>
                      <w:rFonts w:hint="default" w:ascii="Times New Roman" w:hAnsi="Times New Roman" w:cs="Times New Roman"/>
                      <w:b/>
                      <w:bCs/>
                      <w:sz w:val="21"/>
                      <w:u w:val="none"/>
                      <w:vertAlign w:val="subscript"/>
                    </w:rPr>
                    <w:t>5</w:t>
                  </w:r>
                </w:p>
              </w:tc>
              <w:tc>
                <w:tcPr>
                  <w:tcW w:w="1282"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sz w:val="21"/>
                      <w:u w:val="none"/>
                    </w:rPr>
                  </w:pPr>
                  <w:r>
                    <w:rPr>
                      <w:rFonts w:hint="default" w:ascii="Times New Roman" w:hAnsi="Times New Roman" w:cs="Times New Roman"/>
                      <w:b/>
                      <w:bCs/>
                      <w:sz w:val="21"/>
                      <w:u w:val="none"/>
                    </w:rPr>
                    <w:t>NH</w:t>
                  </w:r>
                  <w:r>
                    <w:rPr>
                      <w:rFonts w:hint="default" w:ascii="Times New Roman" w:hAnsi="Times New Roman" w:cs="Times New Roman"/>
                      <w:b/>
                      <w:bCs/>
                      <w:sz w:val="21"/>
                      <w:u w:val="none"/>
                      <w:vertAlign w:val="subscript"/>
                    </w:rPr>
                    <w:t>3</w:t>
                  </w:r>
                  <w:r>
                    <w:rPr>
                      <w:rFonts w:hint="default" w:ascii="Times New Roman" w:hAnsi="Times New Roman" w:cs="Times New Roman"/>
                      <w:b/>
                      <w:bCs/>
                      <w:sz w:val="21"/>
                      <w:u w:val="none"/>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59"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《污水综合排放标准》（GB8978-1996）及修改单</w:t>
                  </w:r>
                </w:p>
              </w:tc>
              <w:tc>
                <w:tcPr>
                  <w:tcW w:w="1233"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6-9</w:t>
                  </w:r>
                </w:p>
              </w:tc>
              <w:tc>
                <w:tcPr>
                  <w:tcW w:w="1200"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400</w:t>
                  </w:r>
                </w:p>
              </w:tc>
              <w:tc>
                <w:tcPr>
                  <w:tcW w:w="1284"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500</w:t>
                  </w:r>
                </w:p>
              </w:tc>
              <w:tc>
                <w:tcPr>
                  <w:tcW w:w="1316"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300</w:t>
                  </w:r>
                </w:p>
              </w:tc>
              <w:tc>
                <w:tcPr>
                  <w:tcW w:w="1282"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59"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湘阴县第二污水处理厂进水水质要求</w:t>
                  </w:r>
                </w:p>
              </w:tc>
              <w:tc>
                <w:tcPr>
                  <w:tcW w:w="1233"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6-9</w:t>
                  </w:r>
                </w:p>
              </w:tc>
              <w:tc>
                <w:tcPr>
                  <w:tcW w:w="1200"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400</w:t>
                  </w:r>
                </w:p>
              </w:tc>
              <w:tc>
                <w:tcPr>
                  <w:tcW w:w="1284"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500</w:t>
                  </w:r>
                </w:p>
              </w:tc>
              <w:tc>
                <w:tcPr>
                  <w:tcW w:w="1316"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350</w:t>
                  </w:r>
                </w:p>
              </w:tc>
              <w:tc>
                <w:tcPr>
                  <w:tcW w:w="1282"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59"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本项目执行标准值</w:t>
                  </w:r>
                </w:p>
              </w:tc>
              <w:tc>
                <w:tcPr>
                  <w:tcW w:w="1233"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6-9</w:t>
                  </w:r>
                </w:p>
              </w:tc>
              <w:tc>
                <w:tcPr>
                  <w:tcW w:w="1200"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400</w:t>
                  </w:r>
                </w:p>
              </w:tc>
              <w:tc>
                <w:tcPr>
                  <w:tcW w:w="1284"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500</w:t>
                  </w:r>
                </w:p>
              </w:tc>
              <w:tc>
                <w:tcPr>
                  <w:tcW w:w="1316"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300</w:t>
                  </w:r>
                </w:p>
              </w:tc>
              <w:tc>
                <w:tcPr>
                  <w:tcW w:w="1282" w:type="dxa"/>
                  <w:shd w:val="clear" w:color="auto" w:fill="auto"/>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74" w:type="dxa"/>
                  <w:gridSpan w:val="6"/>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cs="Times New Roman"/>
                      <w:bCs w:val="0"/>
                      <w:sz w:val="21"/>
                      <w:u w:val="none"/>
                    </w:rPr>
                  </w:pPr>
                  <w:r>
                    <w:rPr>
                      <w:rFonts w:hint="default" w:ascii="Times New Roman" w:hAnsi="Times New Roman" w:cs="Times New Roman"/>
                      <w:bCs w:val="0"/>
                      <w:sz w:val="21"/>
                      <w:u w:val="none"/>
                    </w:rPr>
                    <w:t>备注：湘阴县第二污水处理厂进水水质要求来源于：</w:t>
                  </w:r>
                  <w:r>
                    <w:rPr>
                      <w:rFonts w:hint="default" w:ascii="Times New Roman" w:hAnsi="Times New Roman" w:cs="Times New Roman"/>
                      <w:sz w:val="21"/>
                      <w:u w:val="none"/>
                    </w:rPr>
                    <w:t>《湘阴县第二污水处理厂提标改造工程建设项目环境影响评价报告表》（岳环评[2018]32号）。</w:t>
                  </w:r>
                </w:p>
              </w:tc>
            </w:tr>
          </w:tbl>
          <w:p>
            <w:pPr>
              <w:ind w:firstLine="480"/>
              <w:rPr>
                <w:u w:val="none"/>
              </w:rPr>
            </w:pPr>
            <w:r>
              <w:rPr>
                <w:rFonts w:hint="eastAsia"/>
                <w:u w:val="none"/>
              </w:rPr>
              <w:t>3、噪声</w:t>
            </w:r>
          </w:p>
          <w:p>
            <w:pPr>
              <w:ind w:firstLine="480"/>
              <w:rPr>
                <w:u w:val="none"/>
              </w:rPr>
            </w:pPr>
            <w:r>
              <w:rPr>
                <w:rFonts w:hint="eastAsia"/>
                <w:u w:val="none"/>
              </w:rPr>
              <w:t>施工期噪声执行</w:t>
            </w:r>
            <w:r>
              <w:rPr>
                <w:rFonts w:hint="eastAsia"/>
                <w:u w:val="none"/>
                <w:lang w:eastAsia="zh-CN"/>
              </w:rPr>
              <w:t>《建筑施工场界环境噪声排放标准》（GB12523-2025）</w:t>
            </w:r>
            <w:r>
              <w:rPr>
                <w:rFonts w:hint="eastAsia"/>
                <w:u w:val="none"/>
              </w:rPr>
              <w:t>标准要求；营运期厂界四周噪声执行《工业企业厂界环境噪声排放标准》（GB12348-2008）中3类标准。具体标准值见下表。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val="0"/>
                <w:u w:val="none"/>
              </w:rPr>
            </w:pPr>
            <w:r>
              <w:rPr>
                <w:rFonts w:hint="eastAsia" w:ascii="Times New Roman" w:hAnsi="Times New Roman" w:cs="Times New Roman"/>
                <w:b/>
                <w:bCs w:val="0"/>
                <w:u w:val="none"/>
              </w:rPr>
              <w:t>表3-</w:t>
            </w:r>
            <w:r>
              <w:rPr>
                <w:rFonts w:hint="eastAsia" w:cs="Times New Roman"/>
                <w:b/>
                <w:bCs w:val="0"/>
                <w:u w:val="none"/>
                <w:lang w:val="en-US" w:eastAsia="zh-CN"/>
              </w:rPr>
              <w:t>10</w:t>
            </w:r>
            <w:r>
              <w:rPr>
                <w:rFonts w:hint="eastAsia" w:ascii="Times New Roman" w:hAnsi="Times New Roman" w:cs="Times New Roman"/>
                <w:b/>
                <w:bCs w:val="0"/>
                <w:u w:val="none"/>
              </w:rPr>
              <w:t>本项目噪声排放限值一览表</w:t>
            </w:r>
          </w:p>
          <w:tbl>
            <w:tblPr>
              <w:tblStyle w:val="2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5347"/>
              <w:gridCol w:w="690"/>
              <w:gridCol w:w="645"/>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sz w:val="21"/>
                      <w:u w:val="none"/>
                    </w:rPr>
                  </w:pPr>
                  <w:r>
                    <w:rPr>
                      <w:rFonts w:hint="eastAsia" w:ascii="Times New Roman" w:hAnsi="Times New Roman" w:eastAsia="宋体" w:cs="Times New Roman"/>
                      <w:b/>
                      <w:bCs/>
                      <w:sz w:val="21"/>
                      <w:u w:val="none"/>
                    </w:rPr>
                    <w:t>执行对象</w:t>
                  </w:r>
                </w:p>
              </w:tc>
              <w:tc>
                <w:tcPr>
                  <w:tcW w:w="5347"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sz w:val="21"/>
                      <w:u w:val="none"/>
                    </w:rPr>
                  </w:pPr>
                  <w:r>
                    <w:rPr>
                      <w:rFonts w:hint="eastAsia" w:ascii="Times New Roman" w:hAnsi="Times New Roman" w:eastAsia="宋体" w:cs="Times New Roman"/>
                      <w:b/>
                      <w:bCs/>
                      <w:sz w:val="21"/>
                      <w:u w:val="none"/>
                    </w:rPr>
                    <w:t>执行标准</w:t>
                  </w:r>
                </w:p>
              </w:tc>
              <w:tc>
                <w:tcPr>
                  <w:tcW w:w="690"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sz w:val="21"/>
                      <w:u w:val="none"/>
                    </w:rPr>
                  </w:pPr>
                  <w:r>
                    <w:rPr>
                      <w:rFonts w:hint="eastAsia" w:ascii="Times New Roman" w:hAnsi="Times New Roman" w:eastAsia="宋体" w:cs="Times New Roman"/>
                      <w:b/>
                      <w:bCs/>
                      <w:sz w:val="21"/>
                      <w:u w:val="none"/>
                    </w:rPr>
                    <w:t>昼间</w:t>
                  </w:r>
                </w:p>
              </w:tc>
              <w:tc>
                <w:tcPr>
                  <w:tcW w:w="645"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sz w:val="21"/>
                      <w:u w:val="none"/>
                    </w:rPr>
                  </w:pPr>
                  <w:r>
                    <w:rPr>
                      <w:rFonts w:hint="eastAsia" w:ascii="Times New Roman" w:hAnsi="Times New Roman" w:eastAsia="宋体" w:cs="Times New Roman"/>
                      <w:b/>
                      <w:bCs/>
                      <w:sz w:val="21"/>
                      <w:u w:val="none"/>
                    </w:rPr>
                    <w:t>夜间</w:t>
                  </w:r>
                </w:p>
              </w:tc>
              <w:tc>
                <w:tcPr>
                  <w:tcW w:w="827"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sz w:val="21"/>
                      <w:u w:val="none"/>
                    </w:rPr>
                  </w:pPr>
                  <w:r>
                    <w:rPr>
                      <w:rFonts w:hint="eastAsia" w:ascii="Times New Roman" w:hAnsi="Times New Roman" w:eastAsia="宋体" w:cs="Times New Roman"/>
                      <w:b/>
                      <w:bCs/>
                      <w:sz w:val="21"/>
                      <w:u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sz w:val="21"/>
                      <w:u w:val="none"/>
                    </w:rPr>
                  </w:pPr>
                  <w:r>
                    <w:rPr>
                      <w:rFonts w:hint="eastAsia" w:ascii="Times New Roman" w:hAnsi="Times New Roman" w:eastAsia="宋体" w:cs="Times New Roman"/>
                      <w:bCs w:val="0"/>
                      <w:sz w:val="21"/>
                      <w:u w:val="none"/>
                    </w:rPr>
                    <w:t>施工期</w:t>
                  </w:r>
                </w:p>
              </w:tc>
              <w:tc>
                <w:tcPr>
                  <w:tcW w:w="5347"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Cs w:val="0"/>
                      <w:sz w:val="21"/>
                      <w:u w:val="none"/>
                      <w:lang w:eastAsia="zh-CN"/>
                    </w:rPr>
                  </w:pPr>
                  <w:r>
                    <w:rPr>
                      <w:rFonts w:hint="eastAsia" w:cs="Times New Roman"/>
                      <w:bCs w:val="0"/>
                      <w:sz w:val="21"/>
                      <w:u w:val="none"/>
                      <w:lang w:eastAsia="zh-CN"/>
                    </w:rPr>
                    <w:t>《建筑施工场界环境噪声排放标准》（GB12523--2025）</w:t>
                  </w:r>
                </w:p>
              </w:tc>
              <w:tc>
                <w:tcPr>
                  <w:tcW w:w="690"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sz w:val="21"/>
                      <w:u w:val="none"/>
                    </w:rPr>
                  </w:pPr>
                  <w:r>
                    <w:rPr>
                      <w:rFonts w:hint="eastAsia" w:ascii="Times New Roman" w:hAnsi="Times New Roman" w:eastAsia="宋体" w:cs="Times New Roman"/>
                      <w:bCs w:val="0"/>
                      <w:sz w:val="21"/>
                      <w:u w:val="none"/>
                    </w:rPr>
                    <w:t>70</w:t>
                  </w:r>
                </w:p>
              </w:tc>
              <w:tc>
                <w:tcPr>
                  <w:tcW w:w="645"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sz w:val="21"/>
                      <w:u w:val="none"/>
                    </w:rPr>
                  </w:pPr>
                  <w:r>
                    <w:rPr>
                      <w:rFonts w:hint="eastAsia" w:ascii="Times New Roman" w:hAnsi="Times New Roman" w:eastAsia="宋体" w:cs="Times New Roman"/>
                      <w:bCs w:val="0"/>
                      <w:sz w:val="21"/>
                      <w:u w:val="none"/>
                    </w:rPr>
                    <w:t>55</w:t>
                  </w:r>
                </w:p>
              </w:tc>
              <w:tc>
                <w:tcPr>
                  <w:tcW w:w="827"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sz w:val="21"/>
                      <w:u w:val="none"/>
                    </w:rPr>
                  </w:pPr>
                  <w:r>
                    <w:rPr>
                      <w:rFonts w:hint="eastAsia" w:ascii="Times New Roman" w:hAnsi="Times New Roman" w:eastAsia="宋体" w:cs="Times New Roman"/>
                      <w:bCs w:val="0"/>
                      <w:sz w:val="21"/>
                      <w:u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sz w:val="21"/>
                      <w:u w:val="none"/>
                    </w:rPr>
                  </w:pPr>
                  <w:r>
                    <w:rPr>
                      <w:rFonts w:hint="eastAsia" w:ascii="Times New Roman" w:hAnsi="Times New Roman" w:eastAsia="宋体" w:cs="Times New Roman"/>
                      <w:bCs w:val="0"/>
                      <w:sz w:val="21"/>
                      <w:u w:val="none"/>
                    </w:rPr>
                    <w:t>厂界四周</w:t>
                  </w:r>
                </w:p>
              </w:tc>
              <w:tc>
                <w:tcPr>
                  <w:tcW w:w="5347"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sz w:val="21"/>
                      <w:u w:val="none"/>
                    </w:rPr>
                  </w:pPr>
                  <w:r>
                    <w:rPr>
                      <w:rFonts w:hint="eastAsia" w:ascii="Times New Roman" w:hAnsi="Times New Roman" w:eastAsia="宋体" w:cs="Times New Roman"/>
                      <w:bCs w:val="0"/>
                      <w:sz w:val="21"/>
                      <w:u w:val="none"/>
                    </w:rPr>
                    <w:t>《工业企业厂界环境噪声排放标准》（GB12348-2008）中3类标准</w:t>
                  </w:r>
                </w:p>
              </w:tc>
              <w:tc>
                <w:tcPr>
                  <w:tcW w:w="690"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sz w:val="21"/>
                      <w:u w:val="none"/>
                    </w:rPr>
                  </w:pPr>
                  <w:r>
                    <w:rPr>
                      <w:rFonts w:hint="eastAsia" w:ascii="Times New Roman" w:hAnsi="Times New Roman" w:eastAsia="宋体" w:cs="Times New Roman"/>
                      <w:bCs w:val="0"/>
                      <w:sz w:val="21"/>
                      <w:u w:val="none"/>
                    </w:rPr>
                    <w:t>65</w:t>
                  </w:r>
                </w:p>
              </w:tc>
              <w:tc>
                <w:tcPr>
                  <w:tcW w:w="645"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sz w:val="21"/>
                      <w:u w:val="none"/>
                    </w:rPr>
                  </w:pPr>
                  <w:r>
                    <w:rPr>
                      <w:rFonts w:hint="eastAsia" w:ascii="Times New Roman" w:hAnsi="Times New Roman" w:eastAsia="宋体" w:cs="Times New Roman"/>
                      <w:bCs w:val="0"/>
                      <w:sz w:val="21"/>
                      <w:u w:val="none"/>
                    </w:rPr>
                    <w:t>55</w:t>
                  </w:r>
                </w:p>
              </w:tc>
              <w:tc>
                <w:tcPr>
                  <w:tcW w:w="827" w:type="dxa"/>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sz w:val="21"/>
                      <w:u w:val="none"/>
                    </w:rPr>
                  </w:pPr>
                  <w:r>
                    <w:rPr>
                      <w:rFonts w:hint="eastAsia" w:ascii="Times New Roman" w:hAnsi="Times New Roman" w:eastAsia="宋体" w:cs="Times New Roman"/>
                      <w:bCs w:val="0"/>
                      <w:sz w:val="21"/>
                      <w:u w:val="none"/>
                    </w:rPr>
                    <w:t>dB（A）</w:t>
                  </w:r>
                </w:p>
              </w:tc>
            </w:tr>
          </w:tbl>
          <w:p>
            <w:pPr>
              <w:ind w:firstLine="480"/>
              <w:rPr>
                <w:u w:val="none"/>
              </w:rPr>
            </w:pPr>
            <w:r>
              <w:rPr>
                <w:rFonts w:hint="eastAsia"/>
                <w:u w:val="none"/>
              </w:rPr>
              <w:t>4、固体废物</w:t>
            </w:r>
          </w:p>
          <w:p>
            <w:pPr>
              <w:ind w:firstLine="480"/>
              <w:rPr>
                <w:u w:val="none"/>
              </w:rPr>
            </w:pPr>
            <w:r>
              <w:rPr>
                <w:rFonts w:hint="eastAsia"/>
                <w:u w:val="none"/>
              </w:rPr>
              <w:t>一般工业固体废弃物参照执行《一般工业固体废物贮存和填埋污染控制标准》（GB18599-2020），其贮存过程应满足相应防渗漏、防雨淋、防扬尘等环境保护要求；危险废物执行《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firstLine="0" w:firstLineChars="0"/>
              <w:jc w:val="center"/>
              <w:rPr>
                <w:u w:val="none"/>
              </w:rPr>
            </w:pPr>
            <w:r>
              <w:rPr>
                <w:rFonts w:hint="eastAsia"/>
                <w:u w:val="none"/>
              </w:rPr>
              <w:t>总量控制指标</w:t>
            </w:r>
          </w:p>
        </w:tc>
        <w:tc>
          <w:tcPr>
            <w:tcW w:w="8835" w:type="dxa"/>
          </w:tcPr>
          <w:p>
            <w:pPr>
              <w:ind w:firstLine="480"/>
              <w:rPr>
                <w:u w:val="none"/>
              </w:rPr>
            </w:pPr>
            <w:r>
              <w:rPr>
                <w:u w:val="none"/>
              </w:rPr>
              <w:t>依据《湖南省主要污染物排污权有偿使用和交易实施细则》（湘环发〔2024〕3号），2024年1月1日起，排污单位通过核定或交易方式获得化学需氧量、氨氮、二氧化硫、氮氧化物、挥发性有机物、总磷、铅、镉、砷、汞、铬十一类污染物排污权的，在项目取得排污许可证后按照收费标准缴纳有偿使用费。</w:t>
            </w:r>
          </w:p>
          <w:p>
            <w:pPr>
              <w:spacing w:line="336" w:lineRule="auto"/>
              <w:ind w:firstLine="480"/>
              <w:rPr>
                <w:u w:val="none"/>
              </w:rPr>
            </w:pPr>
            <w:r>
              <w:rPr>
                <w:u w:val="none"/>
              </w:rPr>
              <w:t>1、水污染物排放总量控制指标</w:t>
            </w:r>
          </w:p>
          <w:p>
            <w:pPr>
              <w:ind w:firstLine="480"/>
              <w:rPr>
                <w:u w:val="none"/>
              </w:rPr>
            </w:pPr>
            <w:r>
              <w:rPr>
                <w:rFonts w:hint="eastAsia"/>
                <w:u w:val="none"/>
              </w:rPr>
              <w:t>本项目</w:t>
            </w:r>
            <w:r>
              <w:rPr>
                <w:u w:val="none"/>
              </w:rPr>
              <w:t>生活</w:t>
            </w:r>
            <w:r>
              <w:rPr>
                <w:rFonts w:hint="eastAsia"/>
                <w:u w:val="none"/>
              </w:rPr>
              <w:t>污水</w:t>
            </w:r>
            <w:r>
              <w:rPr>
                <w:rFonts w:hint="eastAsia"/>
                <w:u w:val="none"/>
                <w:lang w:eastAsia="zh-CN"/>
              </w:rPr>
              <w:t>、</w:t>
            </w:r>
            <w:r>
              <w:rPr>
                <w:rFonts w:hint="eastAsia"/>
                <w:u w:val="none"/>
                <w:lang w:val="en-US" w:eastAsia="zh-CN"/>
              </w:rPr>
              <w:t>地面清洁废水</w:t>
            </w:r>
            <w:r>
              <w:rPr>
                <w:u w:val="none"/>
              </w:rPr>
              <w:t>依托</w:t>
            </w:r>
            <w:r>
              <w:rPr>
                <w:rFonts w:hint="eastAsia"/>
                <w:u w:val="none"/>
              </w:rPr>
              <w:t>租赁公司</w:t>
            </w:r>
            <w:r>
              <w:rPr>
                <w:u w:val="none"/>
              </w:rPr>
              <w:t>化粪池处理后排入</w:t>
            </w:r>
            <w:r>
              <w:rPr>
                <w:rFonts w:hint="eastAsia"/>
                <w:u w:val="none"/>
              </w:rPr>
              <w:t>市政</w:t>
            </w:r>
            <w:r>
              <w:rPr>
                <w:u w:val="none"/>
              </w:rPr>
              <w:t>污水管网</w:t>
            </w:r>
            <w:r>
              <w:rPr>
                <w:rFonts w:hint="eastAsia"/>
                <w:u w:val="none"/>
              </w:rPr>
              <w:t>进入湘阴县第二污水处理厂处理达标后排入湘江</w:t>
            </w:r>
            <w:r>
              <w:rPr>
                <w:rFonts w:hint="eastAsia"/>
                <w:u w:val="none" w:color="auto"/>
              </w:rPr>
              <w:t>，</w:t>
            </w:r>
            <w:r>
              <w:rPr>
                <w:rFonts w:hint="eastAsia"/>
                <w:u w:val="none" w:color="auto"/>
                <w:lang w:val="en-US" w:eastAsia="zh-CN"/>
              </w:rPr>
              <w:t>项</w:t>
            </w:r>
            <w:r>
              <w:rPr>
                <w:rFonts w:hint="eastAsia" w:ascii="Times New Roman" w:hAnsi="Times New Roman" w:eastAsia="宋体" w:cs="Times New Roman"/>
                <w:color w:val="000000"/>
                <w:sz w:val="24"/>
                <w:szCs w:val="24"/>
                <w:u w:val="none" w:color="auto"/>
                <w:lang w:val="en-US" w:eastAsia="zh-CN"/>
              </w:rPr>
              <w:t>目外排废水为生活污水516.8m</w:t>
            </w:r>
            <w:r>
              <w:rPr>
                <w:rFonts w:hint="eastAsia" w:ascii="Times New Roman" w:hAnsi="Times New Roman" w:eastAsia="宋体" w:cs="Times New Roman"/>
                <w:color w:val="000000"/>
                <w:sz w:val="24"/>
                <w:szCs w:val="24"/>
                <w:u w:val="none" w:color="auto"/>
                <w:vertAlign w:val="superscript"/>
                <w:lang w:val="en-US" w:eastAsia="zh-CN"/>
              </w:rPr>
              <w:t>3</w:t>
            </w:r>
            <w:r>
              <w:rPr>
                <w:rFonts w:hint="eastAsia" w:ascii="Times New Roman" w:hAnsi="Times New Roman" w:eastAsia="宋体" w:cs="Times New Roman"/>
                <w:color w:val="000000"/>
                <w:sz w:val="24"/>
                <w:szCs w:val="24"/>
                <w:u w:val="none" w:color="auto"/>
                <w:lang w:val="en-US" w:eastAsia="zh-CN"/>
              </w:rPr>
              <w:t>/a、地面清洗废水48m</w:t>
            </w:r>
            <w:r>
              <w:rPr>
                <w:rFonts w:hint="eastAsia" w:ascii="Times New Roman" w:hAnsi="Times New Roman" w:eastAsia="宋体" w:cs="Times New Roman"/>
                <w:color w:val="000000"/>
                <w:sz w:val="24"/>
                <w:szCs w:val="24"/>
                <w:u w:val="none" w:color="auto"/>
                <w:vertAlign w:val="superscript"/>
                <w:lang w:val="en-US" w:eastAsia="zh-CN"/>
              </w:rPr>
              <w:t>3</w:t>
            </w:r>
            <w:r>
              <w:rPr>
                <w:rFonts w:hint="eastAsia" w:ascii="Times New Roman" w:hAnsi="Times New Roman" w:eastAsia="宋体" w:cs="Times New Roman"/>
                <w:color w:val="000000"/>
                <w:sz w:val="24"/>
                <w:szCs w:val="24"/>
                <w:u w:val="none" w:color="auto"/>
                <w:lang w:val="en-US" w:eastAsia="zh-CN"/>
              </w:rPr>
              <w:t>/a。总量指标见下表。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表3-</w:t>
            </w:r>
            <w:r>
              <w:rPr>
                <w:rFonts w:hint="eastAsia" w:cs="Times New Roman"/>
                <w:b/>
                <w:bCs w:val="0"/>
                <w:u w:val="none"/>
                <w:lang w:val="en-US" w:eastAsia="zh-CN"/>
              </w:rPr>
              <w:t>11</w:t>
            </w:r>
            <w:r>
              <w:rPr>
                <w:rFonts w:hint="eastAsia" w:ascii="Times New Roman" w:hAnsi="Times New Roman" w:cs="Times New Roman"/>
                <w:b/>
                <w:bCs w:val="0"/>
                <w:u w:val="none"/>
              </w:rPr>
              <w:t>废水污染物排放总量控制指标一览表</w:t>
            </w:r>
          </w:p>
          <w:tbl>
            <w:tblPr>
              <w:tblStyle w:val="24"/>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0"/>
              <w:gridCol w:w="1220"/>
              <w:gridCol w:w="979"/>
              <w:gridCol w:w="1426"/>
              <w:gridCol w:w="1698"/>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b/>
                      <w:bCs/>
                      <w:kern w:val="2"/>
                      <w:sz w:val="21"/>
                      <w:szCs w:val="21"/>
                      <w:u w:val="none" w:color="auto"/>
                      <w:lang w:val="en-US" w:eastAsia="zh-CN" w:bidi="ar"/>
                    </w:rPr>
                  </w:pPr>
                  <w:r>
                    <w:rPr>
                      <w:rFonts w:hint="eastAsia" w:ascii="Times New Roman" w:hAnsi="Times New Roman" w:eastAsia="宋体" w:cs="Times New Roman"/>
                      <w:b/>
                      <w:bCs/>
                      <w:kern w:val="2"/>
                      <w:sz w:val="21"/>
                      <w:szCs w:val="21"/>
                      <w:u w:val="none" w:color="auto"/>
                      <w:lang w:val="en-US" w:eastAsia="zh-CN" w:bidi="ar"/>
                    </w:rPr>
                    <w:t>类型</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b/>
                      <w:bCs/>
                      <w:kern w:val="2"/>
                      <w:sz w:val="21"/>
                      <w:szCs w:val="21"/>
                      <w:u w:val="none" w:color="auto"/>
                    </w:rPr>
                  </w:pPr>
                  <w:r>
                    <w:rPr>
                      <w:rFonts w:hint="default" w:ascii="Times New Roman" w:hAnsi="Times New Roman" w:eastAsia="宋体" w:cs="Times New Roman"/>
                      <w:b/>
                      <w:bCs/>
                      <w:kern w:val="2"/>
                      <w:sz w:val="21"/>
                      <w:szCs w:val="21"/>
                      <w:u w:val="none" w:color="auto"/>
                      <w:lang w:val="en-US" w:eastAsia="zh-CN" w:bidi="ar"/>
                    </w:rPr>
                    <w:t>污染物名称</w:t>
                  </w: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b/>
                      <w:bCs/>
                      <w:kern w:val="2"/>
                      <w:sz w:val="21"/>
                      <w:szCs w:val="21"/>
                      <w:u w:val="none" w:color="auto"/>
                    </w:rPr>
                  </w:pPr>
                  <w:r>
                    <w:rPr>
                      <w:rFonts w:hint="default" w:ascii="Times New Roman" w:hAnsi="Times New Roman" w:eastAsia="宋体" w:cs="Times New Roman"/>
                      <w:b/>
                      <w:bCs/>
                      <w:kern w:val="2"/>
                      <w:sz w:val="21"/>
                      <w:szCs w:val="21"/>
                      <w:u w:val="none" w:color="auto"/>
                      <w:lang w:val="en-US" w:eastAsia="zh-CN" w:bidi="ar"/>
                    </w:rPr>
                    <w:t>排放口编号</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b/>
                      <w:bCs/>
                      <w:kern w:val="2"/>
                      <w:sz w:val="21"/>
                      <w:szCs w:val="21"/>
                      <w:u w:val="none" w:color="auto"/>
                    </w:rPr>
                  </w:pPr>
                  <w:r>
                    <w:rPr>
                      <w:rFonts w:hint="default" w:ascii="Times New Roman" w:hAnsi="Times New Roman" w:eastAsia="宋体" w:cs="Times New Roman"/>
                      <w:b/>
                      <w:bCs/>
                      <w:kern w:val="2"/>
                      <w:sz w:val="21"/>
                      <w:szCs w:val="21"/>
                      <w:u w:val="none" w:color="auto"/>
                      <w:lang w:val="en-US" w:eastAsia="zh-CN" w:bidi="ar"/>
                    </w:rPr>
                    <w:t>排放浓度（mg/L）</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b/>
                      <w:bCs/>
                      <w:kern w:val="2"/>
                      <w:sz w:val="21"/>
                      <w:szCs w:val="21"/>
                      <w:u w:val="none" w:color="auto"/>
                    </w:rPr>
                  </w:pPr>
                  <w:r>
                    <w:rPr>
                      <w:rFonts w:hint="default" w:ascii="Times New Roman" w:hAnsi="Times New Roman" w:eastAsia="宋体" w:cs="Times New Roman"/>
                      <w:b/>
                      <w:bCs/>
                      <w:kern w:val="2"/>
                      <w:sz w:val="21"/>
                      <w:szCs w:val="21"/>
                      <w:u w:val="none" w:color="auto"/>
                      <w:lang w:val="en-US" w:eastAsia="zh-CN" w:bidi="ar"/>
                    </w:rPr>
                    <w:t>预测排放量（t/a）</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b/>
                      <w:bCs/>
                      <w:kern w:val="2"/>
                      <w:sz w:val="21"/>
                      <w:szCs w:val="21"/>
                      <w:u w:val="none" w:color="auto"/>
                    </w:rPr>
                  </w:pPr>
                  <w:r>
                    <w:rPr>
                      <w:rFonts w:hint="default" w:ascii="Times New Roman" w:hAnsi="Times New Roman" w:eastAsia="宋体" w:cs="Times New Roman"/>
                      <w:b/>
                      <w:bCs/>
                      <w:kern w:val="2"/>
                      <w:sz w:val="21"/>
                      <w:szCs w:val="21"/>
                      <w:u w:val="none" w:color="auto"/>
                      <w:lang w:val="en-US" w:eastAsia="zh-CN" w:bidi="ar"/>
                    </w:rPr>
                    <w:t>总量指标（t/a）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220" w:type="dxa"/>
                  <w:vMerge w:val="restart"/>
                  <w:tcBorders>
                    <w:top w:val="single" w:color="auto" w:sz="4" w:space="0"/>
                    <w:left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r>
                    <w:rPr>
                      <w:rFonts w:hint="eastAsia" w:ascii="Times New Roman" w:hAnsi="Times New Roman" w:eastAsia="宋体" w:cs="Times New Roman"/>
                      <w:kern w:val="2"/>
                      <w:sz w:val="21"/>
                      <w:szCs w:val="21"/>
                      <w:u w:val="none" w:color="auto"/>
                      <w:lang w:val="en-US" w:eastAsia="zh-CN" w:bidi="ar"/>
                    </w:rPr>
                    <w:t>地面清洗废水</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rPr>
                  </w:pPr>
                  <w:r>
                    <w:rPr>
                      <w:rFonts w:hint="default" w:ascii="Times New Roman" w:hAnsi="Times New Roman" w:eastAsia="宋体" w:cs="Times New Roman"/>
                      <w:kern w:val="2"/>
                      <w:sz w:val="21"/>
                      <w:szCs w:val="21"/>
                      <w:u w:val="none" w:color="auto"/>
                      <w:lang w:val="en-US" w:eastAsia="zh-CN" w:bidi="ar"/>
                    </w:rPr>
                    <w:t>CODcr</w:t>
                  </w:r>
                </w:p>
              </w:tc>
              <w:tc>
                <w:tcPr>
                  <w:tcW w:w="979" w:type="dxa"/>
                  <w:vMerge w:val="restart"/>
                  <w:tcBorders>
                    <w:top w:val="nil"/>
                    <w:left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rPr>
                  </w:pPr>
                  <w:r>
                    <w:rPr>
                      <w:rFonts w:hint="default" w:ascii="Times New Roman" w:hAnsi="Times New Roman" w:eastAsia="宋体" w:cs="Times New Roman"/>
                      <w:kern w:val="2"/>
                      <w:sz w:val="21"/>
                      <w:szCs w:val="21"/>
                      <w:u w:val="none" w:color="auto"/>
                      <w:lang w:val="en-US" w:eastAsia="zh-CN" w:bidi="ar"/>
                    </w:rPr>
                    <w:t>DW001</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rPr>
                  </w:pPr>
                  <w:r>
                    <w:rPr>
                      <w:rFonts w:hint="default" w:ascii="Times New Roman" w:hAnsi="Times New Roman" w:cs="Times New Roman"/>
                      <w:kern w:val="2"/>
                      <w:sz w:val="21"/>
                      <w:szCs w:val="21"/>
                      <w:u w:val="none" w:color="auto"/>
                      <w:lang w:val="en-US" w:eastAsia="zh-CN" w:bidi="ar"/>
                    </w:rPr>
                    <w:t>50</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0.0024</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220" w:type="dxa"/>
                  <w:vMerge w:val="continue"/>
                  <w:tcBorders>
                    <w:left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rPr>
                  </w:pPr>
                  <w:r>
                    <w:rPr>
                      <w:rFonts w:hint="default" w:ascii="Times New Roman" w:hAnsi="Times New Roman" w:eastAsia="宋体" w:cs="Times New Roman"/>
                      <w:kern w:val="2"/>
                      <w:sz w:val="21"/>
                      <w:szCs w:val="21"/>
                      <w:u w:val="none" w:color="auto"/>
                      <w:lang w:val="en-US" w:eastAsia="zh-CN" w:bidi="ar"/>
                    </w:rPr>
                    <w:t>NH</w:t>
                  </w:r>
                  <w:r>
                    <w:rPr>
                      <w:rFonts w:hint="default" w:ascii="Times New Roman" w:hAnsi="Times New Roman" w:eastAsia="宋体" w:cs="Times New Roman"/>
                      <w:kern w:val="2"/>
                      <w:sz w:val="21"/>
                      <w:szCs w:val="21"/>
                      <w:u w:val="none" w:color="auto"/>
                      <w:vertAlign w:val="subscript"/>
                      <w:lang w:val="en-US" w:eastAsia="zh-CN" w:bidi="ar"/>
                    </w:rPr>
                    <w:t>3</w:t>
                  </w:r>
                  <w:r>
                    <w:rPr>
                      <w:rFonts w:hint="default" w:ascii="Times New Roman" w:hAnsi="Times New Roman" w:eastAsia="宋体" w:cs="Times New Roman"/>
                      <w:kern w:val="2"/>
                      <w:sz w:val="21"/>
                      <w:szCs w:val="21"/>
                      <w:u w:val="none" w:color="auto"/>
                      <w:lang w:val="en-US" w:eastAsia="zh-CN" w:bidi="ar"/>
                    </w:rPr>
                    <w:t>-N</w:t>
                  </w:r>
                </w:p>
              </w:tc>
              <w:tc>
                <w:tcPr>
                  <w:tcW w:w="9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both"/>
                    <w:rPr>
                      <w:rFonts w:hint="default" w:ascii="Times New Roman" w:hAnsi="Times New Roman" w:cs="Times New Roman"/>
                      <w:sz w:val="21"/>
                      <w:szCs w:val="21"/>
                      <w:u w:val="none" w:color="auto"/>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rPr>
                    <w:t>5（8）</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0.00024</w:t>
                  </w:r>
                  <w:r>
                    <w:rPr>
                      <w:rFonts w:hint="eastAsia" w:ascii="Times New Roman" w:hAnsi="Times New Roman" w:eastAsia="宋体" w:cs="Times New Roman"/>
                      <w:kern w:val="2"/>
                      <w:sz w:val="21"/>
                      <w:szCs w:val="21"/>
                      <w:u w:val="none" w:color="auto"/>
                      <w:lang w:val="en-US" w:eastAsia="zh-CN" w:bidi="ar"/>
                    </w:rPr>
                    <w:t>（0.00038）</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0.00024</w:t>
                  </w:r>
                  <w:r>
                    <w:rPr>
                      <w:rFonts w:hint="eastAsia" w:ascii="Times New Roman" w:hAnsi="Times New Roman" w:eastAsia="宋体" w:cs="Times New Roman"/>
                      <w:kern w:val="2"/>
                      <w:sz w:val="21"/>
                      <w:szCs w:val="21"/>
                      <w:u w:val="none" w:color="auto"/>
                      <w:lang w:val="en-US" w:eastAsia="zh-CN" w:bidi="ar"/>
                    </w:rPr>
                    <w:t>（0.00038）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220" w:type="dxa"/>
                  <w:vMerge w:val="restart"/>
                  <w:tcBorders>
                    <w:left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r>
                    <w:rPr>
                      <w:rFonts w:hint="eastAsia" w:ascii="Times New Roman" w:hAnsi="Times New Roman" w:eastAsia="宋体" w:cs="Times New Roman"/>
                      <w:kern w:val="2"/>
                      <w:sz w:val="21"/>
                      <w:szCs w:val="21"/>
                      <w:u w:val="none" w:color="auto"/>
                      <w:lang w:val="en-US" w:eastAsia="zh-CN" w:bidi="ar"/>
                    </w:rPr>
                    <w:t>生活污水</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CODcr</w:t>
                  </w:r>
                </w:p>
              </w:tc>
              <w:tc>
                <w:tcPr>
                  <w:tcW w:w="9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both"/>
                    <w:rPr>
                      <w:rFonts w:hint="default" w:ascii="Times New Roman" w:hAnsi="Times New Roman" w:cs="Times New Roman"/>
                      <w:sz w:val="21"/>
                      <w:szCs w:val="21"/>
                      <w:u w:val="none" w:color="auto"/>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bidi="ar"/>
                    </w:rPr>
                    <w:t>50</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 xml:space="preserve">0.0258 </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 xml:space="preserve">0.0258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220" w:type="dxa"/>
                  <w:vMerge w:val="continue"/>
                  <w:tcBorders>
                    <w:left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u w:val="none" w:color="auto"/>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NH</w:t>
                  </w:r>
                  <w:r>
                    <w:rPr>
                      <w:rFonts w:hint="default" w:ascii="Times New Roman" w:hAnsi="Times New Roman" w:eastAsia="宋体" w:cs="Times New Roman"/>
                      <w:kern w:val="2"/>
                      <w:sz w:val="21"/>
                      <w:szCs w:val="21"/>
                      <w:u w:val="none" w:color="auto"/>
                      <w:vertAlign w:val="subscript"/>
                      <w:lang w:val="en-US" w:eastAsia="zh-CN" w:bidi="ar"/>
                    </w:rPr>
                    <w:t>3</w:t>
                  </w:r>
                  <w:r>
                    <w:rPr>
                      <w:rFonts w:hint="default" w:ascii="Times New Roman" w:hAnsi="Times New Roman" w:eastAsia="宋体" w:cs="Times New Roman"/>
                      <w:kern w:val="2"/>
                      <w:sz w:val="21"/>
                      <w:szCs w:val="21"/>
                      <w:u w:val="none" w:color="auto"/>
                      <w:lang w:val="en-US" w:eastAsia="zh-CN" w:bidi="ar"/>
                    </w:rPr>
                    <w:t>-N</w:t>
                  </w:r>
                </w:p>
              </w:tc>
              <w:tc>
                <w:tcPr>
                  <w:tcW w:w="9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both"/>
                    <w:rPr>
                      <w:rFonts w:hint="default" w:ascii="Times New Roman" w:hAnsi="Times New Roman" w:cs="Times New Roman"/>
                      <w:sz w:val="21"/>
                      <w:szCs w:val="21"/>
                      <w:u w:val="none" w:color="auto"/>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rPr>
                    <w:t>5（8）</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0.0026</w:t>
                  </w:r>
                  <w:r>
                    <w:rPr>
                      <w:rFonts w:hint="eastAsia" w:ascii="Times New Roman" w:hAnsi="Times New Roman" w:eastAsia="宋体" w:cs="Times New Roman"/>
                      <w:kern w:val="2"/>
                      <w:sz w:val="21"/>
                      <w:szCs w:val="21"/>
                      <w:u w:val="none" w:color="auto"/>
                      <w:lang w:val="en-US" w:eastAsia="zh-CN" w:bidi="ar"/>
                    </w:rPr>
                    <w:t>（0.00413）</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0.0026</w:t>
                  </w:r>
                  <w:r>
                    <w:rPr>
                      <w:rFonts w:hint="eastAsia" w:ascii="Times New Roman" w:hAnsi="Times New Roman" w:eastAsia="宋体" w:cs="Times New Roman"/>
                      <w:kern w:val="2"/>
                      <w:sz w:val="21"/>
                      <w:szCs w:val="21"/>
                      <w:u w:val="none" w:color="auto"/>
                      <w:lang w:val="en-US" w:eastAsia="zh-CN" w:bidi="ar"/>
                    </w:rPr>
                    <w:t>（0.00413）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220" w:type="dxa"/>
                  <w:vMerge w:val="restart"/>
                  <w:tcBorders>
                    <w:left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eastAsia="宋体" w:cs="Times New Roman"/>
                      <w:kern w:val="2"/>
                      <w:sz w:val="21"/>
                      <w:szCs w:val="21"/>
                      <w:u w:val="none" w:color="auto"/>
                      <w:lang w:val="en-US" w:eastAsia="zh-CN" w:bidi="ar"/>
                    </w:rPr>
                  </w:pPr>
                  <w:r>
                    <w:rPr>
                      <w:rFonts w:hint="eastAsia" w:ascii="Times New Roman" w:hAnsi="Times New Roman" w:eastAsia="宋体" w:cs="Times New Roman"/>
                      <w:kern w:val="2"/>
                      <w:sz w:val="21"/>
                      <w:szCs w:val="21"/>
                      <w:u w:val="none" w:color="auto"/>
                      <w:lang w:val="en-US" w:eastAsia="zh-CN" w:bidi="ar"/>
                    </w:rPr>
                    <w:t>合计</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CODcr</w:t>
                  </w:r>
                </w:p>
              </w:tc>
              <w:tc>
                <w:tcPr>
                  <w:tcW w:w="9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both"/>
                    <w:rPr>
                      <w:rFonts w:hint="default" w:ascii="Times New Roman" w:hAnsi="Times New Roman" w:cs="Times New Roman"/>
                      <w:sz w:val="21"/>
                      <w:szCs w:val="21"/>
                      <w:u w:val="none" w:color="auto"/>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bidi="ar"/>
                    </w:rPr>
                    <w:t>50</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 xml:space="preserve">0.0282 </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 xml:space="preserve">0.0282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1220" w:type="dxa"/>
                  <w:vMerge w:val="continue"/>
                  <w:tcBorders>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u w:val="none" w:color="auto"/>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NH</w:t>
                  </w:r>
                  <w:r>
                    <w:rPr>
                      <w:rFonts w:hint="default" w:ascii="Times New Roman" w:hAnsi="Times New Roman" w:eastAsia="宋体" w:cs="Times New Roman"/>
                      <w:kern w:val="2"/>
                      <w:sz w:val="21"/>
                      <w:szCs w:val="21"/>
                      <w:u w:val="none" w:color="auto"/>
                      <w:vertAlign w:val="subscript"/>
                      <w:lang w:val="en-US" w:eastAsia="zh-CN" w:bidi="ar"/>
                    </w:rPr>
                    <w:t>3</w:t>
                  </w:r>
                  <w:r>
                    <w:rPr>
                      <w:rFonts w:hint="default" w:ascii="Times New Roman" w:hAnsi="Times New Roman" w:eastAsia="宋体" w:cs="Times New Roman"/>
                      <w:kern w:val="2"/>
                      <w:sz w:val="21"/>
                      <w:szCs w:val="21"/>
                      <w:u w:val="none" w:color="auto"/>
                      <w:lang w:val="en-US" w:eastAsia="zh-CN" w:bidi="ar"/>
                    </w:rPr>
                    <w:t>-N</w:t>
                  </w:r>
                </w:p>
              </w:tc>
              <w:tc>
                <w:tcPr>
                  <w:tcW w:w="9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jc w:val="both"/>
                    <w:rPr>
                      <w:rFonts w:hint="default" w:ascii="Times New Roman" w:hAnsi="Times New Roman" w:cs="Times New Roman"/>
                      <w:sz w:val="21"/>
                      <w:szCs w:val="21"/>
                      <w:u w:val="none" w:color="auto"/>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rPr>
                    <w:t>5（8）</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0.0282</w:t>
                  </w:r>
                  <w:r>
                    <w:rPr>
                      <w:rFonts w:hint="eastAsia" w:ascii="Times New Roman" w:hAnsi="Times New Roman" w:eastAsia="宋体" w:cs="Times New Roman"/>
                      <w:kern w:val="2"/>
                      <w:sz w:val="21"/>
                      <w:szCs w:val="21"/>
                      <w:u w:val="none" w:color="auto"/>
                      <w:lang w:val="en-US" w:eastAsia="zh-CN" w:bidi="ar"/>
                    </w:rPr>
                    <w:t>（0.0045）</w:t>
                  </w:r>
                  <w:r>
                    <w:rPr>
                      <w:rFonts w:hint="default" w:ascii="Times New Roman" w:hAnsi="Times New Roman" w:eastAsia="宋体" w:cs="Times New Roman"/>
                      <w:kern w:val="2"/>
                      <w:sz w:val="21"/>
                      <w:szCs w:val="21"/>
                      <w:u w:val="none" w:color="auto"/>
                      <w:lang w:val="en-US" w:eastAsia="zh-CN" w:bidi="ar"/>
                    </w:rPr>
                    <w:t xml:space="preserve"> </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u w:val="none" w:color="auto"/>
                      <w:lang w:val="en-US" w:eastAsia="zh-CN" w:bidi="ar"/>
                    </w:rPr>
                  </w:pPr>
                  <w:r>
                    <w:rPr>
                      <w:rFonts w:hint="default" w:ascii="Times New Roman" w:hAnsi="Times New Roman" w:eastAsia="宋体" w:cs="Times New Roman"/>
                      <w:kern w:val="2"/>
                      <w:sz w:val="21"/>
                      <w:szCs w:val="21"/>
                      <w:u w:val="none" w:color="auto"/>
                      <w:lang w:val="en-US" w:eastAsia="zh-CN" w:bidi="ar"/>
                    </w:rPr>
                    <w:t>0.0282</w:t>
                  </w:r>
                  <w:r>
                    <w:rPr>
                      <w:rFonts w:hint="eastAsia" w:ascii="Times New Roman" w:hAnsi="Times New Roman" w:eastAsia="宋体" w:cs="Times New Roman"/>
                      <w:kern w:val="2"/>
                      <w:sz w:val="21"/>
                      <w:szCs w:val="21"/>
                      <w:u w:val="none" w:color="auto"/>
                      <w:lang w:val="en-US" w:eastAsia="zh-CN" w:bidi="ar"/>
                    </w:rPr>
                    <w:t>（0.0045）</w:t>
                  </w:r>
                  <w:r>
                    <w:rPr>
                      <w:rFonts w:hint="default" w:ascii="Times New Roman" w:hAnsi="Times New Roman" w:eastAsia="宋体" w:cs="Times New Roman"/>
                      <w:kern w:val="2"/>
                      <w:sz w:val="21"/>
                      <w:szCs w:val="21"/>
                      <w:u w:val="none" w:color="auto"/>
                      <w:lang w:val="en-US" w:eastAsia="zh-CN" w:bidi="ar"/>
                    </w:rPr>
                    <w:t xml:space="preserve"> </w:t>
                  </w:r>
                </w:p>
              </w:tc>
            </w:tr>
          </w:tbl>
          <w:p>
            <w:pPr>
              <w:keepNext w:val="0"/>
              <w:keepLines w:val="0"/>
              <w:suppressLineNumbers w:val="0"/>
              <w:bidi w:val="0"/>
              <w:spacing w:before="0" w:beforeAutospacing="0" w:after="0" w:afterAutospacing="0" w:line="336" w:lineRule="auto"/>
              <w:ind w:left="0" w:right="0"/>
              <w:rPr>
                <w:u w:val="none" w:color="auto"/>
              </w:rPr>
            </w:pPr>
            <w:r>
              <w:rPr>
                <w:rFonts w:hint="default"/>
                <w:color w:val="auto"/>
                <w:highlight w:val="none"/>
                <w:u w:val="none" w:color="auto"/>
                <w:lang w:val="en-US" w:eastAsia="zh-CN"/>
              </w:rPr>
              <w:t>根据《生态环境部门进一步促进民营经济发展的若干措施》（环综合〔2024〕62号）：“8、优化总量指标管理。健全总量指标配置机制，优化新改扩建建设项目总量指标监督管理。在严格实施各项污染防治措施基础上，对氮氧化物、化学需氧量、挥发性有机污染物的单项新增年排放量小于0.1吨，氨氮小于0.01吨的建设项目，免予提交总量指标来源说明，由地方生态环境部门统筹总量指标替代来源并纳入台账管理”。故本项目无需申请COD总量控制。</w:t>
            </w:r>
          </w:p>
          <w:p>
            <w:pPr>
              <w:ind w:firstLine="480"/>
              <w:rPr>
                <w:u w:val="none"/>
              </w:rPr>
            </w:pPr>
            <w:r>
              <w:rPr>
                <w:u w:val="none"/>
              </w:rPr>
              <w:t>2、大气污染物排放总量控制指标</w:t>
            </w:r>
          </w:p>
          <w:p>
            <w:pPr>
              <w:ind w:firstLine="480"/>
              <w:rPr>
                <w:u w:val="none"/>
              </w:rPr>
            </w:pPr>
            <w:r>
              <w:rPr>
                <w:rFonts w:hint="eastAsia"/>
                <w:u w:val="none"/>
              </w:rPr>
              <w:t>涂布烘干工序废气通过“密闭负压收集+二级活性炭装置”处理后通过一根15m高排气筒DA001高空排放。根据本项目原辅材料性质及使用量计算，本项目VOCs排放</w:t>
            </w:r>
            <w:r>
              <w:rPr>
                <w:rFonts w:hint="eastAsia" w:ascii="Times New Roman" w:hAnsi="Times New Roman" w:eastAsia="宋体" w:cs="Times New Roman"/>
                <w:u w:val="none"/>
              </w:rPr>
              <w:t>量为</w:t>
            </w:r>
            <w:r>
              <w:rPr>
                <w:rFonts w:hint="eastAsia" w:ascii="Times New Roman" w:hAnsi="Times New Roman" w:eastAsia="宋体" w:cs="Times New Roman"/>
                <w:u w:val="none"/>
                <w:lang w:val="en-US" w:eastAsia="zh-CN"/>
              </w:rPr>
              <w:t>0.975</w:t>
            </w:r>
            <w:r>
              <w:rPr>
                <w:rFonts w:hint="eastAsia" w:ascii="Times New Roman" w:hAnsi="Times New Roman" w:eastAsia="宋体" w:cs="Times New Roman"/>
                <w:u w:val="none"/>
              </w:rPr>
              <w:t>t/a。</w:t>
            </w:r>
          </w:p>
        </w:tc>
      </w:tr>
    </w:tbl>
    <w:p>
      <w:pPr>
        <w:ind w:firstLine="0" w:firstLineChars="0"/>
        <w:sectPr>
          <w:pgSz w:w="11906" w:h="16838"/>
          <w:pgMar w:top="1440" w:right="1417" w:bottom="1440" w:left="1417" w:header="851" w:footer="992" w:gutter="0"/>
          <w:cols w:space="425" w:num="1"/>
          <w:docGrid w:type="lines" w:linePitch="312" w:charSpace="0"/>
        </w:sectPr>
      </w:pPr>
    </w:p>
    <w:p>
      <w:pPr>
        <w:pStyle w:val="8"/>
        <w:rPr>
          <w:rFonts w:hint="default"/>
        </w:rPr>
      </w:pPr>
      <w:bookmarkStart w:id="32" w:name="_Toc3283"/>
      <w:bookmarkStart w:id="33" w:name="_Toc16569"/>
      <w:r>
        <w:t>四、主要环境影响和保护措施</w:t>
      </w:r>
      <w:bookmarkEnd w:id="32"/>
      <w:bookmarkEnd w:id="3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453" w:type="dxa"/>
            <w:vAlign w:val="center"/>
          </w:tcPr>
          <w:p>
            <w:pPr>
              <w:ind w:firstLine="0" w:firstLineChars="0"/>
              <w:rPr>
                <w:u w:val="none"/>
              </w:rPr>
            </w:pPr>
            <w:r>
              <w:rPr>
                <w:rFonts w:hint="eastAsia"/>
                <w:u w:val="none"/>
              </w:rPr>
              <w:t>施工期环境保护措施</w:t>
            </w:r>
          </w:p>
        </w:tc>
        <w:tc>
          <w:tcPr>
            <w:tcW w:w="8835" w:type="dxa"/>
            <w:vAlign w:val="center"/>
          </w:tcPr>
          <w:p>
            <w:pPr>
              <w:ind w:firstLine="480"/>
              <w:rPr>
                <w:u w:val="none"/>
              </w:rPr>
            </w:pPr>
            <w:r>
              <w:rPr>
                <w:rFonts w:hint="eastAsia"/>
                <w:u w:val="none"/>
              </w:rPr>
              <w:t>本项目施工期仅涉及设备安装，不涉及主体结构的改建。</w:t>
            </w:r>
          </w:p>
          <w:p>
            <w:pPr>
              <w:ind w:firstLine="480"/>
              <w:rPr>
                <w:u w:val="none"/>
              </w:rPr>
            </w:pPr>
            <w:r>
              <w:rPr>
                <w:rFonts w:hint="eastAsia"/>
                <w:u w:val="none"/>
              </w:rPr>
              <w:t>施工期主要为设备安装过程产生的噪声、少量焊接烟气，因施工量较小，上述过程污染物产生量较小，且均在厂房内进行，焊接烟气经自然沉降后不会排放到外环境，设备安装噪声经厂房隔声后对外环境影响较小。</w:t>
            </w:r>
          </w:p>
          <w:p>
            <w:pPr>
              <w:ind w:firstLine="480"/>
              <w:rPr>
                <w:u w:val="none"/>
              </w:rPr>
            </w:pPr>
            <w:r>
              <w:rPr>
                <w:rFonts w:hint="eastAsia"/>
                <w:u w:val="none"/>
              </w:rPr>
              <w:t>本项目施工期较短，污染源强较小，施工期对周围环境影响较小。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453" w:type="dxa"/>
            <w:vAlign w:val="center"/>
          </w:tcPr>
          <w:p>
            <w:pPr>
              <w:ind w:firstLine="0" w:firstLineChars="0"/>
              <w:rPr>
                <w:u w:val="none"/>
              </w:rPr>
            </w:pPr>
            <w:r>
              <w:rPr>
                <w:rFonts w:hint="eastAsia"/>
                <w:u w:val="none"/>
              </w:rPr>
              <w:t>营运期环境影响和保护措施</w:t>
            </w:r>
          </w:p>
        </w:tc>
        <w:tc>
          <w:tcPr>
            <w:tcW w:w="8835" w:type="dxa"/>
            <w:vAlign w:val="center"/>
          </w:tcPr>
          <w:p>
            <w:pPr>
              <w:pStyle w:val="58"/>
              <w:keepLines/>
              <w:autoSpaceDE w:val="0"/>
              <w:autoSpaceDN w:val="0"/>
              <w:spacing w:before="3"/>
              <w:ind w:left="480" w:leftChars="200" w:firstLine="0" w:firstLineChars="0"/>
              <w:jc w:val="left"/>
              <w:rPr>
                <w:b/>
                <w:bCs/>
                <w:u w:val="none"/>
              </w:rPr>
            </w:pPr>
            <w:r>
              <w:rPr>
                <w:rFonts w:hint="eastAsia"/>
                <w:b/>
                <w:bCs/>
                <w:u w:val="none"/>
              </w:rPr>
              <w:t>1、废水</w:t>
            </w:r>
          </w:p>
          <w:p>
            <w:pPr>
              <w:ind w:firstLine="480"/>
              <w:rPr>
                <w:u w:val="none"/>
              </w:rPr>
            </w:pPr>
            <w:r>
              <w:rPr>
                <w:rFonts w:hint="eastAsia"/>
                <w:u w:val="none"/>
              </w:rPr>
              <w:t>（1）废水产生情况</w:t>
            </w:r>
          </w:p>
          <w:p>
            <w:pPr>
              <w:ind w:firstLine="480"/>
              <w:rPr>
                <w:u w:val="none"/>
              </w:rPr>
            </w:pPr>
            <w:r>
              <w:rPr>
                <w:rFonts w:hint="eastAsia"/>
                <w:u w:val="none"/>
              </w:rPr>
              <w:t>本项目营运期废水主要为生活污水</w:t>
            </w:r>
            <w:r>
              <w:rPr>
                <w:rFonts w:hint="eastAsia"/>
                <w:u w:val="none"/>
                <w:lang w:eastAsia="zh-CN"/>
              </w:rPr>
              <w:t>、</w:t>
            </w:r>
            <w:r>
              <w:rPr>
                <w:rFonts w:hint="eastAsia"/>
                <w:u w:val="none"/>
                <w:lang w:val="en-US" w:eastAsia="zh-CN"/>
              </w:rPr>
              <w:t>地面清洁废水</w:t>
            </w:r>
            <w:r>
              <w:rPr>
                <w:rFonts w:hint="eastAsia"/>
                <w:u w:val="none"/>
              </w:rPr>
              <w:t>。</w:t>
            </w:r>
          </w:p>
          <w:p>
            <w:pPr>
              <w:ind w:firstLine="480"/>
              <w:rPr>
                <w:u w:val="none"/>
              </w:rPr>
            </w:pPr>
            <w:r>
              <w:rPr>
                <w:rFonts w:hint="eastAsia"/>
                <w:u w:val="none"/>
                <w:lang w:val="en-US" w:eastAsia="zh-CN"/>
              </w:rPr>
              <w:t>①生活污水：</w:t>
            </w:r>
            <w:r>
              <w:rPr>
                <w:rFonts w:hint="eastAsia"/>
                <w:u w:val="none"/>
              </w:rPr>
              <w:t>本项目劳动定员1</w:t>
            </w:r>
            <w:r>
              <w:rPr>
                <w:rFonts w:hint="eastAsia"/>
                <w:u w:val="none"/>
                <w:lang w:val="en-US" w:eastAsia="zh-CN"/>
              </w:rPr>
              <w:t>7</w:t>
            </w:r>
            <w:r>
              <w:rPr>
                <w:rFonts w:hint="eastAsia"/>
                <w:u w:val="none"/>
              </w:rPr>
              <w:t>人，均不在厂区内食宿。生活污水产生量为456m</w:t>
            </w:r>
            <w:r>
              <w:rPr>
                <w:rFonts w:hint="eastAsia"/>
                <w:u w:val="none"/>
                <w:vertAlign w:val="superscript"/>
              </w:rPr>
              <w:t>3</w:t>
            </w:r>
            <w:r>
              <w:rPr>
                <w:rFonts w:hint="eastAsia"/>
                <w:u w:val="none"/>
              </w:rPr>
              <w:t>/a，主要污染物为pH、SS、CODcr、BOD</w:t>
            </w:r>
            <w:r>
              <w:rPr>
                <w:rFonts w:hint="eastAsia"/>
                <w:u w:val="none"/>
                <w:vertAlign w:val="subscript"/>
              </w:rPr>
              <w:t>5</w:t>
            </w:r>
            <w:r>
              <w:rPr>
                <w:rFonts w:hint="eastAsia"/>
                <w:u w:val="none"/>
              </w:rPr>
              <w:t>、NH</w:t>
            </w:r>
            <w:r>
              <w:rPr>
                <w:rFonts w:hint="eastAsia"/>
                <w:u w:val="none"/>
                <w:vertAlign w:val="subscript"/>
              </w:rPr>
              <w:t>3</w:t>
            </w:r>
            <w:r>
              <w:rPr>
                <w:rFonts w:hint="eastAsia"/>
                <w:u w:val="none"/>
              </w:rPr>
              <w:t>-N。</w:t>
            </w:r>
            <w:r>
              <w:rPr>
                <w:u w:val="none"/>
              </w:rPr>
              <w:t>生活</w:t>
            </w:r>
            <w:r>
              <w:rPr>
                <w:rFonts w:hint="eastAsia"/>
                <w:u w:val="none"/>
              </w:rPr>
              <w:t>污水</w:t>
            </w:r>
            <w:r>
              <w:rPr>
                <w:u w:val="none"/>
              </w:rPr>
              <w:t>依托</w:t>
            </w:r>
            <w:r>
              <w:rPr>
                <w:rFonts w:hint="eastAsia"/>
                <w:u w:val="none"/>
              </w:rPr>
              <w:t>租赁公司</w:t>
            </w:r>
            <w:r>
              <w:rPr>
                <w:u w:val="none"/>
              </w:rPr>
              <w:t>化粪池处理后排入</w:t>
            </w:r>
            <w:r>
              <w:rPr>
                <w:rFonts w:hint="eastAsia"/>
                <w:u w:val="none"/>
              </w:rPr>
              <w:t>市政</w:t>
            </w:r>
            <w:r>
              <w:rPr>
                <w:u w:val="none"/>
              </w:rPr>
              <w:t>污水管网，</w:t>
            </w:r>
            <w:r>
              <w:rPr>
                <w:rFonts w:hint="eastAsia"/>
                <w:u w:val="none"/>
              </w:rPr>
              <w:t>进入湘阴县第二污水处理厂处理达标后排入湘江。本项目</w:t>
            </w:r>
            <w:r>
              <w:rPr>
                <w:u w:val="none"/>
              </w:rPr>
              <w:t>生活污水污染物浓度参照《排放源统计调查产排污核</w:t>
            </w:r>
            <w:r>
              <w:rPr>
                <w:rFonts w:hint="eastAsia"/>
                <w:u w:val="none"/>
              </w:rPr>
              <w:t>算</w:t>
            </w:r>
            <w:r>
              <w:rPr>
                <w:u w:val="none"/>
              </w:rPr>
              <w:t>方法和系数手册生活源产排污核算方法和系数手册》五区系数进行核算（湖南地区属于五区）。</w:t>
            </w:r>
          </w:p>
          <w:p>
            <w:pPr>
              <w:ind w:firstLine="480"/>
              <w:rPr>
                <w:rFonts w:hint="default"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②地面清洁废水：</w:t>
            </w:r>
            <w:r>
              <w:rPr>
                <w:rFonts w:hint="eastAsia" w:ascii="Times New Roman" w:hAnsi="Times New Roman" w:eastAsia="宋体" w:cs="Times New Roman"/>
                <w:b w:val="0"/>
                <w:bCs w:val="0"/>
                <w:color w:val="auto"/>
                <w:kern w:val="0"/>
                <w:sz w:val="24"/>
                <w:u w:val="none"/>
                <w:lang w:val="en-US" w:eastAsia="zh-CN"/>
              </w:rPr>
              <w:t>根据计算，地面清洁废水</w:t>
            </w:r>
            <w:r>
              <w:rPr>
                <w:rFonts w:hint="eastAsia" w:ascii="Times New Roman" w:hAnsi="Times New Roman" w:eastAsia="宋体" w:cs="Times New Roman"/>
                <w:color w:val="auto"/>
                <w:spacing w:val="6"/>
                <w:sz w:val="24"/>
                <w:szCs w:val="24"/>
                <w:u w:val="none"/>
                <w:lang w:val="en-US" w:eastAsia="zh-CN"/>
              </w:rPr>
              <w:t>排放量为</w:t>
            </w:r>
            <w:r>
              <w:rPr>
                <w:rFonts w:hint="eastAsia" w:cs="Times New Roman"/>
                <w:color w:val="auto"/>
                <w:spacing w:val="6"/>
                <w:sz w:val="24"/>
                <w:szCs w:val="24"/>
                <w:u w:val="none"/>
                <w:lang w:val="en-US" w:eastAsia="zh-CN"/>
              </w:rPr>
              <w:t>48</w:t>
            </w:r>
            <w:r>
              <w:rPr>
                <w:rFonts w:hint="eastAsia" w:ascii="Times New Roman" w:hAnsi="Times New Roman" w:eastAsia="宋体" w:cs="Times New Roman"/>
                <w:color w:val="auto"/>
                <w:spacing w:val="6"/>
                <w:sz w:val="24"/>
                <w:szCs w:val="24"/>
                <w:u w:val="none"/>
                <w:lang w:val="en-US" w:eastAsia="zh-CN"/>
              </w:rPr>
              <w:t>m</w:t>
            </w:r>
            <w:r>
              <w:rPr>
                <w:rFonts w:hint="eastAsia" w:ascii="Times New Roman" w:hAnsi="Times New Roman" w:eastAsia="宋体" w:cs="Times New Roman"/>
                <w:color w:val="auto"/>
                <w:spacing w:val="6"/>
                <w:sz w:val="24"/>
                <w:szCs w:val="24"/>
                <w:u w:val="none"/>
                <w:vertAlign w:val="superscript"/>
                <w:lang w:val="en-US" w:eastAsia="zh-CN"/>
              </w:rPr>
              <w:t>3</w:t>
            </w:r>
            <w:r>
              <w:rPr>
                <w:rFonts w:hint="eastAsia" w:ascii="Times New Roman" w:hAnsi="Times New Roman" w:eastAsia="宋体" w:cs="Times New Roman"/>
                <w:color w:val="auto"/>
                <w:spacing w:val="6"/>
                <w:sz w:val="24"/>
                <w:szCs w:val="24"/>
                <w:u w:val="none"/>
                <w:lang w:val="en-US" w:eastAsia="zh-CN"/>
              </w:rPr>
              <w:t>/a，主要污染物为pH、COD、</w:t>
            </w:r>
            <w:r>
              <w:rPr>
                <w:rFonts w:hint="eastAsia"/>
                <w:u w:val="none"/>
              </w:rPr>
              <w:t>CODcr、BOD</w:t>
            </w:r>
            <w:r>
              <w:rPr>
                <w:rFonts w:hint="eastAsia"/>
                <w:u w:val="none"/>
                <w:vertAlign w:val="subscript"/>
              </w:rPr>
              <w:t>5</w:t>
            </w:r>
            <w:r>
              <w:rPr>
                <w:rFonts w:hint="eastAsia"/>
                <w:u w:val="none"/>
              </w:rPr>
              <w:t>、NH</w:t>
            </w:r>
            <w:r>
              <w:rPr>
                <w:rFonts w:hint="eastAsia"/>
                <w:u w:val="none"/>
                <w:vertAlign w:val="subscript"/>
              </w:rPr>
              <w:t>3</w:t>
            </w:r>
            <w:r>
              <w:rPr>
                <w:rFonts w:hint="eastAsia"/>
                <w:u w:val="none"/>
              </w:rPr>
              <w:t>-N</w:t>
            </w:r>
            <w:r>
              <w:rPr>
                <w:rFonts w:hint="eastAsia" w:ascii="Times New Roman" w:hAnsi="Times New Roman" w:eastAsia="宋体" w:cs="Times New Roman"/>
                <w:color w:val="auto"/>
                <w:spacing w:val="6"/>
                <w:sz w:val="24"/>
                <w:szCs w:val="24"/>
                <w:u w:val="none"/>
                <w:lang w:val="en-US" w:eastAsia="zh-CN"/>
              </w:rPr>
              <w:t>、SS。地面清洁废</w:t>
            </w:r>
            <w:r>
              <w:rPr>
                <w:rFonts w:hint="eastAsia" w:ascii="Times New Roman" w:hAnsi="Times New Roman" w:eastAsia="宋体" w:cs="Times New Roman"/>
                <w:color w:val="auto"/>
                <w:sz w:val="24"/>
                <w:szCs w:val="24"/>
                <w:u w:val="none"/>
                <w:lang w:val="en-US" w:eastAsia="zh-CN"/>
              </w:rPr>
              <w:t>水</w:t>
            </w:r>
            <w:r>
              <w:rPr>
                <w:rFonts w:hint="default" w:ascii="Times New Roman" w:hAnsi="Times New Roman" w:cs="Times New Roman"/>
                <w:color w:val="auto"/>
                <w:kern w:val="0"/>
                <w:sz w:val="24"/>
                <w:u w:val="none"/>
              </w:rPr>
              <w:t>经厂区的</w:t>
            </w:r>
            <w:r>
              <w:rPr>
                <w:rFonts w:hint="default" w:ascii="Times New Roman" w:hAnsi="Times New Roman" w:cs="Times New Roman"/>
                <w:color w:val="auto"/>
                <w:sz w:val="24"/>
                <w:u w:val="none"/>
              </w:rPr>
              <w:t>化粪池处理后排入市政污水管网，进入湘阴县第二污水处理厂处理。</w:t>
            </w:r>
          </w:p>
          <w:p>
            <w:pPr>
              <w:ind w:firstLine="480"/>
              <w:rPr>
                <w:u w:val="none"/>
              </w:rPr>
            </w:pPr>
            <w:r>
              <w:rPr>
                <w:rFonts w:hint="eastAsia"/>
                <w:u w:val="none"/>
              </w:rPr>
              <w:t>项目废水污染物信息详见下表。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表4-1 项目营运期废水产生及排放量一览表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882"/>
              <w:gridCol w:w="910"/>
              <w:gridCol w:w="1277"/>
              <w:gridCol w:w="1284"/>
              <w:gridCol w:w="1203"/>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Align w:val="center"/>
                </w:tcPr>
                <w:p>
                  <w:pPr>
                    <w:pStyle w:val="37"/>
                    <w:ind w:left="0" w:leftChars="0"/>
                    <w:rPr>
                      <w:u w:val="none"/>
                    </w:rPr>
                  </w:pPr>
                  <w:r>
                    <w:rPr>
                      <w:u w:val="none"/>
                    </w:rPr>
                    <w:t>污水种类</w:t>
                  </w:r>
                </w:p>
              </w:tc>
              <w:tc>
                <w:tcPr>
                  <w:tcW w:w="512" w:type="pct"/>
                  <w:vAlign w:val="center"/>
                </w:tcPr>
                <w:p>
                  <w:pPr>
                    <w:pStyle w:val="37"/>
                    <w:ind w:left="0" w:leftChars="0"/>
                    <w:rPr>
                      <w:u w:val="none"/>
                    </w:rPr>
                  </w:pPr>
                  <w:r>
                    <w:rPr>
                      <w:u w:val="none"/>
                    </w:rPr>
                    <w:t>单位</w:t>
                  </w:r>
                </w:p>
              </w:tc>
              <w:tc>
                <w:tcPr>
                  <w:tcW w:w="528" w:type="pct"/>
                  <w:vAlign w:val="center"/>
                </w:tcPr>
                <w:p>
                  <w:pPr>
                    <w:pStyle w:val="37"/>
                    <w:ind w:left="0" w:leftChars="0"/>
                    <w:rPr>
                      <w:u w:val="none"/>
                    </w:rPr>
                  </w:pPr>
                  <w:r>
                    <w:rPr>
                      <w:u w:val="none"/>
                    </w:rPr>
                    <w:t>用水量</w:t>
                  </w:r>
                </w:p>
              </w:tc>
              <w:tc>
                <w:tcPr>
                  <w:tcW w:w="742" w:type="pct"/>
                  <w:vAlign w:val="center"/>
                </w:tcPr>
                <w:p>
                  <w:pPr>
                    <w:pStyle w:val="37"/>
                    <w:ind w:left="0" w:leftChars="0"/>
                    <w:rPr>
                      <w:u w:val="none"/>
                    </w:rPr>
                  </w:pPr>
                  <w:r>
                    <w:rPr>
                      <w:u w:val="none"/>
                    </w:rPr>
                    <w:t>损耗量</w:t>
                  </w:r>
                </w:p>
              </w:tc>
              <w:tc>
                <w:tcPr>
                  <w:tcW w:w="746" w:type="pct"/>
                  <w:vAlign w:val="center"/>
                </w:tcPr>
                <w:p>
                  <w:pPr>
                    <w:pStyle w:val="37"/>
                    <w:ind w:left="0" w:leftChars="0"/>
                    <w:rPr>
                      <w:u w:val="none"/>
                    </w:rPr>
                  </w:pPr>
                  <w:r>
                    <w:rPr>
                      <w:u w:val="none"/>
                    </w:rPr>
                    <w:t>废水产生量</w:t>
                  </w:r>
                </w:p>
              </w:tc>
              <w:tc>
                <w:tcPr>
                  <w:tcW w:w="699" w:type="pct"/>
                  <w:vAlign w:val="center"/>
                </w:tcPr>
                <w:p>
                  <w:pPr>
                    <w:pStyle w:val="37"/>
                    <w:ind w:left="0" w:leftChars="0"/>
                    <w:rPr>
                      <w:u w:val="none"/>
                    </w:rPr>
                  </w:pPr>
                  <w:r>
                    <w:rPr>
                      <w:u w:val="none"/>
                    </w:rPr>
                    <w:t>回用量</w:t>
                  </w:r>
                </w:p>
              </w:tc>
              <w:tc>
                <w:tcPr>
                  <w:tcW w:w="797" w:type="pct"/>
                  <w:vAlign w:val="center"/>
                </w:tcPr>
                <w:p>
                  <w:pPr>
                    <w:pStyle w:val="37"/>
                    <w:ind w:left="0" w:leftChars="0"/>
                    <w:rPr>
                      <w:u w:val="none"/>
                    </w:rPr>
                  </w:pPr>
                  <w:r>
                    <w:rPr>
                      <w:u w:val="none"/>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Align w:val="center"/>
                </w:tcPr>
                <w:p>
                  <w:pPr>
                    <w:pStyle w:val="37"/>
                    <w:ind w:left="0" w:leftChars="0"/>
                    <w:rPr>
                      <w:rFonts w:hint="default" w:eastAsia="宋体"/>
                      <w:u w:val="none"/>
                      <w:lang w:val="en-US" w:eastAsia="zh-CN"/>
                    </w:rPr>
                  </w:pPr>
                  <w:r>
                    <w:rPr>
                      <w:rFonts w:hint="eastAsia"/>
                      <w:u w:val="none"/>
                      <w:lang w:val="en-US" w:eastAsia="zh-CN"/>
                    </w:rPr>
                    <w:t>生活污水</w:t>
                  </w:r>
                </w:p>
              </w:tc>
              <w:tc>
                <w:tcPr>
                  <w:tcW w:w="512" w:type="pct"/>
                  <w:shd w:val="clear" w:color="auto" w:fill="auto"/>
                  <w:vAlign w:val="center"/>
                </w:tcPr>
                <w:p>
                  <w:pPr>
                    <w:pStyle w:val="37"/>
                    <w:ind w:left="0" w:leftChars="0"/>
                    <w:rPr>
                      <w:u w:val="none"/>
                    </w:rPr>
                  </w:pPr>
                  <w:r>
                    <w:rPr>
                      <w:u w:val="none"/>
                    </w:rPr>
                    <w:t>m</w:t>
                  </w:r>
                  <w:r>
                    <w:rPr>
                      <w:u w:val="none"/>
                      <w:vertAlign w:val="superscript"/>
                    </w:rPr>
                    <w:t>3</w:t>
                  </w:r>
                  <w:r>
                    <w:rPr>
                      <w:u w:val="none"/>
                    </w:rPr>
                    <w:t>/a</w:t>
                  </w:r>
                </w:p>
              </w:tc>
              <w:tc>
                <w:tcPr>
                  <w:tcW w:w="528" w:type="pct"/>
                  <w:shd w:val="clear" w:color="auto" w:fill="auto"/>
                  <w:vAlign w:val="center"/>
                </w:tcPr>
                <w:p>
                  <w:pPr>
                    <w:pStyle w:val="37"/>
                    <w:ind w:left="0" w:leftChars="0"/>
                    <w:rPr>
                      <w:rFonts w:hint="default" w:eastAsia="宋体"/>
                      <w:u w:val="none"/>
                      <w:lang w:val="en-US" w:eastAsia="zh-CN"/>
                    </w:rPr>
                  </w:pPr>
                  <w:r>
                    <w:rPr>
                      <w:rFonts w:hint="eastAsia"/>
                      <w:u w:val="none"/>
                      <w:lang w:val="en-US" w:eastAsia="zh-CN"/>
                    </w:rPr>
                    <w:t>646</w:t>
                  </w:r>
                </w:p>
              </w:tc>
              <w:tc>
                <w:tcPr>
                  <w:tcW w:w="742" w:type="pct"/>
                  <w:shd w:val="clear" w:color="auto" w:fill="auto"/>
                  <w:vAlign w:val="center"/>
                </w:tcPr>
                <w:p>
                  <w:pPr>
                    <w:pStyle w:val="37"/>
                    <w:ind w:left="0" w:leftChars="0"/>
                    <w:rPr>
                      <w:rFonts w:hint="default" w:eastAsia="宋体"/>
                      <w:u w:val="none"/>
                      <w:lang w:val="en-US" w:eastAsia="zh-CN"/>
                    </w:rPr>
                  </w:pPr>
                  <w:r>
                    <w:rPr>
                      <w:rFonts w:hint="eastAsia"/>
                      <w:u w:val="none"/>
                      <w:lang w:val="en-US" w:eastAsia="zh-CN"/>
                    </w:rPr>
                    <w:t>129.2</w:t>
                  </w:r>
                </w:p>
              </w:tc>
              <w:tc>
                <w:tcPr>
                  <w:tcW w:w="746" w:type="pct"/>
                  <w:shd w:val="clear" w:color="auto" w:fill="auto"/>
                  <w:vAlign w:val="center"/>
                </w:tcPr>
                <w:p>
                  <w:pPr>
                    <w:pStyle w:val="37"/>
                    <w:ind w:left="0" w:leftChars="0"/>
                    <w:rPr>
                      <w:rFonts w:hint="default" w:eastAsia="宋体"/>
                      <w:u w:val="none"/>
                      <w:lang w:val="en-US" w:eastAsia="zh-CN"/>
                    </w:rPr>
                  </w:pPr>
                  <w:r>
                    <w:rPr>
                      <w:rFonts w:hint="eastAsia"/>
                      <w:u w:val="none"/>
                      <w:lang w:val="en-US" w:eastAsia="zh-CN"/>
                    </w:rPr>
                    <w:t>516.8</w:t>
                  </w:r>
                </w:p>
              </w:tc>
              <w:tc>
                <w:tcPr>
                  <w:tcW w:w="699" w:type="pct"/>
                  <w:shd w:val="clear" w:color="auto" w:fill="auto"/>
                  <w:vAlign w:val="center"/>
                </w:tcPr>
                <w:p>
                  <w:pPr>
                    <w:pStyle w:val="37"/>
                    <w:ind w:left="0" w:leftChars="0"/>
                    <w:rPr>
                      <w:u w:val="none"/>
                    </w:rPr>
                  </w:pPr>
                  <w:r>
                    <w:rPr>
                      <w:u w:val="none"/>
                    </w:rPr>
                    <w:t>/</w:t>
                  </w:r>
                </w:p>
              </w:tc>
              <w:tc>
                <w:tcPr>
                  <w:tcW w:w="797" w:type="pct"/>
                  <w:shd w:val="clear" w:color="auto" w:fill="auto"/>
                  <w:vAlign w:val="center"/>
                </w:tcPr>
                <w:p>
                  <w:pPr>
                    <w:pStyle w:val="37"/>
                    <w:ind w:left="0" w:leftChars="0"/>
                    <w:rPr>
                      <w:rFonts w:hint="default" w:eastAsia="宋体"/>
                      <w:u w:val="none"/>
                      <w:lang w:val="en-US" w:eastAsia="zh-CN"/>
                    </w:rPr>
                  </w:pPr>
                  <w:r>
                    <w:rPr>
                      <w:rFonts w:hint="eastAsia"/>
                      <w:u w:val="none"/>
                      <w:lang w:val="en-US" w:eastAsia="zh-CN"/>
                    </w:rPr>
                    <w:t>516.8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Align w:val="center"/>
                </w:tcPr>
                <w:p>
                  <w:pPr>
                    <w:pStyle w:val="37"/>
                    <w:ind w:left="0" w:leftChars="0"/>
                    <w:rPr>
                      <w:u w:val="none"/>
                    </w:rPr>
                  </w:pPr>
                  <w:r>
                    <w:rPr>
                      <w:rFonts w:hint="eastAsia"/>
                      <w:u w:val="none"/>
                      <w:lang w:val="en-US" w:eastAsia="zh-CN"/>
                    </w:rPr>
                    <w:t>地面清洁废水</w:t>
                  </w:r>
                </w:p>
              </w:tc>
              <w:tc>
                <w:tcPr>
                  <w:tcW w:w="512" w:type="pct"/>
                  <w:shd w:val="clear" w:color="auto" w:fill="auto"/>
                  <w:vAlign w:val="center"/>
                </w:tcPr>
                <w:p>
                  <w:pPr>
                    <w:pStyle w:val="37"/>
                    <w:ind w:left="0" w:leftChars="0" w:firstLine="0" w:firstLineChars="0"/>
                    <w:rPr>
                      <w:u w:val="none"/>
                    </w:rPr>
                  </w:pPr>
                  <w:r>
                    <w:rPr>
                      <w:u w:val="none"/>
                    </w:rPr>
                    <w:t>m</w:t>
                  </w:r>
                  <w:r>
                    <w:rPr>
                      <w:u w:val="none"/>
                      <w:vertAlign w:val="superscript"/>
                    </w:rPr>
                    <w:t>3</w:t>
                  </w:r>
                  <w:r>
                    <w:rPr>
                      <w:u w:val="none"/>
                    </w:rPr>
                    <w:t>/a</w:t>
                  </w:r>
                </w:p>
              </w:tc>
              <w:tc>
                <w:tcPr>
                  <w:tcW w:w="528" w:type="pct"/>
                  <w:shd w:val="clear" w:color="auto" w:fill="auto"/>
                  <w:vAlign w:val="center"/>
                </w:tcPr>
                <w:p>
                  <w:pPr>
                    <w:pStyle w:val="37"/>
                    <w:ind w:left="0" w:leftChars="0"/>
                    <w:rPr>
                      <w:rFonts w:hint="default" w:eastAsia="宋体"/>
                      <w:u w:val="none"/>
                      <w:lang w:val="en-US" w:eastAsia="zh-CN"/>
                    </w:rPr>
                  </w:pPr>
                  <w:r>
                    <w:rPr>
                      <w:rFonts w:hint="eastAsia"/>
                      <w:u w:val="none"/>
                      <w:lang w:val="en-US" w:eastAsia="zh-CN"/>
                    </w:rPr>
                    <w:t>53.28</w:t>
                  </w:r>
                </w:p>
              </w:tc>
              <w:tc>
                <w:tcPr>
                  <w:tcW w:w="742" w:type="pct"/>
                  <w:shd w:val="clear" w:color="auto" w:fill="auto"/>
                  <w:vAlign w:val="center"/>
                </w:tcPr>
                <w:p>
                  <w:pPr>
                    <w:pStyle w:val="37"/>
                    <w:ind w:left="0" w:leftChars="0"/>
                    <w:rPr>
                      <w:rFonts w:hint="default" w:eastAsia="宋体"/>
                      <w:u w:val="none"/>
                      <w:lang w:val="en-US" w:eastAsia="zh-CN"/>
                    </w:rPr>
                  </w:pPr>
                  <w:r>
                    <w:rPr>
                      <w:rFonts w:hint="eastAsia"/>
                      <w:u w:val="none"/>
                      <w:lang w:val="en-US" w:eastAsia="zh-CN"/>
                    </w:rPr>
                    <w:t>5.28</w:t>
                  </w:r>
                </w:p>
              </w:tc>
              <w:tc>
                <w:tcPr>
                  <w:tcW w:w="746" w:type="pct"/>
                  <w:shd w:val="clear" w:color="auto" w:fill="auto"/>
                  <w:vAlign w:val="center"/>
                </w:tcPr>
                <w:p>
                  <w:pPr>
                    <w:pStyle w:val="37"/>
                    <w:ind w:left="0" w:leftChars="0"/>
                    <w:rPr>
                      <w:rFonts w:hint="default" w:eastAsia="宋体"/>
                      <w:u w:val="none"/>
                      <w:lang w:val="en-US" w:eastAsia="zh-CN"/>
                    </w:rPr>
                  </w:pPr>
                  <w:r>
                    <w:rPr>
                      <w:rFonts w:hint="eastAsia"/>
                      <w:u w:val="none"/>
                      <w:lang w:val="en-US" w:eastAsia="zh-CN"/>
                    </w:rPr>
                    <w:t>48</w:t>
                  </w:r>
                </w:p>
              </w:tc>
              <w:tc>
                <w:tcPr>
                  <w:tcW w:w="699" w:type="pct"/>
                  <w:shd w:val="clear" w:color="auto" w:fill="auto"/>
                  <w:vAlign w:val="center"/>
                </w:tcPr>
                <w:p>
                  <w:pPr>
                    <w:pStyle w:val="37"/>
                    <w:ind w:left="0" w:leftChars="0"/>
                    <w:rPr>
                      <w:rFonts w:hint="eastAsia" w:eastAsia="宋体"/>
                      <w:u w:val="none"/>
                      <w:lang w:val="en-US" w:eastAsia="zh-CN"/>
                    </w:rPr>
                  </w:pPr>
                  <w:r>
                    <w:rPr>
                      <w:rFonts w:hint="eastAsia"/>
                      <w:u w:val="none"/>
                      <w:lang w:val="en-US" w:eastAsia="zh-CN"/>
                    </w:rPr>
                    <w:t>/</w:t>
                  </w:r>
                </w:p>
              </w:tc>
              <w:tc>
                <w:tcPr>
                  <w:tcW w:w="797" w:type="pct"/>
                  <w:shd w:val="clear" w:color="auto" w:fill="auto"/>
                  <w:vAlign w:val="center"/>
                </w:tcPr>
                <w:p>
                  <w:pPr>
                    <w:pStyle w:val="37"/>
                    <w:ind w:left="0" w:leftChars="0"/>
                    <w:rPr>
                      <w:rFonts w:hint="default"/>
                      <w:u w:val="none"/>
                      <w:lang w:val="en-US"/>
                    </w:rPr>
                  </w:pPr>
                  <w:r>
                    <w:rPr>
                      <w:rFonts w:hint="eastAsia"/>
                      <w:u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2" w:type="pct"/>
                  <w:gridSpan w:val="6"/>
                  <w:vMerge w:val="restart"/>
                  <w:vAlign w:val="center"/>
                </w:tcPr>
                <w:p>
                  <w:pPr>
                    <w:pStyle w:val="37"/>
                    <w:ind w:left="0" w:leftChars="0"/>
                    <w:rPr>
                      <w:u w:val="none"/>
                    </w:rPr>
                  </w:pPr>
                  <w:r>
                    <w:rPr>
                      <w:u w:val="none"/>
                    </w:rPr>
                    <w:t>合计</w:t>
                  </w:r>
                </w:p>
              </w:tc>
              <w:tc>
                <w:tcPr>
                  <w:tcW w:w="797" w:type="pct"/>
                  <w:shd w:val="clear" w:color="auto" w:fill="auto"/>
                  <w:vAlign w:val="center"/>
                </w:tcPr>
                <w:p>
                  <w:pPr>
                    <w:pStyle w:val="37"/>
                    <w:ind w:left="0" w:leftChars="0"/>
                    <w:rPr>
                      <w:u w:val="none"/>
                    </w:rPr>
                  </w:pPr>
                  <w:r>
                    <w:rPr>
                      <w:u w:val="none"/>
                    </w:rPr>
                    <w:t>1.</w:t>
                  </w:r>
                  <w:r>
                    <w:rPr>
                      <w:rFonts w:hint="eastAsia"/>
                      <w:u w:val="none"/>
                      <w:lang w:val="en-US" w:eastAsia="zh-CN"/>
                    </w:rPr>
                    <w:t>883</w:t>
                  </w:r>
                  <w:r>
                    <w:rPr>
                      <w:u w:val="none"/>
                    </w:rPr>
                    <w:t>m</w:t>
                  </w:r>
                  <w:r>
                    <w:rPr>
                      <w:u w:val="none"/>
                      <w:vertAlign w:val="superscript"/>
                    </w:rPr>
                    <w:t>3</w:t>
                  </w:r>
                  <w:r>
                    <w:rPr>
                      <w:u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2" w:type="pct"/>
                  <w:gridSpan w:val="6"/>
                  <w:vMerge w:val="continue"/>
                  <w:vAlign w:val="center"/>
                </w:tcPr>
                <w:p>
                  <w:pPr>
                    <w:pStyle w:val="37"/>
                    <w:ind w:left="0" w:leftChars="0"/>
                    <w:rPr>
                      <w:u w:val="none"/>
                    </w:rPr>
                  </w:pPr>
                </w:p>
              </w:tc>
              <w:tc>
                <w:tcPr>
                  <w:tcW w:w="797" w:type="pct"/>
                  <w:shd w:val="clear" w:color="auto" w:fill="auto"/>
                  <w:vAlign w:val="center"/>
                </w:tcPr>
                <w:p>
                  <w:pPr>
                    <w:pStyle w:val="37"/>
                    <w:ind w:left="0" w:leftChars="0"/>
                    <w:rPr>
                      <w:u w:val="none"/>
                    </w:rPr>
                  </w:pPr>
                  <w:r>
                    <w:rPr>
                      <w:rFonts w:hint="eastAsia"/>
                      <w:u w:val="none"/>
                      <w:lang w:val="en-US" w:eastAsia="zh-CN"/>
                    </w:rPr>
                    <w:t>564.8</w:t>
                  </w:r>
                  <w:r>
                    <w:rPr>
                      <w:u w:val="none"/>
                    </w:rPr>
                    <w:t>m</w:t>
                  </w:r>
                  <w:r>
                    <w:rPr>
                      <w:u w:val="none"/>
                      <w:vertAlign w:val="superscript"/>
                    </w:rPr>
                    <w:t>3</w:t>
                  </w:r>
                  <w:r>
                    <w:rPr>
                      <w:u w:val="none"/>
                    </w:rPr>
                    <w:t>/a</w:t>
                  </w:r>
                </w:p>
              </w:tc>
            </w:tr>
          </w:tbl>
          <w:p>
            <w:pPr>
              <w:ind w:firstLine="0" w:firstLineChars="0"/>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3" w:hRule="atLeast"/>
          <w:jc w:val="center"/>
        </w:trPr>
        <w:tc>
          <w:tcPr>
            <w:tcW w:w="453" w:type="dxa"/>
            <w:vAlign w:val="center"/>
          </w:tcPr>
          <w:p>
            <w:pPr>
              <w:ind w:firstLine="0" w:firstLineChars="0"/>
              <w:rPr>
                <w:u w:val="none"/>
              </w:rPr>
            </w:pPr>
          </w:p>
        </w:tc>
        <w:tc>
          <w:tcPr>
            <w:tcW w:w="8835" w:type="dxa"/>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表4-2 项目营运期废水排放量及污染物排放量一览表</w:t>
            </w:r>
          </w:p>
          <w:tbl>
            <w:tblPr>
              <w:tblStyle w:val="23"/>
              <w:tblW w:w="863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067"/>
              <w:gridCol w:w="717"/>
              <w:gridCol w:w="900"/>
              <w:gridCol w:w="720"/>
              <w:gridCol w:w="997"/>
              <w:gridCol w:w="899"/>
              <w:gridCol w:w="123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对应产污环节名称</w:t>
                  </w: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污染物种类</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产生浓度mg/L</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产生量t/a</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污染治理措施</w:t>
                  </w: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排放浓度mg/L</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排放量t/a</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排放限值</w:t>
                  </w:r>
                </w:p>
              </w:tc>
              <w:tc>
                <w:tcPr>
                  <w:tcW w:w="11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地面清洗废水</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cs="Times New Roman"/>
                      <w:i w:val="0"/>
                      <w:iCs w:val="0"/>
                      <w:color w:val="000000"/>
                      <w:kern w:val="0"/>
                      <w:sz w:val="21"/>
                      <w:szCs w:val="21"/>
                      <w:u w:val="none"/>
                      <w:lang w:val="en-US" w:eastAsia="zh-CN" w:bidi="ar"/>
                    </w:rPr>
                    <w:t>8</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/a</w:t>
                  </w: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2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w:t>
                  </w: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13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cs="宋体"/>
                      <w:color w:val="000000"/>
                      <w:kern w:val="0"/>
                      <w:sz w:val="21"/>
                      <w:szCs w:val="21"/>
                      <w:u w:val="none"/>
                      <w:lang w:bidi="ar"/>
                    </w:rPr>
                    <w:t>《污水综合排放标准》（</w:t>
                  </w:r>
                  <w:r>
                    <w:rPr>
                      <w:color w:val="000000"/>
                      <w:kern w:val="0"/>
                      <w:sz w:val="21"/>
                      <w:szCs w:val="21"/>
                      <w:u w:val="none"/>
                      <w:lang w:bidi="ar"/>
                    </w:rPr>
                    <w:t>GB8978-1996</w:t>
                  </w:r>
                  <w:r>
                    <w:rPr>
                      <w:rFonts w:hint="eastAsia" w:ascii="宋体" w:hAnsi="宋体" w:cs="宋体"/>
                      <w:color w:val="000000"/>
                      <w:kern w:val="0"/>
                      <w:sz w:val="21"/>
                      <w:szCs w:val="21"/>
                      <w:u w:val="none"/>
                      <w:lang w:bidi="ar"/>
                    </w:rPr>
                    <w:t>）及修改单三级排放标准及湘阴县第二污水处理厂进水水质标准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COD</w:t>
                  </w:r>
                  <w:r>
                    <w:rPr>
                      <w:rFonts w:hint="eastAsia" w:ascii="Times New Roman" w:hAnsi="Times New Roman" w:eastAsia="宋体" w:cs="Times New Roman"/>
                      <w:i w:val="0"/>
                      <w:iCs w:val="0"/>
                      <w:color w:val="000000"/>
                      <w:kern w:val="0"/>
                      <w:sz w:val="21"/>
                      <w:szCs w:val="21"/>
                      <w:u w:val="none"/>
                      <w:lang w:val="en-US" w:eastAsia="zh-CN" w:bidi="ar"/>
                    </w:rPr>
                    <w:t>cr</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285</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0.0137 </w:t>
                  </w:r>
                </w:p>
              </w:tc>
              <w:tc>
                <w:tcPr>
                  <w:tcW w:w="72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0.0110 </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500</w:t>
                  </w:r>
                </w:p>
              </w:tc>
              <w:tc>
                <w:tcPr>
                  <w:tcW w:w="11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BOD</w:t>
                  </w:r>
                  <w:r>
                    <w:rPr>
                      <w:rStyle w:val="45"/>
                      <w:sz w:val="21"/>
                      <w:szCs w:val="21"/>
                      <w:u w:val="none"/>
                      <w:lang w:bidi="ar"/>
                    </w:rPr>
                    <w:t>5</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150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0.0072 </w:t>
                  </w:r>
                </w:p>
              </w:tc>
              <w:tc>
                <w:tcPr>
                  <w:tcW w:w="72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0.0062 </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11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NH</w:t>
                  </w:r>
                  <w:r>
                    <w:rPr>
                      <w:rStyle w:val="48"/>
                      <w:rFonts w:hint="default" w:ascii="Times New Roman" w:hAnsi="Times New Roman" w:eastAsia="宋体" w:cs="Times New Roman"/>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-N</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0.0014 </w:t>
                  </w:r>
                </w:p>
              </w:tc>
              <w:tc>
                <w:tcPr>
                  <w:tcW w:w="72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0.0010 </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45</w:t>
                  </w:r>
                </w:p>
              </w:tc>
              <w:tc>
                <w:tcPr>
                  <w:tcW w:w="11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SS</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0.0096 </w:t>
                  </w:r>
                </w:p>
              </w:tc>
              <w:tc>
                <w:tcPr>
                  <w:tcW w:w="72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0.0048 </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400</w:t>
                  </w:r>
                </w:p>
              </w:tc>
              <w:tc>
                <w:tcPr>
                  <w:tcW w:w="11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生活污水（</w:t>
                  </w:r>
                  <w:r>
                    <w:rPr>
                      <w:rFonts w:hint="eastAsia" w:ascii="Times New Roman" w:hAnsi="Times New Roman" w:eastAsia="宋体" w:cs="Times New Roman"/>
                      <w:i w:val="0"/>
                      <w:iCs w:val="0"/>
                      <w:color w:val="000000"/>
                      <w:kern w:val="0"/>
                      <w:sz w:val="21"/>
                      <w:szCs w:val="21"/>
                      <w:u w:val="none"/>
                      <w:lang w:val="en-US" w:eastAsia="zh-CN" w:bidi="ar"/>
                    </w:rPr>
                    <w:t>516.8</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/a)</w:t>
                  </w: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899"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1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w:t>
                  </w:r>
                  <w:r>
                    <w:rPr>
                      <w:color w:val="000000"/>
                      <w:kern w:val="0"/>
                      <w:sz w:val="21"/>
                      <w:szCs w:val="21"/>
                      <w:u w:val="none"/>
                      <w:lang w:bidi="ar"/>
                    </w:rPr>
                    <w:t>cr</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0.1550 </w:t>
                  </w:r>
                </w:p>
              </w:tc>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0.1034 </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500</w:t>
                  </w:r>
                </w:p>
              </w:tc>
              <w:tc>
                <w:tcPr>
                  <w:tcW w:w="11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BOD</w:t>
                  </w:r>
                  <w:r>
                    <w:rPr>
                      <w:rStyle w:val="48"/>
                      <w:rFonts w:hint="default" w:ascii="Times New Roman" w:hAnsi="Times New Roman" w:eastAsia="宋体" w:cs="Times New Roman"/>
                      <w:sz w:val="21"/>
                      <w:szCs w:val="21"/>
                      <w:u w:val="none"/>
                      <w:vertAlign w:val="subscript"/>
                      <w:lang w:val="en-US" w:eastAsia="zh-CN" w:bidi="ar"/>
                    </w:rPr>
                    <w:t>5</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0.1034 </w:t>
                  </w:r>
                </w:p>
              </w:tc>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0.0672 </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11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NH</w:t>
                  </w:r>
                  <w:r>
                    <w:rPr>
                      <w:rStyle w:val="48"/>
                      <w:rFonts w:hint="default" w:ascii="Times New Roman" w:hAnsi="Times New Roman" w:eastAsia="宋体" w:cs="Times New Roman"/>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-N</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0.0155 </w:t>
                  </w:r>
                </w:p>
              </w:tc>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0.0078 </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45</w:t>
                  </w:r>
                </w:p>
              </w:tc>
              <w:tc>
                <w:tcPr>
                  <w:tcW w:w="11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SS</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0.1034 </w:t>
                  </w:r>
                </w:p>
              </w:tc>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0.0517 </w:t>
                  </w:r>
                </w:p>
              </w:tc>
              <w:tc>
                <w:tcPr>
                  <w:tcW w:w="12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400</w:t>
                  </w:r>
                </w:p>
              </w:tc>
              <w:tc>
                <w:tcPr>
                  <w:tcW w:w="11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pPr>
              <w:ind w:firstLine="480"/>
              <w:jc w:val="left"/>
              <w:rPr>
                <w:u w:val="none"/>
              </w:rPr>
            </w:pPr>
            <w:r>
              <w:rPr>
                <w:rFonts w:hint="eastAsia"/>
                <w:u w:val="none"/>
              </w:rPr>
              <w:t>（2）</w:t>
            </w:r>
            <w:r>
              <w:rPr>
                <w:u w:val="none"/>
              </w:rPr>
              <w:t>化粪池</w:t>
            </w:r>
            <w:r>
              <w:rPr>
                <w:rFonts w:hint="eastAsia"/>
                <w:u w:val="none"/>
              </w:rPr>
              <w:t>处理废水</w:t>
            </w:r>
            <w:r>
              <w:rPr>
                <w:u w:val="none"/>
              </w:rPr>
              <w:t>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u w:val="none"/>
                <w:lang w:val="en-US" w:eastAsia="zh-CN"/>
              </w:rPr>
            </w:pPr>
            <w:r>
              <w:rPr>
                <w:rFonts w:hint="default" w:ascii="Times New Roman" w:hAnsi="Times New Roman" w:eastAsia="宋体" w:cs="Times New Roman"/>
                <w:b w:val="0"/>
                <w:bCs w:val="0"/>
                <w:color w:val="auto"/>
                <w:sz w:val="24"/>
                <w:u w:val="none"/>
                <w:lang w:eastAsia="zh-CN"/>
              </w:rPr>
              <w:t>本项目生活污水及地面清洁废水总产生量为</w:t>
            </w:r>
            <w:r>
              <w:rPr>
                <w:rFonts w:hint="eastAsia" w:cs="Times New Roman"/>
                <w:b w:val="0"/>
                <w:bCs w:val="0"/>
                <w:color w:val="auto"/>
                <w:sz w:val="24"/>
                <w:u w:val="none"/>
                <w:lang w:val="en-US" w:eastAsia="zh-CN"/>
              </w:rPr>
              <w:t>564.8</w:t>
            </w:r>
            <w:r>
              <w:rPr>
                <w:rFonts w:hint="default" w:ascii="Times New Roman" w:hAnsi="Times New Roman" w:eastAsia="宋体" w:cs="Times New Roman"/>
                <w:b w:val="0"/>
                <w:bCs w:val="0"/>
                <w:color w:val="auto"/>
                <w:sz w:val="24"/>
                <w:u w:val="none"/>
                <w:lang w:eastAsia="zh-CN"/>
              </w:rPr>
              <w:t>m</w:t>
            </w:r>
            <w:r>
              <w:rPr>
                <w:rFonts w:hint="default" w:ascii="Times New Roman" w:hAnsi="Times New Roman" w:eastAsia="宋体" w:cs="Times New Roman"/>
                <w:b w:val="0"/>
                <w:bCs w:val="0"/>
                <w:color w:val="auto"/>
                <w:sz w:val="24"/>
                <w:u w:val="none"/>
                <w:vertAlign w:val="superscript"/>
                <w:lang w:eastAsia="zh-CN"/>
              </w:rPr>
              <w:t>3</w:t>
            </w:r>
            <w:r>
              <w:rPr>
                <w:rFonts w:hint="default" w:ascii="Times New Roman" w:hAnsi="Times New Roman" w:eastAsia="宋体" w:cs="Times New Roman"/>
                <w:b w:val="0"/>
                <w:bCs w:val="0"/>
                <w:color w:val="auto"/>
                <w:sz w:val="24"/>
                <w:u w:val="none"/>
                <w:lang w:eastAsia="zh-CN"/>
              </w:rPr>
              <w:t>/a</w:t>
            </w:r>
            <w:r>
              <w:rPr>
                <w:rFonts w:hint="eastAsia" w:ascii="Times New Roman" w:hAnsi="Times New Roman" w:eastAsia="宋体" w:cs="Times New Roman"/>
                <w:b w:val="0"/>
                <w:bCs w:val="0"/>
                <w:color w:val="auto"/>
                <w:sz w:val="24"/>
                <w:u w:val="none"/>
                <w:lang w:eastAsia="zh-CN"/>
              </w:rPr>
              <w:t>（</w:t>
            </w:r>
            <w:r>
              <w:rPr>
                <w:rFonts w:hint="eastAsia" w:ascii="Times New Roman" w:hAnsi="Times New Roman" w:eastAsia="宋体" w:cs="Times New Roman"/>
                <w:b w:val="0"/>
                <w:bCs w:val="0"/>
                <w:color w:val="auto"/>
                <w:sz w:val="24"/>
                <w:u w:val="none"/>
                <w:lang w:val="en-US" w:eastAsia="zh-CN"/>
              </w:rPr>
              <w:t>1.8</w:t>
            </w:r>
            <w:r>
              <w:rPr>
                <w:rFonts w:hint="eastAsia" w:cs="Times New Roman"/>
                <w:b w:val="0"/>
                <w:bCs w:val="0"/>
                <w:color w:val="auto"/>
                <w:sz w:val="24"/>
                <w:u w:val="none"/>
                <w:lang w:val="en-US" w:eastAsia="zh-CN"/>
              </w:rPr>
              <w:t>83</w:t>
            </w:r>
            <w:r>
              <w:rPr>
                <w:rFonts w:hint="eastAsia" w:ascii="Times New Roman" w:hAnsi="Times New Roman" w:eastAsia="宋体" w:cs="Times New Roman"/>
                <w:b w:val="0"/>
                <w:bCs w:val="0"/>
                <w:color w:val="auto"/>
                <w:sz w:val="24"/>
                <w:u w:val="none"/>
                <w:lang w:val="en-US" w:eastAsia="zh-CN"/>
              </w:rPr>
              <w:t>m</w:t>
            </w:r>
            <w:r>
              <w:rPr>
                <w:rFonts w:hint="eastAsia" w:ascii="Times New Roman" w:hAnsi="Times New Roman" w:eastAsia="宋体" w:cs="Times New Roman"/>
                <w:b w:val="0"/>
                <w:bCs w:val="0"/>
                <w:color w:val="auto"/>
                <w:sz w:val="24"/>
                <w:u w:val="none"/>
                <w:vertAlign w:val="superscript"/>
                <w:lang w:val="en-US" w:eastAsia="zh-CN"/>
              </w:rPr>
              <w:t>3</w:t>
            </w:r>
            <w:r>
              <w:rPr>
                <w:rFonts w:hint="eastAsia" w:ascii="Times New Roman" w:hAnsi="Times New Roman" w:eastAsia="宋体" w:cs="Times New Roman"/>
                <w:b w:val="0"/>
                <w:bCs w:val="0"/>
                <w:color w:val="auto"/>
                <w:sz w:val="24"/>
                <w:u w:val="none"/>
                <w:lang w:val="en-US" w:eastAsia="zh-CN"/>
              </w:rPr>
              <w:t>/d</w:t>
            </w:r>
            <w:r>
              <w:rPr>
                <w:rFonts w:hint="eastAsia" w:ascii="Times New Roman" w:hAnsi="Times New Roman" w:eastAsia="宋体" w:cs="Times New Roman"/>
                <w:b w:val="0"/>
                <w:bCs w:val="0"/>
                <w:color w:val="auto"/>
                <w:sz w:val="24"/>
                <w:u w:val="none"/>
                <w:lang w:eastAsia="zh-CN"/>
              </w:rPr>
              <w:t>）</w:t>
            </w:r>
            <w:r>
              <w:rPr>
                <w:rFonts w:hint="default" w:ascii="Times New Roman" w:hAnsi="Times New Roman" w:eastAsia="宋体" w:cs="Times New Roman"/>
                <w:b w:val="0"/>
                <w:bCs w:val="0"/>
                <w:color w:val="auto"/>
                <w:sz w:val="24"/>
                <w:u w:val="none"/>
                <w:lang w:eastAsia="zh-CN"/>
              </w:rPr>
              <w:t>，</w:t>
            </w:r>
            <w:r>
              <w:rPr>
                <w:rFonts w:hint="eastAsia" w:ascii="Times New Roman" w:hAnsi="Times New Roman" w:eastAsia="宋体" w:cs="Times New Roman"/>
                <w:b w:val="0"/>
                <w:bCs w:val="0"/>
                <w:color w:val="auto"/>
                <w:sz w:val="24"/>
                <w:u w:val="none"/>
                <w:lang w:val="en-US" w:eastAsia="zh-CN"/>
              </w:rPr>
              <w:t>进入租赁公司</w:t>
            </w:r>
            <w:r>
              <w:rPr>
                <w:rFonts w:hint="default" w:ascii="Times New Roman" w:hAnsi="Times New Roman" w:eastAsia="宋体" w:cs="Times New Roman"/>
                <w:b w:val="0"/>
                <w:bCs w:val="0"/>
                <w:color w:val="auto"/>
                <w:sz w:val="24"/>
                <w:u w:val="none"/>
                <w:lang w:eastAsia="zh-CN"/>
              </w:rPr>
              <w:t>化粪池处理。</w:t>
            </w:r>
            <w:r>
              <w:rPr>
                <w:rFonts w:hint="eastAsia" w:ascii="Times New Roman" w:hAnsi="Times New Roman" w:eastAsia="宋体" w:cs="Times New Roman"/>
                <w:b w:val="0"/>
                <w:bCs w:val="0"/>
                <w:color w:val="auto"/>
                <w:sz w:val="24"/>
                <w:u w:val="none"/>
                <w:lang w:val="en-US" w:eastAsia="zh-CN"/>
              </w:rPr>
              <w:t>由于本项目不设置食堂，故未设置隔油池。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u w:val="none"/>
                <w:lang w:eastAsia="zh-CN"/>
              </w:rPr>
            </w:pPr>
            <w:r>
              <w:rPr>
                <w:rFonts w:hint="default" w:ascii="Times New Roman" w:hAnsi="Times New Roman" w:eastAsia="宋体" w:cs="Times New Roman"/>
                <w:b w:val="0"/>
                <w:bCs w:val="0"/>
                <w:color w:val="auto"/>
                <w:sz w:val="24"/>
                <w:u w:val="none"/>
                <w:lang w:eastAsia="zh-CN"/>
              </w:rPr>
              <w:t>化粪池是利用沉淀和厌氧发酵原理去除生活污水中悬浮性有机物的处理设备。污水首先由进水口排到第一格，在第一格里比重较大的固体物及寄生虫卵等物沉淀下来，开始初步的发酵分解，经第一格处理过的污水可分为三层：糊状粪皮、比较澄清的粪液、和固体状的粪渣。经过初步分解的粪液流入第二格，而漂浮在上面的粪皮和沉积在下面的粪渣则留在第一格继续发酵。在第二格中，粪液继续发酵分解，虫卵继续下沉，病原体逐渐死亡，粪液得到进一步无害化，产生的粪皮和粪渣厚度比第一格显著减少。流入第三格的粪液一般已经腐熟，其中病菌和寄生虫卵已基本杀灭，第三格功能主要起暂时储存已基本无害的粪液作用。化粪池处理后生活污水和地面清洁废水可达到</w:t>
            </w:r>
            <w:r>
              <w:rPr>
                <w:rFonts w:hint="eastAsia" w:ascii="Times New Roman" w:hAnsi="Times New Roman" w:eastAsia="宋体" w:cs="Times New Roman"/>
                <w:b w:val="0"/>
                <w:bCs w:val="0"/>
                <w:color w:val="auto"/>
                <w:sz w:val="24"/>
                <w:u w:val="none"/>
                <w:lang w:eastAsia="zh-CN"/>
              </w:rPr>
              <w:t>《污水综合排放标准》（GB8978-1996）及修改单三级排放标准及湘阴县第二污水处理厂进水水质标准。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sz w:val="24"/>
                <w:szCs w:val="24"/>
                <w:lang w:eastAsia="zh-CN"/>
              </w:rPr>
            </w:pPr>
            <w:r>
              <w:rPr>
                <w:rFonts w:hint="eastAsia" w:ascii="Times New Roman" w:hAnsi="Times New Roman" w:eastAsia="宋体" w:cs="Times New Roman"/>
                <w:b w:val="0"/>
                <w:bCs w:val="0"/>
                <w:color w:val="auto"/>
                <w:sz w:val="24"/>
                <w:u w:val="none"/>
                <w:lang w:val="en-US" w:eastAsia="zh-CN"/>
              </w:rPr>
              <w:t>本</w:t>
            </w:r>
            <w:r>
              <w:rPr>
                <w:rFonts w:hint="eastAsia" w:ascii="Times New Roman" w:hAnsi="Times New Roman" w:eastAsia="宋体" w:cs="Times New Roman"/>
                <w:color w:val="000000"/>
                <w:sz w:val="24"/>
                <w:szCs w:val="24"/>
                <w:lang w:val="en-US" w:eastAsia="zh-CN"/>
              </w:rPr>
              <w:t>项目</w:t>
            </w:r>
            <w:r>
              <w:rPr>
                <w:rFonts w:hint="default" w:ascii="Times New Roman" w:hAnsi="Times New Roman" w:eastAsia="宋体" w:cs="Times New Roman"/>
                <w:color w:val="000000"/>
                <w:sz w:val="24"/>
                <w:szCs w:val="24"/>
              </w:rPr>
              <w:t>生活污水</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地面清洁废水</w:t>
            </w:r>
            <w:r>
              <w:rPr>
                <w:rFonts w:hint="default" w:ascii="Times New Roman" w:hAnsi="Times New Roman" w:eastAsia="宋体" w:cs="Times New Roman"/>
                <w:color w:val="000000"/>
                <w:sz w:val="24"/>
                <w:szCs w:val="24"/>
              </w:rPr>
              <w:t>产生量为</w:t>
            </w:r>
            <w:r>
              <w:rPr>
                <w:rFonts w:hint="eastAsia"/>
                <w:color w:val="000000"/>
                <w:sz w:val="24"/>
                <w:highlight w:val="none"/>
                <w:u w:val="none"/>
                <w:lang w:val="en-US" w:eastAsia="zh-CN"/>
              </w:rPr>
              <w:t>1.883</w:t>
            </w:r>
            <w:r>
              <w:rPr>
                <w:rFonts w:hint="default" w:ascii="Times New Roman" w:hAnsi="Times New Roman" w:eastAsia="宋体" w:cs="Times New Roman"/>
                <w:color w:val="000000"/>
                <w:sz w:val="24"/>
                <w:szCs w:val="24"/>
                <w:highlight w:val="none"/>
              </w:rPr>
              <w:t>m</w:t>
            </w:r>
            <w:r>
              <w:rPr>
                <w:rFonts w:hint="default" w:ascii="Times New Roman" w:hAnsi="Times New Roman" w:eastAsia="宋体" w:cs="Times New Roman"/>
                <w:color w:val="000000"/>
                <w:sz w:val="24"/>
                <w:szCs w:val="24"/>
                <w:highlight w:val="none"/>
                <w:vertAlign w:val="superscript"/>
              </w:rPr>
              <w:t>3</w:t>
            </w:r>
            <w:r>
              <w:rPr>
                <w:rFonts w:hint="default" w:ascii="Times New Roman" w:hAnsi="Times New Roman" w:eastAsia="宋体" w:cs="Times New Roman"/>
                <w:color w:val="000000"/>
                <w:sz w:val="24"/>
                <w:szCs w:val="24"/>
                <w:highlight w:val="none"/>
              </w:rPr>
              <w:t>/d</w:t>
            </w:r>
            <w:r>
              <w:rPr>
                <w:rFonts w:hint="default" w:ascii="Times New Roman" w:hAnsi="Times New Roman" w:eastAsia="宋体" w:cs="Times New Roman"/>
                <w:color w:val="000000"/>
                <w:sz w:val="24"/>
                <w:szCs w:val="24"/>
              </w:rPr>
              <w:t>，按化粪池停留时间12小时计算，则厂区化粪池日处理能力最大为</w:t>
            </w:r>
            <w:r>
              <w:rPr>
                <w:rFonts w:hint="eastAsia" w:ascii="Times New Roman" w:hAnsi="Times New Roman" w:eastAsia="宋体" w:cs="Times New Roman"/>
                <w:color w:val="000000"/>
                <w:sz w:val="24"/>
                <w:szCs w:val="24"/>
                <w:lang w:val="en-US" w:eastAsia="zh-CN"/>
              </w:rPr>
              <w:t>50</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/d，大于</w:t>
            </w:r>
            <w:r>
              <w:rPr>
                <w:rFonts w:hint="eastAsia" w:ascii="Times New Roman" w:hAnsi="Times New Roman" w:eastAsia="宋体" w:cs="Times New Roman"/>
                <w:color w:val="000000"/>
                <w:sz w:val="24"/>
                <w:szCs w:val="24"/>
                <w:lang w:val="en-US" w:eastAsia="zh-CN"/>
              </w:rPr>
              <w:t>本项目</w:t>
            </w:r>
            <w:r>
              <w:rPr>
                <w:rFonts w:hint="default" w:ascii="Times New Roman" w:hAnsi="Times New Roman" w:eastAsia="宋体" w:cs="Times New Roman"/>
                <w:color w:val="000000"/>
                <w:sz w:val="24"/>
                <w:szCs w:val="24"/>
              </w:rPr>
              <w:t>废水总量</w:t>
            </w:r>
            <w:r>
              <w:rPr>
                <w:rFonts w:hint="eastAsia"/>
                <w:color w:val="000000"/>
                <w:sz w:val="24"/>
                <w:highlight w:val="none"/>
                <w:u w:val="none"/>
                <w:lang w:val="en-US" w:eastAsia="zh-CN"/>
              </w:rPr>
              <w:t>1.883</w:t>
            </w:r>
            <w:r>
              <w:rPr>
                <w:rFonts w:hint="default" w:ascii="Times New Roman" w:hAnsi="Times New Roman" w:eastAsia="宋体" w:cs="Times New Roman"/>
                <w:color w:val="000000"/>
                <w:sz w:val="24"/>
                <w:szCs w:val="24"/>
                <w:highlight w:val="none"/>
              </w:rPr>
              <w:t>m</w:t>
            </w:r>
            <w:r>
              <w:rPr>
                <w:rFonts w:hint="default" w:ascii="Times New Roman" w:hAnsi="Times New Roman" w:eastAsia="宋体" w:cs="Times New Roman"/>
                <w:color w:val="000000"/>
                <w:sz w:val="24"/>
                <w:szCs w:val="24"/>
                <w:highlight w:val="none"/>
                <w:vertAlign w:val="superscript"/>
              </w:rPr>
              <w:t>3</w:t>
            </w:r>
            <w:r>
              <w:rPr>
                <w:rFonts w:hint="default" w:ascii="Times New Roman" w:hAnsi="Times New Roman" w:eastAsia="宋体" w:cs="Times New Roman"/>
                <w:color w:val="000000"/>
                <w:sz w:val="24"/>
                <w:szCs w:val="24"/>
                <w:highlight w:val="none"/>
              </w:rPr>
              <w:t>/d</w:t>
            </w:r>
            <w:r>
              <w:rPr>
                <w:rFonts w:hint="default" w:ascii="Times New Roman" w:hAnsi="Times New Roman" w:eastAsia="宋体" w:cs="Times New Roman"/>
                <w:color w:val="000000"/>
                <w:sz w:val="24"/>
                <w:szCs w:val="24"/>
              </w:rPr>
              <w:t>，厂区化粪池</w:t>
            </w:r>
            <w:r>
              <w:rPr>
                <w:rFonts w:hint="eastAsia" w:cs="Times New Roman"/>
                <w:color w:val="000000"/>
                <w:sz w:val="24"/>
                <w:szCs w:val="24"/>
                <w:lang w:val="en-US" w:eastAsia="zh-CN"/>
              </w:rPr>
              <w:t>容积</w:t>
            </w:r>
            <w:r>
              <w:rPr>
                <w:rFonts w:hint="default" w:ascii="Times New Roman" w:hAnsi="Times New Roman" w:eastAsia="宋体" w:cs="Times New Roman"/>
                <w:color w:val="000000"/>
                <w:sz w:val="24"/>
                <w:szCs w:val="24"/>
              </w:rPr>
              <w:t>可满足</w:t>
            </w:r>
            <w:r>
              <w:rPr>
                <w:rFonts w:hint="eastAsia" w:ascii="Times New Roman" w:hAnsi="Times New Roman" w:eastAsia="宋体" w:cs="Times New Roman"/>
                <w:color w:val="000000"/>
                <w:sz w:val="24"/>
                <w:szCs w:val="24"/>
                <w:lang w:val="en-US" w:eastAsia="zh-CN"/>
              </w:rPr>
              <w:t>本项目运营后</w:t>
            </w:r>
            <w:r>
              <w:rPr>
                <w:rFonts w:hint="default" w:ascii="Times New Roman" w:hAnsi="Times New Roman" w:eastAsia="宋体" w:cs="Times New Roman"/>
                <w:color w:val="000000"/>
                <w:sz w:val="24"/>
                <w:szCs w:val="24"/>
              </w:rPr>
              <w:t>废水处理的需求。</w:t>
            </w:r>
          </w:p>
          <w:p>
            <w:pPr>
              <w:ind w:firstLine="480"/>
              <w:jc w:val="left"/>
              <w:rPr>
                <w:u w:val="none"/>
              </w:rPr>
            </w:pPr>
            <w:r>
              <w:rPr>
                <w:u w:val="none"/>
              </w:rPr>
              <w:t>（</w:t>
            </w:r>
            <w:r>
              <w:rPr>
                <w:rFonts w:hint="eastAsia"/>
                <w:u w:val="none"/>
              </w:rPr>
              <w:t>3</w:t>
            </w:r>
            <w:r>
              <w:rPr>
                <w:u w:val="none"/>
              </w:rPr>
              <w:t>）项目废水纳入</w:t>
            </w:r>
            <w:r>
              <w:rPr>
                <w:rFonts w:hint="eastAsia"/>
                <w:u w:val="none"/>
              </w:rPr>
              <w:t>湘阴县第二污水处理厂</w:t>
            </w:r>
            <w:r>
              <w:rPr>
                <w:u w:val="none"/>
              </w:rPr>
              <w:t>的可行性分析</w:t>
            </w:r>
          </w:p>
          <w:p>
            <w:pPr>
              <w:ind w:firstLine="480"/>
              <w:jc w:val="left"/>
              <w:rPr>
                <w:u w:val="none"/>
              </w:rPr>
            </w:pPr>
            <w:r>
              <w:rPr>
                <w:u w:val="none"/>
              </w:rPr>
              <w:t>本项目</w:t>
            </w:r>
            <w:r>
              <w:rPr>
                <w:rFonts w:hint="eastAsia"/>
                <w:u w:val="none"/>
              </w:rPr>
              <w:t>生活污水</w:t>
            </w:r>
            <w:r>
              <w:rPr>
                <w:rFonts w:hint="eastAsia"/>
                <w:u w:val="none"/>
                <w:lang w:eastAsia="zh-CN"/>
              </w:rPr>
              <w:t>、</w:t>
            </w:r>
            <w:r>
              <w:rPr>
                <w:rFonts w:hint="eastAsia"/>
                <w:u w:val="none"/>
                <w:lang w:val="en-US" w:eastAsia="zh-CN"/>
              </w:rPr>
              <w:t>地面清洁废水</w:t>
            </w:r>
            <w:r>
              <w:rPr>
                <w:u w:val="none"/>
              </w:rPr>
              <w:t>经化粪池预处理后排入市政管网，进入</w:t>
            </w:r>
            <w:r>
              <w:rPr>
                <w:rFonts w:hint="eastAsia"/>
                <w:u w:val="none"/>
              </w:rPr>
              <w:t>湘阴县第二污水处理厂</w:t>
            </w:r>
            <w:r>
              <w:rPr>
                <w:u w:val="none"/>
              </w:rPr>
              <w:t>进一步处理。</w:t>
            </w:r>
          </w:p>
          <w:p>
            <w:pPr>
              <w:pStyle w:val="46"/>
              <w:snapToGrid w:val="0"/>
              <w:spacing w:line="360" w:lineRule="auto"/>
              <w:ind w:firstLine="480"/>
              <w:rPr>
                <w:u w:val="none"/>
              </w:rPr>
            </w:pPr>
            <w:r>
              <w:rPr>
                <w:u w:val="none"/>
              </w:rPr>
              <w:t>湘阴县第二污水处理厂于2016年11月建成运行。2018年4月，岳阳市环保局对湘阴县第二污水处理厂提标改造工程进行了批复，根据批复，湘阴县第二污水处理厂提标改造工程设计规模为1万m</w:t>
            </w:r>
            <w:r>
              <w:rPr>
                <w:u w:val="none"/>
                <w:vertAlign w:val="superscript"/>
              </w:rPr>
              <w:t>3</w:t>
            </w:r>
            <w:r>
              <w:rPr>
                <w:u w:val="none"/>
              </w:rPr>
              <w:t>/d，目前提标改造工程已建成完成。本部分项目依托污水处理厂的可行性分析基于项目提标改造后进行分析。</w:t>
            </w:r>
            <w:r>
              <w:rPr>
                <w:rFonts w:hint="eastAsia"/>
                <w:u w:val="none"/>
              </w:rPr>
              <w:t>湘阴县第二</w:t>
            </w:r>
            <w:r>
              <w:rPr>
                <w:u w:val="none"/>
              </w:rPr>
              <w:t>处理厂位于湘阴县洋沙湖大道南侧，</w:t>
            </w:r>
            <w:r>
              <w:rPr>
                <w:rFonts w:hint="eastAsia"/>
                <w:u w:val="none"/>
              </w:rPr>
              <w:t>现有</w:t>
            </w:r>
            <w:r>
              <w:rPr>
                <w:u w:val="none"/>
              </w:rPr>
              <w:t>设计处理规模为1万m</w:t>
            </w:r>
            <w:r>
              <w:rPr>
                <w:u w:val="none"/>
                <w:vertAlign w:val="superscript"/>
              </w:rPr>
              <w:t>3</w:t>
            </w:r>
            <w:r>
              <w:rPr>
                <w:u w:val="none"/>
              </w:rPr>
              <w:t>/d，主要处理湘阴工程服务范围为</w:t>
            </w:r>
            <w:r>
              <w:rPr>
                <w:spacing w:val="4"/>
                <w:kern w:val="28"/>
                <w:u w:val="none"/>
              </w:rPr>
              <w:t>湘阴县工业园、轻工产业园、东湖生态新城、洋沙湖东部片区等，即南至顺天大道以南的轻工产业园，北至新白水江—烈士公园；西以湘江为界，东至规划的环城大道，总纳污面积28.10平方公里。</w:t>
            </w:r>
            <w:r>
              <w:rPr>
                <w:u w:val="none"/>
              </w:rPr>
              <w:t>出水水质标准为《城镇污水处理厂污染物排放标准》（GB18918-2002）一级A标准，处理后的尾水排入湘江。</w:t>
            </w:r>
          </w:p>
          <w:p>
            <w:pPr>
              <w:pStyle w:val="46"/>
              <w:snapToGrid w:val="0"/>
              <w:spacing w:line="360" w:lineRule="auto"/>
              <w:ind w:firstLine="480"/>
              <w:rPr>
                <w:u w:val="none"/>
              </w:rPr>
            </w:pPr>
            <w:r>
              <w:rPr>
                <w:rFonts w:hint="eastAsia"/>
                <w:u w:val="none"/>
              </w:rPr>
              <w:t>湘阴县第二污水处理厂在废水进水口以及废水出水口均设置了标识标牌，安装了流量计和在线监测设备，废水进水口监测因子：CODcr、氨氮；废水总排口监测因子：pH、流量、CODcr、氨氮、总磷、总氮。2019年7月11日在岳阳市环境监察支队完成了污染自动监控系统验收备案，2019年7月31日与岳阳市环保局控制中心联网。2019年8月编制完成《湘阴县第二污水处理厂提标改造工程建设项目竣工环境保护验收监测报告》，已进行自主验收并完成备案。2019年9月1日申领排污许可证，证书编号为：91430624MA4L17P07L。2021年1月对原突发环境事件应急预案进行修编并完成备案：430624-2021-004-L。</w:t>
            </w:r>
          </w:p>
          <w:p>
            <w:pPr>
              <w:pStyle w:val="46"/>
              <w:snapToGrid w:val="0"/>
              <w:spacing w:line="360" w:lineRule="auto"/>
              <w:ind w:firstLine="480"/>
              <w:rPr>
                <w:u w:val="none"/>
              </w:rPr>
            </w:pPr>
            <w:r>
              <w:rPr>
                <w:rFonts w:hint="eastAsia"/>
                <w:u w:val="none"/>
              </w:rPr>
              <w:t>本项目外排废水</w:t>
            </w:r>
            <w:r>
              <w:rPr>
                <w:rFonts w:hint="eastAsia"/>
                <w:u w:val="none"/>
                <w:lang w:val="en-US" w:eastAsia="zh-CN"/>
              </w:rPr>
              <w:t>1.883</w:t>
            </w:r>
            <w:r>
              <w:rPr>
                <w:rFonts w:hint="eastAsia"/>
                <w:u w:val="none"/>
              </w:rPr>
              <w:t>m</w:t>
            </w:r>
            <w:r>
              <w:rPr>
                <w:rFonts w:hint="eastAsia"/>
                <w:u w:val="none"/>
                <w:vertAlign w:val="superscript"/>
              </w:rPr>
              <w:t>3</w:t>
            </w:r>
            <w:r>
              <w:rPr>
                <w:rFonts w:hint="eastAsia"/>
                <w:u w:val="none"/>
              </w:rPr>
              <w:t>/d（</w:t>
            </w:r>
            <w:r>
              <w:rPr>
                <w:rFonts w:hint="eastAsia"/>
                <w:u w:val="none"/>
                <w:lang w:val="en-US" w:eastAsia="zh-CN"/>
              </w:rPr>
              <w:t>564.8</w:t>
            </w:r>
            <w:r>
              <w:rPr>
                <w:rFonts w:hint="eastAsia"/>
                <w:u w:val="none"/>
              </w:rPr>
              <w:t>m</w:t>
            </w:r>
            <w:r>
              <w:rPr>
                <w:rFonts w:hint="eastAsia"/>
                <w:u w:val="none"/>
                <w:vertAlign w:val="superscript"/>
              </w:rPr>
              <w:t>3</w:t>
            </w:r>
            <w:r>
              <w:rPr>
                <w:rFonts w:hint="eastAsia"/>
                <w:u w:val="none"/>
              </w:rPr>
              <w:t>/a），低于湘阴县第二污水处理厂剩余处置能力（剩余处理能力3000t/d）。且本项目位于湘阴县第二污水处理厂纳污范围内，水质符合湘阴县第二污水处理厂的接纳标准，不会对该污水处理厂的运行产生不利影响。</w:t>
            </w:r>
          </w:p>
          <w:p>
            <w:pPr>
              <w:pStyle w:val="46"/>
              <w:snapToGrid w:val="0"/>
              <w:spacing w:line="360" w:lineRule="auto"/>
              <w:ind w:firstLine="0" w:firstLineChars="0"/>
              <w:jc w:val="center"/>
              <w:rPr>
                <w:u w:val="none"/>
              </w:rPr>
            </w:pPr>
            <w:r>
              <w:rPr>
                <w:u w:val="none"/>
              </w:rPr>
              <w:drawing>
                <wp:inline distT="0" distB="0" distL="114300" distR="114300">
                  <wp:extent cx="4607560" cy="4994910"/>
                  <wp:effectExtent l="0" t="0" r="2540" b="15240"/>
                  <wp:docPr id="14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2"/>
                          <pic:cNvPicPr>
                            <a:picLocks noChangeAspect="1"/>
                          </pic:cNvPicPr>
                        </pic:nvPicPr>
                        <pic:blipFill>
                          <a:blip r:embed="rId14"/>
                          <a:srcRect l="4483" t="655" r="5464"/>
                          <a:stretch>
                            <a:fillRect/>
                          </a:stretch>
                        </pic:blipFill>
                        <pic:spPr>
                          <a:xfrm>
                            <a:off x="0" y="0"/>
                            <a:ext cx="4607560" cy="4994910"/>
                          </a:xfrm>
                          <a:prstGeom prst="rect">
                            <a:avLst/>
                          </a:prstGeom>
                          <a:noFill/>
                          <a:ln>
                            <a:noFill/>
                          </a:ln>
                        </pic:spPr>
                      </pic:pic>
                    </a:graphicData>
                  </a:graphic>
                </wp:inline>
              </w:drawing>
            </w:r>
          </w:p>
          <w:p>
            <w:pPr>
              <w:pStyle w:val="46"/>
              <w:snapToGrid w:val="0"/>
              <w:spacing w:line="240" w:lineRule="auto"/>
              <w:ind w:firstLine="0" w:firstLineChars="0"/>
              <w:jc w:val="center"/>
              <w:rPr>
                <w:b/>
                <w:bCs/>
                <w:u w:val="none"/>
              </w:rPr>
            </w:pPr>
            <w:r>
              <w:rPr>
                <w:b/>
                <w:bCs/>
                <w:u w:val="none"/>
              </w:rPr>
              <w:t>图4-1 湘阴县第二污水处理厂工艺流程图</w:t>
            </w:r>
          </w:p>
          <w:p>
            <w:pPr>
              <w:ind w:firstLine="480"/>
              <w:rPr>
                <w:u w:val="none"/>
              </w:rPr>
            </w:pPr>
            <w:r>
              <w:rPr>
                <w:rFonts w:hint="eastAsia"/>
                <w:u w:val="none"/>
              </w:rPr>
              <w:t>（3）废水排放口基本信息</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表4-3 废水类别、污染物及污染防治措施信息表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044"/>
              <w:gridCol w:w="499"/>
              <w:gridCol w:w="627"/>
              <w:gridCol w:w="434"/>
              <w:gridCol w:w="868"/>
              <w:gridCol w:w="447"/>
              <w:gridCol w:w="1331"/>
              <w:gridCol w:w="688"/>
              <w:gridCol w:w="816"/>
              <w:gridCol w:w="68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Merge w:val="restart"/>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废水类别</w:t>
                  </w:r>
                </w:p>
              </w:tc>
              <w:tc>
                <w:tcPr>
                  <w:tcW w:w="1044" w:type="dxa"/>
                  <w:vMerge w:val="restart"/>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污染物种类</w:t>
                  </w:r>
                </w:p>
              </w:tc>
              <w:tc>
                <w:tcPr>
                  <w:tcW w:w="1560" w:type="dxa"/>
                  <w:gridSpan w:val="3"/>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污染防治措施</w:t>
                  </w:r>
                </w:p>
              </w:tc>
              <w:tc>
                <w:tcPr>
                  <w:tcW w:w="868" w:type="dxa"/>
                  <w:vMerge w:val="restart"/>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排放去向</w:t>
                  </w:r>
                </w:p>
              </w:tc>
              <w:tc>
                <w:tcPr>
                  <w:tcW w:w="447" w:type="dxa"/>
                  <w:vMerge w:val="restart"/>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排放方式</w:t>
                  </w:r>
                </w:p>
              </w:tc>
              <w:tc>
                <w:tcPr>
                  <w:tcW w:w="1331" w:type="dxa"/>
                  <w:vMerge w:val="restart"/>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排放规律</w:t>
                  </w:r>
                </w:p>
              </w:tc>
              <w:tc>
                <w:tcPr>
                  <w:tcW w:w="688" w:type="dxa"/>
                  <w:vMerge w:val="restart"/>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排放口编号</w:t>
                  </w:r>
                </w:p>
              </w:tc>
              <w:tc>
                <w:tcPr>
                  <w:tcW w:w="816" w:type="dxa"/>
                  <w:vMerge w:val="restart"/>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排放口名称</w:t>
                  </w:r>
                </w:p>
              </w:tc>
              <w:tc>
                <w:tcPr>
                  <w:tcW w:w="684" w:type="dxa"/>
                  <w:vMerge w:val="restart"/>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排放口是否符合要求</w:t>
                  </w:r>
                </w:p>
              </w:tc>
              <w:tc>
                <w:tcPr>
                  <w:tcW w:w="426" w:type="dxa"/>
                  <w:vMerge w:val="restart"/>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排放口类别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Merge w:val="continue"/>
                  <w:vAlign w:val="center"/>
                </w:tcPr>
                <w:p>
                  <w:pPr>
                    <w:pStyle w:val="37"/>
                    <w:spacing w:line="240" w:lineRule="auto"/>
                    <w:ind w:left="0" w:leftChars="0"/>
                    <w:rPr>
                      <w:rFonts w:hint="default" w:ascii="Times New Roman" w:hAnsi="Times New Roman" w:eastAsia="宋体" w:cs="Times New Roman"/>
                      <w:sz w:val="21"/>
                      <w:szCs w:val="21"/>
                      <w:u w:val="none"/>
                    </w:rPr>
                  </w:pPr>
                </w:p>
              </w:tc>
              <w:tc>
                <w:tcPr>
                  <w:tcW w:w="1044" w:type="dxa"/>
                  <w:vMerge w:val="continue"/>
                  <w:vAlign w:val="center"/>
                </w:tcPr>
                <w:p>
                  <w:pPr>
                    <w:pStyle w:val="37"/>
                    <w:spacing w:line="240" w:lineRule="auto"/>
                    <w:ind w:left="0" w:leftChars="0"/>
                    <w:rPr>
                      <w:rFonts w:hint="default" w:ascii="Times New Roman" w:hAnsi="Times New Roman" w:eastAsia="宋体" w:cs="Times New Roman"/>
                      <w:sz w:val="21"/>
                      <w:szCs w:val="21"/>
                      <w:u w:val="none"/>
                    </w:rPr>
                  </w:pPr>
                </w:p>
              </w:tc>
              <w:tc>
                <w:tcPr>
                  <w:tcW w:w="499" w:type="dxa"/>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名称</w:t>
                  </w:r>
                </w:p>
              </w:tc>
              <w:tc>
                <w:tcPr>
                  <w:tcW w:w="627" w:type="dxa"/>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工艺</w:t>
                  </w:r>
                </w:p>
              </w:tc>
              <w:tc>
                <w:tcPr>
                  <w:tcW w:w="434" w:type="dxa"/>
                  <w:vAlign w:val="center"/>
                </w:tcPr>
                <w:p>
                  <w:pPr>
                    <w:pStyle w:val="37"/>
                    <w:spacing w:line="240" w:lineRule="auto"/>
                    <w:ind w:left="0" w:leftChars="0"/>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是否可行</w:t>
                  </w:r>
                </w:p>
              </w:tc>
              <w:tc>
                <w:tcPr>
                  <w:tcW w:w="868" w:type="dxa"/>
                  <w:vMerge w:val="continue"/>
                  <w:vAlign w:val="center"/>
                </w:tcPr>
                <w:p>
                  <w:pPr>
                    <w:pStyle w:val="37"/>
                    <w:spacing w:line="240" w:lineRule="auto"/>
                    <w:ind w:left="0" w:leftChars="0"/>
                    <w:rPr>
                      <w:rFonts w:hint="default" w:ascii="Times New Roman" w:hAnsi="Times New Roman" w:eastAsia="宋体" w:cs="Times New Roman"/>
                      <w:sz w:val="21"/>
                      <w:szCs w:val="21"/>
                      <w:u w:val="none"/>
                    </w:rPr>
                  </w:pPr>
                </w:p>
              </w:tc>
              <w:tc>
                <w:tcPr>
                  <w:tcW w:w="447" w:type="dxa"/>
                  <w:vMerge w:val="continue"/>
                  <w:vAlign w:val="center"/>
                </w:tcPr>
                <w:p>
                  <w:pPr>
                    <w:pStyle w:val="37"/>
                    <w:spacing w:line="240" w:lineRule="auto"/>
                    <w:ind w:left="0" w:leftChars="0"/>
                    <w:rPr>
                      <w:rFonts w:hint="default" w:ascii="Times New Roman" w:hAnsi="Times New Roman" w:eastAsia="宋体" w:cs="Times New Roman"/>
                      <w:sz w:val="21"/>
                      <w:szCs w:val="21"/>
                      <w:u w:val="none"/>
                    </w:rPr>
                  </w:pPr>
                </w:p>
              </w:tc>
              <w:tc>
                <w:tcPr>
                  <w:tcW w:w="1331" w:type="dxa"/>
                  <w:vMerge w:val="continue"/>
                  <w:vAlign w:val="center"/>
                </w:tcPr>
                <w:p>
                  <w:pPr>
                    <w:pStyle w:val="37"/>
                    <w:spacing w:line="240" w:lineRule="auto"/>
                    <w:ind w:left="0" w:leftChars="0"/>
                    <w:rPr>
                      <w:rFonts w:hint="default" w:ascii="Times New Roman" w:hAnsi="Times New Roman" w:eastAsia="宋体" w:cs="Times New Roman"/>
                      <w:sz w:val="21"/>
                      <w:szCs w:val="21"/>
                      <w:u w:val="none"/>
                    </w:rPr>
                  </w:pPr>
                </w:p>
              </w:tc>
              <w:tc>
                <w:tcPr>
                  <w:tcW w:w="688" w:type="dxa"/>
                  <w:vMerge w:val="continue"/>
                  <w:vAlign w:val="center"/>
                </w:tcPr>
                <w:p>
                  <w:pPr>
                    <w:pStyle w:val="37"/>
                    <w:spacing w:line="240" w:lineRule="auto"/>
                    <w:ind w:left="0" w:leftChars="0"/>
                    <w:rPr>
                      <w:rFonts w:hint="default" w:ascii="Times New Roman" w:hAnsi="Times New Roman" w:eastAsia="宋体" w:cs="Times New Roman"/>
                      <w:sz w:val="21"/>
                      <w:szCs w:val="21"/>
                      <w:u w:val="none"/>
                    </w:rPr>
                  </w:pPr>
                </w:p>
              </w:tc>
              <w:tc>
                <w:tcPr>
                  <w:tcW w:w="816" w:type="dxa"/>
                  <w:vMerge w:val="continue"/>
                  <w:vAlign w:val="center"/>
                </w:tcPr>
                <w:p>
                  <w:pPr>
                    <w:pStyle w:val="37"/>
                    <w:spacing w:line="240" w:lineRule="auto"/>
                    <w:ind w:left="0" w:leftChars="0"/>
                    <w:rPr>
                      <w:rFonts w:hint="default" w:ascii="Times New Roman" w:hAnsi="Times New Roman" w:eastAsia="宋体" w:cs="Times New Roman"/>
                      <w:sz w:val="21"/>
                      <w:szCs w:val="21"/>
                      <w:u w:val="none"/>
                    </w:rPr>
                  </w:pPr>
                </w:p>
              </w:tc>
              <w:tc>
                <w:tcPr>
                  <w:tcW w:w="684" w:type="dxa"/>
                  <w:vMerge w:val="continue"/>
                  <w:vAlign w:val="center"/>
                </w:tcPr>
                <w:p>
                  <w:pPr>
                    <w:pStyle w:val="37"/>
                    <w:spacing w:line="240" w:lineRule="auto"/>
                    <w:ind w:left="0" w:leftChars="0"/>
                    <w:rPr>
                      <w:rFonts w:hint="default" w:ascii="Times New Roman" w:hAnsi="Times New Roman" w:eastAsia="宋体" w:cs="Times New Roman"/>
                      <w:sz w:val="21"/>
                      <w:szCs w:val="21"/>
                      <w:u w:val="none"/>
                    </w:rPr>
                  </w:pPr>
                </w:p>
              </w:tc>
              <w:tc>
                <w:tcPr>
                  <w:tcW w:w="426" w:type="dxa"/>
                  <w:vMerge w:val="continue"/>
                  <w:vAlign w:val="center"/>
                </w:tcPr>
                <w:p>
                  <w:pPr>
                    <w:pStyle w:val="37"/>
                    <w:spacing w:line="240" w:lineRule="auto"/>
                    <w:ind w:left="0" w:leftChars="0"/>
                    <w:rPr>
                      <w:rFonts w:hint="default" w:ascii="Times New Roman" w:hAnsi="Times New Roman" w:eastAsia="宋体" w:cs="Times New Roman"/>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742" w:type="dxa"/>
                  <w:vAlign w:val="center"/>
                </w:tcPr>
                <w:p>
                  <w:pPr>
                    <w:pStyle w:val="37"/>
                    <w:spacing w:line="240" w:lineRule="auto"/>
                    <w:ind w:left="0" w:leftChars="0"/>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rPr>
                    <w:t>生活污水</w:t>
                  </w:r>
                  <w:r>
                    <w:rPr>
                      <w:rFonts w:hint="eastAsia" w:ascii="Times New Roman" w:hAnsi="Times New Roman" w:eastAsia="宋体" w:cs="Times New Roman"/>
                      <w:sz w:val="21"/>
                      <w:szCs w:val="21"/>
                      <w:u w:val="none"/>
                      <w:lang w:eastAsia="zh-CN"/>
                    </w:rPr>
                    <w:t>、</w:t>
                  </w:r>
                  <w:r>
                    <w:rPr>
                      <w:rFonts w:hint="eastAsia" w:ascii="Times New Roman" w:hAnsi="Times New Roman" w:eastAsia="宋体" w:cs="Times New Roman"/>
                      <w:sz w:val="21"/>
                      <w:szCs w:val="21"/>
                      <w:u w:val="none"/>
                      <w:lang w:val="en-US" w:eastAsia="zh-CN"/>
                    </w:rPr>
                    <w:t>地面清洁废水</w:t>
                  </w:r>
                </w:p>
              </w:tc>
              <w:tc>
                <w:tcPr>
                  <w:tcW w:w="1044"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pH、SS、CODcr、BOD</w:t>
                  </w:r>
                  <w:r>
                    <w:rPr>
                      <w:rFonts w:hint="default" w:ascii="Times New Roman" w:hAnsi="Times New Roman" w:eastAsia="宋体" w:cs="Times New Roman"/>
                      <w:sz w:val="21"/>
                      <w:szCs w:val="21"/>
                      <w:u w:val="none"/>
                      <w:vertAlign w:val="subscript"/>
                    </w:rPr>
                    <w:t>5</w:t>
                  </w:r>
                  <w:r>
                    <w:rPr>
                      <w:rFonts w:hint="default" w:ascii="Times New Roman" w:hAnsi="Times New Roman" w:eastAsia="宋体" w:cs="Times New Roman"/>
                      <w:sz w:val="21"/>
                      <w:szCs w:val="21"/>
                      <w:u w:val="none"/>
                    </w:rPr>
                    <w:t>、NH</w:t>
                  </w:r>
                  <w:r>
                    <w:rPr>
                      <w:rFonts w:hint="default" w:ascii="Times New Roman" w:hAnsi="Times New Roman" w:eastAsia="宋体" w:cs="Times New Roman"/>
                      <w:sz w:val="21"/>
                      <w:szCs w:val="21"/>
                      <w:u w:val="none"/>
                      <w:vertAlign w:val="subscript"/>
                    </w:rPr>
                    <w:t>3</w:t>
                  </w:r>
                  <w:r>
                    <w:rPr>
                      <w:rFonts w:hint="default" w:ascii="Times New Roman" w:hAnsi="Times New Roman" w:eastAsia="宋体" w:cs="Times New Roman"/>
                      <w:sz w:val="21"/>
                      <w:szCs w:val="21"/>
                      <w:u w:val="none"/>
                    </w:rPr>
                    <w:t>-N</w:t>
                  </w:r>
                </w:p>
              </w:tc>
              <w:tc>
                <w:tcPr>
                  <w:tcW w:w="499"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化粪池</w:t>
                  </w:r>
                </w:p>
              </w:tc>
              <w:tc>
                <w:tcPr>
                  <w:tcW w:w="627"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沉淀+厌氧发酵</w:t>
                  </w:r>
                </w:p>
              </w:tc>
              <w:tc>
                <w:tcPr>
                  <w:tcW w:w="434"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868"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湘阴县第二污水处理厂</w:t>
                  </w:r>
                </w:p>
              </w:tc>
              <w:tc>
                <w:tcPr>
                  <w:tcW w:w="447"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间接排放</w:t>
                  </w:r>
                </w:p>
              </w:tc>
              <w:tc>
                <w:tcPr>
                  <w:tcW w:w="1331"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间断排放，排放期间流量不稳定且无规律，但不属于冲击排放</w:t>
                  </w:r>
                </w:p>
              </w:tc>
              <w:tc>
                <w:tcPr>
                  <w:tcW w:w="688"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DW001</w:t>
                  </w:r>
                </w:p>
              </w:tc>
              <w:tc>
                <w:tcPr>
                  <w:tcW w:w="816"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综合废水</w:t>
                  </w:r>
                  <w:r>
                    <w:rPr>
                      <w:rFonts w:hint="default" w:ascii="Times New Roman" w:hAnsi="Times New Roman" w:eastAsia="宋体" w:cs="Times New Roman"/>
                      <w:sz w:val="21"/>
                      <w:szCs w:val="21"/>
                      <w:u w:val="none"/>
                    </w:rPr>
                    <w:t>排放口</w:t>
                  </w:r>
                </w:p>
              </w:tc>
              <w:tc>
                <w:tcPr>
                  <w:tcW w:w="684"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426" w:type="dxa"/>
                  <w:vAlign w:val="center"/>
                </w:tcPr>
                <w:p>
                  <w:pPr>
                    <w:pStyle w:val="37"/>
                    <w:spacing w:line="240" w:lineRule="auto"/>
                    <w:ind w:left="0" w:leftChars="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一般排放口</w:t>
                  </w:r>
                </w:p>
              </w:tc>
            </w:tr>
          </w:tbl>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u w:val="none"/>
              </w:rPr>
            </w:pPr>
            <w:r>
              <w:rPr>
                <w:rFonts w:hint="eastAsia" w:ascii="Times New Roman" w:hAnsi="Times New Roman" w:cs="Times New Roman"/>
                <w:b/>
                <w:bCs w:val="0"/>
                <w:u w:val="none"/>
              </w:rPr>
              <w:t>表4-4 项目废水间接排放口基本信息表</w:t>
            </w:r>
          </w:p>
          <w:tbl>
            <w:tblPr>
              <w:tblStyle w:val="24"/>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25"/>
              <w:gridCol w:w="884"/>
              <w:gridCol w:w="600"/>
              <w:gridCol w:w="650"/>
              <w:gridCol w:w="900"/>
              <w:gridCol w:w="766"/>
              <w:gridCol w:w="700"/>
              <w:gridCol w:w="113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restart"/>
                  <w:vAlign w:val="center"/>
                </w:tcPr>
                <w:p>
                  <w:pPr>
                    <w:pStyle w:val="37"/>
                    <w:ind w:left="0" w:leftChars="0"/>
                    <w:rPr>
                      <w:b/>
                      <w:bCs/>
                      <w:sz w:val="21"/>
                      <w:szCs w:val="21"/>
                      <w:u w:val="none"/>
                    </w:rPr>
                  </w:pPr>
                  <w:r>
                    <w:rPr>
                      <w:rFonts w:hint="eastAsia"/>
                      <w:b/>
                      <w:bCs/>
                      <w:sz w:val="21"/>
                      <w:szCs w:val="21"/>
                      <w:u w:val="none"/>
                    </w:rPr>
                    <w:t>排放口编号</w:t>
                  </w:r>
                </w:p>
              </w:tc>
              <w:tc>
                <w:tcPr>
                  <w:tcW w:w="1125" w:type="pct"/>
                  <w:gridSpan w:val="2"/>
                  <w:vAlign w:val="center"/>
                </w:tcPr>
                <w:p>
                  <w:pPr>
                    <w:pStyle w:val="37"/>
                    <w:ind w:left="0" w:leftChars="0"/>
                    <w:rPr>
                      <w:b/>
                      <w:bCs/>
                      <w:sz w:val="21"/>
                      <w:szCs w:val="21"/>
                      <w:u w:val="none"/>
                    </w:rPr>
                  </w:pPr>
                  <w:r>
                    <w:rPr>
                      <w:rFonts w:hint="eastAsia"/>
                      <w:b/>
                      <w:bCs/>
                      <w:sz w:val="21"/>
                      <w:szCs w:val="21"/>
                      <w:u w:val="none"/>
                    </w:rPr>
                    <w:t>排放口地理坐标</w:t>
                  </w:r>
                </w:p>
              </w:tc>
              <w:tc>
                <w:tcPr>
                  <w:tcW w:w="353" w:type="pct"/>
                  <w:vMerge w:val="restart"/>
                  <w:vAlign w:val="center"/>
                </w:tcPr>
                <w:p>
                  <w:pPr>
                    <w:pStyle w:val="37"/>
                    <w:ind w:left="0" w:leftChars="0"/>
                    <w:rPr>
                      <w:b/>
                      <w:bCs/>
                      <w:sz w:val="21"/>
                      <w:szCs w:val="21"/>
                      <w:u w:val="none"/>
                    </w:rPr>
                  </w:pPr>
                  <w:r>
                    <w:rPr>
                      <w:rFonts w:hint="eastAsia"/>
                      <w:b/>
                      <w:bCs/>
                      <w:sz w:val="21"/>
                      <w:szCs w:val="21"/>
                      <w:u w:val="none"/>
                    </w:rPr>
                    <w:t>废水排放量</w:t>
                  </w:r>
                </w:p>
                <w:p>
                  <w:pPr>
                    <w:pStyle w:val="37"/>
                    <w:ind w:left="0" w:leftChars="0"/>
                    <w:rPr>
                      <w:b/>
                      <w:bCs/>
                      <w:sz w:val="21"/>
                      <w:szCs w:val="21"/>
                      <w:u w:val="none"/>
                    </w:rPr>
                  </w:pPr>
                  <w:r>
                    <w:rPr>
                      <w:rFonts w:hint="eastAsia"/>
                      <w:b/>
                      <w:bCs/>
                      <w:sz w:val="21"/>
                      <w:szCs w:val="21"/>
                      <w:u w:val="none"/>
                    </w:rPr>
                    <w:t>（t/a）</w:t>
                  </w:r>
                </w:p>
              </w:tc>
              <w:tc>
                <w:tcPr>
                  <w:tcW w:w="383" w:type="pct"/>
                  <w:vMerge w:val="restart"/>
                  <w:vAlign w:val="center"/>
                </w:tcPr>
                <w:p>
                  <w:pPr>
                    <w:pStyle w:val="37"/>
                    <w:ind w:left="0" w:leftChars="0"/>
                    <w:rPr>
                      <w:b/>
                      <w:bCs/>
                      <w:sz w:val="21"/>
                      <w:szCs w:val="21"/>
                      <w:u w:val="none"/>
                    </w:rPr>
                  </w:pPr>
                  <w:r>
                    <w:rPr>
                      <w:rFonts w:hint="eastAsia"/>
                      <w:b/>
                      <w:bCs/>
                      <w:sz w:val="21"/>
                      <w:szCs w:val="21"/>
                      <w:u w:val="none"/>
                    </w:rPr>
                    <w:t>排放去向</w:t>
                  </w:r>
                </w:p>
              </w:tc>
              <w:tc>
                <w:tcPr>
                  <w:tcW w:w="530" w:type="pct"/>
                  <w:vMerge w:val="restart"/>
                  <w:vAlign w:val="center"/>
                </w:tcPr>
                <w:p>
                  <w:pPr>
                    <w:pStyle w:val="37"/>
                    <w:ind w:left="0" w:leftChars="0"/>
                    <w:rPr>
                      <w:b/>
                      <w:bCs/>
                      <w:sz w:val="21"/>
                      <w:szCs w:val="21"/>
                      <w:u w:val="none"/>
                    </w:rPr>
                  </w:pPr>
                  <w:r>
                    <w:rPr>
                      <w:rFonts w:hint="eastAsia"/>
                      <w:b/>
                      <w:bCs/>
                      <w:sz w:val="21"/>
                      <w:szCs w:val="21"/>
                      <w:u w:val="none"/>
                    </w:rPr>
                    <w:t>排放规律</w:t>
                  </w:r>
                </w:p>
              </w:tc>
              <w:tc>
                <w:tcPr>
                  <w:tcW w:w="451" w:type="pct"/>
                  <w:vMerge w:val="restart"/>
                  <w:vAlign w:val="center"/>
                </w:tcPr>
                <w:p>
                  <w:pPr>
                    <w:pStyle w:val="37"/>
                    <w:ind w:left="0" w:leftChars="0"/>
                    <w:rPr>
                      <w:b/>
                      <w:bCs/>
                      <w:sz w:val="21"/>
                      <w:szCs w:val="21"/>
                      <w:u w:val="none"/>
                    </w:rPr>
                  </w:pPr>
                  <w:r>
                    <w:rPr>
                      <w:rFonts w:hint="eastAsia"/>
                      <w:b/>
                      <w:bCs/>
                      <w:sz w:val="21"/>
                      <w:szCs w:val="21"/>
                      <w:u w:val="none"/>
                    </w:rPr>
                    <w:t>间歇排放时段</w:t>
                  </w:r>
                </w:p>
              </w:tc>
              <w:tc>
                <w:tcPr>
                  <w:tcW w:w="1730" w:type="pct"/>
                  <w:gridSpan w:val="3"/>
                  <w:vAlign w:val="center"/>
                </w:tcPr>
                <w:p>
                  <w:pPr>
                    <w:pStyle w:val="37"/>
                    <w:ind w:left="0" w:leftChars="0"/>
                    <w:rPr>
                      <w:b/>
                      <w:bCs/>
                      <w:sz w:val="21"/>
                      <w:szCs w:val="21"/>
                      <w:u w:val="none"/>
                    </w:rPr>
                  </w:pPr>
                  <w:r>
                    <w:rPr>
                      <w:rFonts w:hint="eastAsia"/>
                      <w:b/>
                      <w:bCs/>
                      <w:sz w:val="21"/>
                      <w:szCs w:val="21"/>
                      <w:u w:val="none"/>
                    </w:rPr>
                    <w:t>收纳污水处理厂信息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24" w:type="pct"/>
                  <w:vMerge w:val="continue"/>
                  <w:vAlign w:val="center"/>
                </w:tcPr>
                <w:p>
                  <w:pPr>
                    <w:pStyle w:val="37"/>
                    <w:ind w:left="0" w:leftChars="0"/>
                    <w:rPr>
                      <w:b/>
                      <w:bCs/>
                      <w:sz w:val="21"/>
                      <w:szCs w:val="21"/>
                      <w:u w:val="none"/>
                    </w:rPr>
                  </w:pPr>
                </w:p>
              </w:tc>
              <w:tc>
                <w:tcPr>
                  <w:tcW w:w="604" w:type="pct"/>
                  <w:vAlign w:val="center"/>
                </w:tcPr>
                <w:p>
                  <w:pPr>
                    <w:pStyle w:val="37"/>
                    <w:ind w:left="0" w:leftChars="0"/>
                    <w:rPr>
                      <w:b/>
                      <w:bCs/>
                      <w:sz w:val="21"/>
                      <w:szCs w:val="21"/>
                      <w:u w:val="none"/>
                    </w:rPr>
                  </w:pPr>
                  <w:r>
                    <w:rPr>
                      <w:rFonts w:hint="eastAsia"/>
                      <w:b/>
                      <w:bCs/>
                      <w:sz w:val="21"/>
                      <w:szCs w:val="21"/>
                      <w:u w:val="none"/>
                    </w:rPr>
                    <w:t>东经</w:t>
                  </w:r>
                </w:p>
              </w:tc>
              <w:tc>
                <w:tcPr>
                  <w:tcW w:w="521" w:type="pct"/>
                  <w:vAlign w:val="center"/>
                </w:tcPr>
                <w:p>
                  <w:pPr>
                    <w:pStyle w:val="37"/>
                    <w:ind w:left="0" w:leftChars="0"/>
                    <w:rPr>
                      <w:b/>
                      <w:bCs/>
                      <w:sz w:val="21"/>
                      <w:szCs w:val="21"/>
                      <w:u w:val="none"/>
                    </w:rPr>
                  </w:pPr>
                  <w:r>
                    <w:rPr>
                      <w:rFonts w:hint="eastAsia"/>
                      <w:b/>
                      <w:bCs/>
                      <w:sz w:val="21"/>
                      <w:szCs w:val="21"/>
                      <w:u w:val="none"/>
                    </w:rPr>
                    <w:t>北纬</w:t>
                  </w:r>
                </w:p>
              </w:tc>
              <w:tc>
                <w:tcPr>
                  <w:tcW w:w="353" w:type="pct"/>
                  <w:vMerge w:val="continue"/>
                  <w:vAlign w:val="center"/>
                </w:tcPr>
                <w:p>
                  <w:pPr>
                    <w:pStyle w:val="37"/>
                    <w:ind w:left="0" w:leftChars="0"/>
                    <w:rPr>
                      <w:b/>
                      <w:bCs/>
                      <w:sz w:val="21"/>
                      <w:szCs w:val="21"/>
                      <w:u w:val="none"/>
                    </w:rPr>
                  </w:pPr>
                </w:p>
              </w:tc>
              <w:tc>
                <w:tcPr>
                  <w:tcW w:w="383" w:type="pct"/>
                  <w:vMerge w:val="continue"/>
                  <w:vAlign w:val="center"/>
                </w:tcPr>
                <w:p>
                  <w:pPr>
                    <w:pStyle w:val="37"/>
                    <w:ind w:left="0" w:leftChars="0"/>
                    <w:rPr>
                      <w:b/>
                      <w:bCs/>
                      <w:sz w:val="21"/>
                      <w:szCs w:val="21"/>
                      <w:u w:val="none"/>
                    </w:rPr>
                  </w:pPr>
                </w:p>
              </w:tc>
              <w:tc>
                <w:tcPr>
                  <w:tcW w:w="530" w:type="pct"/>
                  <w:vMerge w:val="continue"/>
                  <w:vAlign w:val="center"/>
                </w:tcPr>
                <w:p>
                  <w:pPr>
                    <w:pStyle w:val="37"/>
                    <w:ind w:left="0" w:leftChars="0"/>
                    <w:rPr>
                      <w:b/>
                      <w:bCs/>
                      <w:sz w:val="21"/>
                      <w:szCs w:val="21"/>
                      <w:u w:val="none"/>
                    </w:rPr>
                  </w:pPr>
                </w:p>
              </w:tc>
              <w:tc>
                <w:tcPr>
                  <w:tcW w:w="451" w:type="pct"/>
                  <w:vMerge w:val="continue"/>
                  <w:vAlign w:val="center"/>
                </w:tcPr>
                <w:p>
                  <w:pPr>
                    <w:pStyle w:val="37"/>
                    <w:ind w:left="0" w:leftChars="0"/>
                    <w:rPr>
                      <w:b/>
                      <w:bCs/>
                      <w:sz w:val="21"/>
                      <w:szCs w:val="21"/>
                      <w:u w:val="none"/>
                    </w:rPr>
                  </w:pPr>
                </w:p>
              </w:tc>
              <w:tc>
                <w:tcPr>
                  <w:tcW w:w="412" w:type="pct"/>
                  <w:vAlign w:val="center"/>
                </w:tcPr>
                <w:p>
                  <w:pPr>
                    <w:pStyle w:val="37"/>
                    <w:ind w:left="0" w:leftChars="0"/>
                    <w:rPr>
                      <w:b/>
                      <w:bCs/>
                      <w:sz w:val="21"/>
                      <w:szCs w:val="21"/>
                      <w:u w:val="none"/>
                    </w:rPr>
                  </w:pPr>
                  <w:r>
                    <w:rPr>
                      <w:rFonts w:hint="eastAsia"/>
                      <w:b/>
                      <w:bCs/>
                      <w:sz w:val="21"/>
                      <w:szCs w:val="21"/>
                      <w:u w:val="none"/>
                    </w:rPr>
                    <w:t>名称</w:t>
                  </w:r>
                </w:p>
              </w:tc>
              <w:tc>
                <w:tcPr>
                  <w:tcW w:w="668" w:type="pct"/>
                  <w:vAlign w:val="center"/>
                </w:tcPr>
                <w:p>
                  <w:pPr>
                    <w:pStyle w:val="37"/>
                    <w:ind w:left="0" w:leftChars="0"/>
                    <w:rPr>
                      <w:b/>
                      <w:bCs/>
                      <w:sz w:val="21"/>
                      <w:szCs w:val="21"/>
                      <w:u w:val="none"/>
                    </w:rPr>
                  </w:pPr>
                  <w:r>
                    <w:rPr>
                      <w:rFonts w:hint="eastAsia"/>
                      <w:b/>
                      <w:bCs/>
                      <w:sz w:val="21"/>
                      <w:szCs w:val="21"/>
                      <w:u w:val="none"/>
                    </w:rPr>
                    <w:t>污染因子</w:t>
                  </w:r>
                </w:p>
              </w:tc>
              <w:tc>
                <w:tcPr>
                  <w:tcW w:w="649" w:type="pct"/>
                  <w:vAlign w:val="center"/>
                </w:tcPr>
                <w:p>
                  <w:pPr>
                    <w:pStyle w:val="37"/>
                    <w:ind w:left="0" w:leftChars="0"/>
                    <w:rPr>
                      <w:b/>
                      <w:bCs/>
                      <w:sz w:val="21"/>
                      <w:szCs w:val="21"/>
                      <w:u w:val="none"/>
                    </w:rPr>
                  </w:pPr>
                  <w:r>
                    <w:rPr>
                      <w:rFonts w:hint="eastAsia"/>
                      <w:b/>
                      <w:bCs/>
                      <w:sz w:val="21"/>
                      <w:szCs w:val="21"/>
                      <w:u w:val="none"/>
                    </w:rPr>
                    <w:t>国家或地方污染物排放浓度限值（mg/L）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restart"/>
                  <w:vAlign w:val="center"/>
                </w:tcPr>
                <w:p>
                  <w:pPr>
                    <w:pStyle w:val="37"/>
                    <w:ind w:left="0" w:leftChars="0"/>
                    <w:rPr>
                      <w:rFonts w:hint="default" w:eastAsia="宋体"/>
                      <w:sz w:val="21"/>
                      <w:szCs w:val="21"/>
                      <w:u w:val="none"/>
                      <w:lang w:val="en-US" w:eastAsia="zh-CN"/>
                    </w:rPr>
                  </w:pPr>
                  <w:r>
                    <w:rPr>
                      <w:rFonts w:hint="eastAsia"/>
                      <w:lang w:val="en-US" w:eastAsia="zh-CN"/>
                    </w:rPr>
                    <w:t>DW001</w:t>
                  </w:r>
                </w:p>
              </w:tc>
              <w:tc>
                <w:tcPr>
                  <w:tcW w:w="604" w:type="pct"/>
                  <w:vMerge w:val="restart"/>
                  <w:vAlign w:val="center"/>
                </w:tcPr>
                <w:p>
                  <w:pPr>
                    <w:pStyle w:val="37"/>
                    <w:ind w:left="0" w:leftChars="0"/>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112</w:t>
                  </w:r>
                  <w:r>
                    <w:rPr>
                      <w:color w:val="000000" w:themeColor="text1"/>
                      <w:sz w:val="21"/>
                      <w:szCs w:val="21"/>
                      <w:u w:val="none"/>
                      <w14:textFill>
                        <w14:solidFill>
                          <w14:schemeClr w14:val="tx1"/>
                        </w14:solidFill>
                      </w14:textFill>
                    </w:rPr>
                    <w:t>°</w:t>
                  </w:r>
                  <w:r>
                    <w:rPr>
                      <w:rFonts w:hint="eastAsia"/>
                      <w:color w:val="000000" w:themeColor="text1"/>
                      <w:sz w:val="21"/>
                      <w:szCs w:val="21"/>
                      <w:u w:val="none"/>
                      <w14:textFill>
                        <w14:solidFill>
                          <w14:schemeClr w14:val="tx1"/>
                        </w14:solidFill>
                      </w14:textFill>
                    </w:rPr>
                    <w:t>54</w:t>
                  </w:r>
                  <w:r>
                    <w:rPr>
                      <w:color w:val="000000" w:themeColor="text1"/>
                      <w:sz w:val="21"/>
                      <w:szCs w:val="21"/>
                      <w:u w:val="none"/>
                      <w14:textFill>
                        <w14:solidFill>
                          <w14:schemeClr w14:val="tx1"/>
                        </w14:solidFill>
                      </w14:textFill>
                    </w:rPr>
                    <w:t>′</w:t>
                  </w:r>
                  <w:r>
                    <w:rPr>
                      <w:rFonts w:hint="eastAsia"/>
                      <w:color w:val="000000" w:themeColor="text1"/>
                      <w:sz w:val="21"/>
                      <w:szCs w:val="21"/>
                      <w:u w:val="none"/>
                      <w14:textFill>
                        <w14:solidFill>
                          <w14:schemeClr w14:val="tx1"/>
                        </w14:solidFill>
                      </w14:textFill>
                    </w:rPr>
                    <w:t>34</w:t>
                  </w:r>
                  <w:r>
                    <w:rPr>
                      <w:color w:val="000000" w:themeColor="text1"/>
                      <w:sz w:val="21"/>
                      <w:szCs w:val="21"/>
                      <w:u w:val="none"/>
                      <w14:textFill>
                        <w14:solidFill>
                          <w14:schemeClr w14:val="tx1"/>
                        </w14:solidFill>
                      </w14:textFill>
                    </w:rPr>
                    <w:t>.</w:t>
                  </w:r>
                  <w:r>
                    <w:rPr>
                      <w:rFonts w:hint="eastAsia"/>
                      <w:color w:val="000000" w:themeColor="text1"/>
                      <w:sz w:val="21"/>
                      <w:szCs w:val="21"/>
                      <w:u w:val="none"/>
                      <w14:textFill>
                        <w14:solidFill>
                          <w14:schemeClr w14:val="tx1"/>
                        </w14:solidFill>
                      </w14:textFill>
                    </w:rPr>
                    <w:t>798</w:t>
                  </w:r>
                  <w:r>
                    <w:rPr>
                      <w:color w:val="000000" w:themeColor="text1"/>
                      <w:sz w:val="21"/>
                      <w:szCs w:val="21"/>
                      <w:u w:val="none"/>
                      <w14:textFill>
                        <w14:solidFill>
                          <w14:schemeClr w14:val="tx1"/>
                        </w14:solidFill>
                      </w14:textFill>
                    </w:rPr>
                    <w:t>″</w:t>
                  </w:r>
                </w:p>
              </w:tc>
              <w:tc>
                <w:tcPr>
                  <w:tcW w:w="521" w:type="pct"/>
                  <w:vMerge w:val="restart"/>
                  <w:vAlign w:val="center"/>
                </w:tcPr>
                <w:p>
                  <w:pPr>
                    <w:pStyle w:val="37"/>
                    <w:ind w:left="0" w:leftChars="0"/>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28</w:t>
                  </w:r>
                  <w:r>
                    <w:rPr>
                      <w:color w:val="000000" w:themeColor="text1"/>
                      <w:sz w:val="21"/>
                      <w:szCs w:val="21"/>
                      <w:u w:val="none"/>
                      <w14:textFill>
                        <w14:solidFill>
                          <w14:schemeClr w14:val="tx1"/>
                        </w14:solidFill>
                      </w14:textFill>
                    </w:rPr>
                    <w:t>°</w:t>
                  </w:r>
                  <w:r>
                    <w:rPr>
                      <w:rFonts w:hint="eastAsia"/>
                      <w:color w:val="000000" w:themeColor="text1"/>
                      <w:sz w:val="21"/>
                      <w:szCs w:val="21"/>
                      <w:u w:val="none"/>
                      <w14:textFill>
                        <w14:solidFill>
                          <w14:schemeClr w14:val="tx1"/>
                        </w14:solidFill>
                      </w14:textFill>
                    </w:rPr>
                    <w:t>37</w:t>
                  </w:r>
                  <w:r>
                    <w:rPr>
                      <w:color w:val="000000" w:themeColor="text1"/>
                      <w:sz w:val="21"/>
                      <w:szCs w:val="21"/>
                      <w:u w:val="none"/>
                      <w14:textFill>
                        <w14:solidFill>
                          <w14:schemeClr w14:val="tx1"/>
                        </w14:solidFill>
                      </w14:textFill>
                    </w:rPr>
                    <w:t>′</w:t>
                  </w:r>
                  <w:r>
                    <w:rPr>
                      <w:rFonts w:hint="eastAsia"/>
                      <w:color w:val="000000" w:themeColor="text1"/>
                      <w:sz w:val="21"/>
                      <w:szCs w:val="21"/>
                      <w:u w:val="none"/>
                      <w14:textFill>
                        <w14:solidFill>
                          <w14:schemeClr w14:val="tx1"/>
                        </w14:solidFill>
                      </w14:textFill>
                    </w:rPr>
                    <w:t>52</w:t>
                  </w:r>
                  <w:r>
                    <w:rPr>
                      <w:color w:val="000000" w:themeColor="text1"/>
                      <w:sz w:val="21"/>
                      <w:szCs w:val="21"/>
                      <w:u w:val="none"/>
                      <w14:textFill>
                        <w14:solidFill>
                          <w14:schemeClr w14:val="tx1"/>
                        </w14:solidFill>
                      </w14:textFill>
                    </w:rPr>
                    <w:t>.</w:t>
                  </w:r>
                  <w:r>
                    <w:rPr>
                      <w:rFonts w:hint="eastAsia"/>
                      <w:color w:val="000000" w:themeColor="text1"/>
                      <w:sz w:val="21"/>
                      <w:szCs w:val="21"/>
                      <w:u w:val="none"/>
                      <w14:textFill>
                        <w14:solidFill>
                          <w14:schemeClr w14:val="tx1"/>
                        </w14:solidFill>
                      </w14:textFill>
                    </w:rPr>
                    <w:t>898</w:t>
                  </w:r>
                  <w:r>
                    <w:rPr>
                      <w:color w:val="000000" w:themeColor="text1"/>
                      <w:sz w:val="21"/>
                      <w:szCs w:val="21"/>
                      <w:u w:val="none"/>
                      <w14:textFill>
                        <w14:solidFill>
                          <w14:schemeClr w14:val="tx1"/>
                        </w14:solidFill>
                      </w14:textFill>
                    </w:rPr>
                    <w:t>″</w:t>
                  </w:r>
                </w:p>
              </w:tc>
              <w:tc>
                <w:tcPr>
                  <w:tcW w:w="353" w:type="pct"/>
                  <w:vMerge w:val="restart"/>
                  <w:vAlign w:val="center"/>
                </w:tcPr>
                <w:p>
                  <w:pPr>
                    <w:pStyle w:val="37"/>
                    <w:ind w:left="0" w:leftChars="0"/>
                    <w:rPr>
                      <w:rFonts w:hint="default" w:eastAsia="宋体"/>
                      <w:sz w:val="21"/>
                      <w:szCs w:val="21"/>
                      <w:u w:val="none"/>
                      <w:lang w:val="en-US" w:eastAsia="zh-CN"/>
                    </w:rPr>
                  </w:pPr>
                  <w:r>
                    <w:rPr>
                      <w:rFonts w:hint="eastAsia"/>
                      <w:sz w:val="21"/>
                      <w:szCs w:val="21"/>
                      <w:u w:val="none"/>
                      <w:lang w:val="en-US" w:eastAsia="zh-CN"/>
                    </w:rPr>
                    <w:t>558.72</w:t>
                  </w:r>
                </w:p>
              </w:tc>
              <w:tc>
                <w:tcPr>
                  <w:tcW w:w="383" w:type="pct"/>
                  <w:vMerge w:val="restart"/>
                  <w:vAlign w:val="center"/>
                </w:tcPr>
                <w:p>
                  <w:pPr>
                    <w:pStyle w:val="37"/>
                    <w:ind w:left="0" w:leftChars="0"/>
                    <w:rPr>
                      <w:sz w:val="21"/>
                      <w:szCs w:val="21"/>
                      <w:u w:val="none"/>
                    </w:rPr>
                  </w:pPr>
                  <w:r>
                    <w:rPr>
                      <w:rFonts w:hint="eastAsia"/>
                      <w:sz w:val="21"/>
                      <w:szCs w:val="21"/>
                      <w:u w:val="none"/>
                    </w:rPr>
                    <w:t>湘阴县第二污水处理厂</w:t>
                  </w:r>
                </w:p>
              </w:tc>
              <w:tc>
                <w:tcPr>
                  <w:tcW w:w="530" w:type="pct"/>
                  <w:vMerge w:val="restart"/>
                  <w:vAlign w:val="center"/>
                </w:tcPr>
                <w:p>
                  <w:pPr>
                    <w:pStyle w:val="37"/>
                    <w:ind w:left="0" w:leftChars="0"/>
                    <w:rPr>
                      <w:sz w:val="21"/>
                      <w:szCs w:val="21"/>
                      <w:u w:val="none"/>
                    </w:rPr>
                  </w:pPr>
                  <w:r>
                    <w:rPr>
                      <w:rFonts w:hint="eastAsia"/>
                      <w:sz w:val="21"/>
                      <w:szCs w:val="21"/>
                      <w:u w:val="none"/>
                    </w:rPr>
                    <w:t>间断排放，排放期间流量不稳定且无规律，但不属于冲击排放</w:t>
                  </w:r>
                </w:p>
              </w:tc>
              <w:tc>
                <w:tcPr>
                  <w:tcW w:w="451" w:type="pct"/>
                  <w:vMerge w:val="restart"/>
                  <w:vAlign w:val="center"/>
                </w:tcPr>
                <w:p>
                  <w:pPr>
                    <w:pStyle w:val="37"/>
                    <w:ind w:left="0" w:leftChars="0"/>
                    <w:rPr>
                      <w:sz w:val="21"/>
                      <w:szCs w:val="21"/>
                      <w:u w:val="none"/>
                    </w:rPr>
                  </w:pPr>
                  <w:r>
                    <w:rPr>
                      <w:rFonts w:hint="eastAsia"/>
                      <w:sz w:val="21"/>
                      <w:szCs w:val="21"/>
                      <w:u w:val="none"/>
                    </w:rPr>
                    <w:t>生产运行时</w:t>
                  </w:r>
                </w:p>
              </w:tc>
              <w:tc>
                <w:tcPr>
                  <w:tcW w:w="412" w:type="pct"/>
                  <w:vMerge w:val="restart"/>
                  <w:vAlign w:val="center"/>
                </w:tcPr>
                <w:p>
                  <w:pPr>
                    <w:pStyle w:val="37"/>
                    <w:ind w:left="0" w:leftChars="0"/>
                    <w:rPr>
                      <w:sz w:val="21"/>
                      <w:szCs w:val="21"/>
                      <w:u w:val="none"/>
                    </w:rPr>
                  </w:pPr>
                  <w:r>
                    <w:rPr>
                      <w:rFonts w:hint="eastAsia"/>
                      <w:sz w:val="21"/>
                      <w:szCs w:val="21"/>
                      <w:u w:val="none"/>
                    </w:rPr>
                    <w:t>湘阴县第二污水处理厂</w:t>
                  </w:r>
                </w:p>
              </w:tc>
              <w:tc>
                <w:tcPr>
                  <w:tcW w:w="668" w:type="pct"/>
                  <w:vAlign w:val="center"/>
                </w:tcPr>
                <w:p>
                  <w:pPr>
                    <w:pStyle w:val="37"/>
                    <w:ind w:left="0" w:leftChars="0"/>
                    <w:rPr>
                      <w:sz w:val="21"/>
                      <w:szCs w:val="21"/>
                      <w:u w:val="none"/>
                    </w:rPr>
                  </w:pPr>
                  <w:r>
                    <w:rPr>
                      <w:rFonts w:hint="eastAsia"/>
                      <w:sz w:val="21"/>
                      <w:szCs w:val="21"/>
                      <w:u w:val="none"/>
                    </w:rPr>
                    <w:t>pH</w:t>
                  </w:r>
                </w:p>
                <w:p>
                  <w:pPr>
                    <w:pStyle w:val="37"/>
                    <w:ind w:left="0" w:leftChars="0"/>
                    <w:rPr>
                      <w:sz w:val="21"/>
                      <w:szCs w:val="21"/>
                      <w:u w:val="none"/>
                    </w:rPr>
                  </w:pPr>
                  <w:r>
                    <w:rPr>
                      <w:rFonts w:hint="eastAsia"/>
                      <w:sz w:val="21"/>
                      <w:szCs w:val="21"/>
                      <w:u w:val="none"/>
                    </w:rPr>
                    <w:t>（无量纲）</w:t>
                  </w:r>
                </w:p>
              </w:tc>
              <w:tc>
                <w:tcPr>
                  <w:tcW w:w="649" w:type="pct"/>
                  <w:vAlign w:val="center"/>
                </w:tcPr>
                <w:p>
                  <w:pPr>
                    <w:pStyle w:val="37"/>
                    <w:ind w:left="0" w:leftChars="0"/>
                    <w:rPr>
                      <w:sz w:val="21"/>
                      <w:szCs w:val="21"/>
                      <w:u w:val="none"/>
                    </w:rPr>
                  </w:pPr>
                  <w:r>
                    <w:rPr>
                      <w:rFonts w:hint="eastAsia"/>
                      <w:sz w:val="21"/>
                      <w:szCs w:val="21"/>
                      <w:u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rPr>
                      <w:sz w:val="21"/>
                      <w:szCs w:val="21"/>
                      <w:u w:val="none"/>
                    </w:rPr>
                  </w:pPr>
                </w:p>
              </w:tc>
              <w:tc>
                <w:tcPr>
                  <w:tcW w:w="604" w:type="pct"/>
                  <w:vMerge w:val="continue"/>
                  <w:vAlign w:val="center"/>
                </w:tcPr>
                <w:p>
                  <w:pPr>
                    <w:pStyle w:val="37"/>
                    <w:ind w:left="0" w:leftChars="0"/>
                    <w:rPr>
                      <w:sz w:val="21"/>
                      <w:szCs w:val="21"/>
                      <w:u w:val="none"/>
                    </w:rPr>
                  </w:pPr>
                </w:p>
              </w:tc>
              <w:tc>
                <w:tcPr>
                  <w:tcW w:w="521" w:type="pct"/>
                  <w:vMerge w:val="continue"/>
                  <w:vAlign w:val="center"/>
                </w:tcPr>
                <w:p>
                  <w:pPr>
                    <w:pStyle w:val="37"/>
                    <w:ind w:left="0" w:leftChars="0"/>
                    <w:rPr>
                      <w:sz w:val="21"/>
                      <w:szCs w:val="21"/>
                      <w:u w:val="none"/>
                    </w:rPr>
                  </w:pPr>
                </w:p>
              </w:tc>
              <w:tc>
                <w:tcPr>
                  <w:tcW w:w="353" w:type="pct"/>
                  <w:vMerge w:val="continue"/>
                  <w:vAlign w:val="center"/>
                </w:tcPr>
                <w:p>
                  <w:pPr>
                    <w:pStyle w:val="37"/>
                    <w:ind w:left="0" w:leftChars="0"/>
                    <w:rPr>
                      <w:sz w:val="21"/>
                      <w:szCs w:val="21"/>
                      <w:u w:val="none"/>
                    </w:rPr>
                  </w:pPr>
                </w:p>
              </w:tc>
              <w:tc>
                <w:tcPr>
                  <w:tcW w:w="383" w:type="pct"/>
                  <w:vMerge w:val="continue"/>
                  <w:vAlign w:val="center"/>
                </w:tcPr>
                <w:p>
                  <w:pPr>
                    <w:pStyle w:val="37"/>
                    <w:ind w:left="0" w:leftChars="0"/>
                    <w:rPr>
                      <w:sz w:val="21"/>
                      <w:szCs w:val="21"/>
                      <w:u w:val="none"/>
                    </w:rPr>
                  </w:pPr>
                </w:p>
              </w:tc>
              <w:tc>
                <w:tcPr>
                  <w:tcW w:w="530" w:type="pct"/>
                  <w:vMerge w:val="continue"/>
                  <w:vAlign w:val="center"/>
                </w:tcPr>
                <w:p>
                  <w:pPr>
                    <w:pStyle w:val="37"/>
                    <w:ind w:left="0" w:leftChars="0"/>
                    <w:rPr>
                      <w:sz w:val="21"/>
                      <w:szCs w:val="21"/>
                      <w:u w:val="none"/>
                    </w:rPr>
                  </w:pPr>
                </w:p>
              </w:tc>
              <w:tc>
                <w:tcPr>
                  <w:tcW w:w="451" w:type="pct"/>
                  <w:vMerge w:val="continue"/>
                  <w:vAlign w:val="center"/>
                </w:tcPr>
                <w:p>
                  <w:pPr>
                    <w:pStyle w:val="37"/>
                    <w:ind w:left="0" w:leftChars="0"/>
                    <w:rPr>
                      <w:sz w:val="21"/>
                      <w:szCs w:val="21"/>
                      <w:u w:val="none"/>
                    </w:rPr>
                  </w:pPr>
                </w:p>
              </w:tc>
              <w:tc>
                <w:tcPr>
                  <w:tcW w:w="412" w:type="pct"/>
                  <w:vMerge w:val="continue"/>
                  <w:vAlign w:val="center"/>
                </w:tcPr>
                <w:p>
                  <w:pPr>
                    <w:pStyle w:val="37"/>
                    <w:ind w:left="0" w:leftChars="0"/>
                    <w:rPr>
                      <w:sz w:val="21"/>
                      <w:szCs w:val="21"/>
                      <w:u w:val="none"/>
                    </w:rPr>
                  </w:pPr>
                </w:p>
              </w:tc>
              <w:tc>
                <w:tcPr>
                  <w:tcW w:w="668" w:type="pct"/>
                  <w:vAlign w:val="center"/>
                </w:tcPr>
                <w:p>
                  <w:pPr>
                    <w:pStyle w:val="37"/>
                    <w:ind w:left="0" w:leftChars="0"/>
                    <w:rPr>
                      <w:sz w:val="21"/>
                      <w:szCs w:val="21"/>
                      <w:u w:val="none"/>
                    </w:rPr>
                  </w:pPr>
                  <w:r>
                    <w:rPr>
                      <w:rFonts w:hint="eastAsia"/>
                      <w:sz w:val="21"/>
                      <w:szCs w:val="21"/>
                      <w:u w:val="none"/>
                    </w:rPr>
                    <w:t>SS</w:t>
                  </w:r>
                </w:p>
              </w:tc>
              <w:tc>
                <w:tcPr>
                  <w:tcW w:w="649" w:type="pct"/>
                  <w:vAlign w:val="center"/>
                </w:tcPr>
                <w:p>
                  <w:pPr>
                    <w:pStyle w:val="37"/>
                    <w:ind w:left="0" w:leftChars="0"/>
                    <w:rPr>
                      <w:sz w:val="21"/>
                      <w:szCs w:val="21"/>
                      <w:u w:val="none"/>
                    </w:rPr>
                  </w:pPr>
                  <w:r>
                    <w:rPr>
                      <w:rFonts w:hint="eastAsia"/>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rPr>
                      <w:sz w:val="21"/>
                      <w:szCs w:val="21"/>
                      <w:u w:val="none"/>
                    </w:rPr>
                  </w:pPr>
                </w:p>
              </w:tc>
              <w:tc>
                <w:tcPr>
                  <w:tcW w:w="604" w:type="pct"/>
                  <w:vMerge w:val="continue"/>
                  <w:vAlign w:val="center"/>
                </w:tcPr>
                <w:p>
                  <w:pPr>
                    <w:pStyle w:val="37"/>
                    <w:ind w:left="0" w:leftChars="0"/>
                    <w:rPr>
                      <w:sz w:val="21"/>
                      <w:szCs w:val="21"/>
                      <w:u w:val="none"/>
                    </w:rPr>
                  </w:pPr>
                </w:p>
              </w:tc>
              <w:tc>
                <w:tcPr>
                  <w:tcW w:w="521" w:type="pct"/>
                  <w:vMerge w:val="continue"/>
                  <w:vAlign w:val="center"/>
                </w:tcPr>
                <w:p>
                  <w:pPr>
                    <w:pStyle w:val="37"/>
                    <w:ind w:left="0" w:leftChars="0"/>
                    <w:rPr>
                      <w:sz w:val="21"/>
                      <w:szCs w:val="21"/>
                      <w:u w:val="none"/>
                    </w:rPr>
                  </w:pPr>
                </w:p>
              </w:tc>
              <w:tc>
                <w:tcPr>
                  <w:tcW w:w="353" w:type="pct"/>
                  <w:vMerge w:val="continue"/>
                  <w:vAlign w:val="center"/>
                </w:tcPr>
                <w:p>
                  <w:pPr>
                    <w:pStyle w:val="37"/>
                    <w:ind w:left="0" w:leftChars="0"/>
                    <w:rPr>
                      <w:sz w:val="21"/>
                      <w:szCs w:val="21"/>
                      <w:u w:val="none"/>
                    </w:rPr>
                  </w:pPr>
                </w:p>
              </w:tc>
              <w:tc>
                <w:tcPr>
                  <w:tcW w:w="383" w:type="pct"/>
                  <w:vMerge w:val="continue"/>
                  <w:vAlign w:val="center"/>
                </w:tcPr>
                <w:p>
                  <w:pPr>
                    <w:pStyle w:val="37"/>
                    <w:ind w:left="0" w:leftChars="0"/>
                    <w:rPr>
                      <w:sz w:val="21"/>
                      <w:szCs w:val="21"/>
                      <w:u w:val="none"/>
                    </w:rPr>
                  </w:pPr>
                </w:p>
              </w:tc>
              <w:tc>
                <w:tcPr>
                  <w:tcW w:w="530" w:type="pct"/>
                  <w:vMerge w:val="continue"/>
                  <w:vAlign w:val="center"/>
                </w:tcPr>
                <w:p>
                  <w:pPr>
                    <w:pStyle w:val="37"/>
                    <w:ind w:left="0" w:leftChars="0"/>
                    <w:rPr>
                      <w:sz w:val="21"/>
                      <w:szCs w:val="21"/>
                      <w:u w:val="none"/>
                    </w:rPr>
                  </w:pPr>
                </w:p>
              </w:tc>
              <w:tc>
                <w:tcPr>
                  <w:tcW w:w="451" w:type="pct"/>
                  <w:vMerge w:val="continue"/>
                  <w:vAlign w:val="center"/>
                </w:tcPr>
                <w:p>
                  <w:pPr>
                    <w:pStyle w:val="37"/>
                    <w:ind w:left="0" w:leftChars="0"/>
                    <w:rPr>
                      <w:sz w:val="21"/>
                      <w:szCs w:val="21"/>
                      <w:u w:val="none"/>
                    </w:rPr>
                  </w:pPr>
                </w:p>
              </w:tc>
              <w:tc>
                <w:tcPr>
                  <w:tcW w:w="412" w:type="pct"/>
                  <w:vMerge w:val="continue"/>
                  <w:vAlign w:val="center"/>
                </w:tcPr>
                <w:p>
                  <w:pPr>
                    <w:pStyle w:val="37"/>
                    <w:ind w:left="0" w:leftChars="0"/>
                    <w:rPr>
                      <w:sz w:val="21"/>
                      <w:szCs w:val="21"/>
                      <w:u w:val="none"/>
                    </w:rPr>
                  </w:pPr>
                </w:p>
              </w:tc>
              <w:tc>
                <w:tcPr>
                  <w:tcW w:w="668" w:type="pct"/>
                  <w:vAlign w:val="center"/>
                </w:tcPr>
                <w:p>
                  <w:pPr>
                    <w:pStyle w:val="37"/>
                    <w:ind w:left="0" w:leftChars="0"/>
                    <w:rPr>
                      <w:sz w:val="21"/>
                      <w:szCs w:val="21"/>
                      <w:u w:val="none"/>
                    </w:rPr>
                  </w:pPr>
                  <w:r>
                    <w:rPr>
                      <w:rFonts w:hint="eastAsia"/>
                      <w:sz w:val="21"/>
                      <w:szCs w:val="21"/>
                      <w:u w:val="none"/>
                    </w:rPr>
                    <w:t>CODcr</w:t>
                  </w:r>
                </w:p>
              </w:tc>
              <w:tc>
                <w:tcPr>
                  <w:tcW w:w="649" w:type="pct"/>
                  <w:vAlign w:val="center"/>
                </w:tcPr>
                <w:p>
                  <w:pPr>
                    <w:pStyle w:val="37"/>
                    <w:ind w:left="0" w:leftChars="0"/>
                    <w:rPr>
                      <w:sz w:val="21"/>
                      <w:szCs w:val="21"/>
                      <w:u w:val="none"/>
                    </w:rPr>
                  </w:pPr>
                  <w:r>
                    <w:rPr>
                      <w:rFonts w:hint="eastAsia"/>
                      <w:sz w:val="21"/>
                      <w:szCs w:val="21"/>
                      <w:u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rPr>
                      <w:sz w:val="21"/>
                      <w:szCs w:val="21"/>
                      <w:u w:val="none"/>
                    </w:rPr>
                  </w:pPr>
                </w:p>
              </w:tc>
              <w:tc>
                <w:tcPr>
                  <w:tcW w:w="604" w:type="pct"/>
                  <w:vMerge w:val="continue"/>
                  <w:vAlign w:val="center"/>
                </w:tcPr>
                <w:p>
                  <w:pPr>
                    <w:pStyle w:val="37"/>
                    <w:ind w:left="0" w:leftChars="0"/>
                    <w:rPr>
                      <w:sz w:val="21"/>
                      <w:szCs w:val="21"/>
                      <w:u w:val="none"/>
                    </w:rPr>
                  </w:pPr>
                </w:p>
              </w:tc>
              <w:tc>
                <w:tcPr>
                  <w:tcW w:w="521" w:type="pct"/>
                  <w:vMerge w:val="continue"/>
                  <w:vAlign w:val="center"/>
                </w:tcPr>
                <w:p>
                  <w:pPr>
                    <w:pStyle w:val="37"/>
                    <w:ind w:left="0" w:leftChars="0"/>
                    <w:rPr>
                      <w:sz w:val="21"/>
                      <w:szCs w:val="21"/>
                      <w:u w:val="none"/>
                    </w:rPr>
                  </w:pPr>
                </w:p>
              </w:tc>
              <w:tc>
                <w:tcPr>
                  <w:tcW w:w="353" w:type="pct"/>
                  <w:vMerge w:val="continue"/>
                  <w:vAlign w:val="center"/>
                </w:tcPr>
                <w:p>
                  <w:pPr>
                    <w:pStyle w:val="37"/>
                    <w:ind w:left="0" w:leftChars="0"/>
                    <w:rPr>
                      <w:sz w:val="21"/>
                      <w:szCs w:val="21"/>
                      <w:u w:val="none"/>
                    </w:rPr>
                  </w:pPr>
                </w:p>
              </w:tc>
              <w:tc>
                <w:tcPr>
                  <w:tcW w:w="383" w:type="pct"/>
                  <w:vMerge w:val="continue"/>
                  <w:vAlign w:val="center"/>
                </w:tcPr>
                <w:p>
                  <w:pPr>
                    <w:pStyle w:val="37"/>
                    <w:ind w:left="0" w:leftChars="0"/>
                    <w:rPr>
                      <w:sz w:val="21"/>
                      <w:szCs w:val="21"/>
                      <w:u w:val="none"/>
                    </w:rPr>
                  </w:pPr>
                </w:p>
              </w:tc>
              <w:tc>
                <w:tcPr>
                  <w:tcW w:w="530" w:type="pct"/>
                  <w:vMerge w:val="continue"/>
                  <w:vAlign w:val="center"/>
                </w:tcPr>
                <w:p>
                  <w:pPr>
                    <w:pStyle w:val="37"/>
                    <w:ind w:left="0" w:leftChars="0"/>
                    <w:rPr>
                      <w:sz w:val="21"/>
                      <w:szCs w:val="21"/>
                      <w:u w:val="none"/>
                    </w:rPr>
                  </w:pPr>
                </w:p>
              </w:tc>
              <w:tc>
                <w:tcPr>
                  <w:tcW w:w="451" w:type="pct"/>
                  <w:vMerge w:val="continue"/>
                  <w:vAlign w:val="center"/>
                </w:tcPr>
                <w:p>
                  <w:pPr>
                    <w:pStyle w:val="37"/>
                    <w:ind w:left="0" w:leftChars="0"/>
                    <w:rPr>
                      <w:sz w:val="21"/>
                      <w:szCs w:val="21"/>
                      <w:u w:val="none"/>
                    </w:rPr>
                  </w:pPr>
                </w:p>
              </w:tc>
              <w:tc>
                <w:tcPr>
                  <w:tcW w:w="412" w:type="pct"/>
                  <w:vMerge w:val="continue"/>
                  <w:vAlign w:val="center"/>
                </w:tcPr>
                <w:p>
                  <w:pPr>
                    <w:pStyle w:val="37"/>
                    <w:ind w:left="0" w:leftChars="0"/>
                    <w:rPr>
                      <w:sz w:val="21"/>
                      <w:szCs w:val="21"/>
                      <w:u w:val="none"/>
                    </w:rPr>
                  </w:pPr>
                </w:p>
              </w:tc>
              <w:tc>
                <w:tcPr>
                  <w:tcW w:w="668" w:type="pct"/>
                  <w:vAlign w:val="center"/>
                </w:tcPr>
                <w:p>
                  <w:pPr>
                    <w:pStyle w:val="37"/>
                    <w:ind w:left="0" w:leftChars="0"/>
                    <w:rPr>
                      <w:sz w:val="21"/>
                      <w:szCs w:val="21"/>
                      <w:u w:val="none"/>
                    </w:rPr>
                  </w:pPr>
                  <w:r>
                    <w:rPr>
                      <w:rFonts w:hint="eastAsia"/>
                      <w:sz w:val="21"/>
                      <w:szCs w:val="21"/>
                      <w:u w:val="none"/>
                    </w:rPr>
                    <w:t>BOD</w:t>
                  </w:r>
                  <w:r>
                    <w:rPr>
                      <w:rFonts w:hint="eastAsia"/>
                      <w:sz w:val="21"/>
                      <w:szCs w:val="21"/>
                      <w:u w:val="none"/>
                      <w:vertAlign w:val="subscript"/>
                    </w:rPr>
                    <w:t>5</w:t>
                  </w:r>
                </w:p>
              </w:tc>
              <w:tc>
                <w:tcPr>
                  <w:tcW w:w="649" w:type="pct"/>
                  <w:vAlign w:val="center"/>
                </w:tcPr>
                <w:p>
                  <w:pPr>
                    <w:pStyle w:val="37"/>
                    <w:ind w:left="0" w:leftChars="0"/>
                    <w:rPr>
                      <w:sz w:val="21"/>
                      <w:szCs w:val="21"/>
                      <w:u w:val="none"/>
                    </w:rPr>
                  </w:pPr>
                  <w:r>
                    <w:rPr>
                      <w:rFonts w:hint="eastAsia"/>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rPr>
                      <w:sz w:val="21"/>
                      <w:szCs w:val="21"/>
                      <w:u w:val="none"/>
                    </w:rPr>
                  </w:pPr>
                </w:p>
              </w:tc>
              <w:tc>
                <w:tcPr>
                  <w:tcW w:w="604" w:type="pct"/>
                  <w:vMerge w:val="continue"/>
                  <w:vAlign w:val="center"/>
                </w:tcPr>
                <w:p>
                  <w:pPr>
                    <w:pStyle w:val="37"/>
                    <w:ind w:left="0" w:leftChars="0"/>
                    <w:rPr>
                      <w:sz w:val="21"/>
                      <w:szCs w:val="21"/>
                      <w:u w:val="none"/>
                    </w:rPr>
                  </w:pPr>
                </w:p>
              </w:tc>
              <w:tc>
                <w:tcPr>
                  <w:tcW w:w="521" w:type="pct"/>
                  <w:vMerge w:val="continue"/>
                  <w:vAlign w:val="center"/>
                </w:tcPr>
                <w:p>
                  <w:pPr>
                    <w:pStyle w:val="37"/>
                    <w:ind w:left="0" w:leftChars="0"/>
                    <w:rPr>
                      <w:sz w:val="21"/>
                      <w:szCs w:val="21"/>
                      <w:u w:val="none"/>
                    </w:rPr>
                  </w:pPr>
                </w:p>
              </w:tc>
              <w:tc>
                <w:tcPr>
                  <w:tcW w:w="353" w:type="pct"/>
                  <w:vMerge w:val="continue"/>
                  <w:vAlign w:val="center"/>
                </w:tcPr>
                <w:p>
                  <w:pPr>
                    <w:pStyle w:val="37"/>
                    <w:ind w:left="0" w:leftChars="0"/>
                    <w:rPr>
                      <w:sz w:val="21"/>
                      <w:szCs w:val="21"/>
                      <w:u w:val="none"/>
                    </w:rPr>
                  </w:pPr>
                </w:p>
              </w:tc>
              <w:tc>
                <w:tcPr>
                  <w:tcW w:w="383" w:type="pct"/>
                  <w:vMerge w:val="continue"/>
                  <w:vAlign w:val="center"/>
                </w:tcPr>
                <w:p>
                  <w:pPr>
                    <w:pStyle w:val="37"/>
                    <w:ind w:left="0" w:leftChars="0"/>
                    <w:rPr>
                      <w:sz w:val="21"/>
                      <w:szCs w:val="21"/>
                      <w:u w:val="none"/>
                    </w:rPr>
                  </w:pPr>
                </w:p>
              </w:tc>
              <w:tc>
                <w:tcPr>
                  <w:tcW w:w="530" w:type="pct"/>
                  <w:vMerge w:val="continue"/>
                  <w:vAlign w:val="center"/>
                </w:tcPr>
                <w:p>
                  <w:pPr>
                    <w:pStyle w:val="37"/>
                    <w:ind w:left="0" w:leftChars="0"/>
                    <w:rPr>
                      <w:sz w:val="21"/>
                      <w:szCs w:val="21"/>
                      <w:u w:val="none"/>
                    </w:rPr>
                  </w:pPr>
                </w:p>
              </w:tc>
              <w:tc>
                <w:tcPr>
                  <w:tcW w:w="451" w:type="pct"/>
                  <w:vMerge w:val="continue"/>
                  <w:vAlign w:val="center"/>
                </w:tcPr>
                <w:p>
                  <w:pPr>
                    <w:pStyle w:val="37"/>
                    <w:ind w:left="0" w:leftChars="0"/>
                    <w:rPr>
                      <w:sz w:val="21"/>
                      <w:szCs w:val="21"/>
                      <w:u w:val="none"/>
                    </w:rPr>
                  </w:pPr>
                </w:p>
              </w:tc>
              <w:tc>
                <w:tcPr>
                  <w:tcW w:w="412" w:type="pct"/>
                  <w:vMerge w:val="continue"/>
                  <w:vAlign w:val="center"/>
                </w:tcPr>
                <w:p>
                  <w:pPr>
                    <w:pStyle w:val="37"/>
                    <w:ind w:left="0" w:leftChars="0"/>
                    <w:rPr>
                      <w:sz w:val="21"/>
                      <w:szCs w:val="21"/>
                      <w:u w:val="none"/>
                    </w:rPr>
                  </w:pPr>
                </w:p>
              </w:tc>
              <w:tc>
                <w:tcPr>
                  <w:tcW w:w="668" w:type="pct"/>
                  <w:vAlign w:val="center"/>
                </w:tcPr>
                <w:p>
                  <w:pPr>
                    <w:pStyle w:val="37"/>
                    <w:ind w:left="0" w:leftChars="0"/>
                    <w:rPr>
                      <w:sz w:val="21"/>
                      <w:szCs w:val="21"/>
                      <w:u w:val="none"/>
                    </w:rPr>
                  </w:pPr>
                  <w:r>
                    <w:rPr>
                      <w:rFonts w:hint="eastAsia"/>
                      <w:sz w:val="21"/>
                      <w:szCs w:val="21"/>
                      <w:u w:val="none"/>
                    </w:rPr>
                    <w:t>NH</w:t>
                  </w:r>
                  <w:r>
                    <w:rPr>
                      <w:rFonts w:hint="eastAsia"/>
                      <w:sz w:val="21"/>
                      <w:szCs w:val="21"/>
                      <w:u w:val="none"/>
                      <w:vertAlign w:val="subscript"/>
                    </w:rPr>
                    <w:t>3</w:t>
                  </w:r>
                  <w:r>
                    <w:rPr>
                      <w:rFonts w:hint="eastAsia"/>
                      <w:sz w:val="21"/>
                      <w:szCs w:val="21"/>
                      <w:u w:val="none"/>
                    </w:rPr>
                    <w:t>-N</w:t>
                  </w:r>
                </w:p>
              </w:tc>
              <w:tc>
                <w:tcPr>
                  <w:tcW w:w="649" w:type="pct"/>
                  <w:vAlign w:val="center"/>
                </w:tcPr>
                <w:p>
                  <w:pPr>
                    <w:pStyle w:val="37"/>
                    <w:ind w:left="0" w:leftChars="0"/>
                    <w:rPr>
                      <w:sz w:val="21"/>
                      <w:szCs w:val="21"/>
                      <w:u w:val="none"/>
                    </w:rPr>
                  </w:pPr>
                  <w:r>
                    <w:rPr>
                      <w:rFonts w:hint="eastAsia"/>
                      <w:sz w:val="21"/>
                      <w:szCs w:val="21"/>
                      <w:u w:val="none"/>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4" w:type="pct"/>
                  <w:vMerge w:val="continue"/>
                  <w:vAlign w:val="center"/>
                </w:tcPr>
                <w:p>
                  <w:pPr>
                    <w:pStyle w:val="37"/>
                    <w:ind w:left="0" w:leftChars="0"/>
                    <w:rPr>
                      <w:sz w:val="21"/>
                      <w:szCs w:val="21"/>
                      <w:u w:val="none"/>
                    </w:rPr>
                  </w:pPr>
                </w:p>
              </w:tc>
              <w:tc>
                <w:tcPr>
                  <w:tcW w:w="604" w:type="pct"/>
                  <w:vMerge w:val="continue"/>
                  <w:vAlign w:val="center"/>
                </w:tcPr>
                <w:p>
                  <w:pPr>
                    <w:pStyle w:val="37"/>
                    <w:ind w:left="0" w:leftChars="0"/>
                    <w:rPr>
                      <w:sz w:val="21"/>
                      <w:szCs w:val="21"/>
                      <w:u w:val="none"/>
                    </w:rPr>
                  </w:pPr>
                </w:p>
              </w:tc>
              <w:tc>
                <w:tcPr>
                  <w:tcW w:w="521" w:type="pct"/>
                  <w:vMerge w:val="continue"/>
                  <w:vAlign w:val="center"/>
                </w:tcPr>
                <w:p>
                  <w:pPr>
                    <w:pStyle w:val="37"/>
                    <w:ind w:left="0" w:leftChars="0"/>
                    <w:rPr>
                      <w:sz w:val="21"/>
                      <w:szCs w:val="21"/>
                      <w:u w:val="none"/>
                    </w:rPr>
                  </w:pPr>
                </w:p>
              </w:tc>
              <w:tc>
                <w:tcPr>
                  <w:tcW w:w="353" w:type="pct"/>
                  <w:vMerge w:val="continue"/>
                  <w:vAlign w:val="center"/>
                </w:tcPr>
                <w:p>
                  <w:pPr>
                    <w:pStyle w:val="37"/>
                    <w:ind w:left="0" w:leftChars="0"/>
                    <w:rPr>
                      <w:sz w:val="21"/>
                      <w:szCs w:val="21"/>
                      <w:u w:val="none"/>
                    </w:rPr>
                  </w:pPr>
                </w:p>
              </w:tc>
              <w:tc>
                <w:tcPr>
                  <w:tcW w:w="383" w:type="pct"/>
                  <w:vMerge w:val="continue"/>
                  <w:vAlign w:val="center"/>
                </w:tcPr>
                <w:p>
                  <w:pPr>
                    <w:pStyle w:val="37"/>
                    <w:ind w:left="0" w:leftChars="0"/>
                    <w:rPr>
                      <w:sz w:val="21"/>
                      <w:szCs w:val="21"/>
                      <w:u w:val="none"/>
                    </w:rPr>
                  </w:pPr>
                </w:p>
              </w:tc>
              <w:tc>
                <w:tcPr>
                  <w:tcW w:w="530" w:type="pct"/>
                  <w:vMerge w:val="continue"/>
                  <w:vAlign w:val="center"/>
                </w:tcPr>
                <w:p>
                  <w:pPr>
                    <w:pStyle w:val="37"/>
                    <w:ind w:left="0" w:leftChars="0"/>
                    <w:rPr>
                      <w:sz w:val="21"/>
                      <w:szCs w:val="21"/>
                      <w:u w:val="none"/>
                    </w:rPr>
                  </w:pPr>
                </w:p>
              </w:tc>
              <w:tc>
                <w:tcPr>
                  <w:tcW w:w="451" w:type="pct"/>
                  <w:vMerge w:val="continue"/>
                  <w:vAlign w:val="center"/>
                </w:tcPr>
                <w:p>
                  <w:pPr>
                    <w:pStyle w:val="37"/>
                    <w:ind w:left="0" w:leftChars="0"/>
                    <w:rPr>
                      <w:sz w:val="21"/>
                      <w:szCs w:val="21"/>
                      <w:u w:val="none"/>
                    </w:rPr>
                  </w:pPr>
                </w:p>
              </w:tc>
              <w:tc>
                <w:tcPr>
                  <w:tcW w:w="412" w:type="pct"/>
                  <w:vMerge w:val="continue"/>
                  <w:vAlign w:val="center"/>
                </w:tcPr>
                <w:p>
                  <w:pPr>
                    <w:pStyle w:val="37"/>
                    <w:ind w:left="0" w:leftChars="0"/>
                    <w:rPr>
                      <w:sz w:val="21"/>
                      <w:szCs w:val="21"/>
                      <w:u w:val="none"/>
                    </w:rPr>
                  </w:pPr>
                </w:p>
              </w:tc>
              <w:tc>
                <w:tcPr>
                  <w:tcW w:w="668" w:type="pct"/>
                  <w:vAlign w:val="center"/>
                </w:tcPr>
                <w:p>
                  <w:pPr>
                    <w:pStyle w:val="37"/>
                    <w:ind w:left="0" w:leftChars="0"/>
                    <w:rPr>
                      <w:sz w:val="21"/>
                      <w:szCs w:val="21"/>
                      <w:u w:val="none"/>
                    </w:rPr>
                  </w:pPr>
                  <w:r>
                    <w:rPr>
                      <w:rFonts w:hint="eastAsia"/>
                      <w:sz w:val="21"/>
                      <w:szCs w:val="21"/>
                      <w:u w:val="none"/>
                    </w:rPr>
                    <w:t>动植物油</w:t>
                  </w:r>
                </w:p>
              </w:tc>
              <w:tc>
                <w:tcPr>
                  <w:tcW w:w="649" w:type="pct"/>
                  <w:vAlign w:val="center"/>
                </w:tcPr>
                <w:p>
                  <w:pPr>
                    <w:pStyle w:val="37"/>
                    <w:ind w:left="0" w:leftChars="0"/>
                    <w:rPr>
                      <w:sz w:val="21"/>
                      <w:szCs w:val="21"/>
                      <w:u w:val="none"/>
                    </w:rPr>
                  </w:pPr>
                  <w:r>
                    <w:rPr>
                      <w:rFonts w:hint="eastAsia"/>
                      <w:sz w:val="21"/>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10"/>
                  <w:vAlign w:val="center"/>
                </w:tcPr>
                <w:p>
                  <w:pPr>
                    <w:pStyle w:val="37"/>
                    <w:ind w:left="0" w:leftChars="0"/>
                    <w:jc w:val="both"/>
                    <w:rPr>
                      <w:rFonts w:hint="eastAsia" w:eastAsia="宋体"/>
                      <w:sz w:val="21"/>
                      <w:szCs w:val="21"/>
                      <w:u w:val="none"/>
                      <w:lang w:val="en-US" w:eastAsia="zh-CN"/>
                    </w:rPr>
                  </w:pPr>
                  <w:r>
                    <w:rPr>
                      <w:rFonts w:hint="eastAsia"/>
                      <w:sz w:val="21"/>
                      <w:szCs w:val="21"/>
                      <w:u w:val="none"/>
                      <w:lang w:val="en-US" w:eastAsia="zh-CN"/>
                    </w:rPr>
                    <w:t>备注：本项目DW001综合废水排放口依托租赁厂房。</w:t>
                  </w:r>
                </w:p>
              </w:tc>
            </w:tr>
          </w:tbl>
          <w:p>
            <w:pPr>
              <w:ind w:firstLine="480"/>
              <w:rPr>
                <w:u w:val="none"/>
              </w:rPr>
            </w:pPr>
            <w:r>
              <w:rPr>
                <w:rFonts w:hint="eastAsia"/>
                <w:u w:val="none"/>
              </w:rPr>
              <w:t>（4）自行监测计划</w:t>
            </w:r>
          </w:p>
          <w:p>
            <w:pPr>
              <w:pStyle w:val="58"/>
              <w:keepNext w:val="0"/>
              <w:keepLines/>
              <w:pageBreakBefore w:val="0"/>
              <w:widowControl w:val="0"/>
              <w:kinsoku/>
              <w:wordWrap/>
              <w:overflowPunct/>
              <w:topLinePunct w:val="0"/>
              <w:autoSpaceDE w:val="0"/>
              <w:autoSpaceDN w:val="0"/>
              <w:bidi w:val="0"/>
              <w:adjustRightInd/>
              <w:snapToGrid/>
              <w:ind w:left="0" w:leftChars="0" w:firstLine="480" w:firstLineChars="200"/>
              <w:jc w:val="left"/>
              <w:textAlignment w:val="auto"/>
              <w:rPr>
                <w:rFonts w:hint="eastAsia"/>
                <w:u w:val="none"/>
                <w:lang w:eastAsia="zh-CN"/>
              </w:rPr>
            </w:pPr>
            <w:r>
              <w:rPr>
                <w:rFonts w:hint="eastAsia"/>
                <w:u w:val="none"/>
              </w:rPr>
              <w:t>根据《排污许可证申请与核发技术规范 橡胶和塑料制品工业》（HJ1122-2020）</w:t>
            </w:r>
            <w:r>
              <w:rPr>
                <w:rFonts w:hint="eastAsia"/>
                <w:u w:val="none"/>
                <w:lang w:eastAsia="zh-CN"/>
              </w:rPr>
              <w:t>、《</w:t>
            </w:r>
            <w:r>
              <w:rPr>
                <w:rFonts w:hint="eastAsia"/>
                <w:u w:val="none"/>
              </w:rPr>
              <w:t>排污单位自行监测技术指南 橡胶和塑料制品（HJ1207-2021）</w:t>
            </w:r>
            <w:r>
              <w:rPr>
                <w:rFonts w:hint="eastAsia"/>
                <w:u w:val="none"/>
                <w:lang w:val="en-US" w:eastAsia="zh-CN"/>
              </w:rPr>
              <w:t>及</w:t>
            </w:r>
            <w:r>
              <w:rPr>
                <w:rFonts w:hint="eastAsia"/>
                <w:u w:val="none"/>
              </w:rPr>
              <w:t>《排污单位自行监测技术指南 总则》（HJ 819-2017）的要求对项目的日常监测要求见下表</w:t>
            </w:r>
            <w:r>
              <w:rPr>
                <w:rFonts w:hint="eastAsia"/>
                <w:u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eastAsia"/>
                <w:b/>
                <w:bCs/>
                <w:color w:val="auto"/>
                <w:highlight w:val="none"/>
                <w:u w:val="none"/>
                <w:lang w:val="en-US" w:eastAsia="zh-CN"/>
              </w:rPr>
            </w:pPr>
            <w:r>
              <w:rPr>
                <w:rFonts w:hint="eastAsia"/>
                <w:b/>
                <w:bCs/>
                <w:color w:val="auto"/>
                <w:highlight w:val="none"/>
                <w:u w:val="none"/>
                <w:lang w:val="en-US" w:eastAsia="zh-CN"/>
              </w:rPr>
              <w:t>表4-5 自行监测信息表</w:t>
            </w:r>
          </w:p>
          <w:tbl>
            <w:tblPr>
              <w:tblStyle w:val="2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849"/>
              <w:gridCol w:w="2406"/>
              <w:gridCol w:w="1284"/>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u w:val="none"/>
                      <w:vertAlign w:val="baseline"/>
                      <w:lang w:val="en-US" w:eastAsia="zh-CN"/>
                    </w:rPr>
                  </w:pPr>
                  <w:r>
                    <w:rPr>
                      <w:rFonts w:hint="default" w:ascii="Times New Roman" w:hAnsi="Times New Roman" w:eastAsia="宋体" w:cs="Times New Roman"/>
                      <w:b/>
                      <w:bCs/>
                      <w:color w:val="auto"/>
                      <w:sz w:val="21"/>
                      <w:szCs w:val="21"/>
                      <w:highlight w:val="none"/>
                      <w:u w:val="none"/>
                      <w:vertAlign w:val="baseline"/>
                      <w:lang w:val="en-US" w:eastAsia="zh-CN"/>
                    </w:rPr>
                    <w:t>排放口（监测点位）编号</w:t>
                  </w:r>
                </w:p>
              </w:tc>
              <w:tc>
                <w:tcPr>
                  <w:tcW w:w="18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u w:val="none"/>
                      <w:vertAlign w:val="baseline"/>
                      <w:lang w:val="en-US" w:eastAsia="zh-CN"/>
                    </w:rPr>
                  </w:pPr>
                  <w:r>
                    <w:rPr>
                      <w:rFonts w:hint="default" w:ascii="Times New Roman" w:hAnsi="Times New Roman" w:eastAsia="宋体" w:cs="Times New Roman"/>
                      <w:b/>
                      <w:bCs/>
                      <w:color w:val="auto"/>
                      <w:sz w:val="21"/>
                      <w:szCs w:val="21"/>
                      <w:highlight w:val="none"/>
                      <w:u w:val="none"/>
                      <w:vertAlign w:val="baseline"/>
                      <w:lang w:val="en-US" w:eastAsia="zh-CN"/>
                    </w:rPr>
                    <w:t>排放口(监测点位)名称</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u w:val="none"/>
                      <w:vertAlign w:val="baseline"/>
                      <w:lang w:val="en-US" w:eastAsia="zh-CN"/>
                    </w:rPr>
                  </w:pPr>
                  <w:r>
                    <w:rPr>
                      <w:rFonts w:hint="default" w:ascii="Times New Roman" w:hAnsi="Times New Roman" w:eastAsia="宋体" w:cs="Times New Roman"/>
                      <w:b/>
                      <w:bCs/>
                      <w:color w:val="auto"/>
                      <w:sz w:val="21"/>
                      <w:szCs w:val="21"/>
                      <w:highlight w:val="none"/>
                      <w:u w:val="none"/>
                      <w:vertAlign w:val="baseline"/>
                      <w:lang w:val="en-US" w:eastAsia="zh-CN"/>
                    </w:rPr>
                    <w:t>污染物名称(监测因子)</w:t>
                  </w:r>
                </w:p>
              </w:tc>
              <w:tc>
                <w:tcPr>
                  <w:tcW w:w="12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u w:val="none"/>
                      <w:vertAlign w:val="baseline"/>
                      <w:lang w:val="en-US" w:eastAsia="zh-CN"/>
                    </w:rPr>
                  </w:pPr>
                  <w:r>
                    <w:rPr>
                      <w:rFonts w:hint="default" w:ascii="Times New Roman" w:hAnsi="Times New Roman" w:eastAsia="宋体" w:cs="Times New Roman"/>
                      <w:b/>
                      <w:bCs/>
                      <w:color w:val="auto"/>
                      <w:sz w:val="21"/>
                      <w:szCs w:val="21"/>
                      <w:highlight w:val="none"/>
                      <w:u w:val="none"/>
                      <w:vertAlign w:val="baseline"/>
                      <w:lang w:val="en-US" w:eastAsia="zh-CN"/>
                    </w:rPr>
                    <w:t>监测频次</w:t>
                  </w:r>
                </w:p>
              </w:tc>
              <w:tc>
                <w:tcPr>
                  <w:tcW w:w="14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u w:val="none"/>
                      <w:vertAlign w:val="baseline"/>
                      <w:lang w:val="en-US" w:eastAsia="zh-CN"/>
                    </w:rPr>
                  </w:pPr>
                  <w:r>
                    <w:rPr>
                      <w:rFonts w:hint="default" w:ascii="Times New Roman" w:hAnsi="Times New Roman" w:eastAsia="宋体" w:cs="Times New Roman"/>
                      <w:b/>
                      <w:bCs/>
                      <w:color w:val="auto"/>
                      <w:sz w:val="21"/>
                      <w:szCs w:val="21"/>
                      <w:highlight w:val="none"/>
                      <w:u w:val="none"/>
                      <w:vertAlign w:val="baseline"/>
                      <w:lang w:val="en-US" w:eastAsia="zh-CN"/>
                    </w:rPr>
                    <w:t>是否自动监测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DW001</w:t>
                  </w:r>
                </w:p>
              </w:tc>
              <w:tc>
                <w:tcPr>
                  <w:tcW w:w="18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综合废水排放口</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流量、pH 值、悬浮物、化学需氧量、五日生化需氧量、氨氮</w:t>
                  </w:r>
                </w:p>
              </w:tc>
              <w:tc>
                <w:tcPr>
                  <w:tcW w:w="12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1年/次</w:t>
                  </w:r>
                </w:p>
              </w:tc>
              <w:tc>
                <w:tcPr>
                  <w:tcW w:w="14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否</w:t>
                  </w:r>
                </w:p>
              </w:tc>
            </w:tr>
          </w:tbl>
          <w:p>
            <w:pPr>
              <w:pStyle w:val="58"/>
              <w:keepLines/>
              <w:autoSpaceDE w:val="0"/>
              <w:autoSpaceDN w:val="0"/>
              <w:spacing w:before="3"/>
              <w:ind w:left="480" w:leftChars="200" w:firstLine="0" w:firstLineChars="0"/>
              <w:jc w:val="left"/>
              <w:rPr>
                <w:b/>
                <w:bCs/>
                <w:u w:val="none"/>
              </w:rPr>
            </w:pPr>
            <w:r>
              <w:rPr>
                <w:rFonts w:hint="eastAsia"/>
                <w:b/>
                <w:bCs/>
                <w:u w:val="none"/>
              </w:rPr>
              <w:t>2、废气</w:t>
            </w:r>
          </w:p>
          <w:p>
            <w:pPr>
              <w:pStyle w:val="58"/>
              <w:keepLines/>
              <w:numPr>
                <w:ilvl w:val="0"/>
                <w:numId w:val="3"/>
              </w:numPr>
              <w:ind w:firstLine="482"/>
              <w:rPr>
                <w:b/>
                <w:bCs/>
                <w:color w:val="000000"/>
                <w:u w:val="none"/>
              </w:rPr>
            </w:pPr>
            <w:r>
              <w:rPr>
                <w:b/>
                <w:bCs/>
                <w:color w:val="000000"/>
                <w:u w:val="none"/>
              </w:rPr>
              <w:t>污染工序及源强分析</w:t>
            </w:r>
          </w:p>
          <w:p>
            <w:pPr>
              <w:pStyle w:val="58"/>
              <w:keepLines/>
              <w:ind w:firstLine="480"/>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本项目产生的废气主要为涂布烘干废气</w:t>
            </w:r>
            <w:r>
              <w:rPr>
                <w:rFonts w:hint="eastAsia" w:cs="Times New Roman"/>
                <w:kern w:val="2"/>
                <w:sz w:val="24"/>
                <w:szCs w:val="24"/>
                <w:u w:val="none"/>
                <w:lang w:val="en-US" w:eastAsia="zh-CN" w:bidi="ar-SA"/>
              </w:rPr>
              <w:t>、烫平废气</w:t>
            </w:r>
            <w:r>
              <w:rPr>
                <w:rFonts w:hint="eastAsia" w:ascii="Times New Roman" w:hAnsi="Times New Roman" w:eastAsia="宋体" w:cs="Times New Roman"/>
                <w:kern w:val="2"/>
                <w:sz w:val="24"/>
                <w:szCs w:val="24"/>
                <w:u w:val="none"/>
                <w:lang w:val="en-US" w:eastAsia="zh-CN" w:bidi="ar-SA"/>
              </w:rPr>
              <w:t>。</w:t>
            </w:r>
          </w:p>
          <w:p>
            <w:pPr>
              <w:ind w:firstLine="480"/>
              <w:rPr>
                <w:rFonts w:hint="default"/>
                <w:u w:val="none"/>
                <w:lang w:val="en-US" w:eastAsia="zh-CN"/>
              </w:rPr>
            </w:pPr>
            <w:r>
              <w:rPr>
                <w:rFonts w:hint="eastAsia"/>
                <w:u w:val="none"/>
                <w:lang w:val="en-US" w:eastAsia="zh-CN"/>
              </w:rPr>
              <w:t>①</w:t>
            </w:r>
            <w:r>
              <w:rPr>
                <w:rFonts w:hint="eastAsia" w:ascii="Times New Roman" w:hAnsi="Times New Roman" w:eastAsia="宋体" w:cs="Times New Roman"/>
                <w:kern w:val="2"/>
                <w:sz w:val="24"/>
                <w:szCs w:val="24"/>
                <w:u w:val="none"/>
                <w:lang w:val="en-US" w:eastAsia="zh-CN" w:bidi="ar-SA"/>
              </w:rPr>
              <w:t>涂布烘干废气</w:t>
            </w:r>
          </w:p>
          <w:p>
            <w:pPr>
              <w:ind w:firstLine="480"/>
              <w:rPr>
                <w:rFonts w:hint="eastAsia" w:ascii="Times New Roman" w:hAnsi="Times New Roman"/>
                <w:color w:val="auto"/>
                <w:kern w:val="2"/>
                <w:sz w:val="24"/>
                <w:u w:val="none"/>
                <w:lang w:val="en-US" w:eastAsia="zh-CN" w:bidi="ar"/>
              </w:rPr>
            </w:pPr>
            <w:r>
              <w:rPr>
                <w:rFonts w:hint="eastAsia"/>
                <w:u w:val="none"/>
                <w:lang w:val="en-US" w:eastAsia="zh-CN"/>
              </w:rPr>
              <w:t>项目涂层工艺主要是将水性涂料通过涂布机的辊筒在PVC、PP、PET基膜表面进行一层涂层，涂层工艺为常温。水性涂料辊涂后须烘干，本项目烘干温度在70℃，在涂布烘干过程中会产生VOCs（以非甲烷总烃计）废气。</w:t>
            </w:r>
            <w:r>
              <w:rPr>
                <w:rFonts w:hint="eastAsia" w:ascii="Times New Roman" w:hAnsi="Times New Roman"/>
                <w:color w:val="auto"/>
                <w:kern w:val="2"/>
                <w:sz w:val="24"/>
                <w:u w:val="none"/>
                <w:lang w:val="en-US" w:eastAsia="zh-CN" w:bidi="ar"/>
              </w:rPr>
              <w:t>项目年工作时间为</w:t>
            </w:r>
            <w:r>
              <w:rPr>
                <w:rFonts w:hint="eastAsia"/>
                <w:color w:val="auto"/>
                <w:kern w:val="2"/>
                <w:sz w:val="24"/>
                <w:u w:val="none"/>
                <w:lang w:val="en-US" w:eastAsia="zh-CN" w:bidi="ar"/>
              </w:rPr>
              <w:t>7200</w:t>
            </w:r>
            <w:r>
              <w:rPr>
                <w:rFonts w:hint="eastAsia" w:ascii="Times New Roman" w:hAnsi="Times New Roman"/>
                <w:color w:val="auto"/>
                <w:kern w:val="2"/>
                <w:sz w:val="24"/>
                <w:u w:val="none"/>
                <w:lang w:val="en-US" w:eastAsia="zh-CN" w:bidi="ar"/>
              </w:rPr>
              <w:t>h。</w:t>
            </w:r>
          </w:p>
          <w:p>
            <w:pPr>
              <w:ind w:firstLine="480"/>
              <w:rPr>
                <w:rFonts w:hint="default" w:eastAsia="宋体"/>
                <w:u w:val="none"/>
                <w:lang w:val="en-US" w:eastAsia="zh-CN"/>
              </w:rPr>
            </w:pPr>
            <w:r>
              <w:rPr>
                <w:rFonts w:hint="eastAsia"/>
                <w:u w:val="none"/>
                <w:lang w:val="en-US" w:eastAsia="zh-CN"/>
              </w:rPr>
              <w:t>PVC、PP、PET基膜加热</w:t>
            </w:r>
            <w:r>
              <w:rPr>
                <w:rFonts w:hint="eastAsia"/>
                <w:u w:val="none"/>
              </w:rPr>
              <w:t>过程产生的废气主要为树脂受热挥发的少量有机废气。参考《浙江省重点行</w:t>
            </w:r>
            <w:r>
              <w:rPr>
                <w:rFonts w:hint="eastAsia"/>
                <w:u w:val="none"/>
                <w:lang w:val="en-US" w:eastAsia="zh-CN"/>
              </w:rPr>
              <w:t>业</w:t>
            </w:r>
            <w:r>
              <w:rPr>
                <w:rFonts w:hint="eastAsia"/>
                <w:u w:val="none"/>
              </w:rPr>
              <w:t>VOC</w:t>
            </w:r>
            <w:r>
              <w:rPr>
                <w:rFonts w:hint="eastAsia"/>
                <w:u w:val="none"/>
                <w:lang w:val="en-US" w:eastAsia="zh-CN"/>
              </w:rPr>
              <w:t>s</w:t>
            </w:r>
            <w:r>
              <w:rPr>
                <w:rFonts w:hint="eastAsia"/>
                <w:u w:val="none"/>
              </w:rPr>
              <w:t>污染排放源排放量计算方式》中“塑料布、膜、袋等制造工序”单位排放系数为0.22kg/t原</w:t>
            </w:r>
            <w:r>
              <w:rPr>
                <w:rFonts w:hint="eastAsia"/>
                <w:u w:val="none"/>
                <w:lang w:val="en-US" w:eastAsia="zh-CN"/>
              </w:rPr>
              <w:t>料</w:t>
            </w:r>
            <w:r>
              <w:rPr>
                <w:rFonts w:hint="eastAsia"/>
                <w:u w:val="none"/>
              </w:rPr>
              <w:t>，本项目</w:t>
            </w:r>
            <w:r>
              <w:rPr>
                <w:rFonts w:hint="eastAsia"/>
                <w:u w:val="none"/>
                <w:lang w:val="en-US" w:eastAsia="zh-CN"/>
              </w:rPr>
              <w:t>PVC、PP、PET基膜</w:t>
            </w:r>
            <w:r>
              <w:rPr>
                <w:rFonts w:hint="eastAsia"/>
                <w:u w:val="none"/>
              </w:rPr>
              <w:t>用量</w:t>
            </w:r>
            <w:r>
              <w:rPr>
                <w:rFonts w:hint="eastAsia"/>
                <w:u w:val="none"/>
                <w:lang w:val="en-US" w:eastAsia="zh-CN"/>
              </w:rPr>
              <w:t>为1200</w:t>
            </w:r>
            <w:r>
              <w:rPr>
                <w:rFonts w:hint="eastAsia"/>
                <w:u w:val="none"/>
              </w:rPr>
              <w:t>t/a，则</w:t>
            </w:r>
            <w:r>
              <w:rPr>
                <w:rFonts w:hint="eastAsia"/>
                <w:u w:val="none"/>
                <w:lang w:val="en-US" w:eastAsia="zh-CN"/>
              </w:rPr>
              <w:t>VOCs（以非甲烷总烃计）</w:t>
            </w:r>
            <w:r>
              <w:rPr>
                <w:rFonts w:hint="eastAsia"/>
                <w:u w:val="none"/>
              </w:rPr>
              <w:t>产生量为</w:t>
            </w:r>
            <w:r>
              <w:rPr>
                <w:rFonts w:hint="eastAsia"/>
                <w:u w:val="none"/>
                <w:lang w:val="en-US" w:eastAsia="zh-CN"/>
              </w:rPr>
              <w:t>0.264</w:t>
            </w:r>
            <w:r>
              <w:rPr>
                <w:rFonts w:hint="eastAsia"/>
                <w:u w:val="none"/>
              </w:rPr>
              <w:t>t/a。</w:t>
            </w:r>
            <w:r>
              <w:rPr>
                <w:rFonts w:hint="eastAsia"/>
                <w:u w:val="none"/>
                <w:lang w:val="en-US" w:eastAsia="zh-CN"/>
              </w:rPr>
              <w:t>本项目水性涂料用量12.72</w:t>
            </w:r>
            <w:r>
              <w:rPr>
                <w:rFonts w:hint="default"/>
                <w:u w:val="none"/>
                <w:lang w:val="en-US" w:eastAsia="zh-CN"/>
              </w:rPr>
              <w:t>t/a</w:t>
            </w:r>
            <w:r>
              <w:rPr>
                <w:rFonts w:hint="eastAsia"/>
                <w:u w:val="none"/>
                <w:lang w:val="en-US" w:eastAsia="zh-CN"/>
              </w:rPr>
              <w:t>，据建设单位提供的MSDS，水性涂料有机挥发分占比为9.5%，则VOCs（以非甲烷总烃计）产生量为1.21t/a。项目涂布烘干过程中VOCs（以非甲烷总烃计）产生量为1.474t/a。</w:t>
            </w:r>
          </w:p>
          <w:p>
            <w:pPr>
              <w:ind w:firstLine="480"/>
              <w:rPr>
                <w:rFonts w:hint="eastAsia"/>
                <w:u w:val="none"/>
              </w:rPr>
            </w:pPr>
            <w:r>
              <w:rPr>
                <w:rFonts w:hint="eastAsia"/>
                <w:u w:val="none"/>
              </w:rPr>
              <w:t>项目</w:t>
            </w:r>
            <w:r>
              <w:rPr>
                <w:rFonts w:hint="eastAsia"/>
                <w:u w:val="none"/>
                <w:lang w:val="en-US" w:eastAsia="zh-CN"/>
              </w:rPr>
              <w:t>涂布烘干工序为密闭式</w:t>
            </w:r>
            <w:r>
              <w:rPr>
                <w:rFonts w:hint="eastAsia" w:ascii="Times New Roman" w:hAnsi="Times New Roman" w:eastAsia="宋体" w:cs="Times New Roman"/>
                <w:u w:val="none"/>
              </w:rPr>
              <w:t>，仅留产品进出口</w:t>
            </w:r>
            <w:r>
              <w:rPr>
                <w:rFonts w:hint="eastAsia" w:ascii="Times New Roman" w:hAnsi="Times New Roman" w:eastAsia="宋体" w:cs="Times New Roman"/>
                <w:u w:val="none"/>
                <w:lang w:eastAsia="zh-CN"/>
              </w:rPr>
              <w:t>，</w:t>
            </w:r>
            <w:r>
              <w:rPr>
                <w:rFonts w:hint="eastAsia" w:ascii="Times New Roman" w:hAnsi="Times New Roman" w:eastAsia="宋体" w:cs="Times New Roman"/>
                <w:u w:val="none"/>
                <w:lang w:val="en-US" w:eastAsia="zh-CN"/>
              </w:rPr>
              <w:t>涂布烘干</w:t>
            </w:r>
            <w:r>
              <w:rPr>
                <w:rFonts w:hint="eastAsia" w:ascii="Times New Roman" w:hAnsi="Times New Roman" w:eastAsia="宋体" w:cs="Times New Roman"/>
                <w:u w:val="none"/>
              </w:rPr>
              <w:t>工序产生的VOCs（以非甲烷总烃计）经</w:t>
            </w:r>
            <w:r>
              <w:rPr>
                <w:rFonts w:hint="eastAsia" w:ascii="Times New Roman" w:hAnsi="Times New Roman" w:eastAsia="宋体" w:cs="Times New Roman"/>
                <w:u w:val="none"/>
                <w:lang w:eastAsia="zh-CN"/>
              </w:rPr>
              <w:t>“</w:t>
            </w:r>
            <w:r>
              <w:rPr>
                <w:rFonts w:hint="eastAsia" w:ascii="Times New Roman" w:hAnsi="Times New Roman" w:eastAsia="宋体" w:cs="Times New Roman"/>
                <w:u w:val="none"/>
                <w:lang w:val="en-US" w:eastAsia="zh-CN"/>
              </w:rPr>
              <w:t>密闭负压收集+二级</w:t>
            </w:r>
            <w:r>
              <w:rPr>
                <w:rFonts w:hint="eastAsia" w:ascii="Times New Roman" w:hAnsi="Times New Roman" w:eastAsia="宋体" w:cs="Times New Roman"/>
                <w:u w:val="none"/>
              </w:rPr>
              <w:t>活性炭装置”处理后经一根</w:t>
            </w:r>
            <w:r>
              <w:rPr>
                <w:rFonts w:hint="eastAsia" w:ascii="Times New Roman" w:hAnsi="Times New Roman" w:eastAsia="宋体" w:cs="Times New Roman"/>
                <w:u w:val="none"/>
                <w:lang w:val="en-US" w:eastAsia="zh-CN"/>
              </w:rPr>
              <w:t>15</w:t>
            </w:r>
            <w:r>
              <w:rPr>
                <w:rFonts w:hint="eastAsia" w:ascii="Times New Roman" w:hAnsi="Times New Roman" w:eastAsia="宋体" w:cs="Times New Roman"/>
                <w:u w:val="none"/>
              </w:rPr>
              <w:t>m高排气筒排放。</w:t>
            </w:r>
            <w:r>
              <w:rPr>
                <w:rFonts w:hint="eastAsia"/>
                <w:lang w:val="en-US" w:eastAsia="zh-CN"/>
              </w:rPr>
              <w:t>依据《主要污染物总量减排核算技术指南（2022年修订）》中“密闭空间”废气收集效率为90%，本项目</w:t>
            </w:r>
            <w:r>
              <w:rPr>
                <w:rFonts w:hint="eastAsia" w:ascii="Times New Roman" w:hAnsi="Times New Roman" w:eastAsia="宋体" w:cs="Times New Roman"/>
                <w:u w:val="none"/>
              </w:rPr>
              <w:t>废气收集效率按90%计；参考《排放源统计调查产排污核算方法和系数手册》中“</w:t>
            </w:r>
            <w:r>
              <w:rPr>
                <w:rFonts w:hint="eastAsia" w:ascii="Times New Roman" w:hAnsi="Times New Roman" w:eastAsia="宋体" w:cs="Times New Roman"/>
                <w:u w:val="none"/>
                <w:lang w:val="en-US" w:eastAsia="zh-CN"/>
              </w:rPr>
              <w:t xml:space="preserve">292 </w:t>
            </w:r>
            <w:r>
              <w:rPr>
                <w:rFonts w:hint="eastAsia" w:ascii="Times New Roman" w:hAnsi="Times New Roman" w:eastAsia="宋体" w:cs="Times New Roman"/>
                <w:u w:val="none"/>
              </w:rPr>
              <w:t>塑料制品业系数手册”</w:t>
            </w:r>
            <w:r>
              <w:rPr>
                <w:rFonts w:hint="eastAsia" w:ascii="Times New Roman" w:hAnsi="Times New Roman" w:eastAsia="宋体" w:cs="Times New Roman"/>
                <w:u w:val="none"/>
                <w:lang w:val="en-US" w:eastAsia="zh-CN"/>
              </w:rPr>
              <w:t>中“</w:t>
            </w:r>
            <w:r>
              <w:rPr>
                <w:rFonts w:hint="eastAsia" w:ascii="Times New Roman" w:hAnsi="Times New Roman" w:eastAsia="宋体" w:cs="Times New Roman"/>
                <w:u w:val="none"/>
              </w:rPr>
              <w:t>2921塑料薄膜制造行业系数表</w:t>
            </w:r>
            <w:r>
              <w:rPr>
                <w:rFonts w:hint="eastAsia" w:ascii="Times New Roman" w:hAnsi="Times New Roman" w:eastAsia="宋体" w:cs="Times New Roman"/>
                <w:u w:val="none"/>
                <w:lang w:val="en-US" w:eastAsia="zh-CN"/>
              </w:rPr>
              <w:t>”</w:t>
            </w:r>
            <w:r>
              <w:rPr>
                <w:rFonts w:hint="eastAsia"/>
                <w:u w:val="none"/>
              </w:rPr>
              <w:t>活性炭对挥发性有机物的处理效率为</w:t>
            </w:r>
            <w:r>
              <w:rPr>
                <w:rFonts w:hint="eastAsia"/>
                <w:u w:val="none"/>
                <w:lang w:val="en-US" w:eastAsia="zh-CN"/>
              </w:rPr>
              <w:t>21</w:t>
            </w:r>
            <w:r>
              <w:rPr>
                <w:rFonts w:hint="eastAsia"/>
                <w:u w:val="none"/>
              </w:rPr>
              <w:t>%，本项目废气处理措施“</w:t>
            </w:r>
            <w:r>
              <w:rPr>
                <w:rFonts w:hint="eastAsia"/>
                <w:u w:val="none"/>
                <w:lang w:val="en-US" w:eastAsia="zh-CN"/>
              </w:rPr>
              <w:t>二级</w:t>
            </w:r>
            <w:r>
              <w:rPr>
                <w:rFonts w:hint="eastAsia"/>
                <w:u w:val="none"/>
              </w:rPr>
              <w:t>活性炭吸附”对VOCs的去除效率取</w:t>
            </w:r>
            <w:r>
              <w:rPr>
                <w:rFonts w:hint="eastAsia"/>
                <w:u w:val="none"/>
                <w:lang w:val="en-US" w:eastAsia="zh-CN"/>
              </w:rPr>
              <w:t>37.59</w:t>
            </w:r>
            <w:r>
              <w:rPr>
                <w:rFonts w:hint="eastAsia"/>
                <w:u w:val="none"/>
              </w:rPr>
              <w:t>%</w:t>
            </w:r>
            <w:r>
              <w:rPr>
                <w:rFonts w:hint="eastAsia"/>
                <w:u w:val="none"/>
                <w:lang w:eastAsia="zh-CN"/>
              </w:rPr>
              <w:t>，</w:t>
            </w:r>
            <w:r>
              <w:rPr>
                <w:rFonts w:hint="eastAsia"/>
                <w:u w:val="none"/>
                <w:lang w:val="en-US" w:eastAsia="zh-CN"/>
              </w:rPr>
              <w:t>设计</w:t>
            </w:r>
            <w:r>
              <w:rPr>
                <w:rFonts w:hint="eastAsia"/>
                <w:u w:val="none"/>
              </w:rPr>
              <w:t>风</w:t>
            </w:r>
            <w:r>
              <w:rPr>
                <w:rFonts w:hint="eastAsia"/>
                <w:color w:val="000000" w:themeColor="text1"/>
                <w:u w:val="none"/>
                <w14:textFill>
                  <w14:solidFill>
                    <w14:schemeClr w14:val="tx1"/>
                  </w14:solidFill>
                </w14:textFill>
              </w:rPr>
              <w:t>量为</w:t>
            </w:r>
            <w:r>
              <w:rPr>
                <w:rFonts w:hint="eastAsia"/>
                <w:color w:val="000000" w:themeColor="text1"/>
                <w:u w:val="none"/>
                <w:lang w:val="en-US" w:eastAsia="zh-CN"/>
                <w14:textFill>
                  <w14:solidFill>
                    <w14:schemeClr w14:val="tx1"/>
                  </w14:solidFill>
                </w14:textFill>
              </w:rPr>
              <w:t>5</w:t>
            </w:r>
            <w:r>
              <w:rPr>
                <w:rFonts w:hint="eastAsia"/>
                <w:color w:val="000000" w:themeColor="text1"/>
                <w:u w:val="none"/>
                <w14:textFill>
                  <w14:solidFill>
                    <w14:schemeClr w14:val="tx1"/>
                  </w14:solidFill>
                </w14:textFill>
              </w:rPr>
              <w:t>000m</w:t>
            </w:r>
            <w:r>
              <w:rPr>
                <w:rFonts w:hint="eastAsia"/>
                <w:color w:val="000000" w:themeColor="text1"/>
                <w:u w:val="none"/>
                <w:vertAlign w:val="superscript"/>
                <w14:textFill>
                  <w14:solidFill>
                    <w14:schemeClr w14:val="tx1"/>
                  </w14:solidFill>
                </w14:textFill>
              </w:rPr>
              <w:t>3</w:t>
            </w:r>
            <w:r>
              <w:rPr>
                <w:rFonts w:hint="eastAsia"/>
                <w:color w:val="000000" w:themeColor="text1"/>
                <w:u w:val="none"/>
                <w14:textFill>
                  <w14:solidFill>
                    <w14:schemeClr w14:val="tx1"/>
                  </w14:solidFill>
                </w14:textFill>
              </w:rPr>
              <w:t>/h。</w:t>
            </w:r>
            <w:r>
              <w:rPr>
                <w:rFonts w:hint="eastAsia"/>
                <w:u w:val="none"/>
              </w:rPr>
              <w:t>则有组织VOCs（以非甲烷总烃计）产生量</w:t>
            </w:r>
            <w:r>
              <w:rPr>
                <w:rFonts w:hint="eastAsia"/>
                <w:u w:val="none"/>
                <w:lang w:val="en-US" w:eastAsia="zh-CN"/>
              </w:rPr>
              <w:t>1.327</w:t>
            </w:r>
            <w:r>
              <w:rPr>
                <w:rFonts w:hint="eastAsia"/>
                <w:u w:val="none"/>
              </w:rPr>
              <w:t>t/a，无组织VOCs（以非甲烷总烃计）产生量为0.</w:t>
            </w:r>
            <w:r>
              <w:rPr>
                <w:rFonts w:hint="eastAsia"/>
                <w:u w:val="none"/>
                <w:lang w:val="en-US" w:eastAsia="zh-CN"/>
              </w:rPr>
              <w:t>147</w:t>
            </w:r>
            <w:r>
              <w:rPr>
                <w:rFonts w:hint="eastAsia"/>
                <w:u w:val="none"/>
              </w:rPr>
              <w:t>t/a。</w:t>
            </w:r>
          </w:p>
          <w:p>
            <w:pPr>
              <w:ind w:firstLine="480"/>
              <w:rPr>
                <w:rFonts w:hint="eastAsia"/>
                <w:u w:val="none"/>
                <w:lang w:val="en-US" w:eastAsia="zh-CN"/>
              </w:rPr>
            </w:pPr>
            <w:r>
              <w:rPr>
                <w:rFonts w:hint="eastAsia"/>
                <w:u w:val="none"/>
                <w:lang w:val="en-US" w:eastAsia="zh-CN"/>
              </w:rPr>
              <w:t>②烫平废气</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本项目</w:t>
            </w:r>
            <w:r>
              <w:rPr>
                <w:rFonts w:hint="eastAsia"/>
                <w:u w:val="none"/>
                <w:lang w:val="en-US" w:eastAsia="zh-CN"/>
              </w:rPr>
              <w:t>PVC、PP、PET</w:t>
            </w:r>
            <w:r>
              <w:rPr>
                <w:rFonts w:hint="default" w:ascii="Times New Roman" w:hAnsi="Times New Roman" w:eastAsia="宋体" w:cs="Times New Roman"/>
                <w:u w:val="none"/>
                <w:lang w:val="en-US" w:eastAsia="zh-CN"/>
              </w:rPr>
              <w:t>基膜</w:t>
            </w:r>
            <w:r>
              <w:rPr>
                <w:rFonts w:hint="eastAsia" w:ascii="Times New Roman" w:hAnsi="Times New Roman" w:eastAsia="宋体" w:cs="Times New Roman"/>
                <w:u w:val="none"/>
                <w:lang w:val="en-US" w:eastAsia="zh-CN"/>
              </w:rPr>
              <w:t>涂层之前需要</w:t>
            </w:r>
            <w:r>
              <w:rPr>
                <w:rFonts w:hint="eastAsia" w:cs="Times New Roman"/>
                <w:u w:val="none"/>
                <w:lang w:val="en-US" w:eastAsia="zh-CN"/>
              </w:rPr>
              <w:t>放卷</w:t>
            </w:r>
            <w:r>
              <w:rPr>
                <w:rFonts w:hint="default" w:ascii="Times New Roman" w:hAnsi="Times New Roman" w:eastAsia="宋体" w:cs="Times New Roman"/>
                <w:u w:val="none"/>
                <w:lang w:val="en-US" w:eastAsia="zh-CN"/>
              </w:rPr>
              <w:t>烫平</w:t>
            </w:r>
            <w:r>
              <w:rPr>
                <w:rFonts w:hint="eastAsia" w:ascii="Times New Roman" w:hAnsi="Times New Roman" w:eastAsia="宋体" w:cs="Times New Roman"/>
                <w:u w:val="none"/>
                <w:lang w:val="en-US" w:eastAsia="zh-CN"/>
              </w:rPr>
              <w:t>，</w:t>
            </w:r>
            <w:r>
              <w:rPr>
                <w:rFonts w:hint="default" w:ascii="Times New Roman" w:hAnsi="Times New Roman" w:eastAsia="宋体" w:cs="Times New Roman"/>
                <w:u w:val="none"/>
                <w:lang w:val="en-US" w:eastAsia="zh-CN"/>
              </w:rPr>
              <w:t>温度为70℃，烫平时间为2~3秒。由于本项目烫平时间较短，烫平温度均未达到各基膜热分解温度，产生VOCs较少，通过加强厂房密闭管理，不会对环境产生显著影响。本环评对烫平工序产生的废气不进行定量分析。</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6</w:t>
            </w:r>
            <w:r>
              <w:rPr>
                <w:rFonts w:hint="eastAsia" w:ascii="Times New Roman" w:hAnsi="Times New Roman" w:cs="Times New Roman"/>
                <w:b/>
                <w:bCs w:val="0"/>
                <w:u w:val="none"/>
              </w:rPr>
              <w:t xml:space="preserve"> 项目废气产排情况一览表</w:t>
            </w:r>
          </w:p>
          <w:tbl>
            <w:tblPr>
              <w:tblStyle w:val="23"/>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668"/>
              <w:gridCol w:w="549"/>
              <w:gridCol w:w="933"/>
              <w:gridCol w:w="850"/>
              <w:gridCol w:w="1234"/>
              <w:gridCol w:w="650"/>
              <w:gridCol w:w="1150"/>
              <w:gridCol w:w="1033"/>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0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污染源</w:t>
                  </w:r>
                </w:p>
              </w:tc>
              <w:tc>
                <w:tcPr>
                  <w:tcW w:w="66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污染物</w:t>
                  </w:r>
                </w:p>
              </w:tc>
              <w:tc>
                <w:tcPr>
                  <w:tcW w:w="54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排放方式</w:t>
                  </w:r>
                </w:p>
              </w:tc>
              <w:tc>
                <w:tcPr>
                  <w:tcW w:w="178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产生量</w:t>
                  </w:r>
                </w:p>
              </w:tc>
              <w:tc>
                <w:tcPr>
                  <w:tcW w:w="123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kern w:val="0"/>
                      <w:sz w:val="21"/>
                      <w:szCs w:val="21"/>
                      <w:u w:val="none" w:color="auto"/>
                      <w:lang w:val="en-US" w:eastAsia="zh-CN" w:bidi="ar"/>
                    </w:rPr>
                  </w:pPr>
                  <w:r>
                    <w:rPr>
                      <w:rFonts w:hint="default" w:ascii="Times New Roman" w:hAnsi="Times New Roman" w:eastAsia="宋体" w:cs="Times New Roman"/>
                      <w:b/>
                      <w:bCs/>
                      <w:i w:val="0"/>
                      <w:iCs w:val="0"/>
                      <w:color w:val="000000"/>
                      <w:kern w:val="0"/>
                      <w:sz w:val="21"/>
                      <w:szCs w:val="21"/>
                      <w:u w:val="none" w:color="auto"/>
                      <w:lang w:val="en-US" w:eastAsia="zh-CN" w:bidi="ar"/>
                    </w:rPr>
                    <w:t>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措施</w:t>
                  </w:r>
                </w:p>
              </w:tc>
              <w:tc>
                <w:tcPr>
                  <w:tcW w:w="6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kern w:val="0"/>
                      <w:sz w:val="21"/>
                      <w:szCs w:val="21"/>
                      <w:u w:val="none" w:color="auto"/>
                      <w:lang w:val="en-US" w:eastAsia="zh-CN" w:bidi="ar"/>
                    </w:rPr>
                  </w:pPr>
                  <w:r>
                    <w:rPr>
                      <w:rFonts w:hint="default" w:ascii="Times New Roman" w:hAnsi="Times New Roman" w:eastAsia="宋体" w:cs="Times New Roman"/>
                      <w:b/>
                      <w:bCs/>
                      <w:i w:val="0"/>
                      <w:iCs w:val="0"/>
                      <w:color w:val="000000"/>
                      <w:kern w:val="0"/>
                      <w:sz w:val="21"/>
                      <w:szCs w:val="21"/>
                      <w:u w:val="none" w:color="auto"/>
                      <w:lang w:val="en-US" w:eastAsia="zh-CN" w:bidi="ar"/>
                    </w:rPr>
                    <w:t>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lang w:val="en-US"/>
                    </w:rPr>
                  </w:pPr>
                  <w:r>
                    <w:rPr>
                      <w:rFonts w:hint="default" w:ascii="Times New Roman" w:hAnsi="Times New Roman" w:eastAsia="宋体" w:cs="Times New Roman"/>
                      <w:b/>
                      <w:bCs/>
                      <w:i w:val="0"/>
                      <w:iCs w:val="0"/>
                      <w:color w:val="000000"/>
                      <w:kern w:val="0"/>
                      <w:sz w:val="21"/>
                      <w:szCs w:val="21"/>
                      <w:u w:val="none" w:color="auto"/>
                      <w:lang w:val="en-US" w:eastAsia="zh-CN" w:bidi="ar"/>
                    </w:rPr>
                    <w:t>效率%</w:t>
                  </w:r>
                </w:p>
              </w:tc>
              <w:tc>
                <w:tcPr>
                  <w:tcW w:w="323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21"/>
                      <w:szCs w:val="21"/>
                      <w:u w:val="none" w:color="auto"/>
                    </w:rPr>
                  </w:pPr>
                </w:p>
              </w:tc>
              <w:tc>
                <w:tcPr>
                  <w:tcW w:w="66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21"/>
                      <w:szCs w:val="21"/>
                      <w:u w:val="none" w:color="auto"/>
                    </w:rPr>
                  </w:pPr>
                </w:p>
              </w:tc>
              <w:tc>
                <w:tcPr>
                  <w:tcW w:w="54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21"/>
                      <w:szCs w:val="21"/>
                      <w:u w:val="none" w:color="auto"/>
                    </w:rPr>
                  </w:pPr>
                </w:p>
              </w:tc>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速率（kg/h）</w:t>
                  </w:r>
                </w:p>
              </w:tc>
              <w:tc>
                <w:tcPr>
                  <w:tcW w:w="8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产生量（t/a）</w:t>
                  </w:r>
                </w:p>
              </w:tc>
              <w:tc>
                <w:tcPr>
                  <w:tcW w:w="123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p>
              </w:tc>
              <w:tc>
                <w:tcPr>
                  <w:tcW w:w="65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浓度（mg/m</w:t>
                  </w:r>
                  <w:r>
                    <w:rPr>
                      <w:rFonts w:hint="default" w:ascii="Times New Roman" w:hAnsi="Times New Roman" w:eastAsia="宋体" w:cs="Times New Roman"/>
                      <w:b/>
                      <w:bCs/>
                      <w:i w:val="0"/>
                      <w:iCs w:val="0"/>
                      <w:color w:val="000000"/>
                      <w:kern w:val="0"/>
                      <w:sz w:val="21"/>
                      <w:szCs w:val="21"/>
                      <w:u w:val="none" w:color="auto"/>
                      <w:vertAlign w:val="superscript"/>
                      <w:lang w:val="en-US" w:eastAsia="zh-CN" w:bidi="ar"/>
                    </w:rPr>
                    <w:t>3</w:t>
                  </w:r>
                  <w:r>
                    <w:rPr>
                      <w:rFonts w:hint="default" w:ascii="Times New Roman" w:hAnsi="Times New Roman" w:eastAsia="宋体" w:cs="Times New Roman"/>
                      <w:b/>
                      <w:bCs/>
                      <w:i w:val="0"/>
                      <w:iCs w:val="0"/>
                      <w:color w:val="000000"/>
                      <w:kern w:val="0"/>
                      <w:sz w:val="21"/>
                      <w:szCs w:val="21"/>
                      <w:u w:val="none" w:color="auto"/>
                      <w:lang w:val="en-US" w:eastAsia="zh-CN" w:bidi="ar"/>
                    </w:rPr>
                    <w:t>）</w:t>
                  </w:r>
                </w:p>
              </w:tc>
              <w:tc>
                <w:tcPr>
                  <w:tcW w:w="10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速率（kg/h）</w:t>
                  </w:r>
                </w:p>
              </w:tc>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color w:val="000000"/>
                      <w:kern w:val="0"/>
                      <w:sz w:val="21"/>
                      <w:szCs w:val="21"/>
                      <w:u w:val="none" w:color="auto"/>
                      <w:lang w:val="en-US" w:eastAsia="zh-CN" w:bidi="ar"/>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601" w:type="dxa"/>
                  <w:vMerge w:val="restart"/>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1"/>
                      <w:szCs w:val="21"/>
                      <w:u w:val="none" w:color="auto"/>
                      <w:lang w:val="en-US" w:eastAsia="zh-CN"/>
                    </w:rPr>
                  </w:pPr>
                  <w:r>
                    <w:rPr>
                      <w:rFonts w:hint="eastAsia" w:ascii="Times New Roman" w:hAnsi="Times New Roman" w:eastAsia="宋体" w:cs="Times New Roman"/>
                      <w:color w:val="auto"/>
                      <w:sz w:val="21"/>
                      <w:szCs w:val="21"/>
                      <w:u w:val="none"/>
                      <w:lang w:val="en-US" w:eastAsia="zh-CN"/>
                    </w:rPr>
                    <w:t>涂布烘干工序</w:t>
                  </w:r>
                </w:p>
              </w:tc>
              <w:tc>
                <w:tcPr>
                  <w:tcW w:w="668" w:type="dxa"/>
                  <w:vMerge w:val="restart"/>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default" w:ascii="Times New Roman" w:hAnsi="Times New Roman" w:eastAsia="宋体" w:cs="Times New Roman"/>
                      <w:color w:val="auto"/>
                      <w:sz w:val="21"/>
                      <w:szCs w:val="21"/>
                      <w:u w:val="none"/>
                      <w:lang w:val="en-US" w:eastAsia="zh-CN"/>
                    </w:rPr>
                    <w:t>VOCs（以非甲烷总烃计）</w:t>
                  </w:r>
                </w:p>
              </w:tc>
              <w:tc>
                <w:tcPr>
                  <w:tcW w:w="54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default" w:ascii="Times New Roman" w:hAnsi="Times New Roman" w:eastAsia="宋体" w:cs="Times New Roman"/>
                      <w:color w:val="auto"/>
                      <w:sz w:val="21"/>
                      <w:szCs w:val="21"/>
                      <w:u w:val="none"/>
                      <w:lang w:val="en-US" w:eastAsia="zh-CN" w:bidi="ar"/>
                    </w:rPr>
                    <w:t>有</w:t>
                  </w:r>
                  <w:r>
                    <w:rPr>
                      <w:rFonts w:hint="default" w:ascii="Times New Roman" w:hAnsi="Times New Roman" w:eastAsia="宋体" w:cs="Times New Roman"/>
                      <w:color w:val="auto"/>
                      <w:sz w:val="21"/>
                      <w:szCs w:val="21"/>
                      <w:u w:val="none"/>
                      <w:lang w:bidi="ar"/>
                    </w:rPr>
                    <w:t>组织</w:t>
                  </w:r>
                </w:p>
              </w:tc>
              <w:tc>
                <w:tcPr>
                  <w:tcW w:w="933"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0.</w:t>
                  </w:r>
                  <w:r>
                    <w:rPr>
                      <w:rFonts w:hint="eastAsia"/>
                      <w:color w:val="000000" w:themeColor="text1"/>
                      <w:kern w:val="0"/>
                      <w:sz w:val="21"/>
                      <w:szCs w:val="21"/>
                      <w:u w:val="none"/>
                      <w:lang w:val="en-US" w:eastAsia="zh-CN" w:bidi="ar"/>
                      <w14:textFill>
                        <w14:solidFill>
                          <w14:schemeClr w14:val="tx1"/>
                        </w14:solidFill>
                      </w14:textFill>
                    </w:rPr>
                    <w:t>184</w:t>
                  </w:r>
                  <w:r>
                    <w:rPr>
                      <w:rFonts w:hint="default"/>
                      <w:color w:val="000000" w:themeColor="text1"/>
                      <w:kern w:val="0"/>
                      <w:sz w:val="21"/>
                      <w:szCs w:val="21"/>
                      <w:u w:val="none"/>
                      <w:lang w:val="en-US" w:eastAsia="zh-CN" w:bidi="ar"/>
                      <w14:textFill>
                        <w14:solidFill>
                          <w14:schemeClr w14:val="tx1"/>
                        </w14:solidFill>
                      </w14:textFill>
                    </w:rPr>
                    <w:t xml:space="preserve"> </w:t>
                  </w:r>
                </w:p>
              </w:tc>
              <w:tc>
                <w:tcPr>
                  <w:tcW w:w="850"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1.327</w:t>
                  </w:r>
                </w:p>
              </w:tc>
              <w:tc>
                <w:tcPr>
                  <w:tcW w:w="1234"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eastAsia"/>
                      <w:color w:val="000000" w:themeColor="text1"/>
                      <w:kern w:val="0"/>
                      <w:sz w:val="21"/>
                      <w:szCs w:val="21"/>
                      <w:u w:val="none"/>
                      <w:lang w:val="en-US" w:eastAsia="zh-CN" w:bidi="ar"/>
                      <w14:textFill>
                        <w14:solidFill>
                          <w14:schemeClr w14:val="tx1"/>
                        </w14:solidFill>
                      </w14:textFill>
                    </w:rPr>
                    <w:t>密闭负压收集</w:t>
                  </w:r>
                  <w:r>
                    <w:rPr>
                      <w:rFonts w:hint="default"/>
                      <w:color w:val="000000" w:themeColor="text1"/>
                      <w:kern w:val="0"/>
                      <w:sz w:val="21"/>
                      <w:szCs w:val="21"/>
                      <w:u w:val="none"/>
                      <w:lang w:val="en-US" w:eastAsia="zh-CN" w:bidi="ar"/>
                      <w14:textFill>
                        <w14:solidFill>
                          <w14:schemeClr w14:val="tx1"/>
                        </w14:solidFill>
                      </w14:textFill>
                    </w:rPr>
                    <w:t>+</w:t>
                  </w:r>
                  <w:r>
                    <w:rPr>
                      <w:rFonts w:hint="eastAsia"/>
                      <w:color w:val="000000" w:themeColor="text1"/>
                      <w:kern w:val="0"/>
                      <w:sz w:val="21"/>
                      <w:szCs w:val="21"/>
                      <w:u w:val="none"/>
                      <w:lang w:val="en-US" w:eastAsia="zh-CN" w:bidi="ar"/>
                      <w14:textFill>
                        <w14:solidFill>
                          <w14:schemeClr w14:val="tx1"/>
                        </w14:solidFill>
                      </w14:textFill>
                    </w:rPr>
                    <w:t>二级活性炭</w:t>
                  </w:r>
                  <w:r>
                    <w:rPr>
                      <w:rFonts w:hint="default"/>
                      <w:color w:val="000000" w:themeColor="text1"/>
                      <w:kern w:val="0"/>
                      <w:sz w:val="21"/>
                      <w:szCs w:val="21"/>
                      <w:u w:val="none"/>
                      <w:lang w:val="en-US" w:eastAsia="zh-CN" w:bidi="ar"/>
                      <w14:textFill>
                        <w14:solidFill>
                          <w14:schemeClr w14:val="tx1"/>
                        </w14:solidFill>
                      </w14:textFill>
                    </w:rPr>
                    <w:t>+15m</w:t>
                  </w:r>
                  <w:r>
                    <w:rPr>
                      <w:rFonts w:hint="eastAsia"/>
                      <w:color w:val="000000" w:themeColor="text1"/>
                      <w:kern w:val="0"/>
                      <w:sz w:val="21"/>
                      <w:szCs w:val="21"/>
                      <w:u w:val="none"/>
                      <w:lang w:val="en-US" w:eastAsia="zh-CN" w:bidi="ar"/>
                      <w14:textFill>
                        <w14:solidFill>
                          <w14:schemeClr w14:val="tx1"/>
                        </w14:solidFill>
                      </w14:textFill>
                    </w:rPr>
                    <w:t>高排气筒</w:t>
                  </w:r>
                  <w:r>
                    <w:rPr>
                      <w:rFonts w:hint="default"/>
                      <w:color w:val="000000" w:themeColor="text1"/>
                      <w:kern w:val="0"/>
                      <w:sz w:val="21"/>
                      <w:szCs w:val="21"/>
                      <w:u w:val="none"/>
                      <w:lang w:val="en-US" w:eastAsia="zh-CN" w:bidi="ar"/>
                      <w14:textFill>
                        <w14:solidFill>
                          <w14:schemeClr w14:val="tx1"/>
                        </w14:solidFill>
                      </w14:textFill>
                    </w:rPr>
                    <w:t>DA001</w:t>
                  </w:r>
                </w:p>
              </w:tc>
              <w:tc>
                <w:tcPr>
                  <w:tcW w:w="650"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37.59</w:t>
                  </w:r>
                </w:p>
              </w:tc>
              <w:tc>
                <w:tcPr>
                  <w:tcW w:w="1150"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 xml:space="preserve">23.005 </w:t>
                  </w:r>
                </w:p>
              </w:tc>
              <w:tc>
                <w:tcPr>
                  <w:tcW w:w="1033"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 xml:space="preserve">0.115 </w:t>
                  </w:r>
                </w:p>
              </w:tc>
              <w:tc>
                <w:tcPr>
                  <w:tcW w:w="1049"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 xml:space="preserve">0.828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01" w:type="dxa"/>
                  <w:vMerge w:val="continue"/>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lang w:val="en-US" w:eastAsia="zh-CN"/>
                    </w:rPr>
                  </w:pPr>
                </w:p>
              </w:tc>
              <w:tc>
                <w:tcPr>
                  <w:tcW w:w="668" w:type="dxa"/>
                  <w:vMerge w:val="continue"/>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lang w:val="en-US" w:eastAsia="zh-CN"/>
                    </w:rPr>
                  </w:pPr>
                </w:p>
              </w:tc>
              <w:tc>
                <w:tcPr>
                  <w:tcW w:w="54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u w:val="none"/>
                      <w:lang w:val="en-US" w:eastAsia="zh-CN" w:bidi="ar"/>
                    </w:rPr>
                  </w:pPr>
                  <w:r>
                    <w:rPr>
                      <w:rFonts w:hint="default" w:ascii="Times New Roman" w:hAnsi="Times New Roman" w:eastAsia="宋体" w:cs="Times New Roman"/>
                      <w:color w:val="auto"/>
                      <w:sz w:val="21"/>
                      <w:szCs w:val="21"/>
                      <w:u w:val="none"/>
                      <w:lang w:val="en-US" w:eastAsia="zh-CN" w:bidi="ar"/>
                    </w:rPr>
                    <w:t>无组织</w:t>
                  </w:r>
                </w:p>
              </w:tc>
              <w:tc>
                <w:tcPr>
                  <w:tcW w:w="933"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0.0</w:t>
                  </w:r>
                  <w:r>
                    <w:rPr>
                      <w:rFonts w:hint="eastAsia"/>
                      <w:color w:val="000000" w:themeColor="text1"/>
                      <w:kern w:val="0"/>
                      <w:sz w:val="21"/>
                      <w:szCs w:val="21"/>
                      <w:u w:val="none"/>
                      <w:lang w:val="en-US" w:eastAsia="zh-CN" w:bidi="ar"/>
                      <w14:textFill>
                        <w14:solidFill>
                          <w14:schemeClr w14:val="tx1"/>
                        </w14:solidFill>
                      </w14:textFill>
                    </w:rPr>
                    <w:t>204</w:t>
                  </w:r>
                  <w:r>
                    <w:rPr>
                      <w:rFonts w:hint="default"/>
                      <w:color w:val="000000" w:themeColor="text1"/>
                      <w:kern w:val="0"/>
                      <w:sz w:val="21"/>
                      <w:szCs w:val="21"/>
                      <w:u w:val="none"/>
                      <w:lang w:val="en-US" w:eastAsia="zh-CN" w:bidi="ar"/>
                      <w14:textFill>
                        <w14:solidFill>
                          <w14:schemeClr w14:val="tx1"/>
                        </w14:solidFill>
                      </w14:textFill>
                    </w:rPr>
                    <w:t xml:space="preserve"> </w:t>
                  </w:r>
                </w:p>
              </w:tc>
              <w:tc>
                <w:tcPr>
                  <w:tcW w:w="850"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0.147</w:t>
                  </w:r>
                </w:p>
              </w:tc>
              <w:tc>
                <w:tcPr>
                  <w:tcW w:w="1234"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eastAsia"/>
                      <w:color w:val="000000" w:themeColor="text1"/>
                      <w:kern w:val="0"/>
                      <w:sz w:val="21"/>
                      <w:szCs w:val="21"/>
                      <w:u w:val="none"/>
                      <w:lang w:val="en-US" w:eastAsia="zh-CN" w:bidi="ar"/>
                      <w14:textFill>
                        <w14:solidFill>
                          <w14:schemeClr w14:val="tx1"/>
                        </w14:solidFill>
                      </w14:textFill>
                    </w:rPr>
                    <w:t>加强生产工序密闭管理</w:t>
                  </w:r>
                </w:p>
              </w:tc>
              <w:tc>
                <w:tcPr>
                  <w:tcW w:w="650"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w:t>
                  </w:r>
                </w:p>
              </w:tc>
              <w:tc>
                <w:tcPr>
                  <w:tcW w:w="1150"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w:t>
                  </w:r>
                </w:p>
              </w:tc>
              <w:tc>
                <w:tcPr>
                  <w:tcW w:w="1033"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0.0</w:t>
                  </w:r>
                  <w:r>
                    <w:rPr>
                      <w:rFonts w:hint="eastAsia"/>
                      <w:color w:val="000000" w:themeColor="text1"/>
                      <w:kern w:val="0"/>
                      <w:sz w:val="21"/>
                      <w:szCs w:val="21"/>
                      <w:u w:val="none"/>
                      <w:lang w:val="en-US" w:eastAsia="zh-CN" w:bidi="ar"/>
                      <w14:textFill>
                        <w14:solidFill>
                          <w14:schemeClr w14:val="tx1"/>
                        </w14:solidFill>
                      </w14:textFill>
                    </w:rPr>
                    <w:t>204</w:t>
                  </w:r>
                  <w:r>
                    <w:rPr>
                      <w:rFonts w:hint="default"/>
                      <w:color w:val="000000" w:themeColor="text1"/>
                      <w:kern w:val="0"/>
                      <w:sz w:val="21"/>
                      <w:szCs w:val="21"/>
                      <w:u w:val="none"/>
                      <w:lang w:val="en-US" w:eastAsia="zh-CN" w:bidi="ar"/>
                      <w14:textFill>
                        <w14:solidFill>
                          <w14:schemeClr w14:val="tx1"/>
                        </w14:solidFill>
                      </w14:textFill>
                    </w:rPr>
                    <w:t xml:space="preserve"> </w:t>
                  </w:r>
                </w:p>
              </w:tc>
              <w:tc>
                <w:tcPr>
                  <w:tcW w:w="1049" w:type="dxa"/>
                  <w:noWrap w:val="0"/>
                  <w:vAlign w:val="center"/>
                </w:tcPr>
                <w:p>
                  <w:pPr>
                    <w:widowControl/>
                    <w:spacing w:line="240" w:lineRule="auto"/>
                    <w:ind w:firstLine="0" w:firstLineChars="0"/>
                    <w:jc w:val="center"/>
                    <w:textAlignment w:val="center"/>
                    <w:rPr>
                      <w:rFonts w:hint="default"/>
                      <w:color w:val="000000" w:themeColor="text1"/>
                      <w:kern w:val="0"/>
                      <w:sz w:val="21"/>
                      <w:szCs w:val="21"/>
                      <w:u w:val="none"/>
                      <w:lang w:val="en-US" w:eastAsia="zh-CN" w:bidi="ar"/>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0.147</w:t>
                  </w:r>
                </w:p>
              </w:tc>
            </w:tr>
          </w:tbl>
          <w:p>
            <w:pPr>
              <w:pStyle w:val="58"/>
              <w:keepLines/>
              <w:ind w:firstLine="482"/>
              <w:rPr>
                <w:b/>
                <w:bCs/>
                <w:color w:val="000000"/>
                <w:u w:val="none"/>
              </w:rPr>
            </w:pPr>
            <w:r>
              <w:rPr>
                <w:rFonts w:hint="eastAsia"/>
                <w:b/>
                <w:bCs/>
                <w:color w:val="000000"/>
                <w:u w:val="none"/>
              </w:rPr>
              <w:t>（2）</w:t>
            </w:r>
            <w:r>
              <w:rPr>
                <w:b/>
                <w:bCs/>
                <w:color w:val="000000"/>
                <w:u w:val="none"/>
              </w:rPr>
              <w:t>废气污染物排放浓度核算及达标情况</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7</w:t>
            </w:r>
            <w:r>
              <w:rPr>
                <w:rFonts w:hint="eastAsia" w:ascii="Times New Roman" w:hAnsi="Times New Roman" w:cs="Times New Roman"/>
                <w:b/>
                <w:bCs w:val="0"/>
                <w:u w:val="none"/>
              </w:rPr>
              <w:t>废气污染物排放浓度核算及达标情况表</w:t>
            </w:r>
          </w:p>
          <w:tbl>
            <w:tblPr>
              <w:tblStyle w:val="23"/>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960"/>
              <w:gridCol w:w="591"/>
              <w:gridCol w:w="416"/>
              <w:gridCol w:w="430"/>
              <w:gridCol w:w="460"/>
              <w:gridCol w:w="459"/>
              <w:gridCol w:w="426"/>
              <w:gridCol w:w="420"/>
              <w:gridCol w:w="645"/>
              <w:gridCol w:w="617"/>
              <w:gridCol w:w="545"/>
              <w:gridCol w:w="531"/>
              <w:gridCol w:w="460"/>
              <w:gridCol w:w="528"/>
              <w:gridCol w:w="449"/>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76" w:type="dxa"/>
                  <w:vMerge w:val="restart"/>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污染源</w:t>
                  </w:r>
                </w:p>
              </w:tc>
              <w:tc>
                <w:tcPr>
                  <w:tcW w:w="960" w:type="dxa"/>
                  <w:vMerge w:val="restart"/>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污染因子</w:t>
                  </w:r>
                </w:p>
              </w:tc>
              <w:tc>
                <w:tcPr>
                  <w:tcW w:w="591" w:type="dxa"/>
                  <w:vMerge w:val="restart"/>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排放口名称、编号</w:t>
                  </w:r>
                </w:p>
              </w:tc>
              <w:tc>
                <w:tcPr>
                  <w:tcW w:w="416" w:type="dxa"/>
                  <w:vMerge w:val="restart"/>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排放口类型</w:t>
                  </w:r>
                </w:p>
              </w:tc>
              <w:tc>
                <w:tcPr>
                  <w:tcW w:w="890" w:type="dxa"/>
                  <w:gridSpan w:val="2"/>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排气筒底部中心坐标</w:t>
                  </w:r>
                </w:p>
              </w:tc>
              <w:tc>
                <w:tcPr>
                  <w:tcW w:w="459" w:type="dxa"/>
                  <w:vMerge w:val="restart"/>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排气筒高度/m</w:t>
                  </w:r>
                </w:p>
              </w:tc>
              <w:tc>
                <w:tcPr>
                  <w:tcW w:w="426" w:type="dxa"/>
                  <w:vMerge w:val="restart"/>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排气筒内径/m</w:t>
                  </w:r>
                </w:p>
              </w:tc>
              <w:tc>
                <w:tcPr>
                  <w:tcW w:w="420" w:type="dxa"/>
                  <w:vMerge w:val="restart"/>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排气筒温度/℃</w:t>
                  </w:r>
                </w:p>
              </w:tc>
              <w:tc>
                <w:tcPr>
                  <w:tcW w:w="645" w:type="dxa"/>
                  <w:vMerge w:val="restart"/>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处理设施</w:t>
                  </w:r>
                </w:p>
              </w:tc>
              <w:tc>
                <w:tcPr>
                  <w:tcW w:w="617" w:type="dxa"/>
                  <w:vMerge w:val="restart"/>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排放量/t/a</w:t>
                  </w:r>
                </w:p>
              </w:tc>
              <w:tc>
                <w:tcPr>
                  <w:tcW w:w="1536" w:type="dxa"/>
                  <w:gridSpan w:val="3"/>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排放浓度/mg/m</w:t>
                  </w:r>
                  <w:r>
                    <w:rPr>
                      <w:b/>
                      <w:bCs/>
                      <w:color w:val="000000" w:themeColor="text1"/>
                      <w:kern w:val="0"/>
                      <w:sz w:val="21"/>
                      <w:szCs w:val="21"/>
                      <w:u w:val="none"/>
                      <w:vertAlign w:val="superscript"/>
                      <w:lang w:bidi="ar"/>
                      <w14:textFill>
                        <w14:solidFill>
                          <w14:schemeClr w14:val="tx1"/>
                        </w14:solidFill>
                      </w14:textFill>
                    </w:rPr>
                    <w:t>3</w:t>
                  </w:r>
                </w:p>
              </w:tc>
              <w:tc>
                <w:tcPr>
                  <w:tcW w:w="1438" w:type="dxa"/>
                  <w:gridSpan w:val="3"/>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376" w:type="dxa"/>
                  <w:vMerge w:val="continue"/>
                  <w:vAlign w:val="center"/>
                </w:tcPr>
                <w:p>
                  <w:pPr>
                    <w:spacing w:line="240" w:lineRule="auto"/>
                    <w:ind w:firstLine="0" w:firstLineChars="0"/>
                    <w:jc w:val="center"/>
                    <w:rPr>
                      <w:b/>
                      <w:bCs/>
                      <w:color w:val="000000" w:themeColor="text1"/>
                      <w:sz w:val="21"/>
                      <w:szCs w:val="21"/>
                      <w:u w:val="none"/>
                      <w14:textFill>
                        <w14:solidFill>
                          <w14:schemeClr w14:val="tx1"/>
                        </w14:solidFill>
                      </w14:textFill>
                    </w:rPr>
                  </w:pPr>
                </w:p>
              </w:tc>
              <w:tc>
                <w:tcPr>
                  <w:tcW w:w="960" w:type="dxa"/>
                  <w:vMerge w:val="continue"/>
                  <w:vAlign w:val="center"/>
                </w:tcPr>
                <w:p>
                  <w:pPr>
                    <w:spacing w:line="240" w:lineRule="auto"/>
                    <w:ind w:firstLine="0" w:firstLineChars="0"/>
                    <w:jc w:val="center"/>
                    <w:rPr>
                      <w:b/>
                      <w:bCs/>
                      <w:color w:val="000000" w:themeColor="text1"/>
                      <w:sz w:val="21"/>
                      <w:szCs w:val="21"/>
                      <w:u w:val="none"/>
                      <w14:textFill>
                        <w14:solidFill>
                          <w14:schemeClr w14:val="tx1"/>
                        </w14:solidFill>
                      </w14:textFill>
                    </w:rPr>
                  </w:pPr>
                </w:p>
              </w:tc>
              <w:tc>
                <w:tcPr>
                  <w:tcW w:w="591" w:type="dxa"/>
                  <w:vMerge w:val="continue"/>
                  <w:vAlign w:val="center"/>
                </w:tcPr>
                <w:p>
                  <w:pPr>
                    <w:spacing w:line="240" w:lineRule="auto"/>
                    <w:ind w:firstLine="0" w:firstLineChars="0"/>
                    <w:jc w:val="center"/>
                    <w:rPr>
                      <w:b/>
                      <w:bCs/>
                      <w:color w:val="000000" w:themeColor="text1"/>
                      <w:sz w:val="21"/>
                      <w:szCs w:val="21"/>
                      <w:u w:val="none"/>
                      <w14:textFill>
                        <w14:solidFill>
                          <w14:schemeClr w14:val="tx1"/>
                        </w14:solidFill>
                      </w14:textFill>
                    </w:rPr>
                  </w:pPr>
                </w:p>
              </w:tc>
              <w:tc>
                <w:tcPr>
                  <w:tcW w:w="416" w:type="dxa"/>
                  <w:vMerge w:val="continue"/>
                  <w:vAlign w:val="center"/>
                </w:tcPr>
                <w:p>
                  <w:pPr>
                    <w:spacing w:line="240" w:lineRule="auto"/>
                    <w:ind w:firstLine="0" w:firstLineChars="0"/>
                    <w:jc w:val="center"/>
                    <w:rPr>
                      <w:b/>
                      <w:bCs/>
                      <w:color w:val="000000" w:themeColor="text1"/>
                      <w:sz w:val="21"/>
                      <w:szCs w:val="21"/>
                      <w:u w:val="none"/>
                      <w14:textFill>
                        <w14:solidFill>
                          <w14:schemeClr w14:val="tx1"/>
                        </w14:solidFill>
                      </w14:textFill>
                    </w:rPr>
                  </w:pPr>
                </w:p>
              </w:tc>
              <w:tc>
                <w:tcPr>
                  <w:tcW w:w="430" w:type="dxa"/>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X</w:t>
                  </w:r>
                </w:p>
              </w:tc>
              <w:tc>
                <w:tcPr>
                  <w:tcW w:w="460" w:type="dxa"/>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Y</w:t>
                  </w:r>
                </w:p>
              </w:tc>
              <w:tc>
                <w:tcPr>
                  <w:tcW w:w="459" w:type="dxa"/>
                  <w:vMerge w:val="continue"/>
                  <w:vAlign w:val="center"/>
                </w:tcPr>
                <w:p>
                  <w:pPr>
                    <w:spacing w:line="240" w:lineRule="auto"/>
                    <w:ind w:firstLine="0" w:firstLineChars="0"/>
                    <w:jc w:val="center"/>
                    <w:rPr>
                      <w:b/>
                      <w:bCs/>
                      <w:color w:val="000000" w:themeColor="text1"/>
                      <w:sz w:val="21"/>
                      <w:szCs w:val="21"/>
                      <w:u w:val="none"/>
                      <w14:textFill>
                        <w14:solidFill>
                          <w14:schemeClr w14:val="tx1"/>
                        </w14:solidFill>
                      </w14:textFill>
                    </w:rPr>
                  </w:pPr>
                </w:p>
              </w:tc>
              <w:tc>
                <w:tcPr>
                  <w:tcW w:w="426" w:type="dxa"/>
                  <w:vMerge w:val="continue"/>
                  <w:vAlign w:val="center"/>
                </w:tcPr>
                <w:p>
                  <w:pPr>
                    <w:spacing w:line="240" w:lineRule="auto"/>
                    <w:ind w:firstLine="0" w:firstLineChars="0"/>
                    <w:jc w:val="center"/>
                    <w:rPr>
                      <w:b/>
                      <w:bCs/>
                      <w:color w:val="000000" w:themeColor="text1"/>
                      <w:sz w:val="21"/>
                      <w:szCs w:val="21"/>
                      <w:u w:val="none"/>
                      <w14:textFill>
                        <w14:solidFill>
                          <w14:schemeClr w14:val="tx1"/>
                        </w14:solidFill>
                      </w14:textFill>
                    </w:rPr>
                  </w:pPr>
                </w:p>
              </w:tc>
              <w:tc>
                <w:tcPr>
                  <w:tcW w:w="420" w:type="dxa"/>
                  <w:vMerge w:val="continue"/>
                  <w:vAlign w:val="center"/>
                </w:tcPr>
                <w:p>
                  <w:pPr>
                    <w:spacing w:line="240" w:lineRule="auto"/>
                    <w:ind w:firstLine="0" w:firstLineChars="0"/>
                    <w:jc w:val="center"/>
                    <w:rPr>
                      <w:b/>
                      <w:bCs/>
                      <w:color w:val="000000" w:themeColor="text1"/>
                      <w:sz w:val="21"/>
                      <w:szCs w:val="21"/>
                      <w:u w:val="none"/>
                      <w14:textFill>
                        <w14:solidFill>
                          <w14:schemeClr w14:val="tx1"/>
                        </w14:solidFill>
                      </w14:textFill>
                    </w:rPr>
                  </w:pPr>
                </w:p>
              </w:tc>
              <w:tc>
                <w:tcPr>
                  <w:tcW w:w="645" w:type="dxa"/>
                  <w:vMerge w:val="continue"/>
                  <w:vAlign w:val="center"/>
                </w:tcPr>
                <w:p>
                  <w:pPr>
                    <w:spacing w:line="240" w:lineRule="auto"/>
                    <w:ind w:firstLine="0" w:firstLineChars="0"/>
                    <w:jc w:val="center"/>
                    <w:rPr>
                      <w:b/>
                      <w:bCs/>
                      <w:color w:val="000000" w:themeColor="text1"/>
                      <w:sz w:val="21"/>
                      <w:szCs w:val="21"/>
                      <w:u w:val="none"/>
                      <w14:textFill>
                        <w14:solidFill>
                          <w14:schemeClr w14:val="tx1"/>
                        </w14:solidFill>
                      </w14:textFill>
                    </w:rPr>
                  </w:pPr>
                </w:p>
              </w:tc>
              <w:tc>
                <w:tcPr>
                  <w:tcW w:w="617" w:type="dxa"/>
                  <w:vMerge w:val="continue"/>
                  <w:vAlign w:val="center"/>
                </w:tcPr>
                <w:p>
                  <w:pPr>
                    <w:spacing w:line="240" w:lineRule="auto"/>
                    <w:ind w:firstLine="0" w:firstLineChars="0"/>
                    <w:jc w:val="center"/>
                    <w:rPr>
                      <w:b/>
                      <w:bCs/>
                      <w:color w:val="000000" w:themeColor="text1"/>
                      <w:sz w:val="21"/>
                      <w:szCs w:val="21"/>
                      <w:u w:val="none"/>
                      <w14:textFill>
                        <w14:solidFill>
                          <w14:schemeClr w14:val="tx1"/>
                        </w14:solidFill>
                      </w14:textFill>
                    </w:rPr>
                  </w:pPr>
                </w:p>
              </w:tc>
              <w:tc>
                <w:tcPr>
                  <w:tcW w:w="545" w:type="dxa"/>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核算值</w:t>
                  </w:r>
                </w:p>
              </w:tc>
              <w:tc>
                <w:tcPr>
                  <w:tcW w:w="531" w:type="dxa"/>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标准限值</w:t>
                  </w:r>
                </w:p>
              </w:tc>
              <w:tc>
                <w:tcPr>
                  <w:tcW w:w="460" w:type="dxa"/>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达标情况</w:t>
                  </w:r>
                </w:p>
              </w:tc>
              <w:tc>
                <w:tcPr>
                  <w:tcW w:w="528" w:type="dxa"/>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核算值</w:t>
                  </w:r>
                </w:p>
              </w:tc>
              <w:tc>
                <w:tcPr>
                  <w:tcW w:w="449" w:type="dxa"/>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标准限值</w:t>
                  </w:r>
                </w:p>
              </w:tc>
              <w:tc>
                <w:tcPr>
                  <w:tcW w:w="461" w:type="dxa"/>
                  <w:vAlign w:val="center"/>
                </w:tcPr>
                <w:p>
                  <w:pPr>
                    <w:widowControl/>
                    <w:spacing w:line="240" w:lineRule="auto"/>
                    <w:ind w:firstLine="0" w:firstLineChars="0"/>
                    <w:jc w:val="center"/>
                    <w:textAlignment w:val="center"/>
                    <w:rPr>
                      <w:b/>
                      <w:bCs/>
                      <w:color w:val="000000" w:themeColor="text1"/>
                      <w:sz w:val="21"/>
                      <w:szCs w:val="21"/>
                      <w:u w:val="none"/>
                      <w14:textFill>
                        <w14:solidFill>
                          <w14:schemeClr w14:val="tx1"/>
                        </w14:solidFill>
                      </w14:textFill>
                    </w:rPr>
                  </w:pPr>
                  <w:r>
                    <w:rPr>
                      <w:b/>
                      <w:bCs/>
                      <w:color w:val="000000" w:themeColor="text1"/>
                      <w:kern w:val="0"/>
                      <w:sz w:val="21"/>
                      <w:szCs w:val="21"/>
                      <w:u w:val="none"/>
                      <w:lang w:bidi="ar"/>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376" w:type="dxa"/>
                  <w:vAlign w:val="center"/>
                </w:tcPr>
                <w:p>
                  <w:pPr>
                    <w:pStyle w:val="37"/>
                    <w:ind w:left="0" w:leftChars="0"/>
                    <w:rPr>
                      <w:color w:val="000000" w:themeColor="text1"/>
                      <w:kern w:val="0"/>
                      <w:u w:val="none"/>
                      <w:lang w:bidi="ar"/>
                      <w14:textFill>
                        <w14:solidFill>
                          <w14:schemeClr w14:val="tx1"/>
                        </w14:solidFill>
                      </w14:textFill>
                    </w:rPr>
                  </w:pPr>
                  <w:r>
                    <w:rPr>
                      <w:rFonts w:hint="eastAsia" w:ascii="Times New Roman" w:hAnsi="Times New Roman" w:eastAsia="宋体" w:cs="Times New Roman"/>
                      <w:color w:val="auto"/>
                      <w:sz w:val="21"/>
                      <w:szCs w:val="21"/>
                      <w:u w:val="none"/>
                      <w:lang w:val="en-US" w:eastAsia="zh-CN"/>
                    </w:rPr>
                    <w:t>涂布烘干</w:t>
                  </w:r>
                </w:p>
              </w:tc>
              <w:tc>
                <w:tcPr>
                  <w:tcW w:w="960" w:type="dxa"/>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rFonts w:hint="default"/>
                      <w:color w:val="000000" w:themeColor="text1"/>
                      <w:kern w:val="0"/>
                      <w:sz w:val="21"/>
                      <w:szCs w:val="21"/>
                      <w:u w:val="none"/>
                      <w:lang w:val="en-US" w:eastAsia="zh-CN" w:bidi="ar"/>
                      <w14:textFill>
                        <w14:solidFill>
                          <w14:schemeClr w14:val="tx1"/>
                        </w14:solidFill>
                      </w14:textFill>
                    </w:rPr>
                    <w:t>VOCs（以非甲烷总烃计）</w:t>
                  </w:r>
                </w:p>
              </w:tc>
              <w:tc>
                <w:tcPr>
                  <w:tcW w:w="591" w:type="dxa"/>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DA001</w:t>
                  </w:r>
                </w:p>
              </w:tc>
              <w:tc>
                <w:tcPr>
                  <w:tcW w:w="416" w:type="dxa"/>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rFonts w:hint="eastAsia"/>
                      <w:color w:val="000000" w:themeColor="text1"/>
                      <w:kern w:val="0"/>
                      <w:sz w:val="21"/>
                      <w:szCs w:val="21"/>
                      <w:u w:val="none"/>
                      <w:lang w:bidi="ar"/>
                      <w14:textFill>
                        <w14:solidFill>
                          <w14:schemeClr w14:val="tx1"/>
                        </w14:solidFill>
                      </w14:textFill>
                    </w:rPr>
                    <w:t>主要</w:t>
                  </w:r>
                  <w:r>
                    <w:rPr>
                      <w:color w:val="000000" w:themeColor="text1"/>
                      <w:kern w:val="0"/>
                      <w:sz w:val="21"/>
                      <w:szCs w:val="21"/>
                      <w:u w:val="none"/>
                      <w:lang w:bidi="ar"/>
                      <w14:textFill>
                        <w14:solidFill>
                          <w14:schemeClr w14:val="tx1"/>
                        </w14:solidFill>
                      </w14:textFill>
                    </w:rPr>
                    <w:t>排放口</w:t>
                  </w:r>
                </w:p>
              </w:tc>
              <w:tc>
                <w:tcPr>
                  <w:tcW w:w="430" w:type="dxa"/>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112°54′49.910″</w:t>
                  </w:r>
                </w:p>
              </w:tc>
              <w:tc>
                <w:tcPr>
                  <w:tcW w:w="460" w:type="dxa"/>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28°38′52.864″</w:t>
                  </w:r>
                </w:p>
              </w:tc>
              <w:tc>
                <w:tcPr>
                  <w:tcW w:w="459" w:type="dxa"/>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15</w:t>
                  </w:r>
                </w:p>
              </w:tc>
              <w:tc>
                <w:tcPr>
                  <w:tcW w:w="426" w:type="dxa"/>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0.6</w:t>
                  </w:r>
                </w:p>
              </w:tc>
              <w:tc>
                <w:tcPr>
                  <w:tcW w:w="420" w:type="dxa"/>
                  <w:vAlign w:val="center"/>
                </w:tcPr>
                <w:p>
                  <w:pPr>
                    <w:widowControl/>
                    <w:spacing w:line="240" w:lineRule="auto"/>
                    <w:ind w:firstLine="0" w:firstLineChars="0"/>
                    <w:jc w:val="center"/>
                    <w:textAlignment w:val="center"/>
                    <w:rPr>
                      <w:rFonts w:hint="default" w:eastAsia="宋体"/>
                      <w:color w:val="000000" w:themeColor="text1"/>
                      <w:sz w:val="21"/>
                      <w:szCs w:val="21"/>
                      <w:u w:val="none"/>
                      <w:lang w:val="en-US" w:eastAsia="zh-CN"/>
                      <w14:textFill>
                        <w14:solidFill>
                          <w14:schemeClr w14:val="tx1"/>
                        </w14:solidFill>
                      </w14:textFill>
                    </w:rPr>
                  </w:pPr>
                  <w:r>
                    <w:rPr>
                      <w:rFonts w:hint="eastAsia"/>
                      <w:color w:val="000000" w:themeColor="text1"/>
                      <w:kern w:val="0"/>
                      <w:sz w:val="21"/>
                      <w:szCs w:val="21"/>
                      <w:u w:val="none"/>
                      <w:lang w:val="en-US" w:eastAsia="zh-CN" w:bidi="ar"/>
                      <w14:textFill>
                        <w14:solidFill>
                          <w14:schemeClr w14:val="tx1"/>
                        </w14:solidFill>
                      </w14:textFill>
                    </w:rPr>
                    <w:t>50</w:t>
                  </w:r>
                </w:p>
              </w:tc>
              <w:tc>
                <w:tcPr>
                  <w:tcW w:w="645" w:type="dxa"/>
                  <w:vAlign w:val="center"/>
                </w:tcPr>
                <w:p>
                  <w:pPr>
                    <w:pStyle w:val="14"/>
                    <w:spacing w:line="240" w:lineRule="auto"/>
                    <w:ind w:firstLine="0" w:firstLineChars="0"/>
                    <w:rPr>
                      <w:rFonts w:hint="default"/>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kern w:val="0"/>
                      <w:sz w:val="21"/>
                      <w:szCs w:val="21"/>
                      <w:u w:val="none" w:color="auto"/>
                      <w:lang w:val="en-US" w:eastAsia="zh-CN" w:bidi="ar"/>
                    </w:rPr>
                    <w:t>密闭负压收集+二级</w:t>
                  </w:r>
                  <w:r>
                    <w:rPr>
                      <w:rFonts w:hint="eastAsia" w:cs="Times New Roman"/>
                      <w:i w:val="0"/>
                      <w:iCs w:val="0"/>
                      <w:color w:val="000000"/>
                      <w:kern w:val="0"/>
                      <w:sz w:val="21"/>
                      <w:szCs w:val="21"/>
                      <w:u w:val="none" w:color="auto"/>
                      <w:lang w:val="en-US" w:eastAsia="zh-CN" w:bidi="ar"/>
                    </w:rPr>
                    <w:t>活性炭装置</w:t>
                  </w:r>
                </w:p>
              </w:tc>
              <w:tc>
                <w:tcPr>
                  <w:tcW w:w="617" w:type="dxa"/>
                  <w:vAlign w:val="center"/>
                </w:tcPr>
                <w:p>
                  <w:pPr>
                    <w:pStyle w:val="37"/>
                    <w:ind w:left="0" w:left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0.828</w:t>
                  </w:r>
                </w:p>
              </w:tc>
              <w:tc>
                <w:tcPr>
                  <w:tcW w:w="545" w:type="dxa"/>
                  <w:vAlign w:val="center"/>
                </w:tcPr>
                <w:p>
                  <w:pPr>
                    <w:pStyle w:val="37"/>
                    <w:ind w:left="0" w:left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23.005</w:t>
                  </w:r>
                </w:p>
              </w:tc>
              <w:tc>
                <w:tcPr>
                  <w:tcW w:w="531" w:type="dxa"/>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120</w:t>
                  </w:r>
                </w:p>
              </w:tc>
              <w:tc>
                <w:tcPr>
                  <w:tcW w:w="460" w:type="dxa"/>
                  <w:vAlign w:val="center"/>
                </w:tcPr>
                <w:p>
                  <w:pPr>
                    <w:widowControl/>
                    <w:spacing w:line="240" w:lineRule="auto"/>
                    <w:ind w:firstLine="0" w:firstLineChars="0"/>
                    <w:jc w:val="center"/>
                    <w:textAlignment w:val="center"/>
                    <w:rPr>
                      <w:rFonts w:hint="eastAsia" w:eastAsia="宋体"/>
                      <w:color w:val="000000" w:themeColor="text1"/>
                      <w:kern w:val="0"/>
                      <w:sz w:val="21"/>
                      <w:szCs w:val="21"/>
                      <w:u w:val="none"/>
                      <w:lang w:val="en-US" w:eastAsia="zh-CN" w:bidi="ar"/>
                      <w14:textFill>
                        <w14:solidFill>
                          <w14:schemeClr w14:val="tx1"/>
                        </w14:solidFill>
                      </w14:textFill>
                    </w:rPr>
                  </w:pPr>
                  <w:r>
                    <w:rPr>
                      <w:rFonts w:hint="eastAsia"/>
                      <w:color w:val="000000" w:themeColor="text1"/>
                      <w:kern w:val="0"/>
                      <w:sz w:val="21"/>
                      <w:szCs w:val="21"/>
                      <w:u w:val="none"/>
                      <w:lang w:val="en-US" w:eastAsia="zh-CN" w:bidi="ar"/>
                      <w14:textFill>
                        <w14:solidFill>
                          <w14:schemeClr w14:val="tx1"/>
                        </w14:solidFill>
                      </w14:textFill>
                    </w:rPr>
                    <w:t>达标</w:t>
                  </w:r>
                </w:p>
              </w:tc>
              <w:tc>
                <w:tcPr>
                  <w:tcW w:w="528" w:type="dxa"/>
                  <w:vAlign w:val="center"/>
                </w:tcPr>
                <w:p>
                  <w:pPr>
                    <w:pStyle w:val="37"/>
                    <w:ind w:left="0" w:leftChars="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0.115</w:t>
                  </w:r>
                </w:p>
              </w:tc>
              <w:tc>
                <w:tcPr>
                  <w:tcW w:w="449" w:type="dxa"/>
                  <w:vAlign w:val="center"/>
                </w:tcPr>
                <w:p>
                  <w:pPr>
                    <w:widowControl/>
                    <w:spacing w:line="240" w:lineRule="auto"/>
                    <w:ind w:firstLine="0" w:firstLineChars="0"/>
                    <w:jc w:val="center"/>
                    <w:textAlignment w:val="center"/>
                    <w:rPr>
                      <w:color w:val="000000" w:themeColor="text1"/>
                      <w:sz w:val="21"/>
                      <w:szCs w:val="21"/>
                      <w:u w:val="none"/>
                      <w14:textFill>
                        <w14:solidFill>
                          <w14:schemeClr w14:val="tx1"/>
                        </w14:solidFill>
                      </w14:textFill>
                    </w:rPr>
                  </w:pPr>
                  <w:r>
                    <w:rPr>
                      <w:color w:val="000000" w:themeColor="text1"/>
                      <w:kern w:val="0"/>
                      <w:sz w:val="21"/>
                      <w:szCs w:val="21"/>
                      <w:u w:val="none"/>
                      <w:lang w:bidi="ar"/>
                      <w14:textFill>
                        <w14:solidFill>
                          <w14:schemeClr w14:val="tx1"/>
                        </w14:solidFill>
                      </w14:textFill>
                    </w:rPr>
                    <w:t>5</w:t>
                  </w:r>
                </w:p>
              </w:tc>
              <w:tc>
                <w:tcPr>
                  <w:tcW w:w="461" w:type="dxa"/>
                  <w:vAlign w:val="center"/>
                </w:tcPr>
                <w:p>
                  <w:pPr>
                    <w:widowControl/>
                    <w:spacing w:line="240" w:lineRule="auto"/>
                    <w:ind w:firstLine="0" w:firstLineChars="0"/>
                    <w:jc w:val="center"/>
                    <w:textAlignment w:val="center"/>
                    <w:rPr>
                      <w:color w:val="000000" w:themeColor="text1"/>
                      <w:kern w:val="0"/>
                      <w:sz w:val="21"/>
                      <w:szCs w:val="21"/>
                      <w:u w:val="none"/>
                      <w:lang w:bidi="ar"/>
                      <w14:textFill>
                        <w14:solidFill>
                          <w14:schemeClr w14:val="tx1"/>
                        </w14:solidFill>
                      </w14:textFill>
                    </w:rPr>
                  </w:pPr>
                  <w:r>
                    <w:rPr>
                      <w:color w:val="000000" w:themeColor="text1"/>
                      <w:kern w:val="0"/>
                      <w:sz w:val="21"/>
                      <w:szCs w:val="21"/>
                      <w:u w:val="none"/>
                      <w:lang w:bidi="ar"/>
                      <w14:textFill>
                        <w14:solidFill>
                          <w14:schemeClr w14:val="tx1"/>
                        </w14:solidFill>
                      </w14:textFill>
                    </w:rPr>
                    <w:t>达标</w:t>
                  </w:r>
                </w:p>
              </w:tc>
            </w:tr>
          </w:tbl>
          <w:p>
            <w:pPr>
              <w:pStyle w:val="58"/>
              <w:keepLines/>
              <w:wordWrap w:val="0"/>
              <w:autoSpaceDE w:val="0"/>
              <w:autoSpaceDN w:val="0"/>
              <w:ind w:firstLine="480"/>
              <w:rPr>
                <w:color w:val="000000"/>
                <w:u w:val="none"/>
                <w:lang w:bidi="zh-CN"/>
              </w:rPr>
            </w:pPr>
            <w:r>
              <w:rPr>
                <w:color w:val="000000"/>
                <w:u w:val="none"/>
                <w:lang w:bidi="zh-CN"/>
              </w:rPr>
              <w:t>综上所述</w:t>
            </w:r>
            <w:r>
              <w:rPr>
                <w:rFonts w:hint="eastAsia"/>
                <w:color w:val="000000"/>
                <w:u w:val="none"/>
                <w:lang w:bidi="zh-CN"/>
              </w:rPr>
              <w:t>，本项目</w:t>
            </w:r>
            <w:r>
              <w:rPr>
                <w:rFonts w:hint="eastAsia"/>
                <w:color w:val="000000"/>
                <w:u w:val="none"/>
                <w:lang w:val="en-US" w:bidi="zh-CN"/>
              </w:rPr>
              <w:t>涂布烘干工序产生的VOCs（以</w:t>
            </w:r>
            <w:r>
              <w:rPr>
                <w:rFonts w:hint="eastAsia"/>
                <w:color w:val="000000"/>
                <w:u w:val="none"/>
                <w:lang w:bidi="zh-CN"/>
              </w:rPr>
              <w:t>非甲烷总烃</w:t>
            </w:r>
            <w:r>
              <w:rPr>
                <w:rFonts w:hint="eastAsia"/>
                <w:color w:val="000000"/>
                <w:u w:val="none"/>
                <w:lang w:val="en-US" w:bidi="zh-CN"/>
              </w:rPr>
              <w:t>计）</w:t>
            </w:r>
            <w:r>
              <w:rPr>
                <w:rFonts w:hint="eastAsia"/>
                <w:color w:val="000000"/>
                <w:u w:val="none"/>
                <w:lang w:bidi="zh-CN"/>
              </w:rPr>
              <w:t>有组织排放浓度满足《大气污染物综合排放标准》（GB16297-1996）表2中浓度限值及速率限值</w:t>
            </w:r>
            <w:r>
              <w:rPr>
                <w:color w:val="000000"/>
                <w:u w:val="none"/>
                <w:lang w:bidi="zh-CN"/>
              </w:rPr>
              <w:t>严格50%</w:t>
            </w:r>
            <w:r>
              <w:rPr>
                <w:rFonts w:hint="eastAsia"/>
                <w:color w:val="000000"/>
                <w:u w:val="none"/>
                <w:lang w:bidi="zh-CN"/>
              </w:rPr>
              <w:t>。</w:t>
            </w:r>
          </w:p>
          <w:p>
            <w:pPr>
              <w:pStyle w:val="58"/>
              <w:keepLines/>
              <w:ind w:left="480" w:leftChars="200" w:firstLine="0" w:firstLineChars="0"/>
              <w:rPr>
                <w:b/>
                <w:bCs/>
                <w:color w:val="000000"/>
                <w:u w:val="none"/>
              </w:rPr>
            </w:pPr>
            <w:r>
              <w:rPr>
                <w:rFonts w:hint="eastAsia"/>
                <w:b/>
                <w:bCs/>
                <w:color w:val="000000"/>
                <w:u w:val="none"/>
              </w:rPr>
              <w:t>（3）非正常情况下大气环境影响分析</w:t>
            </w:r>
          </w:p>
          <w:p>
            <w:pPr>
              <w:ind w:firstLine="480"/>
              <w:rPr>
                <w:u w:val="none"/>
              </w:rPr>
            </w:pPr>
            <w:r>
              <w:rPr>
                <w:rFonts w:hint="eastAsia"/>
                <w:u w:val="none"/>
              </w:rPr>
              <w:t>非正常工况是指在设备开停机时或环保设施达不到设计规定指标运行时的可控排污。本环评按最不利影响分析非正常情况下大气污染物排放情况，即处理效率为0的情况，各项排放参数见下表。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8</w:t>
            </w:r>
            <w:r>
              <w:rPr>
                <w:rFonts w:hint="eastAsia" w:ascii="Times New Roman" w:hAnsi="Times New Roman" w:cs="Times New Roman"/>
                <w:b/>
                <w:bCs w:val="0"/>
                <w:u w:val="none"/>
              </w:rPr>
              <w:t xml:space="preserve"> 项目污染源非正常排放量核算表</w:t>
            </w:r>
          </w:p>
          <w:tbl>
            <w:tblPr>
              <w:tblStyle w:val="2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58"/>
              <w:gridCol w:w="1724"/>
              <w:gridCol w:w="780"/>
              <w:gridCol w:w="945"/>
              <w:gridCol w:w="735"/>
              <w:gridCol w:w="985"/>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pStyle w:val="37"/>
                    <w:ind w:left="0" w:leftChars="0"/>
                    <w:rPr>
                      <w:b/>
                      <w:bCs/>
                      <w:u w:val="none"/>
                    </w:rPr>
                  </w:pPr>
                  <w:r>
                    <w:rPr>
                      <w:b/>
                      <w:bCs/>
                      <w:u w:val="none"/>
                    </w:rPr>
                    <w:t>排放源</w:t>
                  </w:r>
                </w:p>
              </w:tc>
              <w:tc>
                <w:tcPr>
                  <w:tcW w:w="858" w:type="dxa"/>
                  <w:vAlign w:val="center"/>
                </w:tcPr>
                <w:p>
                  <w:pPr>
                    <w:pStyle w:val="37"/>
                    <w:ind w:left="0" w:leftChars="0"/>
                    <w:rPr>
                      <w:b/>
                      <w:bCs/>
                      <w:u w:val="none"/>
                    </w:rPr>
                  </w:pPr>
                  <w:r>
                    <w:rPr>
                      <w:b/>
                      <w:bCs/>
                      <w:u w:val="none"/>
                    </w:rPr>
                    <w:t>污染</w:t>
                  </w:r>
                </w:p>
                <w:p>
                  <w:pPr>
                    <w:pStyle w:val="37"/>
                    <w:ind w:left="0" w:leftChars="0"/>
                    <w:rPr>
                      <w:b/>
                      <w:bCs/>
                      <w:u w:val="none"/>
                    </w:rPr>
                  </w:pPr>
                  <w:r>
                    <w:rPr>
                      <w:b/>
                      <w:bCs/>
                      <w:u w:val="none"/>
                    </w:rPr>
                    <w:t>因子</w:t>
                  </w:r>
                </w:p>
              </w:tc>
              <w:tc>
                <w:tcPr>
                  <w:tcW w:w="1724" w:type="dxa"/>
                  <w:vAlign w:val="center"/>
                </w:tcPr>
                <w:p>
                  <w:pPr>
                    <w:pStyle w:val="37"/>
                    <w:ind w:left="0" w:leftChars="0"/>
                    <w:rPr>
                      <w:b/>
                      <w:bCs/>
                      <w:u w:val="none"/>
                    </w:rPr>
                  </w:pPr>
                  <w:r>
                    <w:rPr>
                      <w:b/>
                      <w:bCs/>
                      <w:u w:val="none"/>
                    </w:rPr>
                    <w:t>非正常排放</w:t>
                  </w:r>
                </w:p>
                <w:p>
                  <w:pPr>
                    <w:pStyle w:val="37"/>
                    <w:ind w:left="0" w:leftChars="0"/>
                    <w:rPr>
                      <w:b/>
                      <w:bCs/>
                      <w:u w:val="none"/>
                    </w:rPr>
                  </w:pPr>
                  <w:r>
                    <w:rPr>
                      <w:b/>
                      <w:bCs/>
                      <w:u w:val="none"/>
                    </w:rPr>
                    <w:t>原因</w:t>
                  </w:r>
                </w:p>
              </w:tc>
              <w:tc>
                <w:tcPr>
                  <w:tcW w:w="780" w:type="dxa"/>
                  <w:vAlign w:val="center"/>
                </w:tcPr>
                <w:p>
                  <w:pPr>
                    <w:pStyle w:val="37"/>
                    <w:ind w:left="0" w:leftChars="0"/>
                    <w:rPr>
                      <w:b/>
                      <w:bCs/>
                      <w:u w:val="none"/>
                    </w:rPr>
                  </w:pPr>
                  <w:r>
                    <w:rPr>
                      <w:b/>
                      <w:bCs/>
                      <w:u w:val="none"/>
                    </w:rPr>
                    <w:t>排放浓度（mg/m</w:t>
                  </w:r>
                  <w:r>
                    <w:rPr>
                      <w:b/>
                      <w:bCs/>
                      <w:u w:val="none"/>
                      <w:vertAlign w:val="superscript"/>
                    </w:rPr>
                    <w:t>3</w:t>
                  </w:r>
                  <w:r>
                    <w:rPr>
                      <w:b/>
                      <w:bCs/>
                      <w:u w:val="none"/>
                    </w:rPr>
                    <w:t>）</w:t>
                  </w:r>
                </w:p>
              </w:tc>
              <w:tc>
                <w:tcPr>
                  <w:tcW w:w="945" w:type="dxa"/>
                  <w:vAlign w:val="center"/>
                </w:tcPr>
                <w:p>
                  <w:pPr>
                    <w:pStyle w:val="37"/>
                    <w:ind w:left="0" w:leftChars="0"/>
                    <w:rPr>
                      <w:b/>
                      <w:bCs/>
                      <w:u w:val="none"/>
                    </w:rPr>
                  </w:pPr>
                  <w:r>
                    <w:rPr>
                      <w:b/>
                      <w:bCs/>
                      <w:u w:val="none"/>
                    </w:rPr>
                    <w:t>排放</w:t>
                  </w:r>
                </w:p>
                <w:p>
                  <w:pPr>
                    <w:pStyle w:val="37"/>
                    <w:ind w:left="0" w:leftChars="0"/>
                    <w:rPr>
                      <w:b/>
                      <w:bCs/>
                      <w:u w:val="none"/>
                    </w:rPr>
                  </w:pPr>
                  <w:r>
                    <w:rPr>
                      <w:b/>
                      <w:bCs/>
                      <w:u w:val="none"/>
                    </w:rPr>
                    <w:t>速率（kg/h）</w:t>
                  </w:r>
                </w:p>
              </w:tc>
              <w:tc>
                <w:tcPr>
                  <w:tcW w:w="735" w:type="dxa"/>
                  <w:vAlign w:val="center"/>
                </w:tcPr>
                <w:p>
                  <w:pPr>
                    <w:pStyle w:val="37"/>
                    <w:ind w:left="0" w:leftChars="0"/>
                    <w:rPr>
                      <w:b/>
                      <w:bCs/>
                      <w:u w:val="none"/>
                    </w:rPr>
                  </w:pPr>
                  <w:r>
                    <w:rPr>
                      <w:b/>
                      <w:bCs/>
                      <w:u w:val="none"/>
                    </w:rPr>
                    <w:t>单次持续时间（h）</w:t>
                  </w:r>
                </w:p>
              </w:tc>
              <w:tc>
                <w:tcPr>
                  <w:tcW w:w="985" w:type="dxa"/>
                  <w:vAlign w:val="center"/>
                </w:tcPr>
                <w:p>
                  <w:pPr>
                    <w:pStyle w:val="37"/>
                    <w:ind w:left="0" w:leftChars="0"/>
                    <w:rPr>
                      <w:b/>
                      <w:bCs/>
                      <w:u w:val="none"/>
                    </w:rPr>
                  </w:pPr>
                  <w:r>
                    <w:rPr>
                      <w:b/>
                      <w:bCs/>
                      <w:u w:val="none"/>
                    </w:rPr>
                    <w:t>年发生频次（次）</w:t>
                  </w:r>
                </w:p>
              </w:tc>
              <w:tc>
                <w:tcPr>
                  <w:tcW w:w="1946" w:type="dxa"/>
                  <w:vAlign w:val="center"/>
                </w:tcPr>
                <w:p>
                  <w:pPr>
                    <w:pStyle w:val="37"/>
                    <w:ind w:left="0" w:leftChars="0"/>
                    <w:rPr>
                      <w:b/>
                      <w:bCs/>
                      <w:u w:val="none"/>
                    </w:rPr>
                  </w:pPr>
                  <w:r>
                    <w:rPr>
                      <w:b/>
                      <w:bCs/>
                      <w:u w:val="none"/>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pStyle w:val="37"/>
                    <w:ind w:left="0" w:leftChars="0"/>
                    <w:rPr>
                      <w:u w:val="none"/>
                    </w:rPr>
                  </w:pPr>
                  <w:r>
                    <w:rPr>
                      <w:u w:val="none"/>
                    </w:rPr>
                    <w:t>DA0001</w:t>
                  </w:r>
                </w:p>
              </w:tc>
              <w:tc>
                <w:tcPr>
                  <w:tcW w:w="858" w:type="dxa"/>
                  <w:vAlign w:val="center"/>
                </w:tcPr>
                <w:p>
                  <w:pPr>
                    <w:pStyle w:val="37"/>
                    <w:ind w:left="0" w:leftChars="0"/>
                    <w:rPr>
                      <w:u w:val="none"/>
                    </w:rPr>
                  </w:pPr>
                  <w:r>
                    <w:rPr>
                      <w:rFonts w:hint="default"/>
                      <w:color w:val="000000" w:themeColor="text1"/>
                      <w:kern w:val="0"/>
                      <w:sz w:val="21"/>
                      <w:szCs w:val="21"/>
                      <w:u w:val="none"/>
                      <w:lang w:val="en-US" w:eastAsia="zh-CN" w:bidi="ar"/>
                      <w14:textFill>
                        <w14:solidFill>
                          <w14:schemeClr w14:val="tx1"/>
                        </w14:solidFill>
                      </w14:textFill>
                    </w:rPr>
                    <w:t>VOCs（以非甲烷总烃计）</w:t>
                  </w:r>
                </w:p>
              </w:tc>
              <w:tc>
                <w:tcPr>
                  <w:tcW w:w="1724" w:type="dxa"/>
                  <w:vAlign w:val="center"/>
                </w:tcPr>
                <w:p>
                  <w:pPr>
                    <w:pStyle w:val="37"/>
                    <w:ind w:left="0" w:leftChars="0"/>
                    <w:rPr>
                      <w:u w:val="none"/>
                    </w:rPr>
                  </w:pPr>
                  <w:r>
                    <w:rPr>
                      <w:rFonts w:hint="default" w:ascii="Times New Roman" w:hAnsi="Times New Roman" w:cs="Times New Roman"/>
                      <w:color w:val="000000"/>
                      <w:sz w:val="21"/>
                      <w:szCs w:val="21"/>
                      <w:highlight w:val="none"/>
                      <w:u w:val="none"/>
                      <w:vertAlign w:val="baseline"/>
                      <w:lang w:val="en-US" w:eastAsia="zh-CN"/>
                    </w:rPr>
                    <w:t>活性炭达到饱和状态使废气处理设施达不到设计处理效率</w:t>
                  </w:r>
                </w:p>
              </w:tc>
              <w:tc>
                <w:tcPr>
                  <w:tcW w:w="780" w:type="dxa"/>
                  <w:shd w:val="clear" w:color="auto" w:fill="auto"/>
                  <w:vAlign w:val="center"/>
                </w:tcPr>
                <w:p>
                  <w:pPr>
                    <w:widowControl/>
                    <w:spacing w:line="240" w:lineRule="auto"/>
                    <w:ind w:firstLine="0" w:firstLineChars="0"/>
                    <w:jc w:val="center"/>
                    <w:textAlignment w:val="center"/>
                    <w:rPr>
                      <w:rFonts w:hint="default" w:eastAsia="宋体"/>
                      <w:color w:val="000000"/>
                      <w:sz w:val="21"/>
                      <w:szCs w:val="21"/>
                      <w:u w:val="none"/>
                      <w:lang w:val="en-US" w:eastAsia="zh-CN"/>
                    </w:rPr>
                  </w:pPr>
                  <w:r>
                    <w:rPr>
                      <w:rFonts w:hint="eastAsia"/>
                      <w:color w:val="000000"/>
                      <w:sz w:val="21"/>
                      <w:szCs w:val="21"/>
                      <w:u w:val="none"/>
                      <w:lang w:val="en-US" w:eastAsia="zh-CN"/>
                    </w:rPr>
                    <w:t>36.861</w:t>
                  </w:r>
                </w:p>
              </w:tc>
              <w:tc>
                <w:tcPr>
                  <w:tcW w:w="945" w:type="dxa"/>
                  <w:shd w:val="clear" w:color="auto" w:fill="auto"/>
                  <w:vAlign w:val="center"/>
                </w:tcPr>
                <w:p>
                  <w:pPr>
                    <w:widowControl/>
                    <w:spacing w:line="240" w:lineRule="auto"/>
                    <w:ind w:firstLine="0" w:firstLineChars="0"/>
                    <w:jc w:val="center"/>
                    <w:textAlignment w:val="center"/>
                    <w:rPr>
                      <w:rFonts w:hint="default" w:eastAsia="宋体"/>
                      <w:color w:val="000000"/>
                      <w:sz w:val="21"/>
                      <w:szCs w:val="21"/>
                      <w:u w:val="none"/>
                      <w:lang w:val="en-US" w:eastAsia="zh-CN"/>
                    </w:rPr>
                  </w:pPr>
                  <w:r>
                    <w:rPr>
                      <w:rFonts w:hint="eastAsia"/>
                      <w:color w:val="000000"/>
                      <w:sz w:val="21"/>
                      <w:szCs w:val="21"/>
                      <w:u w:val="none"/>
                      <w:lang w:val="en-US" w:eastAsia="zh-CN"/>
                    </w:rPr>
                    <w:t>0.184</w:t>
                  </w:r>
                </w:p>
              </w:tc>
              <w:tc>
                <w:tcPr>
                  <w:tcW w:w="735" w:type="dxa"/>
                  <w:vAlign w:val="center"/>
                </w:tcPr>
                <w:p>
                  <w:pPr>
                    <w:pStyle w:val="37"/>
                    <w:ind w:left="0" w:leftChars="0"/>
                    <w:rPr>
                      <w:u w:val="none"/>
                    </w:rPr>
                  </w:pPr>
                  <w:r>
                    <w:rPr>
                      <w:u w:val="none"/>
                    </w:rPr>
                    <w:t>0.5</w:t>
                  </w:r>
                </w:p>
              </w:tc>
              <w:tc>
                <w:tcPr>
                  <w:tcW w:w="985" w:type="dxa"/>
                  <w:vAlign w:val="center"/>
                </w:tcPr>
                <w:p>
                  <w:pPr>
                    <w:pStyle w:val="37"/>
                    <w:ind w:left="0" w:leftChars="0"/>
                    <w:rPr>
                      <w:u w:val="none"/>
                    </w:rPr>
                  </w:pPr>
                  <w:r>
                    <w:rPr>
                      <w:u w:val="none"/>
                    </w:rPr>
                    <w:t>1</w:t>
                  </w:r>
                </w:p>
              </w:tc>
              <w:tc>
                <w:tcPr>
                  <w:tcW w:w="1946" w:type="dxa"/>
                  <w:vAlign w:val="center"/>
                </w:tcPr>
                <w:p>
                  <w:pPr>
                    <w:pStyle w:val="37"/>
                    <w:ind w:left="0" w:leftChars="0"/>
                    <w:rPr>
                      <w:u w:val="none"/>
                    </w:rPr>
                  </w:pPr>
                  <w:r>
                    <w:rPr>
                      <w:u w:val="none"/>
                    </w:rPr>
                    <w:t>设备定期维护检修，设备发生异常及时停止生产</w:t>
                  </w:r>
                </w:p>
              </w:tc>
            </w:tr>
          </w:tbl>
          <w:p>
            <w:pPr>
              <w:ind w:firstLine="480"/>
              <w:rPr>
                <w:u w:val="none"/>
              </w:rPr>
            </w:pPr>
            <w:r>
              <w:rPr>
                <w:rFonts w:hint="eastAsia"/>
                <w:u w:val="none"/>
              </w:rPr>
              <w:t>非正常工况时为保证净化设施的正常运行，企业应该与生产设施“同启同停”或“先启后停”的原则，以此提高治理设施运转率；设置环保专人负责，环保设施正常运行。检查及核查工作应做好记录，发现问题后应立即停止生产工序，等恢复正常工作并具稳定废气去除效率后，开始开工，杜绝废气排放事故发生，同时应加强企业的运行管理，负责厂内环保设施管理、监测等工作。</w:t>
            </w:r>
          </w:p>
          <w:p>
            <w:pPr>
              <w:pStyle w:val="58"/>
              <w:keepLines/>
              <w:ind w:left="480" w:leftChars="200" w:firstLine="0" w:firstLineChars="0"/>
              <w:rPr>
                <w:rFonts w:hint="eastAsia"/>
                <w:b/>
                <w:bCs/>
                <w:color w:val="000000"/>
                <w:u w:val="none"/>
              </w:rPr>
            </w:pPr>
            <w:r>
              <w:rPr>
                <w:rFonts w:hint="eastAsia"/>
                <w:b/>
                <w:bCs/>
                <w:color w:val="000000"/>
                <w:u w:val="none"/>
                <w:lang w:eastAsia="zh-CN"/>
              </w:rPr>
              <w:t>（</w:t>
            </w:r>
            <w:r>
              <w:rPr>
                <w:rFonts w:hint="eastAsia"/>
                <w:b/>
                <w:bCs/>
                <w:color w:val="000000"/>
                <w:u w:val="none"/>
                <w:lang w:val="en-US" w:eastAsia="zh-CN"/>
              </w:rPr>
              <w:t>4</w:t>
            </w:r>
            <w:r>
              <w:rPr>
                <w:rFonts w:hint="eastAsia"/>
                <w:b/>
                <w:bCs/>
                <w:color w:val="000000"/>
                <w:u w:val="none"/>
                <w:lang w:eastAsia="zh-CN"/>
              </w:rPr>
              <w:t>）</w:t>
            </w:r>
            <w:r>
              <w:rPr>
                <w:rFonts w:hint="eastAsia"/>
                <w:b/>
                <w:bCs/>
                <w:color w:val="000000"/>
                <w:u w:val="none"/>
              </w:rPr>
              <w:t>项目废气处理设施可行性分析</w:t>
            </w:r>
          </w:p>
          <w:p>
            <w:pPr>
              <w:pStyle w:val="54"/>
              <w:rPr>
                <w:u w:val="none"/>
              </w:rPr>
            </w:pPr>
            <w:r>
              <w:rPr>
                <w:rFonts w:hint="eastAsia"/>
                <w:u w:val="none"/>
              </w:rPr>
              <w:t>本项目</w:t>
            </w:r>
            <w:r>
              <w:rPr>
                <w:rFonts w:hint="eastAsia"/>
                <w:color w:val="000000"/>
                <w:szCs w:val="24"/>
                <w:u w:val="none"/>
                <w:lang w:val="en-US" w:eastAsia="zh-CN"/>
              </w:rPr>
              <w:t>涂布烘干</w:t>
            </w:r>
            <w:r>
              <w:rPr>
                <w:color w:val="000000"/>
                <w:szCs w:val="24"/>
                <w:u w:val="none"/>
              </w:rPr>
              <w:t>废气</w:t>
            </w:r>
            <w:r>
              <w:rPr>
                <w:rFonts w:hint="eastAsia"/>
                <w:u w:val="none"/>
              </w:rPr>
              <w:t>通过密闭</w:t>
            </w:r>
            <w:r>
              <w:rPr>
                <w:rFonts w:hint="eastAsia"/>
                <w:u w:val="none"/>
                <w:lang w:val="en-US" w:eastAsia="zh-CN"/>
              </w:rPr>
              <w:t>负压</w:t>
            </w:r>
            <w:r>
              <w:rPr>
                <w:rFonts w:hint="eastAsia"/>
                <w:u w:val="none"/>
              </w:rPr>
              <w:t>收集经“</w:t>
            </w:r>
            <w:r>
              <w:rPr>
                <w:rFonts w:hint="eastAsia"/>
                <w:u w:val="none"/>
                <w:lang w:val="en-US" w:eastAsia="zh-CN"/>
              </w:rPr>
              <w:t>二级活性炭</w:t>
            </w:r>
            <w:r>
              <w:rPr>
                <w:rFonts w:hint="eastAsia"/>
                <w:u w:val="none"/>
              </w:rPr>
              <w:t>”装置处理后由1根15m排气筒（DA001）有组织排放。</w:t>
            </w:r>
          </w:p>
          <w:p>
            <w:pPr>
              <w:pStyle w:val="54"/>
              <w:rPr>
                <w:u w:val="none"/>
              </w:rPr>
            </w:pPr>
            <w:r>
              <w:rPr>
                <w:rFonts w:hint="eastAsia"/>
                <w:u w:val="none"/>
              </w:rPr>
              <w:t>活性炭吸附主要是指多孔性固体物质处理流体混合物时，流体中的某一组分或某些组分可被吸引到固体表面，并浓缩、聚集其上，在吸附处理废气时，吸附的对象是气态污染物。气体由风机提供动力，负压进入活性炭吸附床，由于活性炭固体表面上存在着未平衡和未饱和的分子引力或化学键力，因此当固体表面与气体接触时，就能吸引气体分子，使其浓聚并保持在固体表面，污染物质从而被吸附，废气经吸附后，净化气体高空达标排放。评价要求活性炭更换周期不应超过累计运行500h或3个月（以先达到的时间为准）。项目有机废气进入活性炭吸附装置处理具有环境可行性。项目有机溶剂的储存于密闭容器中，转运过程使用密闭容器，符合《挥发性有机物无组织排放控制标准》（GB37822-2019）对VOCs物料储存和转移的无组织排放控制要求。属于《排污许可证申请与核发技术规范 橡胶和塑料制品工业》（HJ1122-2020）</w:t>
            </w:r>
            <w:r>
              <w:rPr>
                <w:rFonts w:hint="eastAsia"/>
                <w:u w:val="none"/>
                <w:lang w:val="en-US" w:eastAsia="zh-CN"/>
              </w:rPr>
              <w:t>“</w:t>
            </w:r>
            <w:r>
              <w:rPr>
                <w:rFonts w:hint="eastAsia"/>
                <w:u w:val="none"/>
              </w:rPr>
              <w:t>表A.2塑料制品工业排污单位废气污染防治可行技术参考表</w:t>
            </w:r>
            <w:r>
              <w:rPr>
                <w:rFonts w:hint="eastAsia"/>
                <w:u w:val="none"/>
                <w:lang w:val="en-US" w:eastAsia="zh-CN"/>
              </w:rPr>
              <w:t>”中的“非甲烷总烃-</w:t>
            </w:r>
            <w:r>
              <w:rPr>
                <w:rFonts w:hint="eastAsia"/>
                <w:u w:val="none"/>
              </w:rPr>
              <w:t>吸附</w:t>
            </w:r>
            <w:r>
              <w:rPr>
                <w:rFonts w:hint="eastAsia"/>
                <w:u w:val="none"/>
                <w:lang w:val="en-US" w:eastAsia="zh-CN"/>
              </w:rPr>
              <w:t>技术”</w:t>
            </w:r>
            <w:r>
              <w:rPr>
                <w:rFonts w:hint="eastAsia"/>
                <w:u w:val="none"/>
              </w:rPr>
              <w:t>。</w:t>
            </w:r>
          </w:p>
          <w:p>
            <w:pPr>
              <w:pStyle w:val="14"/>
              <w:numPr>
                <w:ilvl w:val="255"/>
                <w:numId w:val="0"/>
              </w:numPr>
              <w:ind w:firstLine="480" w:firstLineChars="200"/>
              <w:rPr>
                <w:u w:val="none"/>
              </w:rPr>
            </w:pPr>
            <w:r>
              <w:rPr>
                <w:color w:val="000000"/>
                <w:kern w:val="0"/>
                <w:u w:val="none"/>
                <w:lang w:bidi="ar"/>
              </w:rPr>
              <w:t>因此，本项目</w:t>
            </w:r>
            <w:r>
              <w:rPr>
                <w:rFonts w:hint="eastAsia"/>
                <w:color w:val="000000"/>
                <w:kern w:val="0"/>
                <w:u w:val="none"/>
                <w:lang w:val="en-US" w:eastAsia="zh-CN" w:bidi="ar"/>
              </w:rPr>
              <w:t>涂布烘干</w:t>
            </w:r>
            <w:r>
              <w:rPr>
                <w:rFonts w:hint="eastAsia"/>
                <w:color w:val="000000"/>
                <w:kern w:val="0"/>
                <w:u w:val="none"/>
                <w:lang w:bidi="ar"/>
              </w:rPr>
              <w:t>工序产生的VOCs（以非甲烷总烃计）经</w:t>
            </w:r>
            <w:r>
              <w:rPr>
                <w:rFonts w:hint="eastAsia"/>
                <w:color w:val="000000"/>
                <w:kern w:val="0"/>
                <w:u w:val="none"/>
                <w:lang w:val="en-US" w:eastAsia="zh-CN" w:bidi="ar"/>
              </w:rPr>
              <w:t>密闭负压</w:t>
            </w:r>
            <w:r>
              <w:rPr>
                <w:rFonts w:hint="eastAsia"/>
                <w:color w:val="000000"/>
                <w:kern w:val="0"/>
                <w:u w:val="none"/>
                <w:lang w:bidi="ar"/>
              </w:rPr>
              <w:t>收集后采取“</w:t>
            </w:r>
            <w:r>
              <w:rPr>
                <w:rFonts w:hint="eastAsia"/>
                <w:color w:val="000000"/>
                <w:kern w:val="0"/>
                <w:u w:val="none"/>
                <w:lang w:val="en-US" w:eastAsia="zh-CN" w:bidi="ar"/>
              </w:rPr>
              <w:t>二级</w:t>
            </w:r>
            <w:r>
              <w:rPr>
                <w:rFonts w:hint="eastAsia"/>
                <w:color w:val="000000"/>
                <w:kern w:val="0"/>
                <w:u w:val="none"/>
                <w:lang w:bidi="ar"/>
              </w:rPr>
              <w:t>活性炭装置”治理措施为可行技术。</w:t>
            </w:r>
          </w:p>
          <w:p>
            <w:pPr>
              <w:pStyle w:val="58"/>
              <w:keepLines/>
              <w:ind w:firstLine="482"/>
              <w:rPr>
                <w:b/>
                <w:bCs/>
                <w:color w:val="000000"/>
                <w:u w:val="none"/>
              </w:rPr>
            </w:pPr>
            <w:r>
              <w:rPr>
                <w:rFonts w:hint="eastAsia"/>
                <w:b/>
                <w:bCs/>
                <w:color w:val="000000"/>
                <w:u w:val="none"/>
              </w:rPr>
              <w:t>（5）排气筒高度符合性分析</w:t>
            </w:r>
          </w:p>
          <w:p>
            <w:pPr>
              <w:pStyle w:val="14"/>
              <w:autoSpaceDE w:val="0"/>
              <w:autoSpaceDN w:val="0"/>
              <w:ind w:firstLine="480"/>
              <w:jc w:val="both"/>
              <w:rPr>
                <w:color w:val="000000"/>
                <w:u w:val="none"/>
                <w:lang w:bidi="zh-CN"/>
              </w:rPr>
            </w:pPr>
            <w:r>
              <w:rPr>
                <w:color w:val="000000"/>
                <w:u w:val="none"/>
                <w:lang w:bidi="zh-CN"/>
              </w:rPr>
              <w:t>根据《大气污染物综合排放标准》（GB 16297-1996）中7.1</w:t>
            </w:r>
            <w:r>
              <w:rPr>
                <w:rFonts w:hint="eastAsia"/>
                <w:color w:val="000000"/>
                <w:u w:val="none"/>
                <w:lang w:bidi="zh-CN"/>
              </w:rPr>
              <w:t>要求：</w:t>
            </w:r>
            <w:r>
              <w:rPr>
                <w:color w:val="000000"/>
                <w:u w:val="none"/>
                <w:lang w:bidi="zh-CN"/>
              </w:rPr>
              <w:t>排气</w:t>
            </w:r>
            <w:r>
              <w:rPr>
                <w:rFonts w:hint="eastAsia"/>
                <w:color w:val="000000"/>
                <w:u w:val="none"/>
                <w:lang w:bidi="zh-CN"/>
              </w:rPr>
              <w:t>筒</w:t>
            </w:r>
            <w:r>
              <w:rPr>
                <w:color w:val="000000"/>
                <w:u w:val="none"/>
                <w:lang w:bidi="zh-CN"/>
              </w:rPr>
              <w:t>高度除须遵守表列排放速率标准值外</w:t>
            </w:r>
            <w:r>
              <w:rPr>
                <w:rFonts w:hint="eastAsia"/>
                <w:color w:val="000000"/>
                <w:u w:val="none"/>
                <w:lang w:bidi="zh-CN"/>
              </w:rPr>
              <w:t>，</w:t>
            </w:r>
            <w:r>
              <w:rPr>
                <w:color w:val="000000"/>
                <w:u w:val="none"/>
                <w:lang w:bidi="zh-CN"/>
              </w:rPr>
              <w:t>还应高出周围200m半径范围的建筑5m以上，不能达到该要求的</w:t>
            </w:r>
            <w:r>
              <w:rPr>
                <w:rFonts w:hint="eastAsia"/>
                <w:color w:val="000000"/>
                <w:u w:val="none"/>
                <w:lang w:bidi="zh-CN"/>
              </w:rPr>
              <w:t>排气筒，</w:t>
            </w:r>
            <w:r>
              <w:rPr>
                <w:color w:val="000000"/>
                <w:u w:val="none"/>
                <w:lang w:bidi="zh-CN"/>
              </w:rPr>
              <w:t>应按其高度对应的表列排放速率标准值严格50%执行规定，排气筒高度不应低于1</w:t>
            </w:r>
            <w:r>
              <w:rPr>
                <w:rFonts w:hint="eastAsia"/>
                <w:color w:val="000000"/>
                <w:u w:val="none"/>
                <w:lang w:bidi="zh-CN"/>
              </w:rPr>
              <w:t>5</w:t>
            </w:r>
            <w:r>
              <w:rPr>
                <w:color w:val="000000"/>
                <w:u w:val="none"/>
                <w:lang w:bidi="zh-CN"/>
              </w:rPr>
              <w:t>m</w:t>
            </w:r>
            <w:r>
              <w:rPr>
                <w:rFonts w:hint="eastAsia"/>
                <w:color w:val="000000"/>
                <w:u w:val="none"/>
                <w:lang w:bidi="zh-CN"/>
              </w:rPr>
              <w:t>。</w:t>
            </w:r>
          </w:p>
          <w:p>
            <w:pPr>
              <w:pStyle w:val="14"/>
              <w:numPr>
                <w:ilvl w:val="255"/>
                <w:numId w:val="0"/>
              </w:numPr>
              <w:ind w:firstLine="480" w:firstLineChars="200"/>
              <w:rPr>
                <w:u w:val="none"/>
              </w:rPr>
            </w:pPr>
            <w:r>
              <w:rPr>
                <w:rFonts w:hint="eastAsia"/>
                <w:color w:val="000000"/>
                <w:u w:val="none"/>
                <w:lang w:bidi="zh-CN"/>
              </w:rPr>
              <w:t>本项</w:t>
            </w:r>
            <w:r>
              <w:rPr>
                <w:rFonts w:hint="eastAsia"/>
                <w:u w:val="none"/>
              </w:rPr>
              <w:t>目最高建筑高度为13m，200m半</w:t>
            </w:r>
            <w:r>
              <w:rPr>
                <w:rFonts w:hint="eastAsia"/>
                <w:color w:val="000000"/>
                <w:u w:val="none"/>
                <w:lang w:bidi="zh-CN"/>
              </w:rPr>
              <w:t>径范围内最高建筑高度为18m，</w:t>
            </w:r>
            <w:r>
              <w:rPr>
                <w:color w:val="000000"/>
                <w:u w:val="none"/>
                <w:lang w:bidi="zh-CN"/>
              </w:rPr>
              <w:t>DA001</w:t>
            </w:r>
            <w:r>
              <w:rPr>
                <w:rFonts w:hint="eastAsia"/>
                <w:u w:val="none"/>
                <w:lang w:val="en-US" w:eastAsia="zh-CN"/>
              </w:rPr>
              <w:t>涂布烘干废气</w:t>
            </w:r>
            <w:r>
              <w:rPr>
                <w:rFonts w:hint="eastAsia"/>
                <w:color w:val="000000"/>
                <w:u w:val="none"/>
                <w:lang w:bidi="zh-CN"/>
              </w:rPr>
              <w:t>排气筒高度为15m，故要求</w:t>
            </w:r>
            <w:r>
              <w:rPr>
                <w:color w:val="000000"/>
                <w:u w:val="none"/>
                <w:lang w:bidi="zh-CN"/>
              </w:rPr>
              <w:t>DA001</w:t>
            </w:r>
            <w:r>
              <w:rPr>
                <w:rFonts w:hint="eastAsia"/>
                <w:color w:val="000000"/>
                <w:u w:val="none"/>
                <w:lang w:bidi="zh-CN"/>
              </w:rPr>
              <w:t>排气筒有机废气排放速率严格50%执行</w:t>
            </w:r>
            <w:r>
              <w:rPr>
                <w:rFonts w:hint="eastAsia"/>
                <w:u w:val="none"/>
              </w:rPr>
              <w:t>，根据上文源强核算，有组织VOCs（以非甲烷总烃计）排放速率满足严格50%执行后的排放速率要求，故本项目DA001</w:t>
            </w:r>
            <w:r>
              <w:rPr>
                <w:rFonts w:hint="eastAsia"/>
                <w:u w:val="none"/>
                <w:lang w:val="en-US" w:eastAsia="zh-CN"/>
              </w:rPr>
              <w:t>涂布烘干废气</w:t>
            </w:r>
            <w:r>
              <w:rPr>
                <w:rFonts w:hint="eastAsia"/>
                <w:color w:val="000000"/>
                <w:u w:val="none"/>
                <w:lang w:bidi="zh-CN"/>
              </w:rPr>
              <w:t>排气</w:t>
            </w:r>
            <w:r>
              <w:rPr>
                <w:rFonts w:hint="eastAsia"/>
                <w:u w:val="none"/>
              </w:rPr>
              <w:t>筒符合相关排气筒高度规定要求。</w:t>
            </w:r>
          </w:p>
          <w:p>
            <w:pPr>
              <w:ind w:firstLine="482"/>
              <w:rPr>
                <w:b/>
                <w:bCs/>
                <w:u w:val="none"/>
              </w:rPr>
            </w:pPr>
            <w:r>
              <w:rPr>
                <w:b/>
                <w:bCs/>
                <w:u w:val="none"/>
              </w:rPr>
              <w:t>（</w:t>
            </w:r>
            <w:r>
              <w:rPr>
                <w:rFonts w:hint="eastAsia"/>
                <w:b/>
                <w:bCs/>
                <w:u w:val="none"/>
              </w:rPr>
              <w:t>6</w:t>
            </w:r>
            <w:r>
              <w:rPr>
                <w:b/>
                <w:bCs/>
                <w:u w:val="none"/>
              </w:rPr>
              <w:t>）项目大气污染物排放总量核算</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9</w:t>
            </w:r>
            <w:r>
              <w:rPr>
                <w:rFonts w:hint="eastAsia" w:ascii="Times New Roman" w:hAnsi="Times New Roman" w:cs="Times New Roman"/>
                <w:b/>
                <w:bCs w:val="0"/>
                <w:u w:val="none"/>
              </w:rPr>
              <w:t>大气污染物有组织排放量核算表</w:t>
            </w:r>
          </w:p>
          <w:tbl>
            <w:tblPr>
              <w:tblStyle w:val="23"/>
              <w:tblW w:w="8707" w:type="dxa"/>
              <w:jc w:val="center"/>
              <w:tblLayout w:type="fixed"/>
              <w:tblCellMar>
                <w:top w:w="0" w:type="dxa"/>
                <w:left w:w="108" w:type="dxa"/>
                <w:bottom w:w="0" w:type="dxa"/>
                <w:right w:w="108" w:type="dxa"/>
              </w:tblCellMar>
            </w:tblPr>
            <w:tblGrid>
              <w:gridCol w:w="985"/>
              <w:gridCol w:w="1575"/>
              <w:gridCol w:w="1532"/>
              <w:gridCol w:w="1550"/>
              <w:gridCol w:w="1306"/>
              <w:gridCol w:w="1759"/>
            </w:tblGrid>
            <w:tr>
              <w:tblPrEx>
                <w:tblCellMar>
                  <w:top w:w="0" w:type="dxa"/>
                  <w:left w:w="108" w:type="dxa"/>
                  <w:bottom w:w="0" w:type="dxa"/>
                  <w:right w:w="108" w:type="dxa"/>
                </w:tblCellMar>
              </w:tblPrEx>
              <w:trPr>
                <w:trHeight w:val="488" w:hRule="atLeast"/>
                <w:jc w:val="center"/>
              </w:trPr>
              <w:tc>
                <w:tcPr>
                  <w:tcW w:w="98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b/>
                      <w:bCs/>
                      <w:color w:val="000000"/>
                      <w:sz w:val="21"/>
                      <w:szCs w:val="21"/>
                      <w:u w:val="none"/>
                    </w:rPr>
                  </w:pPr>
                  <w:r>
                    <w:rPr>
                      <w:rFonts w:hint="eastAsia" w:ascii="宋体" w:hAnsi="宋体" w:cs="宋体"/>
                      <w:b/>
                      <w:bCs/>
                      <w:color w:val="000000"/>
                      <w:kern w:val="0"/>
                      <w:sz w:val="21"/>
                      <w:szCs w:val="21"/>
                      <w:u w:val="none"/>
                      <w:lang w:bidi="ar"/>
                    </w:rPr>
                    <w:t>序号</w:t>
                  </w:r>
                </w:p>
              </w:tc>
              <w:tc>
                <w:tcPr>
                  <w:tcW w:w="1575"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b/>
                      <w:bCs/>
                      <w:color w:val="000000"/>
                      <w:sz w:val="21"/>
                      <w:szCs w:val="21"/>
                      <w:u w:val="none"/>
                    </w:rPr>
                  </w:pPr>
                  <w:r>
                    <w:rPr>
                      <w:rFonts w:hint="eastAsia" w:ascii="宋体" w:hAnsi="宋体" w:cs="宋体"/>
                      <w:b/>
                      <w:bCs/>
                      <w:color w:val="000000"/>
                      <w:kern w:val="0"/>
                      <w:sz w:val="21"/>
                      <w:szCs w:val="21"/>
                      <w:u w:val="none"/>
                      <w:lang w:bidi="ar"/>
                    </w:rPr>
                    <w:t>排放口编号</w:t>
                  </w:r>
                </w:p>
              </w:tc>
              <w:tc>
                <w:tcPr>
                  <w:tcW w:w="1532"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b/>
                      <w:bCs/>
                      <w:color w:val="000000"/>
                      <w:sz w:val="21"/>
                      <w:szCs w:val="21"/>
                      <w:u w:val="none"/>
                    </w:rPr>
                  </w:pPr>
                  <w:r>
                    <w:rPr>
                      <w:rFonts w:hint="eastAsia" w:ascii="宋体" w:hAnsi="宋体" w:cs="宋体"/>
                      <w:b/>
                      <w:bCs/>
                      <w:color w:val="000000"/>
                      <w:kern w:val="0"/>
                      <w:sz w:val="21"/>
                      <w:szCs w:val="21"/>
                      <w:u w:val="none"/>
                      <w:lang w:bidi="ar"/>
                    </w:rPr>
                    <w:t>污染物</w:t>
                  </w:r>
                </w:p>
              </w:tc>
              <w:tc>
                <w:tcPr>
                  <w:tcW w:w="1550"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b/>
                      <w:bCs/>
                      <w:color w:val="000000"/>
                      <w:sz w:val="21"/>
                      <w:szCs w:val="21"/>
                      <w:u w:val="none"/>
                    </w:rPr>
                  </w:pPr>
                  <w:r>
                    <w:rPr>
                      <w:rFonts w:hint="eastAsia" w:ascii="宋体" w:hAnsi="宋体" w:cs="宋体"/>
                      <w:b/>
                      <w:bCs/>
                      <w:color w:val="000000"/>
                      <w:kern w:val="0"/>
                      <w:sz w:val="21"/>
                      <w:szCs w:val="21"/>
                      <w:u w:val="none"/>
                      <w:lang w:bidi="ar"/>
                    </w:rPr>
                    <w:t>核算排放浓度</w:t>
                  </w:r>
                  <w:r>
                    <w:rPr>
                      <w:b/>
                      <w:bCs/>
                      <w:color w:val="000000"/>
                      <w:kern w:val="0"/>
                      <w:sz w:val="21"/>
                      <w:szCs w:val="21"/>
                      <w:u w:val="none"/>
                      <w:lang w:bidi="ar"/>
                    </w:rPr>
                    <w:t xml:space="preserve">        </w:t>
                  </w:r>
                  <w:r>
                    <w:rPr>
                      <w:rFonts w:hint="eastAsia" w:ascii="宋体" w:hAnsi="宋体" w:cs="宋体"/>
                      <w:b/>
                      <w:bCs/>
                      <w:color w:val="000000"/>
                      <w:kern w:val="0"/>
                      <w:sz w:val="21"/>
                      <w:szCs w:val="21"/>
                      <w:u w:val="none"/>
                      <w:lang w:bidi="ar"/>
                    </w:rPr>
                    <w:t>（</w:t>
                  </w:r>
                  <w:r>
                    <w:rPr>
                      <w:b/>
                      <w:bCs/>
                      <w:color w:val="000000"/>
                      <w:kern w:val="0"/>
                      <w:sz w:val="21"/>
                      <w:szCs w:val="21"/>
                      <w:u w:val="none"/>
                      <w:lang w:bidi="ar"/>
                    </w:rPr>
                    <w:t>mg/m</w:t>
                  </w:r>
                  <w:r>
                    <w:rPr>
                      <w:b/>
                      <w:bCs/>
                      <w:color w:val="000000"/>
                      <w:kern w:val="0"/>
                      <w:sz w:val="21"/>
                      <w:szCs w:val="21"/>
                      <w:u w:val="none"/>
                      <w:vertAlign w:val="superscript"/>
                      <w:lang w:bidi="ar"/>
                    </w:rPr>
                    <w:t>3</w:t>
                  </w:r>
                  <w:r>
                    <w:rPr>
                      <w:rFonts w:hint="eastAsia" w:ascii="宋体" w:hAnsi="宋体" w:cs="宋体"/>
                      <w:b/>
                      <w:bCs/>
                      <w:color w:val="000000"/>
                      <w:kern w:val="0"/>
                      <w:sz w:val="21"/>
                      <w:szCs w:val="21"/>
                      <w:u w:val="none"/>
                      <w:lang w:bidi="ar"/>
                    </w:rPr>
                    <w:t>）</w:t>
                  </w:r>
                </w:p>
              </w:tc>
              <w:tc>
                <w:tcPr>
                  <w:tcW w:w="1306"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b/>
                      <w:bCs/>
                      <w:color w:val="000000"/>
                      <w:sz w:val="21"/>
                      <w:szCs w:val="21"/>
                      <w:u w:val="none"/>
                    </w:rPr>
                  </w:pPr>
                  <w:r>
                    <w:rPr>
                      <w:rFonts w:hint="eastAsia" w:ascii="宋体" w:hAnsi="宋体" w:cs="宋体"/>
                      <w:b/>
                      <w:bCs/>
                      <w:color w:val="000000"/>
                      <w:kern w:val="0"/>
                      <w:sz w:val="21"/>
                      <w:szCs w:val="21"/>
                      <w:u w:val="none"/>
                      <w:lang w:bidi="ar"/>
                    </w:rPr>
                    <w:t>核算排放速率（</w:t>
                  </w:r>
                  <w:r>
                    <w:rPr>
                      <w:b/>
                      <w:bCs/>
                      <w:color w:val="000000"/>
                      <w:kern w:val="0"/>
                      <w:sz w:val="21"/>
                      <w:szCs w:val="21"/>
                      <w:u w:val="none"/>
                      <w:lang w:bidi="ar"/>
                    </w:rPr>
                    <w:t>kg/h</w:t>
                  </w:r>
                  <w:r>
                    <w:rPr>
                      <w:rFonts w:hint="eastAsia" w:ascii="宋体" w:hAnsi="宋体" w:cs="宋体"/>
                      <w:b/>
                      <w:bCs/>
                      <w:color w:val="000000"/>
                      <w:kern w:val="0"/>
                      <w:sz w:val="21"/>
                      <w:szCs w:val="21"/>
                      <w:u w:val="none"/>
                      <w:lang w:bidi="ar"/>
                    </w:rPr>
                    <w:t>）</w:t>
                  </w:r>
                </w:p>
              </w:tc>
              <w:tc>
                <w:tcPr>
                  <w:tcW w:w="1759"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b/>
                      <w:bCs/>
                      <w:color w:val="000000"/>
                      <w:sz w:val="21"/>
                      <w:szCs w:val="21"/>
                      <w:u w:val="none"/>
                    </w:rPr>
                  </w:pPr>
                  <w:r>
                    <w:rPr>
                      <w:rFonts w:hint="eastAsia" w:ascii="宋体" w:hAnsi="宋体" w:cs="宋体"/>
                      <w:b/>
                      <w:bCs/>
                      <w:color w:val="000000"/>
                      <w:kern w:val="0"/>
                      <w:sz w:val="21"/>
                      <w:szCs w:val="21"/>
                      <w:u w:val="none"/>
                      <w:lang w:bidi="ar"/>
                    </w:rPr>
                    <w:t>核算年排放量（</w:t>
                  </w:r>
                  <w:r>
                    <w:rPr>
                      <w:b/>
                      <w:bCs/>
                      <w:color w:val="000000"/>
                      <w:kern w:val="0"/>
                      <w:sz w:val="21"/>
                      <w:szCs w:val="21"/>
                      <w:u w:val="none"/>
                      <w:lang w:bidi="ar"/>
                    </w:rPr>
                    <w:t>t/a</w:t>
                  </w:r>
                  <w:r>
                    <w:rPr>
                      <w:rFonts w:hint="eastAsia" w:ascii="宋体" w:hAnsi="宋体" w:cs="宋体"/>
                      <w:b/>
                      <w:bCs/>
                      <w:color w:val="000000"/>
                      <w:kern w:val="0"/>
                      <w:sz w:val="21"/>
                      <w:szCs w:val="21"/>
                      <w:u w:val="none"/>
                      <w:lang w:bidi="ar"/>
                    </w:rPr>
                    <w:t>）</w:t>
                  </w:r>
                </w:p>
              </w:tc>
            </w:tr>
            <w:tr>
              <w:tblPrEx>
                <w:tblCellMar>
                  <w:top w:w="0" w:type="dxa"/>
                  <w:left w:w="108" w:type="dxa"/>
                  <w:bottom w:w="0" w:type="dxa"/>
                  <w:right w:w="108" w:type="dxa"/>
                </w:tblCellMar>
              </w:tblPrEx>
              <w:trPr>
                <w:trHeight w:val="554" w:hRule="atLeast"/>
                <w:jc w:val="center"/>
              </w:trPr>
              <w:tc>
                <w:tcPr>
                  <w:tcW w:w="985" w:type="dxa"/>
                  <w:tcBorders>
                    <w:top w:val="nil"/>
                    <w:left w:val="single" w:color="000000" w:sz="8" w:space="0"/>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color w:val="000000"/>
                      <w:sz w:val="21"/>
                      <w:szCs w:val="21"/>
                      <w:u w:val="none"/>
                    </w:rPr>
                  </w:pPr>
                  <w:r>
                    <w:rPr>
                      <w:color w:val="000000"/>
                      <w:kern w:val="0"/>
                      <w:sz w:val="21"/>
                      <w:szCs w:val="21"/>
                      <w:u w:val="none"/>
                      <w:lang w:bidi="ar"/>
                    </w:rPr>
                    <w:t>1</w:t>
                  </w:r>
                </w:p>
              </w:tc>
              <w:tc>
                <w:tcPr>
                  <w:tcW w:w="1575" w:type="dxa"/>
                  <w:tcBorders>
                    <w:top w:val="nil"/>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color w:val="000000"/>
                      <w:sz w:val="21"/>
                      <w:szCs w:val="21"/>
                      <w:u w:val="none"/>
                    </w:rPr>
                  </w:pPr>
                  <w:r>
                    <w:rPr>
                      <w:color w:val="000000"/>
                      <w:kern w:val="0"/>
                      <w:sz w:val="21"/>
                      <w:szCs w:val="21"/>
                      <w:u w:val="none"/>
                      <w:lang w:bidi="ar"/>
                    </w:rPr>
                    <w:t>DA001</w:t>
                  </w:r>
                </w:p>
              </w:tc>
              <w:tc>
                <w:tcPr>
                  <w:tcW w:w="1532" w:type="dxa"/>
                  <w:tcBorders>
                    <w:top w:val="nil"/>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color w:val="000000"/>
                      <w:kern w:val="0"/>
                      <w:sz w:val="21"/>
                      <w:szCs w:val="21"/>
                      <w:u w:val="none"/>
                      <w:lang w:bidi="ar"/>
                    </w:rPr>
                  </w:pPr>
                  <w:r>
                    <w:rPr>
                      <w:rFonts w:hint="eastAsia"/>
                      <w:color w:val="000000"/>
                      <w:kern w:val="0"/>
                      <w:sz w:val="21"/>
                      <w:szCs w:val="21"/>
                      <w:u w:val="none"/>
                      <w:lang w:bidi="ar"/>
                    </w:rPr>
                    <w:t>VOCs（以非甲烷总烃计）</w:t>
                  </w:r>
                </w:p>
              </w:tc>
              <w:tc>
                <w:tcPr>
                  <w:tcW w:w="1550" w:type="dxa"/>
                  <w:tcBorders>
                    <w:top w:val="nil"/>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default"/>
                      <w:color w:val="000000"/>
                      <w:kern w:val="0"/>
                      <w:sz w:val="21"/>
                      <w:szCs w:val="21"/>
                      <w:u w:val="none"/>
                      <w:lang w:val="en-US" w:bidi="ar"/>
                    </w:rPr>
                  </w:pPr>
                  <w:r>
                    <w:rPr>
                      <w:rFonts w:hint="default"/>
                      <w:color w:val="000000"/>
                      <w:kern w:val="0"/>
                      <w:sz w:val="21"/>
                      <w:szCs w:val="21"/>
                      <w:u w:val="none"/>
                      <w:lang w:val="en-US" w:eastAsia="zh-CN" w:bidi="ar"/>
                    </w:rPr>
                    <w:t xml:space="preserve">23.005 </w:t>
                  </w:r>
                </w:p>
              </w:tc>
              <w:tc>
                <w:tcPr>
                  <w:tcW w:w="1306" w:type="dxa"/>
                  <w:tcBorders>
                    <w:top w:val="nil"/>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default"/>
                      <w:color w:val="000000"/>
                      <w:kern w:val="0"/>
                      <w:sz w:val="21"/>
                      <w:szCs w:val="21"/>
                      <w:u w:val="none"/>
                      <w:lang w:val="en-US" w:eastAsia="zh-CN" w:bidi="ar"/>
                    </w:rPr>
                  </w:pPr>
                  <w:r>
                    <w:rPr>
                      <w:rFonts w:hint="default"/>
                      <w:color w:val="000000"/>
                      <w:kern w:val="0"/>
                      <w:sz w:val="21"/>
                      <w:szCs w:val="21"/>
                      <w:u w:val="none"/>
                      <w:lang w:val="en-US" w:eastAsia="zh-CN" w:bidi="ar"/>
                    </w:rPr>
                    <w:t xml:space="preserve">0.115 </w:t>
                  </w:r>
                </w:p>
              </w:tc>
              <w:tc>
                <w:tcPr>
                  <w:tcW w:w="1759" w:type="dxa"/>
                  <w:tcBorders>
                    <w:top w:val="nil"/>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color w:val="000000"/>
                      <w:kern w:val="0"/>
                      <w:sz w:val="21"/>
                      <w:szCs w:val="21"/>
                      <w:u w:val="none"/>
                      <w:lang w:bidi="ar"/>
                    </w:rPr>
                  </w:pPr>
                  <w:r>
                    <w:rPr>
                      <w:rFonts w:hint="default"/>
                      <w:color w:val="000000"/>
                      <w:kern w:val="0"/>
                      <w:sz w:val="21"/>
                      <w:szCs w:val="21"/>
                      <w:u w:val="none"/>
                      <w:lang w:val="en-US" w:eastAsia="zh-CN" w:bidi="ar"/>
                    </w:rPr>
                    <w:t xml:space="preserve">0.828 </w:t>
                  </w:r>
                </w:p>
              </w:tc>
            </w:tr>
            <w:tr>
              <w:tblPrEx>
                <w:tblCellMar>
                  <w:top w:w="0" w:type="dxa"/>
                  <w:left w:w="108" w:type="dxa"/>
                  <w:bottom w:w="0" w:type="dxa"/>
                  <w:right w:w="108" w:type="dxa"/>
                </w:tblCellMar>
              </w:tblPrEx>
              <w:trPr>
                <w:trHeight w:val="484" w:hRule="atLeast"/>
                <w:jc w:val="center"/>
              </w:trPr>
              <w:tc>
                <w:tcPr>
                  <w:tcW w:w="8707" w:type="dxa"/>
                  <w:gridSpan w:val="6"/>
                  <w:tcBorders>
                    <w:top w:val="nil"/>
                    <w:left w:val="single" w:color="000000" w:sz="8" w:space="0"/>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u w:val="none"/>
                    </w:rPr>
                  </w:pPr>
                  <w:r>
                    <w:rPr>
                      <w:rFonts w:hint="eastAsia" w:ascii="宋体" w:hAnsi="宋体" w:cs="宋体"/>
                      <w:color w:val="000000"/>
                      <w:kern w:val="0"/>
                      <w:sz w:val="21"/>
                      <w:szCs w:val="21"/>
                      <w:u w:val="none"/>
                      <w:lang w:bidi="ar"/>
                    </w:rPr>
                    <w:t>有组织排放量总计：</w:t>
                  </w:r>
                </w:p>
              </w:tc>
            </w:tr>
            <w:tr>
              <w:trPr>
                <w:trHeight w:val="484" w:hRule="atLeast"/>
                <w:jc w:val="center"/>
              </w:trPr>
              <w:tc>
                <w:tcPr>
                  <w:tcW w:w="2560" w:type="dxa"/>
                  <w:gridSpan w:val="2"/>
                  <w:tcBorders>
                    <w:top w:val="nil"/>
                    <w:left w:val="single" w:color="000000" w:sz="8" w:space="0"/>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u w:val="none"/>
                    </w:rPr>
                  </w:pPr>
                  <w:r>
                    <w:rPr>
                      <w:rFonts w:hint="eastAsia" w:ascii="宋体" w:hAnsi="宋体" w:cs="宋体"/>
                      <w:color w:val="000000"/>
                      <w:kern w:val="0"/>
                      <w:sz w:val="21"/>
                      <w:szCs w:val="21"/>
                      <w:u w:val="none"/>
                      <w:lang w:bidi="ar"/>
                    </w:rPr>
                    <w:t>有组织排放总计</w:t>
                  </w:r>
                </w:p>
              </w:tc>
              <w:tc>
                <w:tcPr>
                  <w:tcW w:w="4388" w:type="dxa"/>
                  <w:gridSpan w:val="3"/>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color w:val="000000"/>
                      <w:sz w:val="21"/>
                      <w:szCs w:val="21"/>
                      <w:u w:val="none"/>
                    </w:rPr>
                  </w:pPr>
                  <w:r>
                    <w:rPr>
                      <w:rFonts w:hint="eastAsia"/>
                      <w:color w:val="000000"/>
                      <w:kern w:val="0"/>
                      <w:sz w:val="21"/>
                      <w:szCs w:val="21"/>
                      <w:u w:val="none"/>
                      <w:lang w:bidi="ar"/>
                    </w:rPr>
                    <w:t>VOCs</w:t>
                  </w:r>
                </w:p>
              </w:tc>
              <w:tc>
                <w:tcPr>
                  <w:tcW w:w="1759"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default" w:eastAsia="宋体"/>
                      <w:color w:val="000000"/>
                      <w:sz w:val="21"/>
                      <w:szCs w:val="21"/>
                      <w:u w:val="none"/>
                      <w:lang w:val="en-US" w:eastAsia="zh-CN"/>
                    </w:rPr>
                  </w:pPr>
                  <w:r>
                    <w:rPr>
                      <w:rFonts w:hint="eastAsia"/>
                      <w:color w:val="000000"/>
                      <w:sz w:val="21"/>
                      <w:szCs w:val="21"/>
                      <w:u w:val="none"/>
                      <w:lang w:val="en-US" w:eastAsia="zh-CN"/>
                    </w:rPr>
                    <w:t>0.828</w:t>
                  </w:r>
                </w:p>
              </w:tc>
            </w:tr>
          </w:tbl>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10</w:t>
            </w:r>
            <w:r>
              <w:rPr>
                <w:rFonts w:hint="eastAsia" w:ascii="Times New Roman" w:hAnsi="Times New Roman" w:cs="Times New Roman"/>
                <w:b/>
                <w:bCs w:val="0"/>
                <w:u w:val="none"/>
              </w:rPr>
              <w:t>大气污染物无组织排放量核算表</w:t>
            </w:r>
          </w:p>
          <w:tbl>
            <w:tblPr>
              <w:tblStyle w:val="24"/>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867"/>
              <w:gridCol w:w="825"/>
              <w:gridCol w:w="850"/>
              <w:gridCol w:w="2563"/>
              <w:gridCol w:w="1058"/>
              <w:gridCol w:w="132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418" w:type="dxa"/>
                  <w:vMerge w:val="restart"/>
                  <w:vAlign w:val="center"/>
                </w:tcPr>
                <w:p>
                  <w:pPr>
                    <w:pStyle w:val="37"/>
                    <w:ind w:left="0" w:leftChars="0"/>
                    <w:rPr>
                      <w:b/>
                      <w:bCs/>
                      <w:u w:val="none"/>
                    </w:rPr>
                  </w:pPr>
                  <w:r>
                    <w:rPr>
                      <w:rFonts w:hint="eastAsia"/>
                      <w:b/>
                      <w:bCs/>
                      <w:u w:val="none"/>
                    </w:rPr>
                    <w:t>序号</w:t>
                  </w:r>
                </w:p>
              </w:tc>
              <w:tc>
                <w:tcPr>
                  <w:tcW w:w="867" w:type="dxa"/>
                  <w:vMerge w:val="restart"/>
                  <w:vAlign w:val="center"/>
                </w:tcPr>
                <w:p>
                  <w:pPr>
                    <w:pStyle w:val="37"/>
                    <w:ind w:left="0" w:leftChars="0"/>
                    <w:rPr>
                      <w:b/>
                      <w:bCs/>
                      <w:u w:val="none"/>
                    </w:rPr>
                  </w:pPr>
                  <w:r>
                    <w:rPr>
                      <w:rFonts w:hint="eastAsia"/>
                      <w:b/>
                      <w:bCs/>
                      <w:u w:val="none"/>
                    </w:rPr>
                    <w:t>产污环节</w:t>
                  </w:r>
                </w:p>
              </w:tc>
              <w:tc>
                <w:tcPr>
                  <w:tcW w:w="825" w:type="dxa"/>
                  <w:vMerge w:val="restart"/>
                  <w:vAlign w:val="center"/>
                </w:tcPr>
                <w:p>
                  <w:pPr>
                    <w:pStyle w:val="37"/>
                    <w:ind w:left="0" w:leftChars="0"/>
                    <w:rPr>
                      <w:b/>
                      <w:bCs/>
                      <w:u w:val="none"/>
                    </w:rPr>
                  </w:pPr>
                  <w:r>
                    <w:rPr>
                      <w:rFonts w:hint="eastAsia"/>
                      <w:b/>
                      <w:bCs/>
                      <w:u w:val="none"/>
                    </w:rPr>
                    <w:t>主要防治措施</w:t>
                  </w:r>
                </w:p>
              </w:tc>
              <w:tc>
                <w:tcPr>
                  <w:tcW w:w="850" w:type="dxa"/>
                  <w:vMerge w:val="restart"/>
                  <w:vAlign w:val="center"/>
                </w:tcPr>
                <w:p>
                  <w:pPr>
                    <w:pStyle w:val="37"/>
                    <w:ind w:left="0" w:leftChars="0"/>
                    <w:rPr>
                      <w:b/>
                      <w:bCs/>
                      <w:u w:val="none"/>
                    </w:rPr>
                  </w:pPr>
                  <w:r>
                    <w:rPr>
                      <w:rFonts w:hint="eastAsia"/>
                      <w:b/>
                      <w:bCs/>
                      <w:u w:val="none"/>
                    </w:rPr>
                    <w:t>污染物</w:t>
                  </w:r>
                </w:p>
              </w:tc>
              <w:tc>
                <w:tcPr>
                  <w:tcW w:w="4943" w:type="dxa"/>
                  <w:gridSpan w:val="3"/>
                  <w:vAlign w:val="center"/>
                </w:tcPr>
                <w:p>
                  <w:pPr>
                    <w:pStyle w:val="37"/>
                    <w:ind w:left="0" w:leftChars="0"/>
                    <w:rPr>
                      <w:b/>
                      <w:bCs/>
                      <w:u w:val="none"/>
                    </w:rPr>
                  </w:pPr>
                  <w:r>
                    <w:rPr>
                      <w:rFonts w:hint="eastAsia"/>
                      <w:b/>
                      <w:bCs/>
                      <w:u w:val="none"/>
                    </w:rPr>
                    <w:t>国家或地方污染物排放标准</w:t>
                  </w:r>
                </w:p>
              </w:tc>
              <w:tc>
                <w:tcPr>
                  <w:tcW w:w="813" w:type="dxa"/>
                  <w:vMerge w:val="restart"/>
                  <w:vAlign w:val="center"/>
                </w:tcPr>
                <w:p>
                  <w:pPr>
                    <w:pStyle w:val="37"/>
                    <w:ind w:left="0" w:leftChars="0"/>
                    <w:rPr>
                      <w:u w:val="none"/>
                    </w:rPr>
                  </w:pPr>
                  <w:r>
                    <w:rPr>
                      <w:rFonts w:hint="eastAsia"/>
                      <w:b/>
                      <w:bCs/>
                      <w:u w:val="none"/>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18" w:type="dxa"/>
                  <w:vMerge w:val="continue"/>
                  <w:vAlign w:val="center"/>
                </w:tcPr>
                <w:p>
                  <w:pPr>
                    <w:pStyle w:val="37"/>
                    <w:ind w:left="0" w:leftChars="0"/>
                    <w:rPr>
                      <w:b/>
                      <w:bCs/>
                      <w:u w:val="none"/>
                    </w:rPr>
                  </w:pPr>
                </w:p>
              </w:tc>
              <w:tc>
                <w:tcPr>
                  <w:tcW w:w="867" w:type="dxa"/>
                  <w:vMerge w:val="continue"/>
                  <w:vAlign w:val="center"/>
                </w:tcPr>
                <w:p>
                  <w:pPr>
                    <w:pStyle w:val="37"/>
                    <w:ind w:left="0" w:leftChars="0"/>
                    <w:rPr>
                      <w:b/>
                      <w:bCs/>
                      <w:u w:val="none"/>
                    </w:rPr>
                  </w:pPr>
                </w:p>
              </w:tc>
              <w:tc>
                <w:tcPr>
                  <w:tcW w:w="825" w:type="dxa"/>
                  <w:vMerge w:val="continue"/>
                  <w:vAlign w:val="center"/>
                </w:tcPr>
                <w:p>
                  <w:pPr>
                    <w:pStyle w:val="37"/>
                    <w:ind w:left="0" w:leftChars="0"/>
                    <w:rPr>
                      <w:b/>
                      <w:bCs/>
                      <w:u w:val="none"/>
                    </w:rPr>
                  </w:pPr>
                </w:p>
              </w:tc>
              <w:tc>
                <w:tcPr>
                  <w:tcW w:w="850" w:type="dxa"/>
                  <w:vMerge w:val="continue"/>
                  <w:vAlign w:val="center"/>
                </w:tcPr>
                <w:p>
                  <w:pPr>
                    <w:pStyle w:val="37"/>
                    <w:ind w:left="0" w:leftChars="0"/>
                    <w:rPr>
                      <w:b/>
                      <w:bCs/>
                      <w:u w:val="none"/>
                    </w:rPr>
                  </w:pPr>
                </w:p>
              </w:tc>
              <w:tc>
                <w:tcPr>
                  <w:tcW w:w="2563" w:type="dxa"/>
                  <w:vMerge w:val="restart"/>
                  <w:vAlign w:val="center"/>
                </w:tcPr>
                <w:p>
                  <w:pPr>
                    <w:pStyle w:val="37"/>
                    <w:ind w:left="0" w:leftChars="0"/>
                    <w:rPr>
                      <w:b/>
                      <w:bCs/>
                      <w:u w:val="none"/>
                    </w:rPr>
                  </w:pPr>
                  <w:r>
                    <w:rPr>
                      <w:rFonts w:hint="eastAsia"/>
                      <w:b/>
                      <w:bCs/>
                      <w:u w:val="none"/>
                    </w:rPr>
                    <w:t>标准名称</w:t>
                  </w:r>
                </w:p>
              </w:tc>
              <w:tc>
                <w:tcPr>
                  <w:tcW w:w="2380" w:type="dxa"/>
                  <w:gridSpan w:val="2"/>
                  <w:vAlign w:val="center"/>
                </w:tcPr>
                <w:p>
                  <w:pPr>
                    <w:pStyle w:val="37"/>
                    <w:ind w:left="0" w:leftChars="0"/>
                    <w:rPr>
                      <w:b/>
                      <w:bCs/>
                      <w:u w:val="none"/>
                    </w:rPr>
                  </w:pPr>
                  <w:r>
                    <w:rPr>
                      <w:rFonts w:hint="eastAsia"/>
                      <w:b/>
                      <w:bCs/>
                      <w:u w:val="none"/>
                    </w:rPr>
                    <w:t>浓度限值</w:t>
                  </w:r>
                </w:p>
              </w:tc>
              <w:tc>
                <w:tcPr>
                  <w:tcW w:w="813" w:type="dxa"/>
                  <w:vMerge w:val="continue"/>
                  <w:vAlign w:val="center"/>
                </w:tcPr>
                <w:p>
                  <w:pPr>
                    <w:pStyle w:val="37"/>
                    <w:ind w:left="0" w:leftChars="0"/>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dxa"/>
                  <w:vMerge w:val="continue"/>
                  <w:vAlign w:val="center"/>
                </w:tcPr>
                <w:p>
                  <w:pPr>
                    <w:pStyle w:val="37"/>
                    <w:ind w:left="0" w:leftChars="0"/>
                    <w:rPr>
                      <w:b/>
                      <w:bCs/>
                      <w:u w:val="none"/>
                    </w:rPr>
                  </w:pPr>
                </w:p>
              </w:tc>
              <w:tc>
                <w:tcPr>
                  <w:tcW w:w="867" w:type="dxa"/>
                  <w:vMerge w:val="continue"/>
                  <w:vAlign w:val="center"/>
                </w:tcPr>
                <w:p>
                  <w:pPr>
                    <w:pStyle w:val="37"/>
                    <w:ind w:left="0" w:leftChars="0"/>
                    <w:rPr>
                      <w:b/>
                      <w:bCs/>
                      <w:u w:val="none"/>
                    </w:rPr>
                  </w:pPr>
                </w:p>
              </w:tc>
              <w:tc>
                <w:tcPr>
                  <w:tcW w:w="825" w:type="dxa"/>
                  <w:vMerge w:val="continue"/>
                  <w:vAlign w:val="center"/>
                </w:tcPr>
                <w:p>
                  <w:pPr>
                    <w:pStyle w:val="37"/>
                    <w:ind w:left="0" w:leftChars="0"/>
                    <w:rPr>
                      <w:b/>
                      <w:bCs/>
                      <w:u w:val="none"/>
                    </w:rPr>
                  </w:pPr>
                </w:p>
              </w:tc>
              <w:tc>
                <w:tcPr>
                  <w:tcW w:w="850" w:type="dxa"/>
                  <w:vMerge w:val="continue"/>
                  <w:vAlign w:val="center"/>
                </w:tcPr>
                <w:p>
                  <w:pPr>
                    <w:pStyle w:val="37"/>
                    <w:ind w:left="0" w:leftChars="0"/>
                    <w:rPr>
                      <w:b/>
                      <w:bCs/>
                      <w:u w:val="none"/>
                    </w:rPr>
                  </w:pPr>
                </w:p>
              </w:tc>
              <w:tc>
                <w:tcPr>
                  <w:tcW w:w="2563" w:type="dxa"/>
                  <w:vMerge w:val="continue"/>
                  <w:vAlign w:val="center"/>
                </w:tcPr>
                <w:p>
                  <w:pPr>
                    <w:pStyle w:val="37"/>
                    <w:ind w:left="0" w:leftChars="0"/>
                    <w:rPr>
                      <w:b/>
                      <w:bCs/>
                      <w:u w:val="none"/>
                    </w:rPr>
                  </w:pPr>
                </w:p>
              </w:tc>
              <w:tc>
                <w:tcPr>
                  <w:tcW w:w="1058" w:type="dxa"/>
                  <w:vAlign w:val="center"/>
                </w:tcPr>
                <w:p>
                  <w:pPr>
                    <w:pStyle w:val="37"/>
                    <w:ind w:left="0" w:leftChars="0"/>
                    <w:rPr>
                      <w:b/>
                      <w:bCs/>
                      <w:u w:val="none"/>
                    </w:rPr>
                  </w:pPr>
                  <w:r>
                    <w:rPr>
                      <w:rFonts w:hint="eastAsia"/>
                      <w:b/>
                      <w:bCs/>
                      <w:u w:val="none"/>
                    </w:rPr>
                    <w:t>厂界</w:t>
                  </w:r>
                </w:p>
              </w:tc>
              <w:tc>
                <w:tcPr>
                  <w:tcW w:w="1322" w:type="dxa"/>
                  <w:vAlign w:val="center"/>
                </w:tcPr>
                <w:p>
                  <w:pPr>
                    <w:pStyle w:val="37"/>
                    <w:ind w:left="0" w:leftChars="0"/>
                    <w:rPr>
                      <w:b/>
                      <w:bCs/>
                      <w:u w:val="none"/>
                    </w:rPr>
                  </w:pPr>
                  <w:r>
                    <w:rPr>
                      <w:rFonts w:hint="eastAsia"/>
                      <w:b/>
                      <w:bCs/>
                      <w:u w:val="none"/>
                    </w:rPr>
                    <w:t>厂区</w:t>
                  </w:r>
                </w:p>
              </w:tc>
              <w:tc>
                <w:tcPr>
                  <w:tcW w:w="813" w:type="dxa"/>
                  <w:vMerge w:val="continue"/>
                  <w:vAlign w:val="center"/>
                </w:tcPr>
                <w:p>
                  <w:pPr>
                    <w:pStyle w:val="37"/>
                    <w:ind w:left="0" w:leftChars="0"/>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18" w:type="dxa"/>
                  <w:vAlign w:val="center"/>
                </w:tcPr>
                <w:p>
                  <w:pPr>
                    <w:pStyle w:val="37"/>
                    <w:ind w:left="0" w:leftChars="0"/>
                    <w:rPr>
                      <w:u w:val="none"/>
                    </w:rPr>
                  </w:pPr>
                  <w:r>
                    <w:rPr>
                      <w:rFonts w:hint="eastAsia"/>
                      <w:u w:val="none"/>
                    </w:rPr>
                    <w:t>1</w:t>
                  </w:r>
                </w:p>
              </w:tc>
              <w:tc>
                <w:tcPr>
                  <w:tcW w:w="867" w:type="dxa"/>
                  <w:vAlign w:val="center"/>
                </w:tcPr>
                <w:p>
                  <w:pPr>
                    <w:pStyle w:val="37"/>
                    <w:ind w:left="0" w:leftChars="0"/>
                    <w:rPr>
                      <w:rFonts w:hint="default" w:eastAsia="宋体"/>
                      <w:u w:val="none"/>
                      <w:lang w:val="en-US" w:eastAsia="zh-CN"/>
                    </w:rPr>
                  </w:pPr>
                  <w:r>
                    <w:rPr>
                      <w:rFonts w:hint="eastAsia"/>
                      <w:bCs/>
                      <w:kern w:val="24"/>
                      <w:u w:val="none"/>
                      <w:lang w:val="en-US" w:eastAsia="zh-CN"/>
                    </w:rPr>
                    <w:t>涂布烘干工序</w:t>
                  </w:r>
                </w:p>
              </w:tc>
              <w:tc>
                <w:tcPr>
                  <w:tcW w:w="825" w:type="dxa"/>
                  <w:vAlign w:val="center"/>
                </w:tcPr>
                <w:p>
                  <w:pPr>
                    <w:pStyle w:val="37"/>
                    <w:ind w:left="0" w:leftChars="0"/>
                    <w:rPr>
                      <w:u w:val="none"/>
                    </w:rPr>
                  </w:pPr>
                  <w:r>
                    <w:rPr>
                      <w:rFonts w:hint="eastAsia"/>
                      <w:u w:val="none"/>
                    </w:rPr>
                    <w:t>加强生产工序封闭管理</w:t>
                  </w:r>
                </w:p>
              </w:tc>
              <w:tc>
                <w:tcPr>
                  <w:tcW w:w="850" w:type="dxa"/>
                  <w:vAlign w:val="center"/>
                </w:tcPr>
                <w:p>
                  <w:pPr>
                    <w:pStyle w:val="37"/>
                    <w:ind w:left="0" w:leftChars="0"/>
                    <w:rPr>
                      <w:u w:val="none"/>
                    </w:rPr>
                  </w:pPr>
                  <w:r>
                    <w:rPr>
                      <w:rFonts w:hint="eastAsia"/>
                      <w:u w:val="none"/>
                    </w:rPr>
                    <w:t>VOCs</w:t>
                  </w:r>
                </w:p>
              </w:tc>
              <w:tc>
                <w:tcPr>
                  <w:tcW w:w="2563" w:type="dxa"/>
                  <w:vAlign w:val="center"/>
                </w:tcPr>
                <w:p>
                  <w:pPr>
                    <w:pStyle w:val="37"/>
                    <w:keepNext w:val="0"/>
                    <w:keepLines w:val="0"/>
                    <w:pageBreakBefore w:val="0"/>
                    <w:widowControl w:val="0"/>
                    <w:kinsoku/>
                    <w:wordWrap w:val="0"/>
                    <w:overflowPunct/>
                    <w:topLinePunct w:val="0"/>
                    <w:autoSpaceDE/>
                    <w:autoSpaceDN/>
                    <w:bidi w:val="0"/>
                    <w:adjustRightInd/>
                    <w:snapToGrid/>
                    <w:ind w:left="0" w:leftChars="0"/>
                    <w:jc w:val="left"/>
                    <w:textAlignment w:val="auto"/>
                    <w:rPr>
                      <w:u w:val="none"/>
                    </w:rPr>
                  </w:pPr>
                  <w:r>
                    <w:rPr>
                      <w:rFonts w:hint="eastAsia"/>
                      <w:u w:val="none"/>
                    </w:rPr>
                    <w:t>厂界：《大气污染物综合排放标准》（GB16297-1996）</w:t>
                  </w:r>
                  <w:r>
                    <w:rPr>
                      <w:rFonts w:hint="eastAsia" w:ascii="Times New Roman" w:hAnsi="Times New Roman" w:eastAsia="宋体" w:cs="Times New Roman"/>
                      <w:color w:val="auto"/>
                      <w:highlight w:val="none"/>
                      <w:u w:val="none"/>
                      <w:vertAlign w:val="baseline"/>
                      <w:lang w:val="en-US" w:eastAsia="zh-CN"/>
                    </w:rPr>
                    <w:t>表2中无组织监控浓度限值</w:t>
                  </w:r>
                  <w:r>
                    <w:rPr>
                      <w:rFonts w:hint="eastAsia"/>
                      <w:u w:val="none"/>
                    </w:rPr>
                    <w:t>；</w:t>
                  </w:r>
                </w:p>
                <w:p>
                  <w:pPr>
                    <w:pStyle w:val="37"/>
                    <w:keepNext w:val="0"/>
                    <w:keepLines w:val="0"/>
                    <w:pageBreakBefore w:val="0"/>
                    <w:widowControl w:val="0"/>
                    <w:kinsoku/>
                    <w:wordWrap w:val="0"/>
                    <w:overflowPunct/>
                    <w:topLinePunct w:val="0"/>
                    <w:autoSpaceDE/>
                    <w:autoSpaceDN/>
                    <w:bidi w:val="0"/>
                    <w:adjustRightInd/>
                    <w:snapToGrid/>
                    <w:ind w:left="0" w:leftChars="0"/>
                    <w:jc w:val="left"/>
                    <w:textAlignment w:val="auto"/>
                    <w:rPr>
                      <w:u w:val="none"/>
                    </w:rPr>
                  </w:pPr>
                  <w:r>
                    <w:rPr>
                      <w:rFonts w:hint="eastAsia"/>
                      <w:u w:val="none"/>
                    </w:rPr>
                    <w:t>厂区：《挥发性有机物无组织排放控制标准》（GB37822-2019）附录A表A.1排放限值</w:t>
                  </w:r>
                </w:p>
              </w:tc>
              <w:tc>
                <w:tcPr>
                  <w:tcW w:w="1058" w:type="dxa"/>
                  <w:shd w:val="clear" w:color="auto" w:fill="auto"/>
                  <w:vAlign w:val="center"/>
                </w:tcPr>
                <w:p>
                  <w:pPr>
                    <w:pStyle w:val="37"/>
                    <w:ind w:left="0" w:leftChars="0"/>
                    <w:rPr>
                      <w:u w:val="none"/>
                    </w:rPr>
                  </w:pPr>
                  <w:r>
                    <w:rPr>
                      <w:rFonts w:hint="eastAsia"/>
                      <w:u w:val="none"/>
                    </w:rPr>
                    <w:t>4.0</w:t>
                  </w:r>
                </w:p>
              </w:tc>
              <w:tc>
                <w:tcPr>
                  <w:tcW w:w="1322" w:type="dxa"/>
                  <w:shd w:val="clear" w:color="auto" w:fill="auto"/>
                  <w:vAlign w:val="center"/>
                </w:tcPr>
                <w:p>
                  <w:pPr>
                    <w:pStyle w:val="37"/>
                    <w:ind w:left="0" w:leftChars="0"/>
                    <w:rPr>
                      <w:u w:val="none"/>
                    </w:rPr>
                  </w:pPr>
                  <w:r>
                    <w:rPr>
                      <w:rFonts w:hint="eastAsia"/>
                      <w:u w:val="none"/>
                    </w:rPr>
                    <w:t>10（1小时平均浓度值）；</w:t>
                  </w:r>
                </w:p>
                <w:p>
                  <w:pPr>
                    <w:pStyle w:val="37"/>
                    <w:ind w:left="0" w:leftChars="0"/>
                    <w:rPr>
                      <w:u w:val="none"/>
                    </w:rPr>
                  </w:pPr>
                  <w:r>
                    <w:rPr>
                      <w:rFonts w:hint="eastAsia"/>
                      <w:u w:val="none"/>
                    </w:rPr>
                    <w:t>30（任意一次浓度值）</w:t>
                  </w:r>
                </w:p>
              </w:tc>
              <w:tc>
                <w:tcPr>
                  <w:tcW w:w="813" w:type="dxa"/>
                  <w:shd w:val="clear" w:color="auto" w:fill="auto"/>
                  <w:vAlign w:val="center"/>
                </w:tcPr>
                <w:p>
                  <w:pPr>
                    <w:pStyle w:val="37"/>
                    <w:ind w:left="0" w:leftChars="0"/>
                    <w:rPr>
                      <w:rFonts w:hint="default" w:eastAsia="宋体"/>
                      <w:u w:val="none"/>
                      <w:lang w:val="en-US" w:eastAsia="zh-CN"/>
                    </w:rPr>
                  </w:pPr>
                  <w:r>
                    <w:rPr>
                      <w:rFonts w:hint="eastAsia"/>
                      <w:u w:val="none"/>
                    </w:rPr>
                    <w:t>0.1</w:t>
                  </w:r>
                  <w:r>
                    <w:rPr>
                      <w:rFonts w:hint="eastAsia"/>
                      <w:u w:val="none"/>
                      <w:lang w:val="en-US" w:eastAsia="zh-CN"/>
                    </w:rPr>
                    <w:t>47</w:t>
                  </w:r>
                </w:p>
              </w:tc>
            </w:tr>
          </w:tbl>
          <w:p>
            <w:pPr>
              <w:ind w:firstLine="480"/>
              <w:rPr>
                <w:u w:val="none"/>
              </w:rPr>
            </w:pPr>
            <w:r>
              <w:rPr>
                <w:rFonts w:hint="eastAsia"/>
                <w:u w:val="none"/>
              </w:rPr>
              <w:t>本项目大气污染物年排放量汇总见下表。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11</w:t>
            </w:r>
            <w:r>
              <w:rPr>
                <w:rFonts w:hint="eastAsia" w:ascii="Times New Roman" w:hAnsi="Times New Roman" w:cs="Times New Roman"/>
                <w:b/>
                <w:bCs w:val="0"/>
                <w:u w:val="none"/>
              </w:rPr>
              <w:t>大气污染物年排放量核算表</w:t>
            </w:r>
          </w:p>
          <w:tbl>
            <w:tblPr>
              <w:tblStyle w:val="2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2875"/>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4" w:type="dxa"/>
                  <w:vAlign w:val="center"/>
                </w:tcPr>
                <w:p>
                  <w:pPr>
                    <w:pStyle w:val="37"/>
                    <w:ind w:left="0" w:leftChars="0"/>
                    <w:rPr>
                      <w:b/>
                      <w:bCs/>
                      <w:u w:val="none"/>
                    </w:rPr>
                  </w:pPr>
                  <w:r>
                    <w:rPr>
                      <w:rFonts w:hint="eastAsia"/>
                      <w:b/>
                      <w:bCs/>
                      <w:u w:val="none"/>
                    </w:rPr>
                    <w:t>序号</w:t>
                  </w:r>
                </w:p>
              </w:tc>
              <w:tc>
                <w:tcPr>
                  <w:tcW w:w="2875" w:type="dxa"/>
                  <w:vAlign w:val="center"/>
                </w:tcPr>
                <w:p>
                  <w:pPr>
                    <w:pStyle w:val="37"/>
                    <w:ind w:left="0" w:leftChars="0"/>
                    <w:rPr>
                      <w:b/>
                      <w:bCs/>
                      <w:u w:val="none"/>
                    </w:rPr>
                  </w:pPr>
                  <w:r>
                    <w:rPr>
                      <w:rFonts w:hint="eastAsia"/>
                      <w:b/>
                      <w:bCs/>
                      <w:u w:val="none"/>
                    </w:rPr>
                    <w:t>污染物</w:t>
                  </w:r>
                </w:p>
              </w:tc>
              <w:tc>
                <w:tcPr>
                  <w:tcW w:w="2875" w:type="dxa"/>
                  <w:vAlign w:val="center"/>
                </w:tcPr>
                <w:p>
                  <w:pPr>
                    <w:pStyle w:val="37"/>
                    <w:ind w:left="0" w:leftChars="0"/>
                    <w:rPr>
                      <w:b/>
                      <w:bCs/>
                      <w:u w:val="none"/>
                    </w:rPr>
                  </w:pPr>
                  <w:r>
                    <w:rPr>
                      <w:rFonts w:hint="eastAsia"/>
                      <w:b/>
                      <w:bCs/>
                      <w:u w:val="none"/>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4" w:type="dxa"/>
                  <w:vAlign w:val="center"/>
                </w:tcPr>
                <w:p>
                  <w:pPr>
                    <w:pStyle w:val="37"/>
                    <w:ind w:left="0" w:leftChars="0"/>
                    <w:rPr>
                      <w:u w:val="none"/>
                    </w:rPr>
                  </w:pPr>
                  <w:r>
                    <w:rPr>
                      <w:rFonts w:hint="eastAsia"/>
                      <w:u w:val="none"/>
                    </w:rPr>
                    <w:t>1</w:t>
                  </w:r>
                </w:p>
              </w:tc>
              <w:tc>
                <w:tcPr>
                  <w:tcW w:w="2875" w:type="dxa"/>
                  <w:vAlign w:val="center"/>
                </w:tcPr>
                <w:p>
                  <w:pPr>
                    <w:pStyle w:val="37"/>
                    <w:ind w:left="0" w:leftChars="0"/>
                    <w:rPr>
                      <w:u w:val="none"/>
                    </w:rPr>
                  </w:pPr>
                  <w:r>
                    <w:rPr>
                      <w:rFonts w:hint="eastAsia"/>
                      <w:u w:val="none"/>
                    </w:rPr>
                    <w:t>VOCs</w:t>
                  </w:r>
                </w:p>
              </w:tc>
              <w:tc>
                <w:tcPr>
                  <w:tcW w:w="2875" w:type="dxa"/>
                  <w:shd w:val="clear" w:color="auto" w:fill="auto"/>
                  <w:vAlign w:val="center"/>
                </w:tcPr>
                <w:p>
                  <w:pPr>
                    <w:pStyle w:val="37"/>
                    <w:ind w:left="0" w:leftChars="0"/>
                    <w:rPr>
                      <w:rFonts w:hint="default" w:eastAsia="宋体"/>
                      <w:u w:val="none"/>
                      <w:lang w:val="en-US" w:eastAsia="zh-CN"/>
                    </w:rPr>
                  </w:pPr>
                  <w:r>
                    <w:rPr>
                      <w:rFonts w:hint="eastAsia"/>
                      <w:u w:val="none"/>
                      <w:lang w:val="en-US" w:eastAsia="zh-CN"/>
                    </w:rPr>
                    <w:t>0.975</w:t>
                  </w:r>
                </w:p>
              </w:tc>
            </w:tr>
          </w:tbl>
          <w:p>
            <w:pPr>
              <w:ind w:firstLine="482"/>
              <w:rPr>
                <w:b/>
                <w:bCs/>
                <w:u w:val="none"/>
              </w:rPr>
            </w:pPr>
            <w:r>
              <w:rPr>
                <w:rFonts w:hint="eastAsia"/>
                <w:b/>
                <w:bCs/>
                <w:u w:val="none"/>
              </w:rPr>
              <w:t>（6）监测计划</w:t>
            </w:r>
          </w:p>
          <w:p>
            <w:pPr>
              <w:ind w:firstLine="480"/>
              <w:rPr>
                <w:u w:val="none"/>
              </w:rPr>
            </w:pPr>
            <w:r>
              <w:rPr>
                <w:rFonts w:hint="eastAsia"/>
                <w:u w:val="none"/>
              </w:rPr>
              <w:t>根据《排污许可证申请与核发技术规范 橡胶和塑料制品工业》（HJ1122-2020）、《排污单位自行监测技术指南 橡胶和塑料制品（HJ1207-2021）及《排污单位自行监测技术指南 总则》（HJ 819-2017），本项目废气自行监测计划详见下表。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表4-1</w:t>
            </w:r>
            <w:r>
              <w:rPr>
                <w:rFonts w:hint="eastAsia" w:cs="Times New Roman"/>
                <w:b/>
                <w:bCs w:val="0"/>
                <w:u w:val="none"/>
                <w:lang w:val="en-US" w:eastAsia="zh-CN"/>
              </w:rPr>
              <w:t>2</w:t>
            </w:r>
            <w:r>
              <w:rPr>
                <w:rFonts w:hint="eastAsia" w:ascii="Times New Roman" w:hAnsi="Times New Roman" w:cs="Times New Roman"/>
                <w:b/>
                <w:bCs w:val="0"/>
                <w:u w:val="none"/>
              </w:rPr>
              <w:t>营运期废气自行监测计划一览表</w:t>
            </w:r>
          </w:p>
          <w:tbl>
            <w:tblPr>
              <w:tblStyle w:val="2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866"/>
              <w:gridCol w:w="1605"/>
              <w:gridCol w:w="87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39" w:type="dxa"/>
                  <w:vAlign w:val="center"/>
                </w:tcPr>
                <w:p>
                  <w:pPr>
                    <w:pStyle w:val="37"/>
                    <w:ind w:left="0" w:leftChars="0"/>
                    <w:rPr>
                      <w:b/>
                      <w:bCs/>
                      <w:u w:val="none"/>
                    </w:rPr>
                  </w:pPr>
                  <w:r>
                    <w:rPr>
                      <w:b/>
                      <w:bCs/>
                      <w:u w:val="none"/>
                    </w:rPr>
                    <w:t>监测</w:t>
                  </w:r>
                </w:p>
                <w:p>
                  <w:pPr>
                    <w:pStyle w:val="37"/>
                    <w:ind w:left="0" w:leftChars="0"/>
                    <w:rPr>
                      <w:b/>
                      <w:bCs/>
                      <w:u w:val="none"/>
                    </w:rPr>
                  </w:pPr>
                  <w:r>
                    <w:rPr>
                      <w:b/>
                      <w:bCs/>
                      <w:u w:val="none"/>
                    </w:rPr>
                    <w:t>项目</w:t>
                  </w:r>
                </w:p>
              </w:tc>
              <w:tc>
                <w:tcPr>
                  <w:tcW w:w="1866" w:type="dxa"/>
                  <w:vAlign w:val="center"/>
                </w:tcPr>
                <w:p>
                  <w:pPr>
                    <w:pStyle w:val="37"/>
                    <w:ind w:left="0" w:leftChars="0"/>
                    <w:rPr>
                      <w:b/>
                      <w:bCs/>
                      <w:u w:val="none"/>
                    </w:rPr>
                  </w:pPr>
                  <w:r>
                    <w:rPr>
                      <w:b/>
                      <w:bCs/>
                      <w:u w:val="none"/>
                    </w:rPr>
                    <w:t>监测点位</w:t>
                  </w:r>
                </w:p>
              </w:tc>
              <w:tc>
                <w:tcPr>
                  <w:tcW w:w="1605" w:type="dxa"/>
                  <w:vAlign w:val="center"/>
                </w:tcPr>
                <w:p>
                  <w:pPr>
                    <w:pStyle w:val="37"/>
                    <w:ind w:left="0" w:leftChars="0"/>
                    <w:rPr>
                      <w:b/>
                      <w:bCs/>
                      <w:u w:val="none"/>
                    </w:rPr>
                  </w:pPr>
                  <w:r>
                    <w:rPr>
                      <w:b/>
                      <w:bCs/>
                      <w:u w:val="none"/>
                    </w:rPr>
                    <w:t>监测内容</w:t>
                  </w:r>
                </w:p>
              </w:tc>
              <w:tc>
                <w:tcPr>
                  <w:tcW w:w="879" w:type="dxa"/>
                  <w:vAlign w:val="center"/>
                </w:tcPr>
                <w:p>
                  <w:pPr>
                    <w:pStyle w:val="37"/>
                    <w:ind w:left="0" w:leftChars="0"/>
                    <w:rPr>
                      <w:b/>
                      <w:bCs/>
                      <w:u w:val="none"/>
                    </w:rPr>
                  </w:pPr>
                  <w:r>
                    <w:rPr>
                      <w:b/>
                      <w:bCs/>
                      <w:u w:val="none"/>
                    </w:rPr>
                    <w:t>监测频率</w:t>
                  </w:r>
                </w:p>
              </w:tc>
              <w:tc>
                <w:tcPr>
                  <w:tcW w:w="3024" w:type="dxa"/>
                  <w:vAlign w:val="center"/>
                </w:tcPr>
                <w:p>
                  <w:pPr>
                    <w:pStyle w:val="37"/>
                    <w:ind w:left="0" w:leftChars="0"/>
                    <w:rPr>
                      <w:b/>
                      <w:bCs/>
                      <w:u w:val="none"/>
                    </w:rPr>
                  </w:pPr>
                  <w:r>
                    <w:rPr>
                      <w:b/>
                      <w:bCs/>
                      <w:u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Align w:val="center"/>
                </w:tcPr>
                <w:p>
                  <w:pPr>
                    <w:pStyle w:val="37"/>
                    <w:ind w:left="0" w:leftChars="0"/>
                    <w:rPr>
                      <w:rFonts w:hint="default"/>
                      <w:u w:val="none"/>
                      <w:lang w:val="en-US"/>
                    </w:rPr>
                  </w:pPr>
                  <w:r>
                    <w:rPr>
                      <w:rFonts w:hint="eastAsia"/>
                      <w:color w:val="000000"/>
                      <w:u w:val="none"/>
                      <w:lang w:val="en-US" w:bidi="zh-CN"/>
                    </w:rPr>
                    <w:t>有组织废气</w:t>
                  </w:r>
                </w:p>
              </w:tc>
              <w:tc>
                <w:tcPr>
                  <w:tcW w:w="1866" w:type="dxa"/>
                  <w:vAlign w:val="center"/>
                </w:tcPr>
                <w:p>
                  <w:pPr>
                    <w:pStyle w:val="37"/>
                    <w:ind w:left="0" w:leftChars="0"/>
                    <w:rPr>
                      <w:u w:val="none"/>
                    </w:rPr>
                  </w:pPr>
                  <w:r>
                    <w:rPr>
                      <w:rFonts w:hint="eastAsia"/>
                      <w:u w:val="none"/>
                      <w:lang w:val="en-US" w:eastAsia="zh-CN"/>
                    </w:rPr>
                    <w:t>涂布烘干废气排气筒</w:t>
                  </w:r>
                  <w:r>
                    <w:rPr>
                      <w:u w:val="none"/>
                    </w:rPr>
                    <w:t>DA001</w:t>
                  </w:r>
                </w:p>
              </w:tc>
              <w:tc>
                <w:tcPr>
                  <w:tcW w:w="1605" w:type="dxa"/>
                  <w:shd w:val="clear" w:color="auto" w:fill="auto"/>
                  <w:vAlign w:val="center"/>
                </w:tcPr>
                <w:p>
                  <w:pPr>
                    <w:pStyle w:val="37"/>
                    <w:ind w:left="0" w:leftChars="0"/>
                    <w:rPr>
                      <w:u w:val="none"/>
                    </w:rPr>
                  </w:pPr>
                  <w:r>
                    <w:rPr>
                      <w:rFonts w:hint="eastAsia"/>
                      <w:u w:val="none"/>
                    </w:rPr>
                    <w:t>VOCs</w:t>
                  </w:r>
                  <w:r>
                    <w:rPr>
                      <w:rFonts w:hint="eastAsia"/>
                      <w:u w:val="none"/>
                      <w:lang w:eastAsia="zh-CN"/>
                    </w:rPr>
                    <w:t>（</w:t>
                  </w:r>
                  <w:r>
                    <w:rPr>
                      <w:rFonts w:hint="eastAsia"/>
                      <w:u w:val="none"/>
                      <w:lang w:val="en-US" w:eastAsia="zh-CN"/>
                    </w:rPr>
                    <w:t>以</w:t>
                  </w:r>
                  <w:r>
                    <w:rPr>
                      <w:u w:val="none"/>
                    </w:rPr>
                    <w:t>非甲烷总烃</w:t>
                  </w:r>
                  <w:r>
                    <w:rPr>
                      <w:rFonts w:hint="eastAsia"/>
                      <w:u w:val="none"/>
                      <w:lang w:val="en-US" w:eastAsia="zh-CN"/>
                    </w:rPr>
                    <w:t>计</w:t>
                  </w:r>
                  <w:r>
                    <w:rPr>
                      <w:rFonts w:hint="eastAsia"/>
                      <w:u w:val="none"/>
                      <w:lang w:eastAsia="zh-CN"/>
                    </w:rPr>
                    <w:t>）</w:t>
                  </w:r>
                </w:p>
              </w:tc>
              <w:tc>
                <w:tcPr>
                  <w:tcW w:w="879" w:type="dxa"/>
                  <w:shd w:val="clear" w:color="auto" w:fill="auto"/>
                  <w:vAlign w:val="center"/>
                </w:tcPr>
                <w:p>
                  <w:pPr>
                    <w:pStyle w:val="37"/>
                    <w:ind w:left="0" w:leftChars="0"/>
                    <w:rPr>
                      <w:rFonts w:hint="eastAsia" w:eastAsia="宋体"/>
                      <w:u w:val="none"/>
                      <w:lang w:eastAsia="zh-CN"/>
                    </w:rPr>
                  </w:pPr>
                  <w:r>
                    <w:rPr>
                      <w:u w:val="none"/>
                    </w:rPr>
                    <w:t>1次/</w:t>
                  </w:r>
                  <w:r>
                    <w:rPr>
                      <w:rFonts w:hint="eastAsia"/>
                      <w:u w:val="none"/>
                      <w:lang w:val="en-US" w:eastAsia="zh-CN"/>
                    </w:rPr>
                    <w:t>半年</w:t>
                  </w:r>
                </w:p>
              </w:tc>
              <w:tc>
                <w:tcPr>
                  <w:tcW w:w="3024" w:type="dxa"/>
                  <w:vAlign w:val="center"/>
                </w:tcPr>
                <w:p>
                  <w:pPr>
                    <w:pStyle w:val="58"/>
                    <w:keepLines/>
                    <w:wordWrap w:val="0"/>
                    <w:autoSpaceDE w:val="0"/>
                    <w:autoSpaceDN w:val="0"/>
                    <w:spacing w:line="240" w:lineRule="auto"/>
                    <w:ind w:firstLine="0" w:firstLineChars="0"/>
                    <w:rPr>
                      <w:sz w:val="21"/>
                      <w:szCs w:val="21"/>
                      <w:u w:val="none"/>
                    </w:rPr>
                  </w:pPr>
                  <w:r>
                    <w:rPr>
                      <w:color w:val="000000"/>
                      <w:sz w:val="21"/>
                      <w:szCs w:val="21"/>
                      <w:u w:val="none"/>
                      <w:lang w:bidi="zh-CN"/>
                    </w:rPr>
                    <w:t>《大气污染物综合排放标准》（GB16297-1996）表2中</w:t>
                  </w:r>
                  <w:r>
                    <w:rPr>
                      <w:rFonts w:hint="eastAsia"/>
                      <w:color w:val="000000"/>
                      <w:sz w:val="21"/>
                      <w:szCs w:val="21"/>
                      <w:u w:val="none"/>
                      <w:lang w:val="en-US" w:bidi="zh-CN"/>
                    </w:rPr>
                    <w:t>浓度限值及</w:t>
                  </w:r>
                  <w:r>
                    <w:rPr>
                      <w:color w:val="000000"/>
                      <w:sz w:val="21"/>
                      <w:szCs w:val="21"/>
                      <w:u w:val="none"/>
                      <w:lang w:bidi="zh-CN"/>
                    </w:rPr>
                    <w:t>速率限值严格50%执行。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39" w:type="dxa"/>
                  <w:vMerge w:val="restart"/>
                  <w:vAlign w:val="center"/>
                </w:tcPr>
                <w:p>
                  <w:pPr>
                    <w:pStyle w:val="37"/>
                    <w:ind w:left="0" w:leftChars="0"/>
                    <w:rPr>
                      <w:u w:val="none"/>
                    </w:rPr>
                  </w:pPr>
                  <w:r>
                    <w:rPr>
                      <w:u w:val="none"/>
                    </w:rPr>
                    <w:t>无组织废气</w:t>
                  </w:r>
                </w:p>
              </w:tc>
              <w:tc>
                <w:tcPr>
                  <w:tcW w:w="1866" w:type="dxa"/>
                  <w:vAlign w:val="center"/>
                </w:tcPr>
                <w:p>
                  <w:pPr>
                    <w:pStyle w:val="37"/>
                    <w:ind w:left="0" w:leftChars="0"/>
                    <w:rPr>
                      <w:u w:val="none"/>
                    </w:rPr>
                  </w:pPr>
                  <w:r>
                    <w:rPr>
                      <w:u w:val="none"/>
                    </w:rPr>
                    <w:t>厂界</w:t>
                  </w:r>
                </w:p>
              </w:tc>
              <w:tc>
                <w:tcPr>
                  <w:tcW w:w="1605" w:type="dxa"/>
                  <w:shd w:val="clear" w:color="auto" w:fill="auto"/>
                  <w:vAlign w:val="center"/>
                </w:tcPr>
                <w:p>
                  <w:pPr>
                    <w:pStyle w:val="37"/>
                    <w:ind w:left="0" w:leftChars="0"/>
                    <w:rPr>
                      <w:u w:val="none"/>
                    </w:rPr>
                  </w:pPr>
                  <w:r>
                    <w:rPr>
                      <w:u w:val="none"/>
                    </w:rPr>
                    <w:t>非甲烷总烃</w:t>
                  </w:r>
                </w:p>
              </w:tc>
              <w:tc>
                <w:tcPr>
                  <w:tcW w:w="879" w:type="dxa"/>
                  <w:shd w:val="clear" w:color="auto" w:fill="auto"/>
                  <w:vAlign w:val="center"/>
                </w:tcPr>
                <w:p>
                  <w:pPr>
                    <w:pStyle w:val="37"/>
                    <w:ind w:left="0" w:leftChars="0"/>
                    <w:rPr>
                      <w:rFonts w:hint="eastAsia" w:eastAsia="宋体"/>
                      <w:u w:val="none"/>
                      <w:lang w:eastAsia="zh-CN"/>
                    </w:rPr>
                  </w:pPr>
                  <w:r>
                    <w:rPr>
                      <w:u w:val="none"/>
                    </w:rPr>
                    <w:t>1次/</w:t>
                  </w:r>
                  <w:r>
                    <w:rPr>
                      <w:rFonts w:hint="eastAsia"/>
                      <w:u w:val="none"/>
                      <w:lang w:val="en-US" w:eastAsia="zh-CN"/>
                    </w:rPr>
                    <w:t>年</w:t>
                  </w:r>
                </w:p>
              </w:tc>
              <w:tc>
                <w:tcPr>
                  <w:tcW w:w="3024" w:type="dxa"/>
                  <w:vAlign w:val="center"/>
                </w:tcPr>
                <w:p>
                  <w:pPr>
                    <w:pStyle w:val="37"/>
                    <w:ind w:left="0" w:leftChars="0"/>
                    <w:rPr>
                      <w:u w:val="none"/>
                    </w:rPr>
                  </w:pPr>
                  <w:r>
                    <w:rPr>
                      <w:rFonts w:hint="eastAsia" w:ascii="Times New Roman" w:hAnsi="Times New Roman" w:eastAsia="宋体" w:cs="Times New Roman"/>
                      <w:color w:val="auto"/>
                      <w:highlight w:val="none"/>
                      <w:u w:val="none"/>
                      <w:vertAlign w:val="baseline"/>
                      <w:lang w:val="en-US" w:eastAsia="zh-CN"/>
                    </w:rPr>
                    <w:t>《大气污染物综合排放标准》（GB16297-1996）表2中无组织监控浓度限值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39" w:type="dxa"/>
                  <w:vMerge w:val="continue"/>
                  <w:vAlign w:val="center"/>
                </w:tcPr>
                <w:p>
                  <w:pPr>
                    <w:pStyle w:val="37"/>
                    <w:ind w:left="0" w:leftChars="0"/>
                    <w:rPr>
                      <w:u w:val="none"/>
                    </w:rPr>
                  </w:pPr>
                </w:p>
              </w:tc>
              <w:tc>
                <w:tcPr>
                  <w:tcW w:w="1866" w:type="dxa"/>
                  <w:vAlign w:val="center"/>
                </w:tcPr>
                <w:p>
                  <w:pPr>
                    <w:pStyle w:val="37"/>
                    <w:ind w:left="0" w:leftChars="0"/>
                    <w:jc w:val="center"/>
                    <w:rPr>
                      <w:rFonts w:hint="eastAsia" w:eastAsia="宋体"/>
                      <w:u w:val="none"/>
                      <w:lang w:eastAsia="zh-CN"/>
                    </w:rPr>
                  </w:pPr>
                  <w:r>
                    <w:rPr>
                      <w:rFonts w:hint="eastAsia"/>
                      <w:u w:val="none"/>
                      <w:lang w:val="en-US" w:eastAsia="zh-CN"/>
                    </w:rPr>
                    <w:t>厂区</w:t>
                  </w:r>
                </w:p>
              </w:tc>
              <w:tc>
                <w:tcPr>
                  <w:tcW w:w="1605" w:type="dxa"/>
                  <w:shd w:val="clear" w:color="auto" w:fill="auto"/>
                  <w:vAlign w:val="center"/>
                </w:tcPr>
                <w:p>
                  <w:pPr>
                    <w:pStyle w:val="37"/>
                    <w:ind w:left="0" w:leftChars="0"/>
                    <w:rPr>
                      <w:u w:val="none"/>
                    </w:rPr>
                  </w:pPr>
                  <w:r>
                    <w:rPr>
                      <w:u w:val="none"/>
                    </w:rPr>
                    <w:t>挥发性有机物</w:t>
                  </w:r>
                </w:p>
              </w:tc>
              <w:tc>
                <w:tcPr>
                  <w:tcW w:w="879" w:type="dxa"/>
                  <w:shd w:val="clear" w:color="auto" w:fill="auto"/>
                  <w:vAlign w:val="center"/>
                </w:tcPr>
                <w:p>
                  <w:pPr>
                    <w:pStyle w:val="37"/>
                    <w:ind w:left="0" w:leftChars="0"/>
                    <w:rPr>
                      <w:rFonts w:hint="eastAsia" w:eastAsia="宋体"/>
                      <w:u w:val="none"/>
                      <w:lang w:eastAsia="zh-CN"/>
                    </w:rPr>
                  </w:pPr>
                  <w:r>
                    <w:rPr>
                      <w:u w:val="none"/>
                    </w:rPr>
                    <w:t>1次/</w:t>
                  </w:r>
                  <w:r>
                    <w:rPr>
                      <w:rFonts w:hint="eastAsia"/>
                      <w:u w:val="none"/>
                      <w:lang w:val="en-US" w:eastAsia="zh-CN"/>
                    </w:rPr>
                    <w:t>年</w:t>
                  </w:r>
                </w:p>
              </w:tc>
              <w:tc>
                <w:tcPr>
                  <w:tcW w:w="3024" w:type="dxa"/>
                  <w:vAlign w:val="center"/>
                </w:tcPr>
                <w:p>
                  <w:pPr>
                    <w:pStyle w:val="37"/>
                    <w:ind w:left="0" w:leftChars="0"/>
                    <w:rPr>
                      <w:u w:val="none"/>
                    </w:rPr>
                  </w:pPr>
                  <w:r>
                    <w:rPr>
                      <w:rFonts w:hint="eastAsia"/>
                      <w:u w:val="none"/>
                    </w:rPr>
                    <w:t>《挥发性有机物无组织排放控制标准》（GB37822-2019）附录A表A.1排放限值</w:t>
                  </w:r>
                </w:p>
              </w:tc>
            </w:tr>
          </w:tbl>
          <w:p>
            <w:pPr>
              <w:ind w:firstLine="482"/>
              <w:rPr>
                <w:b/>
                <w:bCs/>
                <w:u w:val="none"/>
              </w:rPr>
            </w:pPr>
            <w:r>
              <w:rPr>
                <w:rFonts w:hint="eastAsia"/>
                <w:b/>
                <w:bCs/>
                <w:u w:val="none"/>
              </w:rPr>
              <w:t>3、噪声</w:t>
            </w:r>
          </w:p>
          <w:p>
            <w:pPr>
              <w:ind w:firstLine="482"/>
              <w:rPr>
                <w:u w:val="none"/>
              </w:rPr>
            </w:pPr>
            <w:r>
              <w:rPr>
                <w:rFonts w:hint="eastAsia"/>
                <w:b/>
                <w:bCs/>
                <w:u w:val="none"/>
              </w:rPr>
              <w:t>（1）噪声源强</w:t>
            </w:r>
          </w:p>
        </w:tc>
      </w:tr>
    </w:tbl>
    <w:p>
      <w:pPr>
        <w:ind w:firstLine="0" w:firstLineChars="0"/>
        <w:sectPr>
          <w:pgSz w:w="11906" w:h="16838"/>
          <w:pgMar w:top="1440" w:right="1417" w:bottom="1440" w:left="1417" w:header="851" w:footer="992" w:gutter="0"/>
          <w:cols w:space="425" w:num="1"/>
          <w:docGrid w:type="lines" w:linePitch="312" w:charSpace="0"/>
        </w:sectPr>
      </w:pPr>
      <w:r>
        <w:br w:type="page"/>
      </w:r>
    </w:p>
    <w:tbl>
      <w:tblPr>
        <w:tblStyle w:val="24"/>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 w:type="pct"/>
            <w:shd w:val="clear" w:color="auto" w:fill="auto"/>
            <w:vAlign w:val="center"/>
          </w:tcPr>
          <w:p>
            <w:pPr>
              <w:ind w:firstLine="0" w:firstLineChars="0"/>
            </w:pPr>
            <w:r>
              <w:rPr>
                <w:rFonts w:hint="eastAsia"/>
              </w:rPr>
              <w:t>营运期环境影响和保护措施</w:t>
            </w:r>
          </w:p>
        </w:tc>
        <w:tc>
          <w:tcPr>
            <w:tcW w:w="4842" w:type="pct"/>
          </w:tcPr>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Times New Roman" w:hAnsi="Times New Roman" w:cs="Times New Roman"/>
                <w:b/>
                <w:bCs w:val="0"/>
                <w:u w:val="none"/>
              </w:rPr>
            </w:pPr>
            <w:r>
              <w:rPr>
                <w:rFonts w:hint="eastAsia"/>
                <w:u w:val="none"/>
              </w:rPr>
              <w:t>本项目主要噪声污染源为设备噪声，主要为</w:t>
            </w:r>
            <w:r>
              <w:rPr>
                <w:rFonts w:hint="eastAsia"/>
                <w:u w:val="none"/>
                <w:lang w:val="en-US" w:eastAsia="zh-CN"/>
              </w:rPr>
              <w:t>涂布机、分切机、风机</w:t>
            </w:r>
            <w:r>
              <w:rPr>
                <w:rFonts w:hint="eastAsia"/>
                <w:u w:val="none"/>
              </w:rPr>
              <w:t>等产生的噪声，噪声污染源源强及防治措施详见下表。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表4-1</w:t>
            </w:r>
            <w:r>
              <w:rPr>
                <w:rFonts w:hint="eastAsia" w:cs="Times New Roman"/>
                <w:b/>
                <w:bCs w:val="0"/>
                <w:u w:val="none"/>
                <w:lang w:val="en-US" w:eastAsia="zh-CN"/>
              </w:rPr>
              <w:t>3</w:t>
            </w:r>
            <w:r>
              <w:rPr>
                <w:rFonts w:hint="eastAsia" w:ascii="Times New Roman" w:hAnsi="Times New Roman" w:cs="Times New Roman"/>
                <w:b/>
                <w:bCs w:val="0"/>
                <w:u w:val="none"/>
              </w:rPr>
              <w:t xml:space="preserve"> 工业企业噪声源强调查清单（室内声源）</w:t>
            </w:r>
          </w:p>
          <w:tbl>
            <w:tblPr>
              <w:tblStyle w:val="23"/>
              <w:tblW w:w="13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550"/>
              <w:gridCol w:w="750"/>
              <w:gridCol w:w="466"/>
              <w:gridCol w:w="873"/>
              <w:gridCol w:w="1078"/>
              <w:gridCol w:w="591"/>
              <w:gridCol w:w="531"/>
              <w:gridCol w:w="441"/>
              <w:gridCol w:w="531"/>
              <w:gridCol w:w="531"/>
              <w:gridCol w:w="531"/>
              <w:gridCol w:w="441"/>
              <w:gridCol w:w="531"/>
              <w:gridCol w:w="531"/>
              <w:gridCol w:w="531"/>
              <w:gridCol w:w="455"/>
              <w:gridCol w:w="546"/>
              <w:gridCol w:w="922"/>
              <w:gridCol w:w="1071"/>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dxa"/>
                  <w:vMerge w:val="restart"/>
                  <w:shd w:val="clear" w:color="auto" w:fill="auto"/>
                  <w:vAlign w:val="center"/>
                </w:tcPr>
                <w:p>
                  <w:pPr>
                    <w:pStyle w:val="37"/>
                    <w:ind w:left="0" w:leftChars="0"/>
                    <w:rPr>
                      <w:b/>
                      <w:bCs/>
                    </w:rPr>
                  </w:pPr>
                  <w:r>
                    <w:rPr>
                      <w:rFonts w:hint="eastAsia"/>
                      <w:b/>
                      <w:bCs/>
                    </w:rPr>
                    <w:t>序号</w:t>
                  </w:r>
                </w:p>
              </w:tc>
              <w:tc>
                <w:tcPr>
                  <w:tcW w:w="550" w:type="dxa"/>
                  <w:vMerge w:val="restart"/>
                  <w:shd w:val="clear" w:color="auto" w:fill="auto"/>
                  <w:vAlign w:val="center"/>
                </w:tcPr>
                <w:p>
                  <w:pPr>
                    <w:pStyle w:val="37"/>
                    <w:ind w:left="0" w:leftChars="0"/>
                    <w:rPr>
                      <w:b/>
                      <w:bCs/>
                    </w:rPr>
                  </w:pPr>
                  <w:r>
                    <w:rPr>
                      <w:rFonts w:hint="eastAsia"/>
                      <w:b/>
                      <w:bCs/>
                    </w:rPr>
                    <w:t>建筑物名称</w:t>
                  </w:r>
                </w:p>
              </w:tc>
              <w:tc>
                <w:tcPr>
                  <w:tcW w:w="750" w:type="dxa"/>
                  <w:vMerge w:val="restart"/>
                  <w:shd w:val="clear" w:color="auto" w:fill="auto"/>
                  <w:vAlign w:val="center"/>
                </w:tcPr>
                <w:p>
                  <w:pPr>
                    <w:pStyle w:val="37"/>
                    <w:ind w:left="0" w:leftChars="0"/>
                    <w:rPr>
                      <w:b/>
                      <w:bCs/>
                    </w:rPr>
                  </w:pPr>
                  <w:r>
                    <w:rPr>
                      <w:rFonts w:hint="eastAsia"/>
                      <w:b/>
                      <w:bCs/>
                    </w:rPr>
                    <w:t>声源名称</w:t>
                  </w:r>
                </w:p>
              </w:tc>
              <w:tc>
                <w:tcPr>
                  <w:tcW w:w="466" w:type="dxa"/>
                  <w:vMerge w:val="restart"/>
                  <w:shd w:val="clear" w:color="auto" w:fill="auto"/>
                  <w:vAlign w:val="center"/>
                </w:tcPr>
                <w:p>
                  <w:pPr>
                    <w:pStyle w:val="37"/>
                    <w:ind w:left="0" w:leftChars="0"/>
                    <w:rPr>
                      <w:b/>
                      <w:bCs/>
                    </w:rPr>
                  </w:pPr>
                  <w:r>
                    <w:rPr>
                      <w:rFonts w:hint="eastAsia"/>
                      <w:b/>
                      <w:bCs/>
                    </w:rPr>
                    <w:t>型号</w:t>
                  </w:r>
                </w:p>
              </w:tc>
              <w:tc>
                <w:tcPr>
                  <w:tcW w:w="873" w:type="dxa"/>
                  <w:shd w:val="clear" w:color="auto" w:fill="auto"/>
                  <w:vAlign w:val="center"/>
                </w:tcPr>
                <w:p>
                  <w:pPr>
                    <w:pStyle w:val="37"/>
                    <w:ind w:left="0" w:leftChars="0"/>
                    <w:rPr>
                      <w:b/>
                      <w:bCs/>
                    </w:rPr>
                  </w:pPr>
                  <w:r>
                    <w:rPr>
                      <w:rFonts w:hint="eastAsia"/>
                      <w:b/>
                      <w:bCs/>
                    </w:rPr>
                    <w:t>声源</w:t>
                  </w:r>
                </w:p>
                <w:p>
                  <w:pPr>
                    <w:pStyle w:val="37"/>
                    <w:ind w:left="0" w:leftChars="0"/>
                    <w:rPr>
                      <w:b/>
                      <w:bCs/>
                    </w:rPr>
                  </w:pPr>
                  <w:r>
                    <w:rPr>
                      <w:rFonts w:hint="eastAsia"/>
                      <w:b/>
                      <w:bCs/>
                    </w:rPr>
                    <w:t>源强</w:t>
                  </w:r>
                </w:p>
              </w:tc>
              <w:tc>
                <w:tcPr>
                  <w:tcW w:w="1078" w:type="dxa"/>
                  <w:vMerge w:val="restart"/>
                  <w:shd w:val="clear" w:color="auto" w:fill="auto"/>
                  <w:vAlign w:val="center"/>
                </w:tcPr>
                <w:p>
                  <w:pPr>
                    <w:pStyle w:val="37"/>
                    <w:ind w:left="0" w:leftChars="0"/>
                    <w:rPr>
                      <w:b/>
                      <w:bCs/>
                    </w:rPr>
                  </w:pPr>
                  <w:r>
                    <w:rPr>
                      <w:rFonts w:hint="eastAsia"/>
                      <w:b/>
                      <w:bCs/>
                    </w:rPr>
                    <w:t>声源</w:t>
                  </w:r>
                </w:p>
                <w:p>
                  <w:pPr>
                    <w:pStyle w:val="37"/>
                    <w:ind w:left="0" w:leftChars="0"/>
                    <w:rPr>
                      <w:b/>
                      <w:bCs/>
                    </w:rPr>
                  </w:pPr>
                  <w:r>
                    <w:rPr>
                      <w:rFonts w:hint="eastAsia"/>
                      <w:b/>
                      <w:bCs/>
                    </w:rPr>
                    <w:t>控制</w:t>
                  </w:r>
                </w:p>
                <w:p>
                  <w:pPr>
                    <w:pStyle w:val="37"/>
                    <w:ind w:left="0" w:leftChars="0"/>
                    <w:rPr>
                      <w:b/>
                      <w:bCs/>
                    </w:rPr>
                  </w:pPr>
                  <w:r>
                    <w:rPr>
                      <w:rFonts w:hint="eastAsia"/>
                      <w:b/>
                      <w:bCs/>
                    </w:rPr>
                    <w:t>措施</w:t>
                  </w:r>
                </w:p>
              </w:tc>
              <w:tc>
                <w:tcPr>
                  <w:tcW w:w="1563" w:type="dxa"/>
                  <w:gridSpan w:val="3"/>
                  <w:shd w:val="clear" w:color="auto" w:fill="auto"/>
                  <w:vAlign w:val="center"/>
                </w:tcPr>
                <w:p>
                  <w:pPr>
                    <w:pStyle w:val="37"/>
                    <w:ind w:left="0" w:leftChars="0"/>
                    <w:rPr>
                      <w:b/>
                      <w:bCs/>
                    </w:rPr>
                  </w:pPr>
                  <w:r>
                    <w:rPr>
                      <w:rFonts w:hint="eastAsia"/>
                      <w:b/>
                      <w:bCs/>
                    </w:rPr>
                    <w:t>空间相对位置</w:t>
                  </w:r>
                  <w:r>
                    <w:rPr>
                      <w:b/>
                      <w:bCs/>
                    </w:rPr>
                    <w:t>/m</w:t>
                  </w:r>
                </w:p>
              </w:tc>
              <w:tc>
                <w:tcPr>
                  <w:tcW w:w="2034" w:type="dxa"/>
                  <w:gridSpan w:val="4"/>
                  <w:shd w:val="clear" w:color="auto" w:fill="auto"/>
                  <w:vAlign w:val="center"/>
                </w:tcPr>
                <w:p>
                  <w:pPr>
                    <w:pStyle w:val="37"/>
                    <w:ind w:left="0" w:leftChars="0"/>
                    <w:rPr>
                      <w:b/>
                      <w:bCs/>
                    </w:rPr>
                  </w:pPr>
                  <w:r>
                    <w:rPr>
                      <w:rFonts w:hint="eastAsia"/>
                      <w:b/>
                      <w:bCs/>
                    </w:rPr>
                    <w:t>距室内边界距离</w:t>
                  </w:r>
                  <w:r>
                    <w:rPr>
                      <w:b/>
                      <w:bCs/>
                    </w:rPr>
                    <w:t>/m</w:t>
                  </w:r>
                </w:p>
              </w:tc>
              <w:tc>
                <w:tcPr>
                  <w:tcW w:w="2048" w:type="dxa"/>
                  <w:gridSpan w:val="4"/>
                  <w:shd w:val="clear" w:color="auto" w:fill="auto"/>
                  <w:vAlign w:val="center"/>
                </w:tcPr>
                <w:p>
                  <w:pPr>
                    <w:pStyle w:val="37"/>
                    <w:ind w:left="0" w:leftChars="0"/>
                    <w:rPr>
                      <w:b/>
                      <w:bCs/>
                    </w:rPr>
                  </w:pPr>
                  <w:r>
                    <w:rPr>
                      <w:rFonts w:hint="eastAsia"/>
                      <w:b/>
                      <w:bCs/>
                    </w:rPr>
                    <w:t>室内边界声级</w:t>
                  </w:r>
                  <w:r>
                    <w:rPr>
                      <w:b/>
                      <w:bCs/>
                    </w:rPr>
                    <w:t>/dB(A)</w:t>
                  </w:r>
                </w:p>
              </w:tc>
              <w:tc>
                <w:tcPr>
                  <w:tcW w:w="546" w:type="dxa"/>
                  <w:vMerge w:val="restart"/>
                  <w:shd w:val="clear" w:color="auto" w:fill="auto"/>
                  <w:vAlign w:val="center"/>
                </w:tcPr>
                <w:p>
                  <w:pPr>
                    <w:pStyle w:val="37"/>
                    <w:ind w:left="0" w:leftChars="0"/>
                    <w:rPr>
                      <w:b/>
                      <w:bCs/>
                    </w:rPr>
                  </w:pPr>
                  <w:r>
                    <w:rPr>
                      <w:rFonts w:hint="eastAsia"/>
                      <w:b/>
                      <w:bCs/>
                    </w:rPr>
                    <w:t>运行时段</w:t>
                  </w:r>
                </w:p>
              </w:tc>
              <w:tc>
                <w:tcPr>
                  <w:tcW w:w="922" w:type="dxa"/>
                  <w:vMerge w:val="restart"/>
                  <w:shd w:val="clear" w:color="auto" w:fill="auto"/>
                  <w:vAlign w:val="center"/>
                </w:tcPr>
                <w:p>
                  <w:pPr>
                    <w:pStyle w:val="37"/>
                    <w:ind w:left="0" w:leftChars="0"/>
                    <w:rPr>
                      <w:b/>
                      <w:bCs/>
                    </w:rPr>
                  </w:pPr>
                  <w:r>
                    <w:rPr>
                      <w:rFonts w:hint="eastAsia"/>
                      <w:b/>
                      <w:bCs/>
                    </w:rPr>
                    <w:t>建筑物插入损失/</w:t>
                  </w:r>
                  <w:r>
                    <w:rPr>
                      <w:b/>
                      <w:bCs/>
                    </w:rPr>
                    <w:t>dB(A)</w:t>
                  </w:r>
                </w:p>
              </w:tc>
              <w:tc>
                <w:tcPr>
                  <w:tcW w:w="1817" w:type="dxa"/>
                  <w:gridSpan w:val="2"/>
                  <w:shd w:val="clear" w:color="auto" w:fill="auto"/>
                  <w:vAlign w:val="center"/>
                </w:tcPr>
                <w:p>
                  <w:pPr>
                    <w:pStyle w:val="37"/>
                    <w:ind w:left="0" w:leftChars="0"/>
                    <w:rPr>
                      <w:b/>
                      <w:bCs/>
                    </w:rPr>
                  </w:pPr>
                  <w:r>
                    <w:rPr>
                      <w:rFonts w:hint="eastAsia"/>
                      <w:b/>
                      <w:bCs/>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50" w:type="dxa"/>
                  <w:vMerge w:val="continue"/>
                  <w:shd w:val="clear" w:color="auto" w:fill="auto"/>
                  <w:vAlign w:val="center"/>
                </w:tcPr>
                <w:p>
                  <w:pPr>
                    <w:pStyle w:val="37"/>
                    <w:ind w:left="0" w:leftChars="0"/>
                    <w:rPr>
                      <w:b/>
                      <w:bCs/>
                    </w:rPr>
                  </w:pPr>
                </w:p>
              </w:tc>
              <w:tc>
                <w:tcPr>
                  <w:tcW w:w="550" w:type="dxa"/>
                  <w:vMerge w:val="continue"/>
                  <w:shd w:val="clear" w:color="auto" w:fill="auto"/>
                  <w:vAlign w:val="center"/>
                </w:tcPr>
                <w:p>
                  <w:pPr>
                    <w:pStyle w:val="37"/>
                    <w:ind w:left="0" w:leftChars="0"/>
                    <w:rPr>
                      <w:b/>
                      <w:bCs/>
                    </w:rPr>
                  </w:pPr>
                </w:p>
              </w:tc>
              <w:tc>
                <w:tcPr>
                  <w:tcW w:w="750" w:type="dxa"/>
                  <w:vMerge w:val="continue"/>
                  <w:shd w:val="clear" w:color="auto" w:fill="auto"/>
                  <w:vAlign w:val="center"/>
                </w:tcPr>
                <w:p>
                  <w:pPr>
                    <w:pStyle w:val="37"/>
                    <w:ind w:left="0" w:leftChars="0"/>
                    <w:rPr>
                      <w:b/>
                      <w:bCs/>
                    </w:rPr>
                  </w:pPr>
                </w:p>
              </w:tc>
              <w:tc>
                <w:tcPr>
                  <w:tcW w:w="466" w:type="dxa"/>
                  <w:vMerge w:val="continue"/>
                  <w:shd w:val="clear" w:color="auto" w:fill="auto"/>
                  <w:vAlign w:val="center"/>
                </w:tcPr>
                <w:p>
                  <w:pPr>
                    <w:pStyle w:val="37"/>
                    <w:ind w:left="0" w:leftChars="0"/>
                    <w:rPr>
                      <w:b/>
                      <w:bCs/>
                    </w:rPr>
                  </w:pPr>
                </w:p>
              </w:tc>
              <w:tc>
                <w:tcPr>
                  <w:tcW w:w="873" w:type="dxa"/>
                  <w:shd w:val="clear" w:color="auto" w:fill="auto"/>
                  <w:vAlign w:val="center"/>
                </w:tcPr>
                <w:p>
                  <w:pPr>
                    <w:pStyle w:val="37"/>
                    <w:ind w:left="0" w:leftChars="0"/>
                    <w:rPr>
                      <w:b/>
                      <w:bCs/>
                    </w:rPr>
                  </w:pPr>
                  <w:r>
                    <w:rPr>
                      <w:rFonts w:hint="eastAsia"/>
                      <w:b/>
                      <w:bCs/>
                    </w:rPr>
                    <w:t>声</w:t>
                  </w:r>
                </w:p>
                <w:p>
                  <w:pPr>
                    <w:pStyle w:val="37"/>
                    <w:ind w:left="0" w:leftChars="0"/>
                    <w:rPr>
                      <w:b/>
                      <w:bCs/>
                    </w:rPr>
                  </w:pPr>
                  <w:r>
                    <w:rPr>
                      <w:rFonts w:hint="eastAsia"/>
                      <w:b/>
                      <w:bCs/>
                    </w:rPr>
                    <w:t>功率级</w:t>
                  </w:r>
                  <w:r>
                    <w:rPr>
                      <w:b/>
                      <w:bCs/>
                    </w:rPr>
                    <w:t>/dB(A)</w:t>
                  </w:r>
                </w:p>
              </w:tc>
              <w:tc>
                <w:tcPr>
                  <w:tcW w:w="1078" w:type="dxa"/>
                  <w:vMerge w:val="continue"/>
                  <w:shd w:val="clear" w:color="auto" w:fill="auto"/>
                  <w:vAlign w:val="center"/>
                </w:tcPr>
                <w:p>
                  <w:pPr>
                    <w:pStyle w:val="37"/>
                    <w:ind w:left="0" w:leftChars="0"/>
                    <w:rPr>
                      <w:b/>
                      <w:bCs/>
                    </w:rPr>
                  </w:pPr>
                </w:p>
              </w:tc>
              <w:tc>
                <w:tcPr>
                  <w:tcW w:w="591" w:type="dxa"/>
                  <w:shd w:val="clear" w:color="auto" w:fill="auto"/>
                  <w:vAlign w:val="center"/>
                </w:tcPr>
                <w:p>
                  <w:pPr>
                    <w:pStyle w:val="37"/>
                    <w:ind w:left="0" w:leftChars="0"/>
                    <w:rPr>
                      <w:b/>
                      <w:bCs/>
                    </w:rPr>
                  </w:pPr>
                  <w:r>
                    <w:rPr>
                      <w:b/>
                      <w:bCs/>
                    </w:rPr>
                    <w:t>X</w:t>
                  </w:r>
                </w:p>
              </w:tc>
              <w:tc>
                <w:tcPr>
                  <w:tcW w:w="531" w:type="dxa"/>
                  <w:shd w:val="clear" w:color="auto" w:fill="auto"/>
                  <w:vAlign w:val="center"/>
                </w:tcPr>
                <w:p>
                  <w:pPr>
                    <w:pStyle w:val="37"/>
                    <w:ind w:left="0" w:leftChars="0"/>
                    <w:rPr>
                      <w:b/>
                      <w:bCs/>
                    </w:rPr>
                  </w:pPr>
                  <w:r>
                    <w:rPr>
                      <w:b/>
                      <w:bCs/>
                    </w:rPr>
                    <w:t>Y</w:t>
                  </w:r>
                </w:p>
              </w:tc>
              <w:tc>
                <w:tcPr>
                  <w:tcW w:w="441" w:type="dxa"/>
                  <w:shd w:val="clear" w:color="auto" w:fill="auto"/>
                  <w:vAlign w:val="center"/>
                </w:tcPr>
                <w:p>
                  <w:pPr>
                    <w:pStyle w:val="37"/>
                    <w:ind w:left="0" w:leftChars="0"/>
                    <w:rPr>
                      <w:b/>
                      <w:bCs/>
                    </w:rPr>
                  </w:pPr>
                  <w:r>
                    <w:rPr>
                      <w:b/>
                      <w:bCs/>
                    </w:rPr>
                    <w:t>Z</w:t>
                  </w:r>
                </w:p>
              </w:tc>
              <w:tc>
                <w:tcPr>
                  <w:tcW w:w="531" w:type="dxa"/>
                  <w:shd w:val="clear" w:color="auto" w:fill="auto"/>
                  <w:vAlign w:val="center"/>
                </w:tcPr>
                <w:p>
                  <w:pPr>
                    <w:pStyle w:val="37"/>
                    <w:ind w:left="0" w:leftChars="0"/>
                    <w:rPr>
                      <w:b/>
                      <w:bCs/>
                    </w:rPr>
                  </w:pPr>
                  <w:r>
                    <w:rPr>
                      <w:rFonts w:hint="eastAsia"/>
                      <w:b/>
                      <w:bCs/>
                    </w:rPr>
                    <w:t>东</w:t>
                  </w:r>
                </w:p>
              </w:tc>
              <w:tc>
                <w:tcPr>
                  <w:tcW w:w="531" w:type="dxa"/>
                  <w:shd w:val="clear" w:color="auto" w:fill="auto"/>
                  <w:vAlign w:val="center"/>
                </w:tcPr>
                <w:p>
                  <w:pPr>
                    <w:pStyle w:val="37"/>
                    <w:ind w:left="0" w:leftChars="0"/>
                    <w:rPr>
                      <w:b/>
                      <w:bCs/>
                    </w:rPr>
                  </w:pPr>
                  <w:r>
                    <w:rPr>
                      <w:rFonts w:hint="eastAsia"/>
                      <w:b/>
                      <w:bCs/>
                    </w:rPr>
                    <w:t>南</w:t>
                  </w:r>
                </w:p>
              </w:tc>
              <w:tc>
                <w:tcPr>
                  <w:tcW w:w="531" w:type="dxa"/>
                  <w:shd w:val="clear" w:color="auto" w:fill="auto"/>
                  <w:vAlign w:val="center"/>
                </w:tcPr>
                <w:p>
                  <w:pPr>
                    <w:pStyle w:val="37"/>
                    <w:ind w:left="0" w:leftChars="0"/>
                    <w:rPr>
                      <w:b/>
                      <w:bCs/>
                    </w:rPr>
                  </w:pPr>
                  <w:r>
                    <w:rPr>
                      <w:rFonts w:hint="eastAsia"/>
                      <w:b/>
                      <w:bCs/>
                    </w:rPr>
                    <w:t>西</w:t>
                  </w:r>
                </w:p>
              </w:tc>
              <w:tc>
                <w:tcPr>
                  <w:tcW w:w="441" w:type="dxa"/>
                  <w:shd w:val="clear" w:color="auto" w:fill="auto"/>
                  <w:vAlign w:val="center"/>
                </w:tcPr>
                <w:p>
                  <w:pPr>
                    <w:pStyle w:val="37"/>
                    <w:ind w:left="0" w:leftChars="0"/>
                    <w:rPr>
                      <w:b/>
                      <w:bCs/>
                    </w:rPr>
                  </w:pPr>
                  <w:r>
                    <w:rPr>
                      <w:rFonts w:hint="eastAsia"/>
                      <w:b/>
                      <w:bCs/>
                    </w:rPr>
                    <w:t>北</w:t>
                  </w:r>
                </w:p>
              </w:tc>
              <w:tc>
                <w:tcPr>
                  <w:tcW w:w="531" w:type="dxa"/>
                  <w:shd w:val="clear" w:color="auto" w:fill="auto"/>
                  <w:vAlign w:val="center"/>
                </w:tcPr>
                <w:p>
                  <w:pPr>
                    <w:pStyle w:val="37"/>
                    <w:ind w:left="0" w:leftChars="0"/>
                    <w:rPr>
                      <w:b/>
                      <w:bCs/>
                    </w:rPr>
                  </w:pPr>
                  <w:r>
                    <w:rPr>
                      <w:rFonts w:hint="eastAsia"/>
                      <w:b/>
                      <w:bCs/>
                    </w:rPr>
                    <w:t>东</w:t>
                  </w:r>
                </w:p>
              </w:tc>
              <w:tc>
                <w:tcPr>
                  <w:tcW w:w="531" w:type="dxa"/>
                  <w:shd w:val="clear" w:color="auto" w:fill="auto"/>
                  <w:vAlign w:val="center"/>
                </w:tcPr>
                <w:p>
                  <w:pPr>
                    <w:pStyle w:val="37"/>
                    <w:ind w:left="0" w:leftChars="0"/>
                    <w:rPr>
                      <w:b/>
                      <w:bCs/>
                    </w:rPr>
                  </w:pPr>
                  <w:r>
                    <w:rPr>
                      <w:rFonts w:hint="eastAsia"/>
                      <w:b/>
                      <w:bCs/>
                    </w:rPr>
                    <w:t>南</w:t>
                  </w:r>
                </w:p>
              </w:tc>
              <w:tc>
                <w:tcPr>
                  <w:tcW w:w="531" w:type="dxa"/>
                  <w:shd w:val="clear" w:color="auto" w:fill="auto"/>
                  <w:vAlign w:val="center"/>
                </w:tcPr>
                <w:p>
                  <w:pPr>
                    <w:pStyle w:val="37"/>
                    <w:ind w:left="0" w:leftChars="0"/>
                    <w:rPr>
                      <w:b/>
                      <w:bCs/>
                    </w:rPr>
                  </w:pPr>
                  <w:r>
                    <w:rPr>
                      <w:rFonts w:hint="eastAsia"/>
                      <w:b/>
                      <w:bCs/>
                    </w:rPr>
                    <w:t>西</w:t>
                  </w:r>
                </w:p>
              </w:tc>
              <w:tc>
                <w:tcPr>
                  <w:tcW w:w="455" w:type="dxa"/>
                  <w:shd w:val="clear" w:color="auto" w:fill="auto"/>
                  <w:vAlign w:val="center"/>
                </w:tcPr>
                <w:p>
                  <w:pPr>
                    <w:pStyle w:val="37"/>
                    <w:ind w:left="0" w:leftChars="0"/>
                    <w:rPr>
                      <w:b/>
                      <w:bCs/>
                    </w:rPr>
                  </w:pPr>
                  <w:r>
                    <w:rPr>
                      <w:rFonts w:hint="eastAsia"/>
                      <w:b/>
                      <w:bCs/>
                    </w:rPr>
                    <w:t>北</w:t>
                  </w:r>
                </w:p>
              </w:tc>
              <w:tc>
                <w:tcPr>
                  <w:tcW w:w="546" w:type="dxa"/>
                  <w:vMerge w:val="continue"/>
                  <w:shd w:val="clear" w:color="auto" w:fill="auto"/>
                  <w:vAlign w:val="center"/>
                </w:tcPr>
                <w:p>
                  <w:pPr>
                    <w:pStyle w:val="37"/>
                    <w:ind w:left="0" w:leftChars="0"/>
                    <w:rPr>
                      <w:b/>
                      <w:bCs/>
                    </w:rPr>
                  </w:pPr>
                </w:p>
              </w:tc>
              <w:tc>
                <w:tcPr>
                  <w:tcW w:w="922" w:type="dxa"/>
                  <w:vMerge w:val="continue"/>
                  <w:shd w:val="clear" w:color="auto" w:fill="auto"/>
                  <w:vAlign w:val="center"/>
                </w:tcPr>
                <w:p>
                  <w:pPr>
                    <w:pStyle w:val="37"/>
                    <w:ind w:left="0" w:leftChars="0"/>
                    <w:rPr>
                      <w:b/>
                      <w:bCs/>
                    </w:rPr>
                  </w:pPr>
                </w:p>
              </w:tc>
              <w:tc>
                <w:tcPr>
                  <w:tcW w:w="1071" w:type="dxa"/>
                  <w:shd w:val="clear" w:color="auto" w:fill="auto"/>
                  <w:vAlign w:val="center"/>
                </w:tcPr>
                <w:p>
                  <w:pPr>
                    <w:pStyle w:val="37"/>
                    <w:ind w:left="0" w:leftChars="0"/>
                    <w:rPr>
                      <w:b/>
                      <w:bCs/>
                    </w:rPr>
                  </w:pPr>
                  <w:r>
                    <w:rPr>
                      <w:rFonts w:hint="eastAsia"/>
                      <w:b/>
                      <w:bCs/>
                    </w:rPr>
                    <w:t>声压级</w:t>
                  </w:r>
                  <w:r>
                    <w:rPr>
                      <w:b/>
                      <w:bCs/>
                    </w:rPr>
                    <w:t>/dB(A</w:t>
                  </w:r>
                  <w:r>
                    <w:rPr>
                      <w:rFonts w:hint="eastAsia"/>
                      <w:b/>
                      <w:bCs/>
                    </w:rPr>
                    <w:t>）</w:t>
                  </w:r>
                </w:p>
              </w:tc>
              <w:tc>
                <w:tcPr>
                  <w:tcW w:w="746" w:type="dxa"/>
                  <w:shd w:val="clear" w:color="auto" w:fill="auto"/>
                  <w:vAlign w:val="center"/>
                </w:tcPr>
                <w:p>
                  <w:pPr>
                    <w:pStyle w:val="37"/>
                    <w:ind w:left="0" w:leftChars="0"/>
                    <w:rPr>
                      <w:b/>
                      <w:bCs/>
                    </w:rPr>
                  </w:pPr>
                  <w:r>
                    <w:rPr>
                      <w:rFonts w:hint="eastAsia"/>
                      <w:b/>
                      <w:bCs/>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650" w:type="dxa"/>
                  <w:shd w:val="clear" w:color="auto" w:fill="auto"/>
                  <w:vAlign w:val="center"/>
                </w:tcPr>
                <w:p>
                  <w:pPr>
                    <w:pStyle w:val="37"/>
                    <w:ind w:left="0" w:leftChars="0"/>
                  </w:pPr>
                  <w:r>
                    <w:t>1</w:t>
                  </w:r>
                </w:p>
              </w:tc>
              <w:tc>
                <w:tcPr>
                  <w:tcW w:w="550" w:type="dxa"/>
                  <w:vMerge w:val="restart"/>
                  <w:shd w:val="clear" w:color="auto" w:fill="auto"/>
                  <w:vAlign w:val="center"/>
                </w:tcPr>
                <w:p>
                  <w:pPr>
                    <w:pStyle w:val="37"/>
                    <w:ind w:left="0" w:leftChars="0"/>
                  </w:pPr>
                  <w:r>
                    <w:rPr>
                      <w:rFonts w:hint="eastAsia"/>
                    </w:rPr>
                    <w:t>厂房</w:t>
                  </w:r>
                </w:p>
              </w:tc>
              <w:tc>
                <w:tcPr>
                  <w:tcW w:w="750" w:type="dxa"/>
                  <w:shd w:val="clear" w:color="auto" w:fill="auto"/>
                  <w:vAlign w:val="center"/>
                </w:tcPr>
                <w:p>
                  <w:pPr>
                    <w:pStyle w:val="37"/>
                    <w:ind w:left="0" w:leftChars="0"/>
                    <w:rPr>
                      <w:rFonts w:hint="eastAsia" w:eastAsia="宋体"/>
                      <w:lang w:eastAsia="zh-CN"/>
                    </w:rPr>
                  </w:pPr>
                  <w:r>
                    <w:rPr>
                      <w:rFonts w:hint="eastAsia"/>
                      <w:lang w:val="en-US" w:eastAsia="zh-CN"/>
                    </w:rPr>
                    <w:t>涂布机</w:t>
                  </w:r>
                </w:p>
              </w:tc>
              <w:tc>
                <w:tcPr>
                  <w:tcW w:w="466" w:type="dxa"/>
                  <w:shd w:val="clear" w:color="auto" w:fill="auto"/>
                  <w:vAlign w:val="center"/>
                </w:tcPr>
                <w:p>
                  <w:pPr>
                    <w:pStyle w:val="37"/>
                    <w:ind w:left="0" w:leftChars="0"/>
                  </w:pPr>
                  <w:r>
                    <w:t>/</w:t>
                  </w:r>
                </w:p>
              </w:tc>
              <w:tc>
                <w:tcPr>
                  <w:tcW w:w="873" w:type="dxa"/>
                  <w:shd w:val="clear" w:color="auto" w:fill="auto"/>
                  <w:vAlign w:val="center"/>
                </w:tcPr>
                <w:p>
                  <w:pPr>
                    <w:pStyle w:val="37"/>
                    <w:ind w:left="0" w:leftChars="0"/>
                    <w:rPr>
                      <w:rFonts w:hint="default" w:eastAsia="宋体"/>
                      <w:lang w:val="en-US" w:eastAsia="zh-CN"/>
                    </w:rPr>
                  </w:pPr>
                  <w:r>
                    <w:rPr>
                      <w:rFonts w:hint="eastAsia"/>
                      <w:lang w:val="en-US" w:eastAsia="zh-CN"/>
                    </w:rPr>
                    <w:t>75</w:t>
                  </w:r>
                </w:p>
              </w:tc>
              <w:tc>
                <w:tcPr>
                  <w:tcW w:w="1078" w:type="dxa"/>
                  <w:vMerge w:val="restart"/>
                  <w:shd w:val="clear" w:color="auto" w:fill="auto"/>
                  <w:vAlign w:val="center"/>
                </w:tcPr>
                <w:p>
                  <w:pPr>
                    <w:pStyle w:val="37"/>
                    <w:ind w:left="0" w:leftChars="0"/>
                  </w:pPr>
                  <w:r>
                    <w:rPr>
                      <w:rFonts w:hint="eastAsia"/>
                    </w:rPr>
                    <w:t>基础减振、合理布置、合理安排作业时间、设备基础安装减震软垫</w:t>
                  </w:r>
                </w:p>
              </w:tc>
              <w:tc>
                <w:tcPr>
                  <w:tcW w:w="591" w:type="dxa"/>
                  <w:shd w:val="clear" w:color="auto" w:fill="auto"/>
                  <w:vAlign w:val="center"/>
                </w:tcPr>
                <w:p>
                  <w:pPr>
                    <w:pStyle w:val="37"/>
                    <w:ind w:left="0" w:leftChars="0"/>
                  </w:pPr>
                  <w:r>
                    <w:t>-19.</w:t>
                  </w:r>
                  <w:r>
                    <w:rPr>
                      <w:rFonts w:hint="eastAsia"/>
                    </w:rPr>
                    <w:t>5</w:t>
                  </w:r>
                </w:p>
              </w:tc>
              <w:tc>
                <w:tcPr>
                  <w:tcW w:w="531" w:type="dxa"/>
                  <w:shd w:val="clear" w:color="auto" w:fill="auto"/>
                  <w:vAlign w:val="center"/>
                </w:tcPr>
                <w:p>
                  <w:pPr>
                    <w:pStyle w:val="37"/>
                    <w:ind w:left="0" w:leftChars="0"/>
                  </w:pPr>
                  <w:r>
                    <w:t>6.</w:t>
                  </w:r>
                  <w:r>
                    <w:rPr>
                      <w:rFonts w:hint="eastAsia"/>
                    </w:rPr>
                    <w:t>3</w:t>
                  </w:r>
                </w:p>
              </w:tc>
              <w:tc>
                <w:tcPr>
                  <w:tcW w:w="441" w:type="dxa"/>
                  <w:shd w:val="clear" w:color="auto" w:fill="auto"/>
                  <w:vAlign w:val="center"/>
                </w:tcPr>
                <w:p>
                  <w:pPr>
                    <w:pStyle w:val="37"/>
                    <w:ind w:left="0" w:leftChars="0"/>
                  </w:pPr>
                  <w:r>
                    <w:t>1.2</w:t>
                  </w:r>
                </w:p>
              </w:tc>
              <w:tc>
                <w:tcPr>
                  <w:tcW w:w="531" w:type="dxa"/>
                  <w:shd w:val="clear" w:color="auto" w:fill="auto"/>
                  <w:vAlign w:val="center"/>
                </w:tcPr>
                <w:p>
                  <w:pPr>
                    <w:pStyle w:val="37"/>
                    <w:ind w:left="0" w:leftChars="0"/>
                  </w:pPr>
                  <w:r>
                    <w:t>33.1</w:t>
                  </w:r>
                </w:p>
              </w:tc>
              <w:tc>
                <w:tcPr>
                  <w:tcW w:w="531" w:type="dxa"/>
                  <w:shd w:val="clear" w:color="auto" w:fill="auto"/>
                  <w:vAlign w:val="center"/>
                </w:tcPr>
                <w:p>
                  <w:pPr>
                    <w:pStyle w:val="37"/>
                    <w:ind w:left="0" w:leftChars="0"/>
                  </w:pPr>
                  <w:r>
                    <w:t>41.6</w:t>
                  </w:r>
                </w:p>
              </w:tc>
              <w:tc>
                <w:tcPr>
                  <w:tcW w:w="531" w:type="dxa"/>
                  <w:shd w:val="clear" w:color="auto" w:fill="auto"/>
                  <w:vAlign w:val="center"/>
                </w:tcPr>
                <w:p>
                  <w:pPr>
                    <w:pStyle w:val="37"/>
                    <w:ind w:left="0" w:leftChars="0"/>
                  </w:pPr>
                  <w:r>
                    <w:t>6.0</w:t>
                  </w:r>
                </w:p>
              </w:tc>
              <w:tc>
                <w:tcPr>
                  <w:tcW w:w="441" w:type="dxa"/>
                  <w:shd w:val="clear" w:color="auto" w:fill="auto"/>
                  <w:vAlign w:val="center"/>
                </w:tcPr>
                <w:p>
                  <w:pPr>
                    <w:pStyle w:val="37"/>
                    <w:ind w:left="0" w:leftChars="0"/>
                  </w:pPr>
                  <w:r>
                    <w:t>8.7</w:t>
                  </w:r>
                </w:p>
              </w:tc>
              <w:tc>
                <w:tcPr>
                  <w:tcW w:w="531" w:type="dxa"/>
                  <w:shd w:val="clear" w:color="auto" w:fill="auto"/>
                  <w:vAlign w:val="center"/>
                </w:tcPr>
                <w:p>
                  <w:pPr>
                    <w:pStyle w:val="37"/>
                    <w:ind w:left="0" w:leftChars="0"/>
                    <w:rPr>
                      <w:rFonts w:hint="eastAsia" w:eastAsia="宋体"/>
                      <w:lang w:eastAsia="zh-CN"/>
                    </w:rPr>
                  </w:pPr>
                  <w:r>
                    <w:t>6</w:t>
                  </w:r>
                  <w:r>
                    <w:rPr>
                      <w:rFonts w:hint="eastAsia"/>
                      <w:lang w:val="en-US" w:eastAsia="zh-CN"/>
                    </w:rPr>
                    <w:t>2</w:t>
                  </w:r>
                  <w:r>
                    <w:t>.</w:t>
                  </w:r>
                  <w:r>
                    <w:rPr>
                      <w:rFonts w:hint="eastAsia"/>
                      <w:lang w:val="en-US" w:eastAsia="zh-CN"/>
                    </w:rPr>
                    <w:t>2</w:t>
                  </w:r>
                </w:p>
              </w:tc>
              <w:tc>
                <w:tcPr>
                  <w:tcW w:w="531" w:type="dxa"/>
                  <w:shd w:val="clear" w:color="auto" w:fill="auto"/>
                  <w:vAlign w:val="center"/>
                </w:tcPr>
                <w:p>
                  <w:pPr>
                    <w:pStyle w:val="37"/>
                    <w:ind w:left="0" w:leftChars="0"/>
                    <w:rPr>
                      <w:rFonts w:hint="eastAsia" w:eastAsia="宋体"/>
                      <w:lang w:eastAsia="zh-CN"/>
                    </w:rPr>
                  </w:pPr>
                  <w:r>
                    <w:t>6</w:t>
                  </w:r>
                  <w:r>
                    <w:rPr>
                      <w:rFonts w:hint="eastAsia"/>
                      <w:lang w:val="en-US" w:eastAsia="zh-CN"/>
                    </w:rPr>
                    <w:t>2</w:t>
                  </w:r>
                  <w:r>
                    <w:t>.</w:t>
                  </w:r>
                  <w:r>
                    <w:rPr>
                      <w:rFonts w:hint="eastAsia"/>
                      <w:lang w:val="en-US" w:eastAsia="zh-CN"/>
                    </w:rPr>
                    <w:t>1</w:t>
                  </w:r>
                </w:p>
              </w:tc>
              <w:tc>
                <w:tcPr>
                  <w:tcW w:w="531" w:type="dxa"/>
                  <w:shd w:val="clear" w:color="auto" w:fill="auto"/>
                  <w:vAlign w:val="center"/>
                </w:tcPr>
                <w:p>
                  <w:pPr>
                    <w:pStyle w:val="37"/>
                    <w:ind w:left="0" w:leftChars="0"/>
                    <w:rPr>
                      <w:rFonts w:hint="eastAsia" w:eastAsia="宋体"/>
                      <w:lang w:eastAsia="zh-CN"/>
                    </w:rPr>
                  </w:pPr>
                  <w:r>
                    <w:t>6</w:t>
                  </w:r>
                  <w:r>
                    <w:rPr>
                      <w:rFonts w:hint="eastAsia"/>
                      <w:lang w:val="en-US" w:eastAsia="zh-CN"/>
                    </w:rPr>
                    <w:t>2</w:t>
                  </w:r>
                  <w:r>
                    <w:t>.</w:t>
                  </w:r>
                  <w:r>
                    <w:rPr>
                      <w:rFonts w:hint="eastAsia"/>
                      <w:lang w:val="en-US" w:eastAsia="zh-CN"/>
                    </w:rPr>
                    <w:t>3</w:t>
                  </w:r>
                </w:p>
              </w:tc>
              <w:tc>
                <w:tcPr>
                  <w:tcW w:w="455" w:type="dxa"/>
                  <w:shd w:val="clear" w:color="auto" w:fill="auto"/>
                  <w:vAlign w:val="center"/>
                </w:tcPr>
                <w:p>
                  <w:pPr>
                    <w:pStyle w:val="37"/>
                    <w:ind w:left="0" w:leftChars="0"/>
                    <w:rPr>
                      <w:rFonts w:hint="eastAsia" w:eastAsia="宋体"/>
                      <w:lang w:eastAsia="zh-CN"/>
                    </w:rPr>
                  </w:pPr>
                  <w:r>
                    <w:t>6</w:t>
                  </w:r>
                  <w:r>
                    <w:rPr>
                      <w:rFonts w:hint="eastAsia"/>
                      <w:lang w:val="en-US" w:eastAsia="zh-CN"/>
                    </w:rPr>
                    <w:t>2</w:t>
                  </w:r>
                  <w:r>
                    <w:t>.</w:t>
                  </w:r>
                  <w:r>
                    <w:rPr>
                      <w:rFonts w:hint="eastAsia"/>
                      <w:lang w:val="en-US" w:eastAsia="zh-CN"/>
                    </w:rPr>
                    <w:t>2</w:t>
                  </w:r>
                </w:p>
              </w:tc>
              <w:tc>
                <w:tcPr>
                  <w:tcW w:w="546" w:type="dxa"/>
                  <w:vMerge w:val="restart"/>
                  <w:shd w:val="clear" w:color="auto" w:fill="auto"/>
                  <w:vAlign w:val="center"/>
                </w:tcPr>
                <w:p>
                  <w:pPr>
                    <w:pStyle w:val="37"/>
                    <w:ind w:left="0" w:leftChars="0"/>
                  </w:pPr>
                  <w:r>
                    <w:rPr>
                      <w:rFonts w:hint="eastAsia"/>
                    </w:rPr>
                    <w:t>12h</w:t>
                  </w:r>
                </w:p>
              </w:tc>
              <w:tc>
                <w:tcPr>
                  <w:tcW w:w="922" w:type="dxa"/>
                  <w:shd w:val="clear" w:color="auto" w:fill="auto"/>
                  <w:vAlign w:val="center"/>
                </w:tcPr>
                <w:p>
                  <w:pPr>
                    <w:pStyle w:val="37"/>
                    <w:ind w:left="0" w:leftChars="0"/>
                  </w:pPr>
                  <w:r>
                    <w:rPr>
                      <w:rFonts w:hint="eastAsia"/>
                    </w:rPr>
                    <w:t>20</w:t>
                  </w:r>
                </w:p>
              </w:tc>
              <w:tc>
                <w:tcPr>
                  <w:tcW w:w="1071" w:type="dxa"/>
                  <w:shd w:val="clear" w:color="auto" w:fill="auto"/>
                  <w:vAlign w:val="center"/>
                </w:tcPr>
                <w:p>
                  <w:pPr>
                    <w:pStyle w:val="37"/>
                    <w:ind w:left="0" w:leftChars="0"/>
                    <w:rPr>
                      <w:rFonts w:hint="default" w:eastAsia="宋体"/>
                      <w:lang w:val="en-US" w:eastAsia="zh-CN"/>
                    </w:rPr>
                  </w:pPr>
                  <w:r>
                    <w:rPr>
                      <w:rFonts w:hint="eastAsia"/>
                      <w:lang w:val="en-US" w:eastAsia="zh-CN"/>
                    </w:rPr>
                    <w:t>56.2</w:t>
                  </w:r>
                </w:p>
              </w:tc>
              <w:tc>
                <w:tcPr>
                  <w:tcW w:w="746" w:type="dxa"/>
                  <w:shd w:val="clear" w:color="auto" w:fill="auto"/>
                  <w:vAlign w:val="center"/>
                </w:tcPr>
                <w:p>
                  <w:pPr>
                    <w:pStyle w:val="37"/>
                    <w:ind w:left="0" w:leftChars="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dxa"/>
                  <w:shd w:val="clear" w:color="auto" w:fill="auto"/>
                  <w:vAlign w:val="center"/>
                </w:tcPr>
                <w:p>
                  <w:pPr>
                    <w:pStyle w:val="37"/>
                    <w:ind w:left="0" w:leftChars="0"/>
                  </w:pPr>
                  <w:r>
                    <w:t>2</w:t>
                  </w:r>
                </w:p>
              </w:tc>
              <w:tc>
                <w:tcPr>
                  <w:tcW w:w="550" w:type="dxa"/>
                  <w:vMerge w:val="continue"/>
                  <w:shd w:val="clear" w:color="auto" w:fill="auto"/>
                  <w:vAlign w:val="center"/>
                </w:tcPr>
                <w:p>
                  <w:pPr>
                    <w:pStyle w:val="37"/>
                    <w:ind w:left="0" w:leftChars="0"/>
                  </w:pPr>
                </w:p>
              </w:tc>
              <w:tc>
                <w:tcPr>
                  <w:tcW w:w="750" w:type="dxa"/>
                  <w:shd w:val="clear" w:color="auto" w:fill="auto"/>
                  <w:vAlign w:val="center"/>
                </w:tcPr>
                <w:p>
                  <w:pPr>
                    <w:pStyle w:val="37"/>
                    <w:ind w:left="0" w:leftChars="0"/>
                    <w:rPr>
                      <w:rFonts w:hint="eastAsia" w:eastAsia="宋体"/>
                      <w:lang w:eastAsia="zh-CN"/>
                    </w:rPr>
                  </w:pPr>
                  <w:r>
                    <w:rPr>
                      <w:rFonts w:hint="eastAsia"/>
                      <w:lang w:val="en-US" w:eastAsia="zh-CN"/>
                    </w:rPr>
                    <w:t>分切机</w:t>
                  </w:r>
                </w:p>
              </w:tc>
              <w:tc>
                <w:tcPr>
                  <w:tcW w:w="466" w:type="dxa"/>
                  <w:shd w:val="clear" w:color="auto" w:fill="auto"/>
                  <w:vAlign w:val="center"/>
                </w:tcPr>
                <w:p>
                  <w:pPr>
                    <w:pStyle w:val="37"/>
                    <w:ind w:left="0" w:leftChars="0"/>
                  </w:pPr>
                  <w:r>
                    <w:t>/</w:t>
                  </w:r>
                </w:p>
              </w:tc>
              <w:tc>
                <w:tcPr>
                  <w:tcW w:w="873" w:type="dxa"/>
                  <w:shd w:val="clear" w:color="auto" w:fill="auto"/>
                  <w:vAlign w:val="center"/>
                </w:tcPr>
                <w:p>
                  <w:pPr>
                    <w:pStyle w:val="37"/>
                    <w:ind w:left="0" w:leftChars="0"/>
                    <w:rPr>
                      <w:rFonts w:hint="default" w:eastAsia="宋体"/>
                      <w:lang w:val="en-US" w:eastAsia="zh-CN"/>
                    </w:rPr>
                  </w:pPr>
                  <w:r>
                    <w:rPr>
                      <w:rFonts w:hint="eastAsia"/>
                      <w:lang w:val="en-US" w:eastAsia="zh-CN"/>
                    </w:rPr>
                    <w:t>75</w:t>
                  </w:r>
                </w:p>
              </w:tc>
              <w:tc>
                <w:tcPr>
                  <w:tcW w:w="1078" w:type="dxa"/>
                  <w:vMerge w:val="continue"/>
                  <w:shd w:val="clear" w:color="auto" w:fill="auto"/>
                  <w:vAlign w:val="center"/>
                </w:tcPr>
                <w:p>
                  <w:pPr>
                    <w:pStyle w:val="37"/>
                    <w:ind w:left="0" w:leftChars="0"/>
                  </w:pPr>
                </w:p>
              </w:tc>
              <w:tc>
                <w:tcPr>
                  <w:tcW w:w="591" w:type="dxa"/>
                  <w:shd w:val="clear" w:color="auto" w:fill="auto"/>
                  <w:vAlign w:val="center"/>
                </w:tcPr>
                <w:p>
                  <w:pPr>
                    <w:pStyle w:val="37"/>
                    <w:ind w:left="0" w:leftChars="0"/>
                  </w:pPr>
                  <w:r>
                    <w:t>-19.</w:t>
                  </w:r>
                  <w:r>
                    <w:rPr>
                      <w:rFonts w:hint="eastAsia"/>
                    </w:rPr>
                    <w:t>2</w:t>
                  </w:r>
                </w:p>
              </w:tc>
              <w:tc>
                <w:tcPr>
                  <w:tcW w:w="531" w:type="dxa"/>
                  <w:shd w:val="clear" w:color="auto" w:fill="auto"/>
                  <w:vAlign w:val="center"/>
                </w:tcPr>
                <w:p>
                  <w:pPr>
                    <w:pStyle w:val="37"/>
                    <w:ind w:left="0" w:leftChars="0"/>
                  </w:pPr>
                  <w:r>
                    <w:t>6.</w:t>
                  </w:r>
                  <w:r>
                    <w:rPr>
                      <w:rFonts w:hint="eastAsia"/>
                    </w:rPr>
                    <w:t>2</w:t>
                  </w:r>
                </w:p>
              </w:tc>
              <w:tc>
                <w:tcPr>
                  <w:tcW w:w="441" w:type="dxa"/>
                  <w:shd w:val="clear" w:color="auto" w:fill="auto"/>
                  <w:vAlign w:val="center"/>
                </w:tcPr>
                <w:p>
                  <w:pPr>
                    <w:pStyle w:val="37"/>
                    <w:ind w:left="0" w:leftChars="0"/>
                  </w:pPr>
                  <w:r>
                    <w:t>1.2</w:t>
                  </w:r>
                </w:p>
              </w:tc>
              <w:tc>
                <w:tcPr>
                  <w:tcW w:w="531" w:type="dxa"/>
                  <w:shd w:val="clear" w:color="auto" w:fill="auto"/>
                  <w:vAlign w:val="center"/>
                </w:tcPr>
                <w:p>
                  <w:pPr>
                    <w:pStyle w:val="37"/>
                    <w:ind w:left="0" w:leftChars="0"/>
                  </w:pPr>
                  <w:r>
                    <w:t>3</w:t>
                  </w:r>
                  <w:r>
                    <w:rPr>
                      <w:rFonts w:hint="eastAsia"/>
                    </w:rPr>
                    <w:t>0</w:t>
                  </w:r>
                  <w:r>
                    <w:t>.</w:t>
                  </w:r>
                  <w:r>
                    <w:rPr>
                      <w:rFonts w:hint="eastAsia"/>
                    </w:rPr>
                    <w:t>2</w:t>
                  </w:r>
                </w:p>
              </w:tc>
              <w:tc>
                <w:tcPr>
                  <w:tcW w:w="531" w:type="dxa"/>
                  <w:shd w:val="clear" w:color="auto" w:fill="auto"/>
                  <w:vAlign w:val="center"/>
                </w:tcPr>
                <w:p>
                  <w:pPr>
                    <w:pStyle w:val="37"/>
                    <w:ind w:left="0" w:leftChars="0"/>
                  </w:pPr>
                  <w:r>
                    <w:rPr>
                      <w:rFonts w:hint="eastAsia"/>
                    </w:rPr>
                    <w:t>38.3</w:t>
                  </w:r>
                </w:p>
              </w:tc>
              <w:tc>
                <w:tcPr>
                  <w:tcW w:w="531" w:type="dxa"/>
                  <w:shd w:val="clear" w:color="auto" w:fill="auto"/>
                  <w:vAlign w:val="center"/>
                </w:tcPr>
                <w:p>
                  <w:pPr>
                    <w:pStyle w:val="37"/>
                    <w:ind w:left="0" w:leftChars="0"/>
                  </w:pPr>
                  <w:r>
                    <w:rPr>
                      <w:rFonts w:hint="eastAsia"/>
                    </w:rPr>
                    <w:t>5</w:t>
                  </w:r>
                  <w:r>
                    <w:t>.0</w:t>
                  </w:r>
                </w:p>
              </w:tc>
              <w:tc>
                <w:tcPr>
                  <w:tcW w:w="441" w:type="dxa"/>
                  <w:shd w:val="clear" w:color="auto" w:fill="auto"/>
                  <w:vAlign w:val="center"/>
                </w:tcPr>
                <w:p>
                  <w:pPr>
                    <w:pStyle w:val="37"/>
                    <w:ind w:left="0" w:leftChars="0"/>
                  </w:pPr>
                  <w:r>
                    <w:rPr>
                      <w:rFonts w:hint="eastAsia"/>
                    </w:rPr>
                    <w:t>7</w:t>
                  </w:r>
                  <w:r>
                    <w:t>.</w:t>
                  </w:r>
                  <w:r>
                    <w:rPr>
                      <w:rFonts w:hint="eastAsia"/>
                    </w:rPr>
                    <w:t>1</w:t>
                  </w:r>
                </w:p>
              </w:tc>
              <w:tc>
                <w:tcPr>
                  <w:tcW w:w="531" w:type="dxa"/>
                  <w:shd w:val="clear" w:color="auto" w:fill="auto"/>
                  <w:vAlign w:val="center"/>
                </w:tcPr>
                <w:p>
                  <w:pPr>
                    <w:pStyle w:val="37"/>
                    <w:ind w:left="0" w:leftChars="0"/>
                    <w:rPr>
                      <w:rFonts w:hint="eastAsia" w:eastAsia="宋体"/>
                      <w:lang w:eastAsia="zh-CN"/>
                    </w:rPr>
                  </w:pPr>
                  <w:r>
                    <w:t>6</w:t>
                  </w:r>
                  <w:r>
                    <w:rPr>
                      <w:rFonts w:hint="eastAsia"/>
                      <w:lang w:val="en-US" w:eastAsia="zh-CN"/>
                    </w:rPr>
                    <w:t>2</w:t>
                  </w:r>
                  <w:r>
                    <w:t>.</w:t>
                  </w:r>
                  <w:r>
                    <w:rPr>
                      <w:rFonts w:hint="eastAsia"/>
                      <w:lang w:val="en-US" w:eastAsia="zh-CN"/>
                    </w:rPr>
                    <w:t>1</w:t>
                  </w:r>
                </w:p>
              </w:tc>
              <w:tc>
                <w:tcPr>
                  <w:tcW w:w="531" w:type="dxa"/>
                  <w:shd w:val="clear" w:color="auto" w:fill="auto"/>
                  <w:vAlign w:val="center"/>
                </w:tcPr>
                <w:p>
                  <w:pPr>
                    <w:pStyle w:val="37"/>
                    <w:ind w:left="0" w:leftChars="0"/>
                  </w:pPr>
                  <w:r>
                    <w:t>63.</w:t>
                  </w:r>
                  <w:r>
                    <w:rPr>
                      <w:rFonts w:hint="eastAsia"/>
                    </w:rPr>
                    <w:t>2</w:t>
                  </w:r>
                </w:p>
              </w:tc>
              <w:tc>
                <w:tcPr>
                  <w:tcW w:w="531" w:type="dxa"/>
                  <w:shd w:val="clear" w:color="auto" w:fill="auto"/>
                  <w:vAlign w:val="center"/>
                </w:tcPr>
                <w:p>
                  <w:pPr>
                    <w:pStyle w:val="37"/>
                    <w:ind w:left="0" w:leftChars="0"/>
                    <w:rPr>
                      <w:rFonts w:hint="eastAsia" w:eastAsia="宋体"/>
                      <w:lang w:eastAsia="zh-CN"/>
                    </w:rPr>
                  </w:pPr>
                  <w:r>
                    <w:t>6</w:t>
                  </w:r>
                  <w:r>
                    <w:rPr>
                      <w:rFonts w:hint="eastAsia"/>
                      <w:lang w:val="en-US" w:eastAsia="zh-CN"/>
                    </w:rPr>
                    <w:t>2</w:t>
                  </w:r>
                  <w:r>
                    <w:t>.</w:t>
                  </w:r>
                  <w:r>
                    <w:rPr>
                      <w:rFonts w:hint="eastAsia"/>
                      <w:lang w:val="en-US" w:eastAsia="zh-CN"/>
                    </w:rPr>
                    <w:t>1</w:t>
                  </w:r>
                </w:p>
              </w:tc>
              <w:tc>
                <w:tcPr>
                  <w:tcW w:w="455" w:type="dxa"/>
                  <w:shd w:val="clear" w:color="auto" w:fill="auto"/>
                  <w:vAlign w:val="center"/>
                </w:tcPr>
                <w:p>
                  <w:pPr>
                    <w:pStyle w:val="37"/>
                    <w:ind w:left="0" w:leftChars="0"/>
                    <w:rPr>
                      <w:rFonts w:hint="eastAsia" w:eastAsia="宋体"/>
                      <w:lang w:eastAsia="zh-CN"/>
                    </w:rPr>
                  </w:pPr>
                  <w:r>
                    <w:t>6</w:t>
                  </w:r>
                  <w:r>
                    <w:rPr>
                      <w:rFonts w:hint="eastAsia"/>
                      <w:lang w:val="en-US" w:eastAsia="zh-CN"/>
                    </w:rPr>
                    <w:t>2</w:t>
                  </w:r>
                  <w:r>
                    <w:t>.</w:t>
                  </w:r>
                  <w:r>
                    <w:rPr>
                      <w:rFonts w:hint="eastAsia"/>
                      <w:lang w:val="en-US" w:eastAsia="zh-CN"/>
                    </w:rPr>
                    <w:t>2</w:t>
                  </w:r>
                </w:p>
              </w:tc>
              <w:tc>
                <w:tcPr>
                  <w:tcW w:w="546" w:type="dxa"/>
                  <w:vMerge w:val="continue"/>
                  <w:shd w:val="clear" w:color="auto" w:fill="auto"/>
                  <w:vAlign w:val="center"/>
                </w:tcPr>
                <w:p>
                  <w:pPr>
                    <w:pStyle w:val="37"/>
                    <w:ind w:left="0" w:leftChars="0"/>
                  </w:pPr>
                </w:p>
              </w:tc>
              <w:tc>
                <w:tcPr>
                  <w:tcW w:w="922" w:type="dxa"/>
                  <w:shd w:val="clear" w:color="auto" w:fill="auto"/>
                  <w:vAlign w:val="center"/>
                </w:tcPr>
                <w:p>
                  <w:pPr>
                    <w:pStyle w:val="37"/>
                    <w:ind w:left="0" w:leftChars="0"/>
                  </w:pPr>
                  <w:r>
                    <w:rPr>
                      <w:rFonts w:hint="eastAsia"/>
                    </w:rPr>
                    <w:t>20</w:t>
                  </w:r>
                </w:p>
              </w:tc>
              <w:tc>
                <w:tcPr>
                  <w:tcW w:w="1071" w:type="dxa"/>
                  <w:shd w:val="clear" w:color="auto" w:fill="auto"/>
                  <w:vAlign w:val="center"/>
                </w:tcPr>
                <w:p>
                  <w:pPr>
                    <w:pStyle w:val="37"/>
                    <w:ind w:left="0" w:leftChars="0"/>
                    <w:rPr>
                      <w:rFonts w:hint="default" w:eastAsia="宋体"/>
                      <w:lang w:val="en-US" w:eastAsia="zh-CN"/>
                    </w:rPr>
                  </w:pPr>
                  <w:r>
                    <w:rPr>
                      <w:rFonts w:hint="eastAsia"/>
                      <w:lang w:val="en-US" w:eastAsia="zh-CN"/>
                    </w:rPr>
                    <w:t>56.1</w:t>
                  </w:r>
                </w:p>
              </w:tc>
              <w:tc>
                <w:tcPr>
                  <w:tcW w:w="746" w:type="dxa"/>
                  <w:shd w:val="clear" w:color="auto" w:fill="auto"/>
                  <w:vAlign w:val="center"/>
                </w:tcPr>
                <w:p>
                  <w:pPr>
                    <w:pStyle w:val="37"/>
                    <w:ind w:left="0" w:leftChars="0"/>
                  </w:pPr>
                  <w:r>
                    <w:t>1</w:t>
                  </w:r>
                </w:p>
              </w:tc>
            </w:tr>
          </w:tbl>
          <w:p>
            <w:pPr>
              <w:spacing w:line="240" w:lineRule="auto"/>
              <w:ind w:firstLine="0" w:firstLineChars="0"/>
              <w:rPr>
                <w:rFonts w:hint="eastAsia"/>
                <w:sz w:val="18"/>
                <w:szCs w:val="18"/>
              </w:rPr>
            </w:pPr>
            <w:r>
              <w:rPr>
                <w:rFonts w:hint="eastAsia"/>
                <w:sz w:val="18"/>
                <w:szCs w:val="18"/>
              </w:rPr>
              <w:t>注：表中坐标以厂区中心为坐标原点，正东向为X轴正方向，正北向为Y轴正方向。</w:t>
            </w:r>
          </w:p>
          <w:p>
            <w:pPr>
              <w:ind w:firstLine="0" w:firstLineChars="0"/>
            </w:pPr>
          </w:p>
          <w:p>
            <w:pPr>
              <w:pStyle w:val="30"/>
              <w:ind w:firstLine="480"/>
              <w:rPr>
                <w:color w:val="auto"/>
              </w:rPr>
            </w:pPr>
          </w:p>
          <w:p>
            <w:pPr>
              <w:pStyle w:val="2"/>
              <w:ind w:left="480"/>
            </w:pPr>
          </w:p>
          <w:p>
            <w:pPr>
              <w:ind w:firstLine="480"/>
            </w:pPr>
          </w:p>
          <w:p>
            <w:pPr>
              <w:pStyle w:val="30"/>
              <w:ind w:firstLine="480"/>
              <w:rPr>
                <w:color w:val="auto"/>
              </w:rPr>
            </w:pPr>
          </w:p>
          <w:p>
            <w:pPr>
              <w:pStyle w:val="2"/>
              <w:ind w:left="480"/>
            </w:pPr>
          </w:p>
          <w:p>
            <w:pPr>
              <w:ind w:firstLine="480"/>
            </w:pPr>
          </w:p>
        </w:tc>
      </w:tr>
    </w:tbl>
    <w:p>
      <w:pPr>
        <w:ind w:firstLine="480"/>
        <w:sectPr>
          <w:pgSz w:w="16838" w:h="11906" w:orient="landscape"/>
          <w:pgMar w:top="1417" w:right="1440" w:bottom="1417" w:left="1440" w:header="851" w:footer="992" w:gutter="0"/>
          <w:cols w:space="425" w:num="1"/>
          <w:docGrid w:type="lines" w:linePitch="312" w:charSpace="0"/>
        </w:sect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5" w:hRule="atLeast"/>
          <w:jc w:val="center"/>
        </w:trPr>
        <w:tc>
          <w:tcPr>
            <w:tcW w:w="453" w:type="dxa"/>
            <w:vAlign w:val="center"/>
          </w:tcPr>
          <w:p>
            <w:pPr>
              <w:ind w:firstLine="0" w:firstLineChars="0"/>
            </w:pPr>
          </w:p>
        </w:tc>
        <w:tc>
          <w:tcPr>
            <w:tcW w:w="8835" w:type="dxa"/>
          </w:tcPr>
          <w:p>
            <w:pPr>
              <w:pStyle w:val="3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Lines="0" w:afterAutospacing="0" w:line="360" w:lineRule="auto"/>
              <w:ind w:left="0" w:leftChars="0" w:right="0" w:firstLine="482" w:firstLineChars="200"/>
              <w:textAlignment w:val="auto"/>
              <w:rPr>
                <w:rFonts w:hint="eastAsia" w:ascii="Times New Roman" w:hAnsi="Times New Roman" w:eastAsia="宋体" w:cs="Times New Roman"/>
                <w:b/>
                <w:bCs w:val="0"/>
                <w:color w:val="auto"/>
                <w:sz w:val="24"/>
                <w:szCs w:val="22"/>
                <w:u w:val="none" w:color="auto"/>
                <w:lang w:val="en-US" w:eastAsia="zh-CN"/>
              </w:rPr>
            </w:pPr>
            <w:r>
              <w:rPr>
                <w:rFonts w:hint="eastAsia" w:ascii="Times New Roman" w:hAnsi="Times New Roman" w:eastAsia="宋体" w:cs="Times New Roman"/>
                <w:b/>
                <w:bCs w:val="0"/>
                <w:color w:val="auto"/>
                <w:sz w:val="24"/>
                <w:szCs w:val="22"/>
                <w:u w:val="none" w:color="auto"/>
                <w:lang w:val="en-US" w:eastAsia="zh-CN"/>
              </w:rPr>
              <w:t>表4-</w:t>
            </w:r>
            <w:r>
              <w:rPr>
                <w:rFonts w:hint="eastAsia" w:cs="Times New Roman"/>
                <w:b/>
                <w:bCs w:val="0"/>
                <w:color w:val="auto"/>
                <w:sz w:val="24"/>
                <w:szCs w:val="22"/>
                <w:u w:val="none" w:color="auto"/>
                <w:lang w:val="en-US" w:eastAsia="zh-CN"/>
              </w:rPr>
              <w:t>14</w:t>
            </w:r>
            <w:r>
              <w:rPr>
                <w:rFonts w:hint="eastAsia" w:ascii="Times New Roman" w:hAnsi="Times New Roman" w:eastAsia="宋体" w:cs="Times New Roman"/>
                <w:b/>
                <w:bCs w:val="0"/>
                <w:color w:val="auto"/>
                <w:sz w:val="24"/>
                <w:szCs w:val="22"/>
                <w:u w:val="none" w:color="auto"/>
                <w:lang w:val="en-US" w:eastAsia="zh-CN"/>
              </w:rPr>
              <w:t>工业企业噪声源源强（室外声源）</w:t>
            </w:r>
          </w:p>
          <w:tbl>
            <w:tblPr>
              <w:tblStyle w:val="24"/>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909"/>
              <w:gridCol w:w="730"/>
              <w:gridCol w:w="1295"/>
              <w:gridCol w:w="1164"/>
              <w:gridCol w:w="967"/>
              <w:gridCol w:w="1142"/>
              <w:gridCol w:w="935"/>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lang w:val="en-US" w:eastAsia="zh-CN"/>
                    </w:rPr>
                  </w:pPr>
                  <w:r>
                    <w:rPr>
                      <w:rFonts w:hint="eastAsia" w:ascii="Times New Roman" w:hAnsi="Times New Roman" w:cs="Times New Roman"/>
                      <w:b/>
                      <w:bCs/>
                      <w:color w:val="auto"/>
                      <w:sz w:val="21"/>
                      <w:szCs w:val="21"/>
                      <w:u w:val="none" w:color="auto"/>
                      <w:lang w:val="en-US" w:eastAsia="zh-CN"/>
                    </w:rPr>
                    <w:t>序号</w:t>
                  </w: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u w:val="none" w:color="auto"/>
                      <w:vertAlign w:val="baseline"/>
                      <w:lang w:val="en-US" w:eastAsia="zh-CN"/>
                    </w:rPr>
                  </w:pPr>
                  <w:r>
                    <w:rPr>
                      <w:rFonts w:hint="default" w:ascii="Times New Roman" w:hAnsi="Times New Roman" w:cs="Times New Roman"/>
                      <w:b/>
                      <w:bCs/>
                      <w:color w:val="auto"/>
                      <w:sz w:val="21"/>
                      <w:szCs w:val="21"/>
                      <w:u w:val="none" w:color="auto"/>
                      <w:lang w:val="en-US" w:eastAsia="zh-CN"/>
                    </w:rPr>
                    <w:t>声源名称</w:t>
                  </w:r>
                </w:p>
              </w:tc>
              <w:tc>
                <w:tcPr>
                  <w:tcW w:w="7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z w:val="21"/>
                      <w:szCs w:val="21"/>
                      <w:u w:val="none" w:color="auto"/>
                      <w:vertAlign w:val="baseline"/>
                      <w:lang w:val="en-US" w:eastAsia="zh-CN"/>
                    </w:rPr>
                  </w:pPr>
                  <w:r>
                    <w:rPr>
                      <w:rFonts w:hint="eastAsia"/>
                      <w:b/>
                      <w:bCs/>
                      <w:sz w:val="21"/>
                      <w:szCs w:val="21"/>
                      <w:u w:val="none" w:color="auto"/>
                      <w:vertAlign w:val="baseline"/>
                      <w:lang w:val="en-US" w:eastAsia="zh-CN"/>
                    </w:rPr>
                    <w:t>数量</w:t>
                  </w:r>
                </w:p>
              </w:tc>
              <w:tc>
                <w:tcPr>
                  <w:tcW w:w="3426" w:type="dxa"/>
                  <w:gridSpan w:val="3"/>
                  <w:noWrap w:val="0"/>
                  <w:vAlign w:val="center"/>
                </w:tcPr>
                <w:p>
                  <w:pPr>
                    <w:pStyle w:val="37"/>
                    <w:ind w:left="0" w:leftChars="0" w:firstLine="0" w:firstLineChars="0"/>
                    <w:rPr>
                      <w:rFonts w:hint="eastAsia"/>
                      <w:b/>
                      <w:bCs/>
                      <w:sz w:val="21"/>
                      <w:szCs w:val="21"/>
                      <w:u w:val="none" w:color="auto"/>
                      <w:vertAlign w:val="baseline"/>
                      <w:lang w:val="en-US" w:eastAsia="zh-CN"/>
                    </w:rPr>
                  </w:pPr>
                  <w:r>
                    <w:rPr>
                      <w:rFonts w:hint="eastAsia"/>
                      <w:b/>
                      <w:bCs/>
                    </w:rPr>
                    <w:t>空间相对位置</w:t>
                  </w:r>
                  <w:r>
                    <w:rPr>
                      <w:b/>
                      <w:bCs/>
                    </w:rPr>
                    <w:t>/m</w:t>
                  </w:r>
                </w:p>
              </w:tc>
              <w:tc>
                <w:tcPr>
                  <w:tcW w:w="11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u w:val="none" w:color="auto"/>
                      <w:vertAlign w:val="baseline"/>
                      <w:lang w:val="en-US" w:eastAsia="zh-CN"/>
                    </w:rPr>
                  </w:pPr>
                  <w:r>
                    <w:rPr>
                      <w:rFonts w:hint="eastAsia"/>
                      <w:b/>
                      <w:bCs/>
                      <w:sz w:val="21"/>
                      <w:szCs w:val="21"/>
                      <w:u w:val="none" w:color="auto"/>
                      <w:vertAlign w:val="baseline"/>
                      <w:lang w:val="en-US" w:eastAsia="zh-CN"/>
                    </w:rPr>
                    <w:t>声源源强dB(A)</w:t>
                  </w:r>
                </w:p>
              </w:tc>
              <w:tc>
                <w:tcPr>
                  <w:tcW w:w="9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u w:val="none" w:color="auto"/>
                      <w:vertAlign w:val="baseline"/>
                      <w:lang w:val="en-US" w:eastAsia="zh-CN"/>
                    </w:rPr>
                  </w:pPr>
                  <w:r>
                    <w:rPr>
                      <w:rFonts w:hint="eastAsia"/>
                      <w:b/>
                      <w:bCs/>
                      <w:sz w:val="21"/>
                      <w:szCs w:val="21"/>
                      <w:u w:val="none" w:color="auto"/>
                      <w:vertAlign w:val="baseline"/>
                      <w:lang w:val="en-US" w:eastAsia="zh-CN"/>
                    </w:rPr>
                    <w:t>声源控制措施</w:t>
                  </w:r>
                </w:p>
              </w:tc>
              <w:tc>
                <w:tcPr>
                  <w:tcW w:w="9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u w:val="none" w:color="auto"/>
                      <w:vertAlign w:val="baseline"/>
                      <w:lang w:val="en-US" w:eastAsia="zh-CN"/>
                    </w:rPr>
                  </w:pPr>
                  <w:r>
                    <w:rPr>
                      <w:rFonts w:hint="eastAsia"/>
                      <w:b/>
                      <w:bCs/>
                      <w:sz w:val="21"/>
                      <w:szCs w:val="21"/>
                      <w:u w:val="none" w:color="auto"/>
                      <w:vertAlign w:val="baseline"/>
                      <w:lang w:val="en-US" w:eastAsia="zh-CN"/>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u w:val="none" w:color="auto"/>
                      <w:lang w:val="en-US" w:eastAsia="zh-CN"/>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lang w:val="en-US" w:eastAsia="zh-CN"/>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u w:val="none" w:color="auto"/>
                      <w:vertAlign w:val="baseline"/>
                      <w:lang w:val="en-US" w:eastAsia="zh-CN"/>
                    </w:rPr>
                  </w:pPr>
                </w:p>
              </w:tc>
              <w:tc>
                <w:tcPr>
                  <w:tcW w:w="1295" w:type="dxa"/>
                  <w:noWrap w:val="0"/>
                  <w:vAlign w:val="center"/>
                </w:tcPr>
                <w:p>
                  <w:pPr>
                    <w:pStyle w:val="37"/>
                    <w:ind w:left="0" w:leftChars="0" w:firstLine="0" w:firstLineChars="0"/>
                    <w:rPr>
                      <w:rFonts w:hint="eastAsia"/>
                      <w:b/>
                      <w:bCs/>
                      <w:sz w:val="21"/>
                      <w:szCs w:val="21"/>
                      <w:u w:val="none" w:color="auto"/>
                      <w:vertAlign w:val="baseline"/>
                      <w:lang w:val="en-US" w:eastAsia="zh-CN"/>
                    </w:rPr>
                  </w:pPr>
                  <w:r>
                    <w:rPr>
                      <w:b/>
                      <w:bCs/>
                    </w:rPr>
                    <w:t>X</w:t>
                  </w:r>
                </w:p>
              </w:tc>
              <w:tc>
                <w:tcPr>
                  <w:tcW w:w="1164" w:type="dxa"/>
                  <w:noWrap w:val="0"/>
                  <w:vAlign w:val="center"/>
                </w:tcPr>
                <w:p>
                  <w:pPr>
                    <w:pStyle w:val="37"/>
                    <w:ind w:left="0" w:leftChars="0" w:firstLine="0" w:firstLineChars="0"/>
                    <w:rPr>
                      <w:rFonts w:hint="eastAsia"/>
                      <w:b/>
                      <w:bCs/>
                      <w:sz w:val="21"/>
                      <w:szCs w:val="21"/>
                      <w:u w:val="none" w:color="auto"/>
                      <w:vertAlign w:val="baseline"/>
                      <w:lang w:val="en-US" w:eastAsia="zh-CN"/>
                    </w:rPr>
                  </w:pPr>
                  <w:r>
                    <w:rPr>
                      <w:b/>
                      <w:bCs/>
                    </w:rPr>
                    <w:t>Y</w:t>
                  </w:r>
                </w:p>
              </w:tc>
              <w:tc>
                <w:tcPr>
                  <w:tcW w:w="967" w:type="dxa"/>
                  <w:noWrap w:val="0"/>
                  <w:vAlign w:val="center"/>
                </w:tcPr>
                <w:p>
                  <w:pPr>
                    <w:pStyle w:val="37"/>
                    <w:ind w:left="0" w:leftChars="0" w:firstLine="0" w:firstLineChars="0"/>
                    <w:rPr>
                      <w:rFonts w:hint="eastAsia"/>
                      <w:b/>
                      <w:bCs/>
                      <w:sz w:val="21"/>
                      <w:szCs w:val="21"/>
                      <w:u w:val="none" w:color="auto"/>
                      <w:vertAlign w:val="baseline"/>
                      <w:lang w:val="en-US" w:eastAsia="zh-CN"/>
                    </w:rPr>
                  </w:pPr>
                  <w:r>
                    <w:rPr>
                      <w:b/>
                      <w:bCs/>
                    </w:rPr>
                    <w:t>Z</w:t>
                  </w:r>
                </w:p>
              </w:tc>
              <w:tc>
                <w:tcPr>
                  <w:tcW w:w="11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u w:val="none" w:color="auto"/>
                      <w:vertAlign w:val="baseline"/>
                      <w:lang w:val="en-US" w:eastAsia="zh-CN"/>
                    </w:rPr>
                  </w:pPr>
                </w:p>
              </w:tc>
              <w:tc>
                <w:tcPr>
                  <w:tcW w:w="9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u w:val="none" w:color="auto"/>
                      <w:vertAlign w:val="baseline"/>
                      <w:lang w:val="en-US" w:eastAsia="zh-CN"/>
                    </w:rPr>
                  </w:pPr>
                </w:p>
              </w:tc>
              <w:tc>
                <w:tcPr>
                  <w:tcW w:w="9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b w:val="0"/>
                      <w:bCs w:val="0"/>
                      <w:color w:val="auto"/>
                      <w:sz w:val="21"/>
                      <w:szCs w:val="21"/>
                      <w:u w:val="none" w:color="auto"/>
                      <w:lang w:val="en-US" w:eastAsia="zh-CN"/>
                    </w:rPr>
                  </w:pPr>
                  <w:r>
                    <w:rPr>
                      <w:rFonts w:hint="eastAsia" w:ascii="Times New Roman" w:hAnsi="Times New Roman"/>
                      <w:b w:val="0"/>
                      <w:bCs w:val="0"/>
                      <w:color w:val="auto"/>
                      <w:sz w:val="21"/>
                      <w:szCs w:val="21"/>
                      <w:u w:val="none" w:color="auto"/>
                      <w:lang w:val="en-US" w:eastAsia="zh-CN"/>
                    </w:rPr>
                    <w:t>1</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sz w:val="21"/>
                      <w:szCs w:val="21"/>
                      <w:u w:val="none" w:color="auto"/>
                      <w:vertAlign w:val="baseline"/>
                      <w:lang w:val="en-US" w:eastAsia="zh-CN"/>
                    </w:rPr>
                  </w:pPr>
                  <w:r>
                    <w:rPr>
                      <w:rFonts w:hint="eastAsia" w:ascii="Times New Roman" w:hAnsi="Times New Roman"/>
                      <w:b w:val="0"/>
                      <w:bCs w:val="0"/>
                      <w:color w:val="auto"/>
                      <w:sz w:val="21"/>
                      <w:szCs w:val="21"/>
                      <w:u w:val="none" w:color="auto"/>
                      <w:lang w:val="en-US" w:eastAsia="zh-CN"/>
                    </w:rPr>
                    <w:t>风机</w:t>
                  </w:r>
                </w:p>
              </w:tc>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1</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32.8</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13.9</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1.2</w:t>
                  </w:r>
                </w:p>
              </w:tc>
              <w:tc>
                <w:tcPr>
                  <w:tcW w:w="11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85</w:t>
                  </w: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u w:val="none" w:color="auto"/>
                      <w:vertAlign w:val="baseline"/>
                      <w:lang w:val="en-US" w:eastAsia="zh-CN"/>
                    </w:rPr>
                  </w:pPr>
                  <w:r>
                    <w:rPr>
                      <w:rFonts w:hint="eastAsia"/>
                      <w:sz w:val="21"/>
                      <w:szCs w:val="21"/>
                      <w:u w:val="none" w:color="auto"/>
                      <w:vertAlign w:val="baseline"/>
                      <w:lang w:val="en-US" w:eastAsia="zh-CN"/>
                    </w:rPr>
                    <w:t>隔声、减震</w:t>
                  </w:r>
                </w:p>
              </w:tc>
              <w:tc>
                <w:tcPr>
                  <w:tcW w:w="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u w:val="none" w:color="auto"/>
                      <w:vertAlign w:val="baseline"/>
                      <w:lang w:val="en-US" w:eastAsia="zh-CN"/>
                    </w:rPr>
                  </w:pPr>
                  <w:r>
                    <w:rPr>
                      <w:rFonts w:hint="eastAsia"/>
                      <w:sz w:val="21"/>
                      <w:szCs w:val="21"/>
                      <w:u w:val="none" w:color="auto"/>
                      <w:vertAlign w:val="baseline"/>
                      <w:lang w:val="en-US" w:eastAsia="zh-CN"/>
                    </w:rPr>
                    <w:t>24h运行，300d</w:t>
                  </w:r>
                </w:p>
              </w:tc>
            </w:tr>
          </w:tbl>
          <w:p>
            <w:pPr>
              <w:keepNext w:val="0"/>
              <w:keepLines w:val="0"/>
              <w:pageBreakBefore w:val="0"/>
              <w:widowControl w:val="0"/>
              <w:kinsoku/>
              <w:wordWrap/>
              <w:overflowPunct/>
              <w:topLinePunct w:val="0"/>
              <w:autoSpaceDE/>
              <w:autoSpaceDN/>
              <w:bidi w:val="0"/>
              <w:adjustRightInd/>
              <w:snapToGrid/>
              <w:ind w:firstLine="482" w:firstLineChars="200"/>
              <w:textAlignment w:val="auto"/>
              <w:rPr>
                <w:b/>
                <w:bCs/>
              </w:rPr>
            </w:pPr>
            <w:r>
              <w:rPr>
                <w:rFonts w:hint="eastAsia"/>
                <w:b/>
                <w:bCs/>
              </w:rPr>
              <w:t>（2）预测模式选择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default"/>
                <w:color w:val="auto"/>
                <w:sz w:val="24"/>
                <w:szCs w:val="24"/>
                <w:highlight w:val="none"/>
                <w:u w:val="none" w:color="auto"/>
                <w:lang w:val="en-US" w:eastAsia="zh-CN"/>
              </w:rPr>
              <w:t>根据《环境影响评价技术导则声环境》（HJ2.4-2021）对室内声源的预测方法，室内声源可采用等效室外声源声功率级法进行计算</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计算公式如下。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eastAsia"/>
                <w:color w:val="auto"/>
                <w:sz w:val="24"/>
                <w:szCs w:val="24"/>
                <w:highlight w:val="none"/>
                <w:u w:val="none" w:color="auto"/>
                <w:lang w:val="en-US" w:eastAsia="zh-CN"/>
              </w:rPr>
              <w:t>1）</w:t>
            </w:r>
            <w:r>
              <w:rPr>
                <w:rFonts w:hint="default"/>
                <w:color w:val="auto"/>
                <w:sz w:val="24"/>
                <w:szCs w:val="24"/>
                <w:highlight w:val="none"/>
                <w:u w:val="none" w:color="auto"/>
                <w:lang w:val="en-US" w:eastAsia="zh-CN"/>
              </w:rPr>
              <w:t>室内声源等效室外声源声功率级计算方法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default"/>
                <w:color w:val="auto"/>
                <w:sz w:val="24"/>
                <w:szCs w:val="24"/>
                <w:highlight w:val="none"/>
                <w:u w:val="none" w:color="auto"/>
                <w:lang w:val="en-US" w:eastAsia="zh-CN"/>
              </w:rPr>
              <w:t>设靠近开口处（或窗户）室内、室外某倍频带的声压级或A声级分别为Lp1和L</w:t>
            </w:r>
            <w:r>
              <w:rPr>
                <w:rFonts w:hint="default"/>
                <w:color w:val="auto"/>
                <w:sz w:val="24"/>
                <w:szCs w:val="24"/>
                <w:highlight w:val="none"/>
                <w:u w:val="none" w:color="auto"/>
                <w:vertAlign w:val="subscript"/>
                <w:lang w:val="en-US" w:eastAsia="zh-CN"/>
              </w:rPr>
              <w:t>p2</w:t>
            </w:r>
            <w:r>
              <w:rPr>
                <w:rFonts w:hint="default"/>
                <w:color w:val="auto"/>
                <w:sz w:val="24"/>
                <w:szCs w:val="24"/>
                <w:highlight w:val="none"/>
                <w:u w:val="none" w:color="auto"/>
                <w:lang w:val="en-US" w:eastAsia="zh-CN"/>
              </w:rPr>
              <w:t>。若声源所在室内声场为近似扩散声场，则室外的倍频带的声压级可按式（B.1）近似求出：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center"/>
              <w:textAlignment w:val="auto"/>
              <w:rPr>
                <w:rFonts w:hint="default"/>
                <w:i/>
                <w:iCs/>
                <w:color w:val="auto"/>
                <w:sz w:val="24"/>
                <w:szCs w:val="24"/>
                <w:highlight w:val="none"/>
                <w:u w:val="none" w:color="auto"/>
                <w:lang w:val="en-US" w:eastAsia="zh-CN"/>
              </w:rPr>
            </w:pPr>
            <m:oMathPara>
              <m:oMath>
                <m:sSub>
                  <m:sSubPr>
                    <m:ctrlPr>
                      <w:rPr>
                        <w:rFonts w:hint="default" w:ascii="Cambria Math" w:hAnsi="Cambria Math" w:cs="Times New Roman"/>
                        <w:i/>
                        <w:iCs/>
                        <w:color w:val="auto"/>
                        <w:kern w:val="2"/>
                        <w:sz w:val="24"/>
                        <w:szCs w:val="24"/>
                        <w:highlight w:val="none"/>
                        <w:u w:val="none" w:color="auto"/>
                        <w:lang w:val="en-US" w:eastAsia="zh-CN" w:bidi="ar-SA"/>
                      </w:rPr>
                    </m:ctrlPr>
                  </m:sSubPr>
                  <m:e>
                    <m:r>
                      <m:rPr/>
                      <w:rPr>
                        <w:rFonts w:hint="default" w:ascii="Cambria Math" w:hAnsi="Cambria Math" w:cs="Cambria Math"/>
                        <w:color w:val="auto"/>
                        <w:kern w:val="2"/>
                        <w:sz w:val="24"/>
                        <w:szCs w:val="24"/>
                        <w:highlight w:val="none"/>
                        <w:u w:val="none" w:color="auto"/>
                        <w:lang w:val="en-US" w:eastAsia="zh-CN" w:bidi="ar-SA"/>
                      </w:rPr>
                      <m:t>L</m:t>
                    </m:r>
                    <m:ctrlPr>
                      <w:rPr>
                        <w:rFonts w:hint="default" w:ascii="Cambria Math" w:hAnsi="Cambria Math" w:cs="Times New Roman"/>
                        <w:i/>
                        <w:iCs/>
                        <w:color w:val="auto"/>
                        <w:kern w:val="2"/>
                        <w:sz w:val="24"/>
                        <w:szCs w:val="24"/>
                        <w:highlight w:val="none"/>
                        <w:u w:val="none" w:color="auto"/>
                        <w:lang w:val="en-US" w:eastAsia="zh-CN" w:bidi="ar-SA"/>
                      </w:rPr>
                    </m:ctrlPr>
                  </m:e>
                  <m:sub>
                    <m:r>
                      <m:rPr/>
                      <w:rPr>
                        <w:rFonts w:hint="default" w:ascii="Cambria Math" w:hAnsi="Cambria Math" w:cs="Times New Roman"/>
                        <w:color w:val="auto"/>
                        <w:kern w:val="2"/>
                        <w:sz w:val="24"/>
                        <w:szCs w:val="24"/>
                        <w:highlight w:val="none"/>
                        <w:u w:val="none" w:color="auto"/>
                        <w:lang w:val="en-US" w:eastAsia="zh-CN" w:bidi="ar-SA"/>
                      </w:rPr>
                      <m:t>p2</m:t>
                    </m:r>
                    <m:ctrlPr>
                      <w:rPr>
                        <w:rFonts w:hint="default" w:ascii="Cambria Math" w:hAnsi="Cambria Math" w:cs="Times New Roman"/>
                        <w:i/>
                        <w:iCs/>
                        <w:color w:val="auto"/>
                        <w:kern w:val="2"/>
                        <w:sz w:val="24"/>
                        <w:szCs w:val="24"/>
                        <w:highlight w:val="none"/>
                        <w:u w:val="none" w:color="auto"/>
                        <w:lang w:val="en-US" w:eastAsia="zh-CN" w:bidi="ar-SA"/>
                      </w:rPr>
                    </m:ctrlPr>
                  </m:sub>
                </m:sSub>
                <m:r>
                  <m:rPr/>
                  <w:rPr>
                    <w:rFonts w:hint="default" w:ascii="Cambria Math" w:hAnsi="Cambria Math" w:cs="Times New Roman"/>
                    <w:color w:val="auto"/>
                    <w:kern w:val="2"/>
                    <w:sz w:val="24"/>
                    <w:szCs w:val="24"/>
                    <w:highlight w:val="none"/>
                    <w:u w:val="none" w:color="auto"/>
                    <w:lang w:val="en-US" w:eastAsia="zh-CN" w:bidi="ar-SA"/>
                  </w:rPr>
                  <m:t>=</m:t>
                </m:r>
                <m:sSub>
                  <m:sSubPr>
                    <m:ctrlPr>
                      <w:rPr>
                        <w:rFonts w:hint="default" w:ascii="Cambria Math" w:hAnsi="Cambria Math" w:cs="Times New Roman"/>
                        <w:i/>
                        <w:iCs/>
                        <w:color w:val="auto"/>
                        <w:kern w:val="2"/>
                        <w:sz w:val="24"/>
                        <w:szCs w:val="24"/>
                        <w:highlight w:val="none"/>
                        <w:u w:val="none" w:color="auto"/>
                        <w:lang w:val="en-US" w:eastAsia="zh-CN" w:bidi="ar-SA"/>
                      </w:rPr>
                    </m:ctrlPr>
                  </m:sSubPr>
                  <m:e>
                    <m:r>
                      <m:rPr/>
                      <w:rPr>
                        <w:rFonts w:hint="default" w:ascii="Cambria Math" w:hAnsi="Cambria Math" w:cs="Times New Roman"/>
                        <w:color w:val="auto"/>
                        <w:kern w:val="2"/>
                        <w:sz w:val="24"/>
                        <w:szCs w:val="24"/>
                        <w:highlight w:val="none"/>
                        <w:u w:val="none" w:color="auto"/>
                        <w:lang w:val="en-US" w:eastAsia="zh-CN" w:bidi="ar-SA"/>
                      </w:rPr>
                      <m:t>L</m:t>
                    </m:r>
                    <m:ctrlPr>
                      <w:rPr>
                        <w:rFonts w:hint="default" w:ascii="Cambria Math" w:hAnsi="Cambria Math" w:cs="Times New Roman"/>
                        <w:i/>
                        <w:iCs/>
                        <w:color w:val="auto"/>
                        <w:kern w:val="2"/>
                        <w:sz w:val="24"/>
                        <w:szCs w:val="24"/>
                        <w:highlight w:val="none"/>
                        <w:u w:val="none" w:color="auto"/>
                        <w:lang w:val="en-US" w:eastAsia="zh-CN" w:bidi="ar-SA"/>
                      </w:rPr>
                    </m:ctrlPr>
                  </m:e>
                  <m:sub>
                    <m:r>
                      <m:rPr/>
                      <w:rPr>
                        <w:rFonts w:hint="default" w:ascii="Cambria Math" w:hAnsi="Cambria Math" w:cs="Times New Roman"/>
                        <w:color w:val="auto"/>
                        <w:kern w:val="2"/>
                        <w:sz w:val="24"/>
                        <w:szCs w:val="24"/>
                        <w:highlight w:val="none"/>
                        <w:u w:val="none" w:color="auto"/>
                        <w:lang w:val="en-US" w:eastAsia="zh-CN" w:bidi="ar-SA"/>
                      </w:rPr>
                      <m:t>p1</m:t>
                    </m:r>
                    <m:ctrlPr>
                      <w:rPr>
                        <w:rFonts w:hint="default" w:ascii="Cambria Math" w:hAnsi="Cambria Math" w:cs="Times New Roman"/>
                        <w:i/>
                        <w:iCs/>
                        <w:color w:val="auto"/>
                        <w:kern w:val="2"/>
                        <w:sz w:val="24"/>
                        <w:szCs w:val="24"/>
                        <w:highlight w:val="none"/>
                        <w:u w:val="none" w:color="auto"/>
                        <w:lang w:val="en-US" w:eastAsia="zh-CN" w:bidi="ar-SA"/>
                      </w:rPr>
                    </m:ctrlPr>
                  </m:sub>
                </m:sSub>
                <m:r>
                  <m:rPr/>
                  <w:rPr>
                    <w:rFonts w:hint="default" w:ascii="Cambria Math" w:hAnsi="Cambria Math" w:cs="Times New Roman"/>
                    <w:color w:val="auto"/>
                    <w:kern w:val="2"/>
                    <w:sz w:val="24"/>
                    <w:szCs w:val="24"/>
                    <w:highlight w:val="none"/>
                    <w:u w:val="none" w:color="auto"/>
                    <w:lang w:val="en-US" w:eastAsia="zh-CN" w:bidi="ar-SA"/>
                  </w:rPr>
                  <m:t xml:space="preserve">−（TL+6）                        </m:t>
                </m:r>
                <m:d>
                  <m:dPr>
                    <m:ctrlPr>
                      <w:rPr>
                        <w:rFonts w:hint="default" w:ascii="Cambria Math" w:hAnsi="Cambria Math" w:cs="Times New Roman"/>
                        <w:i/>
                        <w:iCs/>
                        <w:color w:val="auto"/>
                        <w:kern w:val="2"/>
                        <w:sz w:val="24"/>
                        <w:szCs w:val="24"/>
                        <w:highlight w:val="none"/>
                        <w:u w:val="none" w:color="auto"/>
                        <w:lang w:val="en-US" w:eastAsia="zh-CN" w:bidi="ar-SA"/>
                      </w:rPr>
                    </m:ctrlPr>
                  </m:dPr>
                  <m:e>
                    <m:r>
                      <m:rPr/>
                      <w:rPr>
                        <w:rFonts w:hint="default" w:ascii="Cambria Math" w:hAnsi="Cambria Math" w:cs="Times New Roman"/>
                        <w:color w:val="auto"/>
                        <w:kern w:val="2"/>
                        <w:sz w:val="24"/>
                        <w:szCs w:val="24"/>
                        <w:highlight w:val="none"/>
                        <w:u w:val="none" w:color="auto"/>
                        <w:lang w:val="en-US" w:eastAsia="zh-CN" w:bidi="ar-SA"/>
                      </w:rPr>
                      <m:t>B.1</m:t>
                    </m:r>
                    <m:ctrlPr>
                      <w:rPr>
                        <w:rFonts w:hint="default" w:ascii="Cambria Math" w:hAnsi="Cambria Math" w:cs="Times New Roman"/>
                        <w:i/>
                        <w:iCs/>
                        <w:color w:val="auto"/>
                        <w:kern w:val="2"/>
                        <w:sz w:val="24"/>
                        <w:szCs w:val="24"/>
                        <w:highlight w:val="none"/>
                        <w:u w:val="none" w:color="auto"/>
                        <w:lang w:val="en-US" w:eastAsia="zh-CN" w:bidi="ar-SA"/>
                      </w:rPr>
                    </m:ctrlPr>
                  </m:e>
                </m:d>
              </m:oMath>
            </m:oMathPara>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eastAsia"/>
                <w:color w:val="auto"/>
                <w:sz w:val="24"/>
                <w:szCs w:val="24"/>
                <w:highlight w:val="none"/>
                <w:u w:val="none" w:color="auto"/>
                <w:lang w:val="en-US" w:eastAsia="zh-CN"/>
              </w:rPr>
              <w:t>式中：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eastAsia"/>
                <w:i/>
                <w:iCs/>
                <w:color w:val="auto"/>
                <w:sz w:val="24"/>
                <w:szCs w:val="24"/>
                <w:highlight w:val="none"/>
                <w:u w:val="none" w:color="auto"/>
                <w:lang w:val="en-US" w:eastAsia="zh-CN"/>
              </w:rPr>
              <w:t>L</w:t>
            </w:r>
            <w:r>
              <w:rPr>
                <w:rFonts w:hint="default"/>
                <w:i/>
                <w:iCs/>
                <w:color w:val="auto"/>
                <w:sz w:val="24"/>
                <w:szCs w:val="24"/>
                <w:highlight w:val="none"/>
                <w:u w:val="none" w:color="auto"/>
                <w:vertAlign w:val="subscript"/>
                <w:lang w:val="en-US" w:eastAsia="zh-CN"/>
              </w:rPr>
              <w:t>p</w:t>
            </w:r>
            <w:r>
              <w:rPr>
                <w:rFonts w:hint="eastAsia"/>
                <w:i/>
                <w:iCs/>
                <w:color w:val="auto"/>
                <w:sz w:val="24"/>
                <w:szCs w:val="24"/>
                <w:highlight w:val="none"/>
                <w:u w:val="none" w:color="auto"/>
                <w:vertAlign w:val="subscript"/>
                <w:lang w:val="en-US" w:eastAsia="zh-CN"/>
              </w:rPr>
              <w:t>1</w:t>
            </w:r>
            <w:r>
              <w:rPr>
                <w:rFonts w:hint="eastAsia"/>
                <w:color w:val="auto"/>
                <w:sz w:val="24"/>
                <w:szCs w:val="24"/>
                <w:highlight w:val="none"/>
                <w:u w:val="none" w:color="auto"/>
                <w:lang w:val="en-US" w:eastAsia="zh-CN"/>
              </w:rPr>
              <w:t>——靠近开口处（或窗户）室内某倍频带的声压级或A声级，dB；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eastAsia"/>
                <w:i/>
                <w:iCs/>
                <w:color w:val="auto"/>
                <w:sz w:val="24"/>
                <w:szCs w:val="24"/>
                <w:highlight w:val="none"/>
                <w:u w:val="none" w:color="auto"/>
                <w:lang w:val="en-US" w:eastAsia="zh-CN"/>
              </w:rPr>
              <w:t>L</w:t>
            </w:r>
            <w:r>
              <w:rPr>
                <w:rFonts w:hint="default"/>
                <w:i/>
                <w:iCs/>
                <w:color w:val="auto"/>
                <w:sz w:val="24"/>
                <w:szCs w:val="24"/>
                <w:highlight w:val="none"/>
                <w:u w:val="none" w:color="auto"/>
                <w:vertAlign w:val="subscript"/>
                <w:lang w:val="en-US" w:eastAsia="zh-CN"/>
              </w:rPr>
              <w:t>p2</w:t>
            </w:r>
            <w:r>
              <w:rPr>
                <w:rFonts w:hint="eastAsia"/>
                <w:color w:val="auto"/>
                <w:sz w:val="24"/>
                <w:szCs w:val="24"/>
                <w:highlight w:val="none"/>
                <w:u w:val="none" w:color="auto"/>
                <w:lang w:val="en-US" w:eastAsia="zh-CN"/>
              </w:rPr>
              <w:t>——靠近开口处（或窗户）室外某倍频带的声压级或A声级，dB；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eastAsia"/>
                <w:i/>
                <w:iCs/>
                <w:color w:val="auto"/>
                <w:sz w:val="24"/>
                <w:szCs w:val="24"/>
                <w:highlight w:val="none"/>
                <w:u w:val="none" w:color="auto"/>
                <w:lang w:val="en-US" w:eastAsia="zh-CN"/>
              </w:rPr>
              <w:t>TL</w:t>
            </w:r>
            <w:r>
              <w:rPr>
                <w:rFonts w:hint="eastAsia"/>
                <w:color w:val="auto"/>
                <w:sz w:val="24"/>
                <w:szCs w:val="24"/>
                <w:highlight w:val="none"/>
                <w:u w:val="none" w:color="auto"/>
                <w:lang w:val="en-US" w:eastAsia="zh-CN"/>
              </w:rPr>
              <w:t>——隔墙（或窗户）倍频带或A声级的隔声量，本项目取20dB。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default"/>
                <w:color w:val="auto"/>
                <w:sz w:val="24"/>
                <w:szCs w:val="24"/>
                <w:highlight w:val="none"/>
                <w:u w:val="none" w:color="auto"/>
                <w:lang w:val="en-US" w:eastAsia="zh-CN"/>
              </w:rPr>
              <w:t>也可按公式（B.2）计算室内声源靠近围护结构处产生的信频带声压级或A声级：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center"/>
              <w:textAlignment w:val="auto"/>
              <w:rPr>
                <w:rFonts w:hint="default" w:eastAsia="宋体"/>
                <w:color w:val="auto"/>
                <w:sz w:val="24"/>
                <w:szCs w:val="24"/>
                <w:highlight w:val="none"/>
                <w:u w:val="none" w:color="auto"/>
                <w:lang w:val="en-US" w:eastAsia="zh-CN"/>
              </w:rPr>
            </w:pPr>
            <m:oMathPara>
              <m:oMath>
                <m:sSub>
                  <m:sSubPr>
                    <m:ctrlPr>
                      <w:rPr>
                        <w:rFonts w:hint="default" w:ascii="Cambria Math" w:hAnsi="Cambria Math"/>
                        <w:i/>
                        <w:color w:val="auto"/>
                        <w:highlight w:val="none"/>
                        <w:u w:val="none" w:color="auto"/>
                        <w:lang w:val="en-US"/>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rPr>
                    </m:ctrlPr>
                  </m:e>
                  <m:sub>
                    <m:r>
                      <m:rPr/>
                      <w:rPr>
                        <w:rFonts w:hint="default" w:ascii="Cambria Math" w:hAnsi="Cambria Math"/>
                        <w:color w:val="auto"/>
                        <w:highlight w:val="none"/>
                        <w:u w:val="none" w:color="auto"/>
                        <w:lang w:val="en-US" w:eastAsia="zh-CN"/>
                      </w:rPr>
                      <m:t>p1</m:t>
                    </m:r>
                    <m:ctrlPr>
                      <w:rPr>
                        <w:rFonts w:hint="default" w:ascii="Cambria Math" w:hAnsi="Cambria Math"/>
                        <w:i/>
                        <w:color w:val="auto"/>
                        <w:highlight w:val="none"/>
                        <w:u w:val="none" w:color="auto"/>
                        <w:lang w:val="en-US"/>
                      </w:rPr>
                    </m:ctrlPr>
                  </m:sub>
                </m:sSub>
                <m:r>
                  <m:rPr/>
                  <w:rPr>
                    <w:rFonts w:hint="default" w:ascii="Cambria Math" w:hAnsi="Cambria Math"/>
                    <w:color w:val="auto"/>
                    <w:highlight w:val="none"/>
                    <w:u w:val="none" w:color="auto"/>
                    <w:lang w:val="en-US" w:eastAsia="zh-CN"/>
                  </w:rPr>
                  <m:t>=</m:t>
                </m:r>
                <m:sSub>
                  <m:sSubPr>
                    <m:ctrlPr>
                      <w:rPr>
                        <w:rFonts w:hint="default" w:ascii="Cambria Math" w:hAnsi="Cambria Math"/>
                        <w:i/>
                        <w:color w:val="auto"/>
                        <w:highlight w:val="none"/>
                        <w:u w:val="none" w:color="auto"/>
                        <w:lang w:val="en-US" w:eastAsia="zh-CN"/>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eastAsia="zh-CN"/>
                      </w:rPr>
                    </m:ctrlPr>
                  </m:e>
                  <m:sub>
                    <m:r>
                      <m:rPr/>
                      <w:rPr>
                        <w:rFonts w:hint="default" w:ascii="Cambria Math" w:hAnsi="Cambria Math"/>
                        <w:color w:val="auto"/>
                        <w:highlight w:val="none"/>
                        <w:u w:val="none" w:color="auto"/>
                        <w:lang w:val="en-US" w:eastAsia="zh-CN"/>
                      </w:rPr>
                      <m:t>w</m:t>
                    </m:r>
                    <m:ctrlPr>
                      <w:rPr>
                        <w:rFonts w:hint="default" w:ascii="Cambria Math" w:hAnsi="Cambria Math"/>
                        <w:i/>
                        <w:color w:val="auto"/>
                        <w:highlight w:val="none"/>
                        <w:u w:val="none" w:color="auto"/>
                        <w:lang w:val="en-US" w:eastAsia="zh-CN"/>
                      </w:rPr>
                    </m:ctrlPr>
                  </m:sub>
                </m:sSub>
                <m:r>
                  <m:rPr/>
                  <w:rPr>
                    <w:rFonts w:hint="default" w:ascii="Cambria Math" w:hAnsi="Cambria Math"/>
                    <w:color w:val="auto"/>
                    <w:highlight w:val="none"/>
                    <w:u w:val="none" w:color="auto"/>
                    <w:lang w:val="en-US" w:eastAsia="zh-CN"/>
                  </w:rPr>
                  <m:t>+101g</m:t>
                </m:r>
                <m:d>
                  <m:dPr>
                    <m:ctrlPr>
                      <w:rPr>
                        <w:rFonts w:hint="default" w:ascii="Cambria Math" w:hAnsi="Cambria Math"/>
                        <w:i/>
                        <w:color w:val="auto"/>
                        <w:highlight w:val="none"/>
                        <w:u w:val="none" w:color="auto"/>
                        <w:lang w:val="en-US" w:eastAsia="zh-CN"/>
                      </w:rPr>
                    </m:ctrlPr>
                  </m:dPr>
                  <m:e>
                    <m:f>
                      <m:fPr>
                        <m:ctrlPr>
                          <w:rPr>
                            <w:rFonts w:hint="default" w:ascii="Cambria Math" w:hAnsi="Cambria Math"/>
                            <w:i/>
                            <w:color w:val="auto"/>
                            <w:highlight w:val="none"/>
                            <w:u w:val="none" w:color="auto"/>
                            <w:lang w:val="en-US" w:eastAsia="zh-CN"/>
                          </w:rPr>
                        </m:ctrlPr>
                      </m:fPr>
                      <m:num>
                        <m:r>
                          <m:rPr/>
                          <w:rPr>
                            <w:rFonts w:hint="default" w:ascii="Cambria Math" w:hAnsi="Cambria Math"/>
                            <w:color w:val="auto"/>
                            <w:highlight w:val="none"/>
                            <w:u w:val="none" w:color="auto"/>
                            <w:lang w:val="en-US" w:eastAsia="zh-CN"/>
                          </w:rPr>
                          <m:t>Q</m:t>
                        </m:r>
                        <m:ctrlPr>
                          <w:rPr>
                            <w:rFonts w:hint="default" w:ascii="Cambria Math" w:hAnsi="Cambria Math"/>
                            <w:i/>
                            <w:color w:val="auto"/>
                            <w:highlight w:val="none"/>
                            <w:u w:val="none" w:color="auto"/>
                            <w:lang w:val="en-US" w:eastAsia="zh-CN"/>
                          </w:rPr>
                        </m:ctrlPr>
                      </m:num>
                      <m:den>
                        <m:r>
                          <m:rPr/>
                          <w:rPr>
                            <w:rFonts w:hint="default" w:ascii="Cambria Math" w:hAnsi="Cambria Math"/>
                            <w:color w:val="auto"/>
                            <w:highlight w:val="none"/>
                            <w:u w:val="none" w:color="auto"/>
                            <w:lang w:val="en-US" w:eastAsia="zh-CN"/>
                          </w:rPr>
                          <m:t>4π</m:t>
                        </m:r>
                        <m:sSup>
                          <m:sSupPr>
                            <m:ctrlPr>
                              <w:rPr>
                                <w:rFonts w:hint="default" w:ascii="Cambria Math" w:hAnsi="Cambria Math"/>
                                <w:i/>
                                <w:color w:val="auto"/>
                                <w:highlight w:val="none"/>
                                <w:u w:val="none" w:color="auto"/>
                                <w:lang w:val="en-US" w:eastAsia="zh-CN"/>
                              </w:rPr>
                            </m:ctrlPr>
                          </m:sSupPr>
                          <m:e>
                            <m:r>
                              <m:rPr/>
                              <w:rPr>
                                <w:rFonts w:hint="default" w:ascii="Cambria Math" w:hAnsi="Cambria Math"/>
                                <w:color w:val="auto"/>
                                <w:highlight w:val="none"/>
                                <w:u w:val="none" w:color="auto"/>
                                <w:lang w:val="en-US" w:eastAsia="zh-CN"/>
                              </w:rPr>
                              <m:t>r</m:t>
                            </m:r>
                            <m:ctrlPr>
                              <w:rPr>
                                <w:rFonts w:hint="default" w:ascii="Cambria Math" w:hAnsi="Cambria Math"/>
                                <w:i/>
                                <w:color w:val="auto"/>
                                <w:highlight w:val="none"/>
                                <w:u w:val="none" w:color="auto"/>
                                <w:lang w:val="en-US" w:eastAsia="zh-CN"/>
                              </w:rPr>
                            </m:ctrlPr>
                          </m:e>
                          <m:sup>
                            <m:r>
                              <m:rPr/>
                              <w:rPr>
                                <w:rFonts w:hint="default" w:ascii="Cambria Math" w:hAnsi="Cambria Math"/>
                                <w:color w:val="auto"/>
                                <w:highlight w:val="none"/>
                                <w:u w:val="none" w:color="auto"/>
                                <w:lang w:val="en-US" w:eastAsia="zh-CN"/>
                              </w:rPr>
                              <m:t>2</m:t>
                            </m:r>
                            <m:ctrlPr>
                              <w:rPr>
                                <w:rFonts w:hint="default" w:ascii="Cambria Math" w:hAnsi="Cambria Math"/>
                                <w:i/>
                                <w:color w:val="auto"/>
                                <w:highlight w:val="none"/>
                                <w:u w:val="none" w:color="auto"/>
                                <w:lang w:val="en-US" w:eastAsia="zh-CN"/>
                              </w:rPr>
                            </m:ctrlPr>
                          </m:sup>
                        </m:sSup>
                        <m:ctrlPr>
                          <w:rPr>
                            <w:rFonts w:hint="default" w:ascii="Cambria Math" w:hAnsi="Cambria Math"/>
                            <w:i/>
                            <w:color w:val="auto"/>
                            <w:highlight w:val="none"/>
                            <w:u w:val="none" w:color="auto"/>
                            <w:lang w:val="en-US" w:eastAsia="zh-CN"/>
                          </w:rPr>
                        </m:ctrlPr>
                      </m:den>
                    </m:f>
                    <m:r>
                      <m:rPr/>
                      <w:rPr>
                        <w:rFonts w:hint="default" w:ascii="Cambria Math" w:hAnsi="Cambria Math"/>
                        <w:color w:val="auto"/>
                        <w:highlight w:val="none"/>
                        <w:u w:val="none" w:color="auto"/>
                        <w:lang w:val="en-US" w:eastAsia="zh-CN"/>
                      </w:rPr>
                      <m:t>+</m:t>
                    </m:r>
                    <m:f>
                      <m:fPr>
                        <m:ctrlPr>
                          <w:rPr>
                            <w:rFonts w:hint="default" w:ascii="Cambria Math" w:hAnsi="Cambria Math"/>
                            <w:i/>
                            <w:color w:val="auto"/>
                            <w:highlight w:val="none"/>
                            <w:u w:val="none" w:color="auto"/>
                            <w:lang w:val="en-US" w:eastAsia="zh-CN"/>
                          </w:rPr>
                        </m:ctrlPr>
                      </m:fPr>
                      <m:num>
                        <m:r>
                          <m:rPr/>
                          <w:rPr>
                            <w:rFonts w:hint="default" w:ascii="Cambria Math" w:hAnsi="Cambria Math"/>
                            <w:color w:val="auto"/>
                            <w:highlight w:val="none"/>
                            <w:u w:val="none" w:color="auto"/>
                            <w:lang w:val="en-US" w:eastAsia="zh-CN"/>
                          </w:rPr>
                          <m:t>4</m:t>
                        </m:r>
                        <m:ctrlPr>
                          <w:rPr>
                            <w:rFonts w:hint="default" w:ascii="Cambria Math" w:hAnsi="Cambria Math"/>
                            <w:i/>
                            <w:color w:val="auto"/>
                            <w:highlight w:val="none"/>
                            <w:u w:val="none" w:color="auto"/>
                            <w:lang w:val="en-US" w:eastAsia="zh-CN"/>
                          </w:rPr>
                        </m:ctrlPr>
                      </m:num>
                      <m:den>
                        <m:r>
                          <m:rPr/>
                          <w:rPr>
                            <w:rFonts w:hint="default" w:ascii="Cambria Math" w:hAnsi="Cambria Math"/>
                            <w:color w:val="auto"/>
                            <w:highlight w:val="none"/>
                            <w:u w:val="none" w:color="auto"/>
                            <w:lang w:val="en-US" w:eastAsia="zh-CN"/>
                          </w:rPr>
                          <m:t>R</m:t>
                        </m:r>
                        <m:ctrlPr>
                          <w:rPr>
                            <w:rFonts w:hint="default" w:ascii="Cambria Math" w:hAnsi="Cambria Math"/>
                            <w:i/>
                            <w:color w:val="auto"/>
                            <w:highlight w:val="none"/>
                            <w:u w:val="none" w:color="auto"/>
                            <w:lang w:val="en-US" w:eastAsia="zh-CN"/>
                          </w:rPr>
                        </m:ctrlPr>
                      </m:den>
                    </m:f>
                    <m:ctrlPr>
                      <w:rPr>
                        <w:rFonts w:hint="default" w:ascii="Cambria Math" w:hAnsi="Cambria Math"/>
                        <w:i/>
                        <w:color w:val="auto"/>
                        <w:highlight w:val="none"/>
                        <w:u w:val="none" w:color="auto"/>
                        <w:lang w:val="en-US" w:eastAsia="zh-CN"/>
                      </w:rPr>
                    </m:ctrlPr>
                  </m:e>
                </m:d>
                <m:r>
                  <m:rPr/>
                  <w:rPr>
                    <w:rFonts w:hint="default" w:ascii="Cambria Math" w:hAnsi="Cambria Math"/>
                    <w:color w:val="auto"/>
                    <w:highlight w:val="none"/>
                    <w:u w:val="none" w:color="auto"/>
                    <w:lang w:val="en-US" w:eastAsia="zh-CN"/>
                  </w:rPr>
                  <m:t xml:space="preserve">                </m:t>
                </m:r>
                <m:d>
                  <m:dPr>
                    <m:ctrlPr>
                      <w:rPr>
                        <w:rFonts w:hint="default" w:ascii="Cambria Math" w:hAnsi="Cambria Math"/>
                        <w:i/>
                        <w:color w:val="auto"/>
                        <w:highlight w:val="none"/>
                        <w:u w:val="none" w:color="auto"/>
                        <w:lang w:val="en-US" w:eastAsia="zh-CN"/>
                      </w:rPr>
                    </m:ctrlPr>
                  </m:dPr>
                  <m:e>
                    <m:r>
                      <m:rPr/>
                      <w:rPr>
                        <w:rFonts w:hint="default" w:ascii="Cambria Math" w:hAnsi="Cambria Math"/>
                        <w:color w:val="auto"/>
                        <w:highlight w:val="none"/>
                        <w:u w:val="none" w:color="auto"/>
                        <w:lang w:val="en-US" w:eastAsia="zh-CN"/>
                      </w:rPr>
                      <m:t>B.2</m:t>
                    </m:r>
                    <m:ctrlPr>
                      <w:rPr>
                        <w:rFonts w:hint="default" w:ascii="Cambria Math" w:hAnsi="Cambria Math"/>
                        <w:i/>
                        <w:color w:val="auto"/>
                        <w:highlight w:val="none"/>
                        <w:u w:val="none" w:color="auto"/>
                        <w:lang w:val="en-US" w:eastAsia="zh-CN"/>
                      </w:rPr>
                    </m:ctrlPr>
                  </m:e>
                </m:d>
              </m:oMath>
            </m:oMathPara>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eastAsia"/>
                <w:color w:val="auto"/>
                <w:sz w:val="24"/>
                <w:szCs w:val="24"/>
                <w:highlight w:val="none"/>
                <w:u w:val="none" w:color="auto"/>
                <w:lang w:val="en-US" w:eastAsia="zh-CN"/>
              </w:rPr>
              <w:t>式中：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sSub>
                <m:sSubPr>
                  <m:ctrlPr>
                    <w:rPr>
                      <w:rFonts w:hint="default" w:ascii="Cambria Math" w:hAnsi="Cambria Math"/>
                      <w:i/>
                      <w:color w:val="auto"/>
                      <w:highlight w:val="none"/>
                      <w:u w:val="none" w:color="auto"/>
                      <w:lang w:val="en-US"/>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rPr>
                  </m:ctrlPr>
                </m:e>
                <m:sub>
                  <m:r>
                    <m:rPr/>
                    <w:rPr>
                      <w:rFonts w:hint="default" w:ascii="Cambria Math" w:hAnsi="Cambria Math"/>
                      <w:color w:val="auto"/>
                      <w:highlight w:val="none"/>
                      <w:u w:val="none" w:color="auto"/>
                      <w:lang w:val="en-US" w:eastAsia="zh-CN"/>
                    </w:rPr>
                    <m:t>p1</m:t>
                  </m:r>
                  <m:ctrlPr>
                    <w:rPr>
                      <w:rFonts w:hint="default" w:ascii="Cambria Math" w:hAnsi="Cambria Math"/>
                      <w:i/>
                      <w:color w:val="auto"/>
                      <w:highlight w:val="none"/>
                      <w:u w:val="none" w:color="auto"/>
                      <w:lang w:val="en-US"/>
                    </w:rPr>
                  </m:ctrlPr>
                </m:sub>
              </m:sSub>
            </m:oMath>
            <w:r>
              <w:rPr>
                <w:rFonts w:hint="eastAsia"/>
                <w:color w:val="auto"/>
                <w:sz w:val="24"/>
                <w:szCs w:val="24"/>
                <w:highlight w:val="none"/>
                <w:u w:val="none" w:color="auto"/>
                <w:lang w:val="en-US" w:eastAsia="zh-CN"/>
              </w:rPr>
              <w:t>——靠近开口处（或窗户）室内某倍频带的声压级或A声级，dB；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sSub>
                <m:sSubPr>
                  <m:ctrlPr>
                    <w:rPr>
                      <w:rFonts w:hint="default" w:ascii="Cambria Math" w:hAnsi="Cambria Math"/>
                      <w:i/>
                      <w:color w:val="auto"/>
                      <w:highlight w:val="none"/>
                      <w:u w:val="none" w:color="auto"/>
                      <w:lang w:val="en-US" w:eastAsia="zh-CN"/>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eastAsia="zh-CN"/>
                    </w:rPr>
                  </m:ctrlPr>
                </m:e>
                <m:sub>
                  <m:r>
                    <m:rPr/>
                    <w:rPr>
                      <w:rFonts w:hint="default" w:ascii="Cambria Math" w:hAnsi="Cambria Math"/>
                      <w:color w:val="auto"/>
                      <w:highlight w:val="none"/>
                      <w:u w:val="none" w:color="auto"/>
                      <w:lang w:val="en-US" w:eastAsia="zh-CN"/>
                    </w:rPr>
                    <m:t>w</m:t>
                  </m:r>
                  <m:ctrlPr>
                    <w:rPr>
                      <w:rFonts w:hint="default" w:ascii="Cambria Math" w:hAnsi="Cambria Math"/>
                      <w:i/>
                      <w:color w:val="auto"/>
                      <w:highlight w:val="none"/>
                      <w:u w:val="none" w:color="auto"/>
                      <w:lang w:val="en-US" w:eastAsia="zh-CN"/>
                    </w:rPr>
                  </m:ctrlPr>
                </m:sub>
              </m:sSub>
            </m:oMath>
            <w:r>
              <w:rPr>
                <w:rFonts w:hint="eastAsia"/>
                <w:color w:val="auto"/>
                <w:sz w:val="24"/>
                <w:szCs w:val="24"/>
                <w:highlight w:val="none"/>
                <w:u w:val="none" w:color="auto"/>
                <w:lang w:val="en-US" w:eastAsia="zh-CN"/>
              </w:rPr>
              <w:t>——点声源声功率级（A计权或倍频带），dB；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r>
                <m:rPr/>
                <w:rPr>
                  <w:rFonts w:hint="default" w:ascii="Cambria Math" w:hAnsi="Cambria Math"/>
                  <w:color w:val="auto"/>
                  <w:highlight w:val="none"/>
                  <w:u w:val="none" w:color="auto"/>
                  <w:lang w:val="en-US" w:eastAsia="zh-CN"/>
                </w:rPr>
                <m:t>Q</m:t>
              </m:r>
            </m:oMath>
            <w:r>
              <w:rPr>
                <w:rFonts w:hint="eastAsia"/>
                <w:color w:val="auto"/>
                <w:sz w:val="24"/>
                <w:szCs w:val="24"/>
                <w:highlight w:val="none"/>
                <w:u w:val="none" w:color="auto"/>
                <w:lang w:val="en-US" w:eastAsia="zh-CN"/>
              </w:rPr>
              <w:t>——指向性因数；通常对无指向性声源，当声源放在房间中心时，Q=1；当放在一面墙的中心时，Q=2；当放在两面墙夹角处时，Q=4；当放在三面墙夹角处时，Q=8；本项目Q取1；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r>
                <m:rPr/>
                <w:rPr>
                  <w:rFonts w:hint="default" w:ascii="Cambria Math" w:hAnsi="Cambria Math"/>
                  <w:color w:val="auto"/>
                  <w:highlight w:val="none"/>
                  <w:u w:val="none" w:color="auto"/>
                  <w:lang w:val="en-US" w:eastAsia="zh-CN"/>
                </w:rPr>
                <m:t>R</m:t>
              </m:r>
            </m:oMath>
            <w:r>
              <w:rPr>
                <w:rFonts w:hint="eastAsia"/>
                <w:color w:val="auto"/>
                <w:sz w:val="24"/>
                <w:szCs w:val="24"/>
                <w:highlight w:val="none"/>
                <w:u w:val="none" w:color="auto"/>
                <w:lang w:val="en-US" w:eastAsia="zh-CN"/>
              </w:rPr>
              <w:t>——房间常数；R=S</w:t>
            </w:r>
            <w:r>
              <w:rPr>
                <w:rFonts w:hint="default" w:ascii="Cambria Math" w:hAnsi="Cambria Math" w:cs="Cambria Math"/>
                <w:color w:val="auto"/>
                <w:sz w:val="24"/>
                <w:szCs w:val="24"/>
                <w:highlight w:val="none"/>
                <w:u w:val="none" w:color="auto"/>
                <w:lang w:val="en-US" w:eastAsia="zh-CN"/>
              </w:rPr>
              <w:t>α</w:t>
            </w:r>
            <w:r>
              <w:rPr>
                <w:rFonts w:hint="eastAsia"/>
                <w:color w:val="auto"/>
                <w:sz w:val="24"/>
                <w:szCs w:val="24"/>
                <w:highlight w:val="none"/>
                <w:u w:val="none" w:color="auto"/>
                <w:lang w:val="en-US" w:eastAsia="zh-CN"/>
              </w:rPr>
              <w:t>/(1-</w:t>
            </w:r>
            <w:r>
              <w:rPr>
                <w:rFonts w:hint="default" w:ascii="Cambria Math" w:hAnsi="Cambria Math" w:cs="Cambria Math"/>
                <w:color w:val="auto"/>
                <w:sz w:val="24"/>
                <w:szCs w:val="24"/>
                <w:highlight w:val="none"/>
                <w:u w:val="none" w:color="auto"/>
                <w:lang w:val="en-US" w:eastAsia="zh-CN"/>
              </w:rPr>
              <w:t>α</w:t>
            </w:r>
            <w:r>
              <w:rPr>
                <w:rFonts w:hint="eastAsia"/>
                <w:color w:val="auto"/>
                <w:sz w:val="24"/>
                <w:szCs w:val="24"/>
                <w:highlight w:val="none"/>
                <w:u w:val="none" w:color="auto"/>
                <w:lang w:val="en-US" w:eastAsia="zh-CN"/>
              </w:rPr>
              <w:t>)，S为房间内表面积，本项目厂房2500m</w:t>
            </w:r>
            <w:r>
              <w:rPr>
                <w:rFonts w:hint="eastAsia"/>
                <w:color w:val="auto"/>
                <w:sz w:val="24"/>
                <w:szCs w:val="24"/>
                <w:highlight w:val="none"/>
                <w:u w:val="none" w:color="auto"/>
                <w:vertAlign w:val="superscript"/>
                <w:lang w:val="en-US" w:eastAsia="zh-CN"/>
              </w:rPr>
              <w:t>2</w:t>
            </w:r>
            <w:r>
              <w:rPr>
                <w:rFonts w:hint="eastAsia"/>
                <w:color w:val="auto"/>
                <w:sz w:val="24"/>
                <w:szCs w:val="24"/>
                <w:highlight w:val="none"/>
                <w:u w:val="none" w:color="auto"/>
                <w:lang w:val="en-US" w:eastAsia="zh-CN"/>
              </w:rPr>
              <w:t>；</w:t>
            </w:r>
            <w:r>
              <w:rPr>
                <w:rFonts w:hint="default" w:ascii="Cambria Math" w:hAnsi="Cambria Math" w:cs="Cambria Math"/>
                <w:color w:val="auto"/>
                <w:sz w:val="24"/>
                <w:szCs w:val="24"/>
                <w:highlight w:val="none"/>
                <w:u w:val="none" w:color="auto"/>
                <w:lang w:val="en-US" w:eastAsia="zh-CN"/>
              </w:rPr>
              <w:t>α</w:t>
            </w:r>
            <w:r>
              <w:rPr>
                <w:rFonts w:hint="eastAsia"/>
                <w:color w:val="auto"/>
                <w:sz w:val="24"/>
                <w:szCs w:val="24"/>
                <w:highlight w:val="none"/>
                <w:u w:val="none" w:color="auto"/>
                <w:lang w:val="en-US" w:eastAsia="zh-CN"/>
              </w:rPr>
              <w:t>为平均吸声系数，取值0.07；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r>
                <m:rPr/>
                <w:rPr>
                  <w:rFonts w:hint="default" w:ascii="Cambria Math" w:hAnsi="Cambria Math"/>
                  <w:color w:val="auto"/>
                  <w:highlight w:val="none"/>
                  <w:u w:val="none" w:color="auto"/>
                  <w:lang w:val="en-US" w:eastAsia="zh-CN"/>
                </w:rPr>
                <m:t>r</m:t>
              </m:r>
            </m:oMath>
            <w:r>
              <w:rPr>
                <w:rFonts w:hint="eastAsia"/>
                <w:color w:val="auto"/>
                <w:sz w:val="24"/>
                <w:szCs w:val="24"/>
                <w:highlight w:val="none"/>
                <w:u w:val="none" w:color="auto"/>
                <w:lang w:val="en-US" w:eastAsia="zh-CN"/>
              </w:rPr>
              <w:t>——声源到靠近围护结构某点处的距离，m。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default"/>
                <w:color w:val="auto"/>
                <w:sz w:val="24"/>
                <w:szCs w:val="24"/>
                <w:highlight w:val="none"/>
                <w:u w:val="none" w:color="auto"/>
                <w:lang w:val="en-US" w:eastAsia="zh-CN"/>
              </w:rPr>
              <w:t>然后按式（B.3）计算出所有室内声源在围护结构处产生的i倍频带叠加声压级：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center"/>
              <w:textAlignment w:val="auto"/>
              <w:rPr>
                <w:rFonts w:hint="default" w:eastAsia="宋体"/>
                <w:color w:val="auto"/>
                <w:sz w:val="24"/>
                <w:szCs w:val="24"/>
                <w:highlight w:val="none"/>
                <w:u w:val="none" w:color="auto"/>
                <w:lang w:val="en-US" w:eastAsia="zh-CN"/>
              </w:rPr>
            </w:pPr>
            <m:oMathPara>
              <m:oMath>
                <m:sSub>
                  <m:sSubPr>
                    <m:ctrlPr>
                      <w:rPr>
                        <w:rFonts w:hint="default" w:ascii="Cambria Math" w:hAnsi="Cambria Math"/>
                        <w:i/>
                        <w:color w:val="auto"/>
                        <w:highlight w:val="none"/>
                        <w:u w:val="none" w:color="auto"/>
                        <w:lang w:val="en-US"/>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rPr>
                    </m:ctrlPr>
                  </m:e>
                  <m:sub>
                    <m:r>
                      <m:rPr/>
                      <w:rPr>
                        <w:rFonts w:hint="default" w:ascii="Cambria Math" w:hAnsi="Cambria Math"/>
                        <w:color w:val="auto"/>
                        <w:highlight w:val="none"/>
                        <w:u w:val="none" w:color="auto"/>
                        <w:lang w:val="en-US" w:eastAsia="zh-CN"/>
                      </w:rPr>
                      <m:t>p1i</m:t>
                    </m:r>
                    <m:ctrlPr>
                      <w:rPr>
                        <w:rFonts w:hint="default" w:ascii="Cambria Math" w:hAnsi="Cambria Math"/>
                        <w:i/>
                        <w:color w:val="auto"/>
                        <w:highlight w:val="none"/>
                        <w:u w:val="none" w:color="auto"/>
                        <w:lang w:val="en-US"/>
                      </w:rPr>
                    </m:ctrlPr>
                  </m:sub>
                </m:sSub>
                <m:d>
                  <m:dPr>
                    <m:ctrlPr>
                      <w:rPr>
                        <w:rFonts w:hint="default" w:ascii="Cambria Math" w:hAnsi="Cambria Math"/>
                        <w:i/>
                        <w:color w:val="auto"/>
                        <w:highlight w:val="none"/>
                        <w:u w:val="none" w:color="auto"/>
                        <w:lang w:val="en-US"/>
                      </w:rPr>
                    </m:ctrlPr>
                  </m:dPr>
                  <m:e>
                    <m:r>
                      <m:rPr/>
                      <w:rPr>
                        <w:rFonts w:hint="default" w:ascii="Cambria Math" w:hAnsi="Cambria Math"/>
                        <w:color w:val="auto"/>
                        <w:highlight w:val="none"/>
                        <w:u w:val="none" w:color="auto"/>
                        <w:lang w:val="en-US" w:eastAsia="zh-CN"/>
                      </w:rPr>
                      <m:t>T</m:t>
                    </m:r>
                    <m:ctrlPr>
                      <w:rPr>
                        <w:rFonts w:hint="default" w:ascii="Cambria Math" w:hAnsi="Cambria Math"/>
                        <w:i/>
                        <w:color w:val="auto"/>
                        <w:highlight w:val="none"/>
                        <w:u w:val="none" w:color="auto"/>
                        <w:lang w:val="en-US"/>
                      </w:rPr>
                    </m:ctrlPr>
                  </m:e>
                </m:d>
                <m:r>
                  <m:rPr/>
                  <w:rPr>
                    <w:rFonts w:hint="default" w:ascii="Cambria Math" w:hAnsi="Cambria Math"/>
                    <w:color w:val="auto"/>
                    <w:highlight w:val="none"/>
                    <w:u w:val="none" w:color="auto"/>
                    <w:lang w:val="en-US" w:eastAsia="zh-CN"/>
                  </w:rPr>
                  <m:t>=101g</m:t>
                </m:r>
                <m:d>
                  <m:dPr>
                    <m:ctrlPr>
                      <w:rPr>
                        <w:rFonts w:hint="default" w:ascii="Cambria Math" w:hAnsi="Cambria Math"/>
                        <w:i/>
                        <w:color w:val="auto"/>
                        <w:highlight w:val="none"/>
                        <w:u w:val="none" w:color="auto"/>
                        <w:lang w:val="en-US" w:eastAsia="zh-CN"/>
                      </w:rPr>
                    </m:ctrlPr>
                  </m:dPr>
                  <m:e>
                    <m:nary>
                      <m:naryPr>
                        <m:chr m:val="∑"/>
                        <m:limLoc m:val="undOvr"/>
                        <m:ctrlPr>
                          <w:rPr>
                            <w:rFonts w:hint="default" w:ascii="Cambria Math" w:hAnsi="Cambria Math"/>
                            <w:i/>
                            <w:color w:val="auto"/>
                            <w:highlight w:val="none"/>
                            <w:u w:val="none" w:color="auto"/>
                            <w:lang w:val="en-US" w:eastAsia="zh-CN"/>
                          </w:rPr>
                        </m:ctrlPr>
                      </m:naryPr>
                      <m:sub>
                        <m:r>
                          <m:rPr/>
                          <w:rPr>
                            <w:rFonts w:hint="default" w:ascii="Cambria Math" w:hAnsi="Cambria Math"/>
                            <w:color w:val="auto"/>
                            <w:highlight w:val="none"/>
                            <w:u w:val="none" w:color="auto"/>
                            <w:lang w:val="en-US" w:eastAsia="zh-CN"/>
                          </w:rPr>
                          <m:t>j=1</m:t>
                        </m:r>
                        <m:ctrlPr>
                          <w:rPr>
                            <w:rFonts w:hint="default" w:ascii="Cambria Math" w:hAnsi="Cambria Math"/>
                            <w:i/>
                            <w:color w:val="auto"/>
                            <w:highlight w:val="none"/>
                            <w:u w:val="none" w:color="auto"/>
                            <w:lang w:val="en-US" w:eastAsia="zh-CN"/>
                          </w:rPr>
                        </m:ctrlPr>
                      </m:sub>
                      <m:sup>
                        <m:r>
                          <m:rPr/>
                          <w:rPr>
                            <w:rFonts w:hint="default" w:ascii="Cambria Math" w:hAnsi="Cambria Math"/>
                            <w:color w:val="auto"/>
                            <w:highlight w:val="none"/>
                            <w:u w:val="none" w:color="auto"/>
                            <w:lang w:val="en-US" w:eastAsia="zh-CN"/>
                          </w:rPr>
                          <m:t>N</m:t>
                        </m:r>
                        <m:ctrlPr>
                          <w:rPr>
                            <w:rFonts w:hint="default" w:ascii="Cambria Math" w:hAnsi="Cambria Math"/>
                            <w:i/>
                            <w:color w:val="auto"/>
                            <w:highlight w:val="none"/>
                            <w:u w:val="none" w:color="auto"/>
                            <w:lang w:val="en-US" w:eastAsia="zh-CN"/>
                          </w:rPr>
                        </m:ctrlPr>
                      </m:sup>
                      <m:e>
                        <m:sSup>
                          <m:sSupPr>
                            <m:ctrlPr>
                              <w:rPr>
                                <w:rFonts w:hint="default" w:ascii="Cambria Math" w:hAnsi="Cambria Math"/>
                                <w:i/>
                                <w:color w:val="auto"/>
                                <w:highlight w:val="none"/>
                                <w:u w:val="none" w:color="auto"/>
                                <w:lang w:val="en-US" w:eastAsia="zh-CN"/>
                              </w:rPr>
                            </m:ctrlPr>
                          </m:sSupPr>
                          <m:e>
                            <m:r>
                              <m:rPr/>
                              <w:rPr>
                                <w:rFonts w:hint="default" w:ascii="Cambria Math" w:hAnsi="Cambria Math"/>
                                <w:color w:val="auto"/>
                                <w:highlight w:val="none"/>
                                <w:u w:val="none" w:color="auto"/>
                                <w:lang w:val="en-US" w:eastAsia="zh-CN"/>
                              </w:rPr>
                              <m:t>10</m:t>
                            </m:r>
                            <m:ctrlPr>
                              <w:rPr>
                                <w:rFonts w:hint="default" w:ascii="Cambria Math" w:hAnsi="Cambria Math"/>
                                <w:i/>
                                <w:color w:val="auto"/>
                                <w:highlight w:val="none"/>
                                <w:u w:val="none" w:color="auto"/>
                                <w:lang w:val="en-US" w:eastAsia="zh-CN"/>
                              </w:rPr>
                            </m:ctrlPr>
                          </m:e>
                          <m:sup>
                            <m:r>
                              <m:rPr/>
                              <w:rPr>
                                <w:rFonts w:hint="default" w:ascii="Cambria Math" w:hAnsi="Cambria Math"/>
                                <w:color w:val="auto"/>
                                <w:highlight w:val="none"/>
                                <w:u w:val="none" w:color="auto"/>
                                <w:lang w:val="en-US" w:eastAsia="zh-CN"/>
                              </w:rPr>
                              <m:t>0.1</m:t>
                            </m:r>
                            <m:sSub>
                              <m:sSubPr>
                                <m:ctrlPr>
                                  <w:rPr>
                                    <w:rFonts w:hint="default" w:ascii="Cambria Math" w:hAnsi="Cambria Math"/>
                                    <w:i/>
                                    <w:color w:val="auto"/>
                                    <w:highlight w:val="none"/>
                                    <w:u w:val="none" w:color="auto"/>
                                    <w:lang w:val="en-US" w:eastAsia="zh-CN"/>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eastAsia="zh-CN"/>
                                  </w:rPr>
                                </m:ctrlPr>
                              </m:e>
                              <m:sub>
                                <m:r>
                                  <m:rPr/>
                                  <w:rPr>
                                    <w:rFonts w:hint="default" w:ascii="Cambria Math" w:hAnsi="Cambria Math"/>
                                    <w:color w:val="auto"/>
                                    <w:highlight w:val="none"/>
                                    <w:u w:val="none" w:color="auto"/>
                                    <w:lang w:val="en-US" w:eastAsia="zh-CN"/>
                                  </w:rPr>
                                  <m:t>p1ij</m:t>
                                </m:r>
                                <m:ctrlPr>
                                  <w:rPr>
                                    <w:rFonts w:hint="default" w:ascii="Cambria Math" w:hAnsi="Cambria Math"/>
                                    <w:i/>
                                    <w:color w:val="auto"/>
                                    <w:highlight w:val="none"/>
                                    <w:u w:val="none" w:color="auto"/>
                                    <w:lang w:val="en-US" w:eastAsia="zh-CN"/>
                                  </w:rPr>
                                </m:ctrlPr>
                              </m:sub>
                            </m:sSub>
                            <m:ctrlPr>
                              <w:rPr>
                                <w:rFonts w:hint="default" w:ascii="Cambria Math" w:hAnsi="Cambria Math"/>
                                <w:i/>
                                <w:color w:val="auto"/>
                                <w:highlight w:val="none"/>
                                <w:u w:val="none" w:color="auto"/>
                                <w:lang w:val="en-US" w:eastAsia="zh-CN"/>
                              </w:rPr>
                            </m:ctrlPr>
                          </m:sup>
                        </m:sSup>
                        <m:ctrlPr>
                          <w:rPr>
                            <w:rFonts w:hint="default" w:ascii="Cambria Math" w:hAnsi="Cambria Math"/>
                            <w:i/>
                            <w:color w:val="auto"/>
                            <w:highlight w:val="none"/>
                            <w:u w:val="none" w:color="auto"/>
                            <w:lang w:val="en-US" w:eastAsia="zh-CN"/>
                          </w:rPr>
                        </m:ctrlPr>
                      </m:e>
                    </m:nary>
                    <m:ctrlPr>
                      <w:rPr>
                        <w:rFonts w:hint="default" w:ascii="Cambria Math" w:hAnsi="Cambria Math"/>
                        <w:i/>
                        <w:color w:val="auto"/>
                        <w:highlight w:val="none"/>
                        <w:u w:val="none" w:color="auto"/>
                        <w:lang w:val="en-US" w:eastAsia="zh-CN"/>
                      </w:rPr>
                    </m:ctrlPr>
                  </m:e>
                </m:d>
                <m:r>
                  <m:rPr/>
                  <w:rPr>
                    <w:rFonts w:hint="default" w:ascii="Cambria Math" w:hAnsi="Cambria Math"/>
                    <w:color w:val="auto"/>
                    <w:highlight w:val="none"/>
                    <w:u w:val="none" w:color="auto"/>
                    <w:lang w:val="en-US" w:eastAsia="zh-CN"/>
                  </w:rPr>
                  <m:t xml:space="preserve">                </m:t>
                </m:r>
                <m:d>
                  <m:dPr>
                    <m:ctrlPr>
                      <w:rPr>
                        <w:rFonts w:hint="default" w:ascii="Cambria Math" w:hAnsi="Cambria Math"/>
                        <w:i/>
                        <w:color w:val="auto"/>
                        <w:highlight w:val="none"/>
                        <w:u w:val="none" w:color="auto"/>
                        <w:lang w:val="en-US" w:eastAsia="zh-CN"/>
                      </w:rPr>
                    </m:ctrlPr>
                  </m:dPr>
                  <m:e>
                    <m:r>
                      <m:rPr/>
                      <w:rPr>
                        <w:rFonts w:hint="default" w:ascii="Cambria Math" w:hAnsi="Cambria Math"/>
                        <w:color w:val="auto"/>
                        <w:highlight w:val="none"/>
                        <w:u w:val="none" w:color="auto"/>
                        <w:lang w:val="en-US" w:eastAsia="zh-CN"/>
                      </w:rPr>
                      <m:t>B.3</m:t>
                    </m:r>
                    <m:ctrlPr>
                      <w:rPr>
                        <w:rFonts w:hint="default" w:ascii="Cambria Math" w:hAnsi="Cambria Math"/>
                        <w:i/>
                        <w:color w:val="auto"/>
                        <w:highlight w:val="none"/>
                        <w:u w:val="none" w:color="auto"/>
                        <w:lang w:val="en-US" w:eastAsia="zh-CN"/>
                      </w:rPr>
                    </m:ctrlPr>
                  </m:e>
                </m:d>
              </m:oMath>
            </m:oMathPara>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default"/>
                <w:color w:val="auto"/>
                <w:sz w:val="24"/>
                <w:szCs w:val="24"/>
                <w:highlight w:val="none"/>
                <w:u w:val="none" w:color="auto"/>
                <w:lang w:val="en-US" w:eastAsia="zh-CN"/>
              </w:rPr>
              <w:t>式中：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olor w:val="auto"/>
                <w:sz w:val="24"/>
                <w:szCs w:val="24"/>
                <w:highlight w:val="none"/>
                <w:u w:val="none" w:color="auto"/>
                <w:lang w:val="en-US" w:eastAsia="zh-CN"/>
              </w:rPr>
            </w:pPr>
            <m:oMath>
              <m:sSub>
                <m:sSubPr>
                  <m:ctrlPr>
                    <w:rPr>
                      <w:rFonts w:hint="default" w:ascii="Cambria Math" w:hAnsi="Cambria Math"/>
                      <w:i/>
                      <w:color w:val="auto"/>
                      <w:highlight w:val="none"/>
                      <w:u w:val="none" w:color="auto"/>
                      <w:lang w:val="en-US"/>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rPr>
                  </m:ctrlPr>
                </m:e>
                <m:sub>
                  <m:r>
                    <m:rPr/>
                    <w:rPr>
                      <w:rFonts w:hint="default" w:ascii="Cambria Math" w:hAnsi="Cambria Math"/>
                      <w:color w:val="auto"/>
                      <w:highlight w:val="none"/>
                      <w:u w:val="none" w:color="auto"/>
                      <w:lang w:val="en-US" w:eastAsia="zh-CN"/>
                    </w:rPr>
                    <m:t>p1i</m:t>
                  </m:r>
                  <m:ctrlPr>
                    <w:rPr>
                      <w:rFonts w:hint="default" w:ascii="Cambria Math" w:hAnsi="Cambria Math"/>
                      <w:i/>
                      <w:color w:val="auto"/>
                      <w:highlight w:val="none"/>
                      <w:u w:val="none" w:color="auto"/>
                      <w:lang w:val="en-US"/>
                    </w:rPr>
                  </m:ctrlPr>
                </m:sub>
              </m:sSub>
              <m:d>
                <m:dPr>
                  <m:ctrlPr>
                    <w:rPr>
                      <w:rFonts w:hint="default" w:ascii="Cambria Math" w:hAnsi="Cambria Math"/>
                      <w:i/>
                      <w:color w:val="auto"/>
                      <w:highlight w:val="none"/>
                      <w:u w:val="none" w:color="auto"/>
                      <w:lang w:val="en-US"/>
                    </w:rPr>
                  </m:ctrlPr>
                </m:dPr>
                <m:e>
                  <m:r>
                    <m:rPr/>
                    <w:rPr>
                      <w:rFonts w:hint="default" w:ascii="Cambria Math" w:hAnsi="Cambria Math"/>
                      <w:color w:val="auto"/>
                      <w:highlight w:val="none"/>
                      <w:u w:val="none" w:color="auto"/>
                      <w:lang w:val="en-US" w:eastAsia="zh-CN"/>
                    </w:rPr>
                    <m:t>T</m:t>
                  </m:r>
                  <m:ctrlPr>
                    <w:rPr>
                      <w:rFonts w:hint="default" w:ascii="Cambria Math" w:hAnsi="Cambria Math"/>
                      <w:i/>
                      <w:color w:val="auto"/>
                      <w:highlight w:val="none"/>
                      <w:u w:val="none" w:color="auto"/>
                      <w:lang w:val="en-US"/>
                    </w:rPr>
                  </m:ctrlPr>
                </m:e>
              </m:d>
            </m:oMath>
            <w:r>
              <w:rPr>
                <w:rFonts w:hint="eastAsia"/>
                <w:color w:val="auto"/>
                <w:sz w:val="24"/>
                <w:szCs w:val="24"/>
                <w:highlight w:val="none"/>
                <w:u w:val="none" w:color="auto"/>
                <w:lang w:val="en-US" w:eastAsia="zh-CN"/>
              </w:rPr>
              <w:t>——靠近围栏结构处室内N个声源i倍频带的叠加声压级，dB；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sSub>
                <m:sSubPr>
                  <m:ctrlPr>
                    <w:rPr>
                      <w:rFonts w:hint="default" w:ascii="Cambria Math" w:hAnsi="Cambria Math"/>
                      <w:i/>
                      <w:color w:val="auto"/>
                      <w:highlight w:val="none"/>
                      <w:u w:val="none" w:color="auto"/>
                      <w:lang w:val="en-US" w:eastAsia="zh-CN"/>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eastAsia="zh-CN"/>
                    </w:rPr>
                  </m:ctrlPr>
                </m:e>
                <m:sub>
                  <m:r>
                    <m:rPr/>
                    <w:rPr>
                      <w:rFonts w:hint="default" w:ascii="Cambria Math" w:hAnsi="Cambria Math"/>
                      <w:color w:val="auto"/>
                      <w:highlight w:val="none"/>
                      <w:u w:val="none" w:color="auto"/>
                      <w:lang w:val="en-US" w:eastAsia="zh-CN"/>
                    </w:rPr>
                    <m:t>p1ij</m:t>
                  </m:r>
                  <m:ctrlPr>
                    <w:rPr>
                      <w:rFonts w:hint="default" w:ascii="Cambria Math" w:hAnsi="Cambria Math"/>
                      <w:i/>
                      <w:color w:val="auto"/>
                      <w:highlight w:val="none"/>
                      <w:u w:val="none" w:color="auto"/>
                      <w:lang w:val="en-US" w:eastAsia="zh-CN"/>
                    </w:rPr>
                  </m:ctrlPr>
                </m:sub>
              </m:sSub>
            </m:oMath>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室内j声源i倍频带的声压级，dB；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r>
                <m:rPr/>
                <w:rPr>
                  <w:rFonts w:hint="default" w:ascii="Cambria Math" w:hAnsi="Cambria Math"/>
                  <w:color w:val="auto"/>
                  <w:highlight w:val="none"/>
                  <w:u w:val="none" w:color="auto"/>
                  <w:lang w:val="en-US" w:eastAsia="zh-CN"/>
                </w:rPr>
                <m:t>N</m:t>
              </m:r>
            </m:oMath>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室内声源总数。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default"/>
                <w:color w:val="auto"/>
                <w:sz w:val="24"/>
                <w:szCs w:val="24"/>
                <w:highlight w:val="none"/>
                <w:u w:val="none" w:color="auto"/>
                <w:lang w:val="en-US" w:eastAsia="zh-CN"/>
              </w:rPr>
              <w:t>在室内近似为扩散场时，按式（B.4）计算靠近室外围护结构处的声压级：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center"/>
              <w:textAlignment w:val="auto"/>
              <w:rPr>
                <w:rFonts w:hint="default" w:eastAsia="宋体"/>
                <w:color w:val="auto"/>
                <w:sz w:val="24"/>
                <w:szCs w:val="24"/>
                <w:highlight w:val="none"/>
                <w:u w:val="none" w:color="auto"/>
                <w:lang w:val="en-US" w:eastAsia="zh-CN"/>
              </w:rPr>
            </w:pPr>
            <m:oMathPara>
              <m:oMath>
                <m:sSub>
                  <m:sSubPr>
                    <m:ctrlPr>
                      <w:rPr>
                        <w:rFonts w:hint="default" w:ascii="Cambria Math" w:hAnsi="Cambria Math"/>
                        <w:i/>
                        <w:color w:val="auto"/>
                        <w:highlight w:val="none"/>
                        <w:u w:val="none" w:color="auto"/>
                        <w:lang w:val="en-US"/>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rPr>
                    </m:ctrlPr>
                  </m:e>
                  <m:sub>
                    <m:r>
                      <m:rPr/>
                      <w:rPr>
                        <w:rFonts w:hint="default" w:ascii="Cambria Math" w:hAnsi="Cambria Math"/>
                        <w:color w:val="auto"/>
                        <w:highlight w:val="none"/>
                        <w:u w:val="none" w:color="auto"/>
                        <w:lang w:val="en-US" w:eastAsia="zh-CN"/>
                      </w:rPr>
                      <m:t>p2i</m:t>
                    </m:r>
                    <m:ctrlPr>
                      <w:rPr>
                        <w:rFonts w:hint="default" w:ascii="Cambria Math" w:hAnsi="Cambria Math"/>
                        <w:i/>
                        <w:color w:val="auto"/>
                        <w:highlight w:val="none"/>
                        <w:u w:val="none" w:color="auto"/>
                        <w:lang w:val="en-US"/>
                      </w:rPr>
                    </m:ctrlPr>
                  </m:sub>
                </m:sSub>
                <m:d>
                  <m:dPr>
                    <m:ctrlPr>
                      <w:rPr>
                        <w:rFonts w:hint="default" w:ascii="Cambria Math" w:hAnsi="Cambria Math"/>
                        <w:i/>
                        <w:color w:val="auto"/>
                        <w:highlight w:val="none"/>
                        <w:u w:val="none" w:color="auto"/>
                        <w:lang w:val="en-US"/>
                      </w:rPr>
                    </m:ctrlPr>
                  </m:dPr>
                  <m:e>
                    <m:r>
                      <m:rPr/>
                      <w:rPr>
                        <w:rFonts w:hint="default" w:ascii="Cambria Math" w:hAnsi="Cambria Math"/>
                        <w:color w:val="auto"/>
                        <w:highlight w:val="none"/>
                        <w:u w:val="none" w:color="auto"/>
                        <w:lang w:val="en-US" w:eastAsia="zh-CN"/>
                      </w:rPr>
                      <m:t>T</m:t>
                    </m:r>
                    <m:ctrlPr>
                      <w:rPr>
                        <w:rFonts w:hint="default" w:ascii="Cambria Math" w:hAnsi="Cambria Math"/>
                        <w:i/>
                        <w:color w:val="auto"/>
                        <w:highlight w:val="none"/>
                        <w:u w:val="none" w:color="auto"/>
                        <w:lang w:val="en-US"/>
                      </w:rPr>
                    </m:ctrlPr>
                  </m:e>
                </m:d>
                <m:r>
                  <m:rPr/>
                  <w:rPr>
                    <w:rFonts w:hint="default" w:ascii="Cambria Math" w:hAnsi="Cambria Math"/>
                    <w:color w:val="auto"/>
                    <w:highlight w:val="none"/>
                    <w:u w:val="none" w:color="auto"/>
                    <w:lang w:val="en-US" w:eastAsia="zh-CN"/>
                  </w:rPr>
                  <m:t>=</m:t>
                </m:r>
                <m:sSub>
                  <m:sSubPr>
                    <m:ctrlPr>
                      <w:rPr>
                        <w:rFonts w:hint="default" w:ascii="Cambria Math" w:hAnsi="Cambria Math"/>
                        <w:i/>
                        <w:color w:val="auto"/>
                        <w:highlight w:val="none"/>
                        <w:u w:val="none" w:color="auto"/>
                        <w:lang w:val="en-US" w:eastAsia="zh-CN"/>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eastAsia="zh-CN"/>
                      </w:rPr>
                    </m:ctrlPr>
                  </m:e>
                  <m:sub>
                    <m:r>
                      <m:rPr/>
                      <w:rPr>
                        <w:rFonts w:hint="default" w:ascii="Cambria Math" w:hAnsi="Cambria Math"/>
                        <w:color w:val="auto"/>
                        <w:highlight w:val="none"/>
                        <w:u w:val="none" w:color="auto"/>
                        <w:lang w:val="en-US" w:eastAsia="zh-CN"/>
                      </w:rPr>
                      <m:t>p1i</m:t>
                    </m:r>
                    <m:ctrlPr>
                      <w:rPr>
                        <w:rFonts w:hint="default" w:ascii="Cambria Math" w:hAnsi="Cambria Math"/>
                        <w:i/>
                        <w:color w:val="auto"/>
                        <w:highlight w:val="none"/>
                        <w:u w:val="none" w:color="auto"/>
                        <w:lang w:val="en-US" w:eastAsia="zh-CN"/>
                      </w:rPr>
                    </m:ctrlPr>
                  </m:sub>
                </m:sSub>
                <m:d>
                  <m:dPr>
                    <m:ctrlPr>
                      <w:rPr>
                        <w:rFonts w:hint="default" w:ascii="Cambria Math" w:hAnsi="Cambria Math"/>
                        <w:i/>
                        <w:color w:val="auto"/>
                        <w:highlight w:val="none"/>
                        <w:u w:val="none" w:color="auto"/>
                        <w:lang w:val="en-US" w:eastAsia="zh-CN"/>
                      </w:rPr>
                    </m:ctrlPr>
                  </m:dPr>
                  <m:e>
                    <m:r>
                      <m:rPr/>
                      <w:rPr>
                        <w:rFonts w:hint="default" w:ascii="Cambria Math" w:hAnsi="Cambria Math"/>
                        <w:color w:val="auto"/>
                        <w:highlight w:val="none"/>
                        <w:u w:val="none" w:color="auto"/>
                        <w:lang w:val="en-US" w:eastAsia="zh-CN"/>
                      </w:rPr>
                      <m:t>T</m:t>
                    </m:r>
                    <m:ctrlPr>
                      <w:rPr>
                        <w:rFonts w:hint="default" w:ascii="Cambria Math" w:hAnsi="Cambria Math"/>
                        <w:i/>
                        <w:color w:val="auto"/>
                        <w:highlight w:val="none"/>
                        <w:u w:val="none" w:color="auto"/>
                        <w:lang w:val="en-US" w:eastAsia="zh-CN"/>
                      </w:rPr>
                    </m:ctrlPr>
                  </m:e>
                </m:d>
                <m:r>
                  <m:rPr/>
                  <w:rPr>
                    <w:rFonts w:hint="default" w:ascii="Cambria Math" w:hAnsi="Cambria Math"/>
                    <w:color w:val="auto"/>
                    <w:highlight w:val="none"/>
                    <w:u w:val="none" w:color="auto"/>
                    <w:lang w:val="en-US" w:eastAsia="zh-CN"/>
                  </w:rPr>
                  <m:t>−</m:t>
                </m:r>
                <m:d>
                  <m:dPr>
                    <m:ctrlPr>
                      <w:rPr>
                        <w:rFonts w:hint="default" w:ascii="Cambria Math" w:hAnsi="Cambria Math"/>
                        <w:i/>
                        <w:color w:val="auto"/>
                        <w:highlight w:val="none"/>
                        <w:u w:val="none" w:color="auto"/>
                        <w:lang w:val="en-US" w:eastAsia="zh-CN"/>
                      </w:rPr>
                    </m:ctrlPr>
                  </m:dPr>
                  <m:e>
                    <m:sSub>
                      <m:sSubPr>
                        <m:ctrlPr>
                          <w:rPr>
                            <w:rFonts w:hint="default" w:ascii="Cambria Math" w:hAnsi="Cambria Math"/>
                            <w:i/>
                            <w:color w:val="auto"/>
                            <w:highlight w:val="none"/>
                            <w:u w:val="none" w:color="auto"/>
                            <w:lang w:val="en-US" w:eastAsia="zh-CN"/>
                          </w:rPr>
                        </m:ctrlPr>
                      </m:sSubPr>
                      <m:e>
                        <m:r>
                          <m:rPr/>
                          <w:rPr>
                            <w:rFonts w:hint="default" w:ascii="Cambria Math" w:hAnsi="Cambria Math"/>
                            <w:color w:val="auto"/>
                            <w:highlight w:val="none"/>
                            <w:u w:val="none" w:color="auto"/>
                            <w:lang w:val="en-US" w:eastAsia="zh-CN"/>
                          </w:rPr>
                          <m:t>TL</m:t>
                        </m:r>
                        <m:ctrlPr>
                          <w:rPr>
                            <w:rFonts w:hint="default" w:ascii="Cambria Math" w:hAnsi="Cambria Math"/>
                            <w:i/>
                            <w:color w:val="auto"/>
                            <w:highlight w:val="none"/>
                            <w:u w:val="none" w:color="auto"/>
                            <w:lang w:val="en-US" w:eastAsia="zh-CN"/>
                          </w:rPr>
                        </m:ctrlPr>
                      </m:e>
                      <m:sub>
                        <m:r>
                          <m:rPr/>
                          <w:rPr>
                            <w:rFonts w:hint="default" w:ascii="Cambria Math" w:hAnsi="Cambria Math"/>
                            <w:color w:val="auto"/>
                            <w:highlight w:val="none"/>
                            <w:u w:val="none" w:color="auto"/>
                            <w:lang w:val="en-US" w:eastAsia="zh-CN"/>
                          </w:rPr>
                          <m:t>i</m:t>
                        </m:r>
                        <m:ctrlPr>
                          <w:rPr>
                            <w:rFonts w:hint="default" w:ascii="Cambria Math" w:hAnsi="Cambria Math"/>
                            <w:i/>
                            <w:color w:val="auto"/>
                            <w:highlight w:val="none"/>
                            <w:u w:val="none" w:color="auto"/>
                            <w:lang w:val="en-US" w:eastAsia="zh-CN"/>
                          </w:rPr>
                        </m:ctrlPr>
                      </m:sub>
                    </m:sSub>
                    <m:r>
                      <m:rPr/>
                      <w:rPr>
                        <w:rFonts w:hint="default" w:ascii="Cambria Math" w:hAnsi="Cambria Math"/>
                        <w:color w:val="auto"/>
                        <w:highlight w:val="none"/>
                        <w:u w:val="none" w:color="auto"/>
                        <w:lang w:val="en-US" w:eastAsia="zh-CN"/>
                      </w:rPr>
                      <m:t>+6</m:t>
                    </m:r>
                    <m:ctrlPr>
                      <w:rPr>
                        <w:rFonts w:hint="default" w:ascii="Cambria Math" w:hAnsi="Cambria Math"/>
                        <w:i/>
                        <w:color w:val="auto"/>
                        <w:highlight w:val="none"/>
                        <w:u w:val="none" w:color="auto"/>
                        <w:lang w:val="en-US" w:eastAsia="zh-CN"/>
                      </w:rPr>
                    </m:ctrlPr>
                  </m:e>
                </m:d>
                <m:r>
                  <m:rPr/>
                  <w:rPr>
                    <w:rFonts w:hint="default" w:ascii="Cambria Math" w:hAnsi="Cambria Math"/>
                    <w:color w:val="auto"/>
                    <w:highlight w:val="none"/>
                    <w:u w:val="none" w:color="auto"/>
                    <w:lang w:val="en-US" w:eastAsia="zh-CN"/>
                  </w:rPr>
                  <m:t xml:space="preserve">                   </m:t>
                </m:r>
                <m:d>
                  <m:dPr>
                    <m:ctrlPr>
                      <w:rPr>
                        <w:rFonts w:hint="default" w:ascii="Cambria Math" w:hAnsi="Cambria Math"/>
                        <w:i/>
                        <w:color w:val="auto"/>
                        <w:highlight w:val="none"/>
                        <w:u w:val="none" w:color="auto"/>
                        <w:lang w:val="en-US" w:eastAsia="zh-CN"/>
                      </w:rPr>
                    </m:ctrlPr>
                  </m:dPr>
                  <m:e>
                    <m:r>
                      <m:rPr/>
                      <w:rPr>
                        <w:rFonts w:hint="default" w:ascii="Cambria Math" w:hAnsi="Cambria Math"/>
                        <w:color w:val="auto"/>
                        <w:highlight w:val="none"/>
                        <w:u w:val="none" w:color="auto"/>
                        <w:lang w:val="en-US" w:eastAsia="zh-CN"/>
                      </w:rPr>
                      <m:t>B.4</m:t>
                    </m:r>
                    <m:ctrlPr>
                      <w:rPr>
                        <w:rFonts w:hint="default" w:ascii="Cambria Math" w:hAnsi="Cambria Math"/>
                        <w:i/>
                        <w:color w:val="auto"/>
                        <w:highlight w:val="none"/>
                        <w:u w:val="none" w:color="auto"/>
                        <w:lang w:val="en-US" w:eastAsia="zh-CN"/>
                      </w:rPr>
                    </m:ctrlPr>
                  </m:e>
                </m:d>
              </m:oMath>
            </m:oMathPara>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w:r>
              <w:rPr>
                <w:rFonts w:hint="default"/>
                <w:color w:val="auto"/>
                <w:sz w:val="24"/>
                <w:szCs w:val="24"/>
                <w:highlight w:val="none"/>
                <w:u w:val="none" w:color="auto"/>
                <w:lang w:val="en-US" w:eastAsia="zh-CN"/>
              </w:rPr>
              <w:t>式中：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sSub>
                <m:sSubPr>
                  <m:ctrlPr>
                    <w:rPr>
                      <w:rFonts w:hint="default" w:ascii="Cambria Math" w:hAnsi="Cambria Math"/>
                      <w:i/>
                      <w:color w:val="auto"/>
                      <w:highlight w:val="none"/>
                      <w:u w:val="none" w:color="auto"/>
                      <w:lang w:val="en-US"/>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rPr>
                  </m:ctrlPr>
                </m:e>
                <m:sub>
                  <m:r>
                    <m:rPr/>
                    <w:rPr>
                      <w:rFonts w:hint="default" w:ascii="Cambria Math" w:hAnsi="Cambria Math"/>
                      <w:color w:val="auto"/>
                      <w:highlight w:val="none"/>
                      <w:u w:val="none" w:color="auto"/>
                      <w:lang w:val="en-US" w:eastAsia="zh-CN"/>
                    </w:rPr>
                    <m:t>p2i</m:t>
                  </m:r>
                  <m:ctrlPr>
                    <w:rPr>
                      <w:rFonts w:hint="default" w:ascii="Cambria Math" w:hAnsi="Cambria Math"/>
                      <w:i/>
                      <w:color w:val="auto"/>
                      <w:highlight w:val="none"/>
                      <w:u w:val="none" w:color="auto"/>
                      <w:lang w:val="en-US"/>
                    </w:rPr>
                  </m:ctrlPr>
                </m:sub>
              </m:sSub>
            </m:oMath>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靠近围栏结构处室外N个声源i倍频带的叠加声压级，dB；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sSub>
                <m:sSubPr>
                  <m:ctrlPr>
                    <w:rPr>
                      <w:rFonts w:hint="default" w:ascii="Cambria Math" w:hAnsi="Cambria Math"/>
                      <w:i/>
                      <w:color w:val="auto"/>
                      <w:highlight w:val="none"/>
                      <w:u w:val="none" w:color="auto"/>
                      <w:lang w:val="en-US" w:eastAsia="zh-CN"/>
                    </w:rPr>
                  </m:ctrlPr>
                </m:sSubPr>
                <m:e>
                  <m:r>
                    <m:rPr/>
                    <w:rPr>
                      <w:rFonts w:hint="default" w:ascii="Cambria Math" w:hAnsi="Cambria Math"/>
                      <w:color w:val="auto"/>
                      <w:highlight w:val="none"/>
                      <w:u w:val="none" w:color="auto"/>
                      <w:lang w:val="en-US" w:eastAsia="zh-CN"/>
                    </w:rPr>
                    <m:t>L</m:t>
                  </m:r>
                  <m:ctrlPr>
                    <w:rPr>
                      <w:rFonts w:hint="default" w:ascii="Cambria Math" w:hAnsi="Cambria Math"/>
                      <w:i/>
                      <w:color w:val="auto"/>
                      <w:highlight w:val="none"/>
                      <w:u w:val="none" w:color="auto"/>
                      <w:lang w:val="en-US" w:eastAsia="zh-CN"/>
                    </w:rPr>
                  </m:ctrlPr>
                </m:e>
                <m:sub>
                  <m:r>
                    <m:rPr/>
                    <w:rPr>
                      <w:rFonts w:hint="default" w:ascii="Cambria Math" w:hAnsi="Cambria Math"/>
                      <w:color w:val="auto"/>
                      <w:highlight w:val="none"/>
                      <w:u w:val="none" w:color="auto"/>
                      <w:lang w:val="en-US" w:eastAsia="zh-CN"/>
                    </w:rPr>
                    <m:t>p1i</m:t>
                  </m:r>
                  <m:ctrlPr>
                    <w:rPr>
                      <w:rFonts w:hint="default" w:ascii="Cambria Math" w:hAnsi="Cambria Math"/>
                      <w:i/>
                      <w:color w:val="auto"/>
                      <w:highlight w:val="none"/>
                      <w:u w:val="none" w:color="auto"/>
                      <w:lang w:val="en-US" w:eastAsia="zh-CN"/>
                    </w:rPr>
                  </m:ctrlPr>
                </m:sub>
              </m:sSub>
              <m:d>
                <m:dPr>
                  <m:ctrlPr>
                    <w:rPr>
                      <w:rFonts w:hint="default" w:ascii="Cambria Math" w:hAnsi="Cambria Math"/>
                      <w:i/>
                      <w:color w:val="auto"/>
                      <w:highlight w:val="none"/>
                      <w:u w:val="none" w:color="auto"/>
                      <w:lang w:val="en-US" w:eastAsia="zh-CN"/>
                    </w:rPr>
                  </m:ctrlPr>
                </m:dPr>
                <m:e>
                  <m:r>
                    <m:rPr/>
                    <w:rPr>
                      <w:rFonts w:hint="default" w:ascii="Cambria Math" w:hAnsi="Cambria Math"/>
                      <w:color w:val="auto"/>
                      <w:highlight w:val="none"/>
                      <w:u w:val="none" w:color="auto"/>
                      <w:lang w:val="en-US" w:eastAsia="zh-CN"/>
                    </w:rPr>
                    <m:t>T</m:t>
                  </m:r>
                  <m:ctrlPr>
                    <w:rPr>
                      <w:rFonts w:hint="default" w:ascii="Cambria Math" w:hAnsi="Cambria Math"/>
                      <w:i/>
                      <w:color w:val="auto"/>
                      <w:highlight w:val="none"/>
                      <w:u w:val="none" w:color="auto"/>
                      <w:lang w:val="en-US" w:eastAsia="zh-CN"/>
                    </w:rPr>
                  </m:ctrlPr>
                </m:e>
              </m:d>
            </m:oMath>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靠近围栏结构处室内N个声源i倍频带的叠加声压级，dB；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u w:val="none" w:color="auto"/>
                <w:lang w:val="en-US" w:eastAsia="zh-CN"/>
              </w:rPr>
            </w:pPr>
            <m:oMath>
              <m:sSub>
                <m:sSubPr>
                  <m:ctrlPr>
                    <w:rPr>
                      <w:rFonts w:hint="default" w:ascii="Cambria Math" w:hAnsi="Cambria Math"/>
                      <w:i/>
                      <w:color w:val="auto"/>
                      <w:highlight w:val="none"/>
                      <w:u w:val="none" w:color="auto"/>
                      <w:lang w:val="en-US" w:eastAsia="zh-CN"/>
                    </w:rPr>
                  </m:ctrlPr>
                </m:sSubPr>
                <m:e>
                  <m:r>
                    <m:rPr/>
                    <w:rPr>
                      <w:rFonts w:hint="default" w:ascii="Cambria Math" w:hAnsi="Cambria Math"/>
                      <w:color w:val="auto"/>
                      <w:highlight w:val="none"/>
                      <w:u w:val="none" w:color="auto"/>
                      <w:lang w:val="en-US" w:eastAsia="zh-CN"/>
                    </w:rPr>
                    <m:t>TL</m:t>
                  </m:r>
                  <m:ctrlPr>
                    <w:rPr>
                      <w:rFonts w:hint="default" w:ascii="Cambria Math" w:hAnsi="Cambria Math"/>
                      <w:i/>
                      <w:color w:val="auto"/>
                      <w:highlight w:val="none"/>
                      <w:u w:val="none" w:color="auto"/>
                      <w:lang w:val="en-US" w:eastAsia="zh-CN"/>
                    </w:rPr>
                  </m:ctrlPr>
                </m:e>
                <m:sub>
                  <m:r>
                    <m:rPr/>
                    <w:rPr>
                      <w:rFonts w:hint="default" w:ascii="Cambria Math" w:hAnsi="Cambria Math"/>
                      <w:color w:val="auto"/>
                      <w:highlight w:val="none"/>
                      <w:u w:val="none" w:color="auto"/>
                      <w:lang w:val="en-US" w:eastAsia="zh-CN"/>
                    </w:rPr>
                    <m:t>i</m:t>
                  </m:r>
                  <m:ctrlPr>
                    <w:rPr>
                      <w:rFonts w:hint="default" w:ascii="Cambria Math" w:hAnsi="Cambria Math"/>
                      <w:i/>
                      <w:color w:val="auto"/>
                      <w:highlight w:val="none"/>
                      <w:u w:val="none" w:color="auto"/>
                      <w:lang w:val="en-US" w:eastAsia="zh-CN"/>
                    </w:rPr>
                  </m:ctrlPr>
                </m:sub>
              </m:sSub>
            </m:oMath>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围护结构i倍频带的隔声量，dB。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2）室外声源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本项目室外噪声源采用《环境影响评价技术导则声环境》（HJ2.4-2021）中推荐的无指向性点源几何发散衰减模式，考虑山谷反射、空气吸收、地面与遮挡物附加衰减效应。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imes New Roman" w:hAnsi="Times New Roman" w:eastAsia="宋体" w:cs="Times New Roman"/>
                <w:color w:val="auto"/>
                <w:sz w:val="24"/>
                <w:szCs w:val="24"/>
                <w:highlight w:val="none"/>
                <w:u w:val="none" w:color="auto"/>
                <w:lang w:val="en-US" w:eastAsia="zh-CN"/>
              </w:rPr>
            </w:pPr>
            <w:r>
              <w:rPr>
                <w:u w:val="none" w:color="auto"/>
              </w:rPr>
              <w:drawing>
                <wp:inline distT="0" distB="0" distL="114300" distR="114300">
                  <wp:extent cx="3990975" cy="371475"/>
                  <wp:effectExtent l="0" t="0" r="9525" b="9525"/>
                  <wp:docPr id="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spect="1"/>
                          </pic:cNvPicPr>
                        </pic:nvPicPr>
                        <pic:blipFill>
                          <a:blip r:embed="rId15"/>
                          <a:stretch>
                            <a:fillRect/>
                          </a:stretch>
                        </pic:blipFill>
                        <pic:spPr>
                          <a:xfrm>
                            <a:off x="0" y="0"/>
                            <a:ext cx="3990975" cy="371475"/>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式中：LA(r)—距声源r处的A声级(dB)；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LA(r0)—参考位置r0处的A声级(dB)；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ΔLr—山谷反射叠加值，取0dB。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r—距点声源的距离(m)；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r0—参考位置距点声源的距离(m)；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a—每100m空气吸收系数(dB)，取1dB；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ΔL—地面附加衰减效应</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color w:val="auto"/>
                <w:sz w:val="24"/>
                <w:szCs w:val="24"/>
                <w:highlight w:val="none"/>
                <w:u w:val="none" w:color="auto"/>
                <w:lang w:val="en-US" w:eastAsia="zh-CN"/>
              </w:rPr>
            </w:pPr>
            <w:r>
              <w:rPr>
                <w:rFonts w:hint="default"/>
                <w:color w:val="auto"/>
                <w:sz w:val="24"/>
                <w:szCs w:val="24"/>
                <w:highlight w:val="none"/>
                <w:u w:val="none" w:color="auto"/>
                <w:lang w:val="en-US" w:eastAsia="zh-CN"/>
              </w:rPr>
              <w:t>根据《环境影响评价技术导则 声环境》（HJ2.4-2021）评价方法和评价量的规定，进行厂界噪声评价时，本项目以工程噪声贡献值作为评价量，噪声预测结果见下表。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482" w:firstLineChars="200"/>
              <w:jc w:val="center"/>
              <w:textAlignment w:val="auto"/>
              <w:rPr>
                <w:rFonts w:hint="eastAsia" w:ascii="Times New Roman" w:hAnsi="Times New Roman" w:cs="Times New Roman"/>
                <w:b/>
                <w:bCs w:val="0"/>
                <w:u w:val="none"/>
              </w:rPr>
            </w:pP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482" w:firstLineChars="20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表4-1</w:t>
            </w:r>
            <w:r>
              <w:rPr>
                <w:rFonts w:hint="eastAsia" w:cs="Times New Roman"/>
                <w:b/>
                <w:bCs w:val="0"/>
                <w:u w:val="none"/>
                <w:lang w:val="en-US" w:eastAsia="zh-CN"/>
              </w:rPr>
              <w:t>5</w:t>
            </w:r>
            <w:r>
              <w:rPr>
                <w:rFonts w:hint="eastAsia" w:ascii="Times New Roman" w:hAnsi="Times New Roman" w:cs="Times New Roman"/>
                <w:b/>
                <w:bCs w:val="0"/>
                <w:u w:val="none"/>
              </w:rPr>
              <w:t>厂界噪声预测结果一览表（单位：dB(A)）</w:t>
            </w:r>
          </w:p>
          <w:tbl>
            <w:tblPr>
              <w:tblStyle w:val="23"/>
              <w:tblW w:w="8626" w:type="dxa"/>
              <w:jc w:val="center"/>
              <w:tblLayout w:type="fixed"/>
              <w:tblCellMar>
                <w:top w:w="0" w:type="dxa"/>
                <w:left w:w="108" w:type="dxa"/>
                <w:bottom w:w="0" w:type="dxa"/>
                <w:right w:w="108" w:type="dxa"/>
              </w:tblCellMar>
            </w:tblPr>
            <w:tblGrid>
              <w:gridCol w:w="983"/>
              <w:gridCol w:w="1152"/>
              <w:gridCol w:w="1152"/>
              <w:gridCol w:w="996"/>
              <w:gridCol w:w="984"/>
              <w:gridCol w:w="1187"/>
              <w:gridCol w:w="1187"/>
              <w:gridCol w:w="985"/>
            </w:tblGrid>
            <w:tr>
              <w:tblPrEx>
                <w:tblCellMar>
                  <w:top w:w="0" w:type="dxa"/>
                  <w:left w:w="108" w:type="dxa"/>
                  <w:bottom w:w="0" w:type="dxa"/>
                  <w:right w:w="108" w:type="dxa"/>
                </w:tblCellMar>
              </w:tblPrEx>
              <w:trPr>
                <w:trHeight w:val="397" w:hRule="atLeast"/>
                <w:jc w:val="center"/>
              </w:trPr>
              <w:tc>
                <w:tcPr>
                  <w:tcW w:w="5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rPr>
                      <w:b/>
                      <w:bCs/>
                    </w:rPr>
                  </w:pPr>
                  <w:r>
                    <w:rPr>
                      <w:rFonts w:hint="eastAsia"/>
                      <w:b/>
                      <w:bCs/>
                    </w:rPr>
                    <w:t>预测方位</w:t>
                  </w:r>
                </w:p>
              </w:tc>
              <w:tc>
                <w:tcPr>
                  <w:tcW w:w="191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rPr>
                      <w:b/>
                      <w:bCs/>
                    </w:rPr>
                  </w:pPr>
                  <w:r>
                    <w:rPr>
                      <w:rFonts w:hint="eastAsia"/>
                      <w:b/>
                      <w:bCs/>
                    </w:rPr>
                    <w:t>最大值点</w:t>
                  </w:r>
                  <w:r>
                    <w:rPr>
                      <w:b/>
                      <w:bCs/>
                    </w:rPr>
                    <w:t>空间相对位置/m</w:t>
                  </w:r>
                </w:p>
              </w:tc>
              <w:tc>
                <w:tcPr>
                  <w:tcW w:w="5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rPr>
                      <w:b/>
                      <w:bCs/>
                    </w:rPr>
                  </w:pPr>
                  <w:r>
                    <w:rPr>
                      <w:rFonts w:hint="eastAsia"/>
                      <w:b/>
                      <w:bCs/>
                    </w:rPr>
                    <w:t>时段</w:t>
                  </w:r>
                </w:p>
              </w:tc>
              <w:tc>
                <w:tcPr>
                  <w:tcW w:w="68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rPr>
                      <w:b/>
                      <w:bCs/>
                    </w:rPr>
                  </w:pPr>
                  <w:r>
                    <w:rPr>
                      <w:rFonts w:hint="eastAsia"/>
                      <w:b/>
                      <w:bCs/>
                    </w:rPr>
                    <w:t>贡献值（</w:t>
                  </w:r>
                  <w:r>
                    <w:rPr>
                      <w:b/>
                      <w:bCs/>
                    </w:rPr>
                    <w:t>dB</w:t>
                  </w:r>
                  <w:r>
                    <w:rPr>
                      <w:rFonts w:hint="eastAsia"/>
                      <w:b/>
                      <w:bCs/>
                    </w:rPr>
                    <w:t>(</w:t>
                  </w:r>
                  <w:r>
                    <w:rPr>
                      <w:b/>
                      <w:bCs/>
                    </w:rPr>
                    <w:t>A</w:t>
                  </w:r>
                  <w:r>
                    <w:rPr>
                      <w:rFonts w:hint="eastAsia"/>
                      <w:b/>
                      <w:bCs/>
                    </w:rPr>
                    <w:t>)</w:t>
                  </w:r>
                  <w:r>
                    <w:rPr>
                      <w:b/>
                      <w:bCs/>
                    </w:rPr>
                    <w:t>）</w:t>
                  </w:r>
                </w:p>
              </w:tc>
              <w:tc>
                <w:tcPr>
                  <w:tcW w:w="68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rPr>
                      <w:b/>
                      <w:bCs/>
                    </w:rPr>
                  </w:pPr>
                  <w:r>
                    <w:rPr>
                      <w:rFonts w:hint="eastAsia"/>
                      <w:b/>
                      <w:bCs/>
                    </w:rPr>
                    <w:t>标准限值（</w:t>
                  </w:r>
                  <w:r>
                    <w:rPr>
                      <w:b/>
                      <w:bCs/>
                    </w:rPr>
                    <w:t>dB</w:t>
                  </w:r>
                  <w:r>
                    <w:rPr>
                      <w:rFonts w:hint="eastAsia"/>
                      <w:b/>
                      <w:bCs/>
                    </w:rPr>
                    <w:t>(</w:t>
                  </w:r>
                  <w:r>
                    <w:rPr>
                      <w:b/>
                      <w:bCs/>
                    </w:rPr>
                    <w:t>A</w:t>
                  </w:r>
                  <w:r>
                    <w:rPr>
                      <w:rFonts w:hint="eastAsia"/>
                      <w:b/>
                      <w:bCs/>
                    </w:rPr>
                    <w:t>)</w:t>
                  </w:r>
                  <w:r>
                    <w:rPr>
                      <w:b/>
                      <w:bCs/>
                    </w:rPr>
                    <w:t>）</w:t>
                  </w:r>
                </w:p>
              </w:tc>
              <w:tc>
                <w:tcPr>
                  <w:tcW w:w="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rPr>
                      <w:b/>
                      <w:bCs/>
                    </w:rPr>
                  </w:pPr>
                  <w:r>
                    <w:rPr>
                      <w:rFonts w:hint="eastAsia"/>
                      <w:b/>
                      <w:bCs/>
                    </w:rPr>
                    <w:t>达标情况</w:t>
                  </w:r>
                </w:p>
              </w:tc>
            </w:tr>
            <w:tr>
              <w:tblPrEx>
                <w:tblCellMar>
                  <w:top w:w="0" w:type="dxa"/>
                  <w:left w:w="108" w:type="dxa"/>
                  <w:bottom w:w="0" w:type="dxa"/>
                  <w:right w:w="108" w:type="dxa"/>
                </w:tblCellMar>
              </w:tblPrEx>
              <w:trPr>
                <w:trHeight w:val="397" w:hRule="atLeast"/>
                <w:jc w:val="center"/>
              </w:trPr>
              <w:tc>
                <w:tcPr>
                  <w:tcW w:w="5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rPr>
                      <w:b/>
                      <w:bCs/>
                    </w:rPr>
                  </w:pPr>
                  <w:r>
                    <w:rPr>
                      <w:b/>
                      <w:bCs/>
                    </w:rPr>
                    <w:t>X</w:t>
                  </w:r>
                </w:p>
              </w:tc>
              <w:tc>
                <w:tcPr>
                  <w:tcW w:w="667"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rPr>
                      <w:b/>
                      <w:bCs/>
                    </w:rPr>
                  </w:pPr>
                  <w:r>
                    <w:rPr>
                      <w:b/>
                      <w:bCs/>
                    </w:rPr>
                    <w:t>Y</w:t>
                  </w:r>
                </w:p>
              </w:tc>
              <w:tc>
                <w:tcPr>
                  <w:tcW w:w="577"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rPr>
                      <w:b/>
                      <w:bCs/>
                    </w:rPr>
                  </w:pPr>
                  <w:r>
                    <w:rPr>
                      <w:b/>
                      <w:bCs/>
                    </w:rPr>
                    <w:t>Z</w:t>
                  </w: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r>
            <w:tr>
              <w:tblPrEx>
                <w:tblCellMar>
                  <w:top w:w="0" w:type="dxa"/>
                  <w:left w:w="108" w:type="dxa"/>
                  <w:bottom w:w="0" w:type="dxa"/>
                  <w:right w:w="108" w:type="dxa"/>
                </w:tblCellMar>
              </w:tblPrEx>
              <w:trPr>
                <w:trHeight w:val="397" w:hRule="atLeast"/>
                <w:jc w:val="center"/>
              </w:trPr>
              <w:tc>
                <w:tcPr>
                  <w:tcW w:w="569" w:type="pct"/>
                  <w:vMerge w:val="restar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东侧</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13.1</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17.8</w:t>
                  </w:r>
                </w:p>
              </w:tc>
              <w:tc>
                <w:tcPr>
                  <w:tcW w:w="996" w:type="dxa"/>
                  <w:vMerge w:val="restart"/>
                  <w:tcBorders>
                    <w:top w:val="nil"/>
                    <w:left w:val="single" w:color="000000" w:sz="8" w:space="0"/>
                    <w:right w:val="single" w:color="000000" w:sz="8" w:space="0"/>
                  </w:tcBorders>
                  <w:shd w:val="clear" w:color="auto" w:fill="auto"/>
                  <w:vAlign w:val="center"/>
                </w:tcPr>
                <w:p>
                  <w:pPr>
                    <w:pStyle w:val="37"/>
                    <w:ind w:left="0" w:leftChars="0"/>
                  </w:pPr>
                  <w:r>
                    <w:t>1.2</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昼间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rPr>
                      <w:rFonts w:hint="default" w:eastAsia="宋体"/>
                      <w:lang w:val="en-US" w:eastAsia="zh-CN"/>
                    </w:rPr>
                  </w:pPr>
                  <w:r>
                    <w:rPr>
                      <w:rFonts w:hint="eastAsia"/>
                      <w:lang w:val="en-US" w:eastAsia="zh-CN"/>
                    </w:rPr>
                    <w:t>54.2</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65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continue"/>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夜间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rPr>
                      <w:rFonts w:hint="default" w:eastAsia="宋体"/>
                      <w:lang w:val="en-US" w:eastAsia="zh-CN"/>
                    </w:rPr>
                  </w:pPr>
                  <w:r>
                    <w:rPr>
                      <w:rFonts w:hint="eastAsia"/>
                      <w:lang w:val="en-US" w:eastAsia="zh-CN"/>
                    </w:rPr>
                    <w:t>54.2</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55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restar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南侧</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9.9</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-25.4</w:t>
                  </w:r>
                </w:p>
              </w:tc>
              <w:tc>
                <w:tcPr>
                  <w:tcW w:w="996" w:type="dxa"/>
                  <w:vMerge w:val="restart"/>
                  <w:tcBorders>
                    <w:top w:val="nil"/>
                    <w:left w:val="single" w:color="000000" w:sz="8" w:space="0"/>
                    <w:right w:val="single" w:color="000000" w:sz="8" w:space="0"/>
                  </w:tcBorders>
                  <w:shd w:val="clear" w:color="auto" w:fill="auto"/>
                  <w:vAlign w:val="center"/>
                </w:tcPr>
                <w:p>
                  <w:pPr>
                    <w:pStyle w:val="37"/>
                    <w:ind w:left="0" w:leftChars="0"/>
                  </w:pPr>
                  <w:r>
                    <w:t>1.2</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昼间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rPr>
                      <w:rFonts w:hint="default"/>
                      <w:lang w:val="en-US"/>
                    </w:rPr>
                  </w:pPr>
                  <w:r>
                    <w:rPr>
                      <w:rFonts w:hint="eastAsia"/>
                      <w:lang w:val="en-US" w:eastAsia="zh-CN"/>
                    </w:rPr>
                    <w:t>53.5</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65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continue"/>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夜间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lang w:val="en-US" w:eastAsia="zh-CN"/>
                    </w:rPr>
                    <w:t>53.5</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55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restar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西侧</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-22.7</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-2.4</w:t>
                  </w:r>
                </w:p>
              </w:tc>
              <w:tc>
                <w:tcPr>
                  <w:tcW w:w="996" w:type="dxa"/>
                  <w:vMerge w:val="restart"/>
                  <w:tcBorders>
                    <w:top w:val="nil"/>
                    <w:left w:val="single" w:color="000000" w:sz="8" w:space="0"/>
                    <w:right w:val="single" w:color="000000" w:sz="8" w:space="0"/>
                  </w:tcBorders>
                  <w:shd w:val="clear" w:color="auto" w:fill="auto"/>
                  <w:vAlign w:val="center"/>
                </w:tcPr>
                <w:p>
                  <w:pPr>
                    <w:pStyle w:val="37"/>
                    <w:ind w:left="0" w:leftChars="0"/>
                  </w:pPr>
                  <w:r>
                    <w:t>1.2</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昼间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lang w:val="en-US" w:eastAsia="zh-CN"/>
                    </w:rPr>
                    <w:t>50</w:t>
                  </w:r>
                  <w:r>
                    <w:rPr>
                      <w:rFonts w:hint="eastAsia"/>
                    </w:rPr>
                    <w:t>.8</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65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continue"/>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夜间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lang w:val="en-US" w:eastAsia="zh-CN"/>
                    </w:rPr>
                    <w:t>50</w:t>
                  </w:r>
                  <w:r>
                    <w:rPr>
                      <w:rFonts w:hint="eastAsia"/>
                    </w:rPr>
                    <w:t>.8</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55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restar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北侧</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-15.5</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21.1</w:t>
                  </w:r>
                </w:p>
              </w:tc>
              <w:tc>
                <w:tcPr>
                  <w:tcW w:w="996" w:type="dxa"/>
                  <w:vMerge w:val="restart"/>
                  <w:tcBorders>
                    <w:top w:val="nil"/>
                    <w:left w:val="single" w:color="000000" w:sz="8" w:space="0"/>
                    <w:right w:val="single" w:color="000000" w:sz="8" w:space="0"/>
                  </w:tcBorders>
                  <w:shd w:val="clear" w:color="auto" w:fill="auto"/>
                  <w:vAlign w:val="center"/>
                </w:tcPr>
                <w:p>
                  <w:pPr>
                    <w:pStyle w:val="37"/>
                    <w:ind w:left="0" w:leftChars="0"/>
                  </w:pPr>
                  <w:r>
                    <w:t>1.2</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昼间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lang w:val="en-US" w:eastAsia="zh-CN"/>
                    </w:rPr>
                    <w:t>51</w:t>
                  </w:r>
                  <w:r>
                    <w:t>.6</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65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continue"/>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夜间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lang w:val="en-US" w:eastAsia="zh-CN"/>
                    </w:rPr>
                    <w:t>51</w:t>
                  </w:r>
                  <w:r>
                    <w:t>.6</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55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bl>
          <w:p>
            <w:pPr>
              <w:ind w:firstLine="480"/>
            </w:pPr>
            <w:r>
              <w:t>根据上述预测结果可知，项目建成后，</w:t>
            </w:r>
            <w:r>
              <w:rPr>
                <w:rFonts w:hint="eastAsia"/>
              </w:rPr>
              <w:t>厂界四周</w:t>
            </w:r>
            <w:r>
              <w:t>昼间噪声贡献值可满足《声环境质量标准》（GB3096-2008）</w:t>
            </w:r>
            <w:r>
              <w:rPr>
                <w:rFonts w:hint="eastAsia"/>
              </w:rPr>
              <w:t>3</w:t>
            </w:r>
            <w:r>
              <w:t>类标准限值</w:t>
            </w:r>
            <w:r>
              <w:rPr>
                <w:rFonts w:hint="eastAsia"/>
              </w:rPr>
              <w:t>。</w:t>
            </w:r>
          </w:p>
          <w:p>
            <w:pPr>
              <w:ind w:firstLine="480"/>
            </w:pPr>
            <w:r>
              <w:rPr>
                <w:rFonts w:hint="eastAsia"/>
              </w:rPr>
              <w:t>根据上述预测结果，本环评要求建设单位采取如下措施降低噪声对周边环境的影响：</w:t>
            </w:r>
          </w:p>
          <w:p>
            <w:pPr>
              <w:ind w:firstLine="480"/>
            </w:pPr>
            <w:r>
              <w:t>①项目生产应选用低噪声、低能耗、低排放等技术先进并满足相关环保标准的设备设施，及时淘汰国家和本市明令禁止的设备。</w:t>
            </w:r>
          </w:p>
          <w:p>
            <w:pPr>
              <w:ind w:firstLine="480"/>
              <w:rPr>
                <w:rFonts w:hint="eastAsia"/>
              </w:rPr>
            </w:pPr>
            <w:r>
              <w:rPr>
                <w:rFonts w:hint="eastAsia"/>
              </w:rPr>
              <w:t>②采取声学控制措施。为了防止振动产生的噪声污染，各类设备安装采取基础减振措施，设备设置单独基础，并加设减振垫，以防治振动产生噪音。</w:t>
            </w:r>
          </w:p>
          <w:p>
            <w:pPr>
              <w:ind w:firstLine="480"/>
              <w:rPr>
                <w:rFonts w:hint="eastAsia"/>
              </w:rPr>
            </w:pPr>
            <w:r>
              <w:rPr>
                <w:rFonts w:hint="eastAsia"/>
              </w:rPr>
              <w:t>③改进工艺、设施结构和操作方法等，尽量减少设施非正常运转。</w:t>
            </w:r>
          </w:p>
          <w:p>
            <w:pPr>
              <w:ind w:firstLine="480"/>
              <w:rPr>
                <w:rFonts w:hint="eastAsia"/>
              </w:rPr>
            </w:pPr>
            <w:r>
              <w:rPr>
                <w:rFonts w:hint="eastAsia"/>
              </w:rPr>
              <w:t>④生产厂房采用了封闭式结构，正常生产时，门窗均为关闭状态，可有效进行隔声。</w:t>
            </w:r>
          </w:p>
          <w:p>
            <w:pPr>
              <w:ind w:firstLine="480"/>
              <w:rPr>
                <w:rFonts w:hint="eastAsia"/>
              </w:rPr>
            </w:pPr>
            <w:r>
              <w:rPr>
                <w:rFonts w:hint="eastAsia"/>
              </w:rPr>
              <w:t>⑤在厂房边界种植草木，利用绿化对声音的吸声效果，降低噪声源强。</w:t>
            </w:r>
          </w:p>
          <w:p>
            <w:pPr>
              <w:ind w:firstLine="480"/>
            </w:pPr>
            <w:r>
              <w:rPr>
                <w:rFonts w:hint="eastAsia"/>
              </w:rPr>
              <w:t>④加强管理，减少对周边声环境的影响。</w:t>
            </w:r>
            <w:r>
              <w:t>在严格落实本环评要求的措施后，综合考虑本项目噪声对周边环境影响可以接受，能够满足环保要求。</w:t>
            </w:r>
          </w:p>
          <w:p>
            <w:pPr>
              <w:ind w:firstLine="480"/>
            </w:pPr>
            <w:r>
              <w:rPr>
                <w:rFonts w:hint="eastAsia"/>
              </w:rPr>
              <w:t>本项目自行监测要求详见下表。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16</w:t>
            </w:r>
            <w:r>
              <w:rPr>
                <w:rFonts w:hint="eastAsia" w:ascii="Times New Roman" w:hAnsi="Times New Roman" w:cs="Times New Roman"/>
                <w:b/>
                <w:bCs w:val="0"/>
                <w:u w:val="none"/>
              </w:rPr>
              <w:t>营运期噪声监测计划一览表</w:t>
            </w:r>
          </w:p>
          <w:tbl>
            <w:tblPr>
              <w:tblStyle w:val="24"/>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770"/>
              <w:gridCol w:w="1080"/>
              <w:gridCol w:w="1185"/>
              <w:gridCol w:w="2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pct"/>
                  <w:vAlign w:val="center"/>
                </w:tcPr>
                <w:p>
                  <w:pPr>
                    <w:pStyle w:val="37"/>
                    <w:ind w:left="0" w:leftChars="0"/>
                    <w:rPr>
                      <w:rFonts w:hint="default" w:ascii="Times New Roman" w:hAnsi="Times New Roman" w:cs="Times New Roman"/>
                      <w:b/>
                      <w:bCs/>
                    </w:rPr>
                  </w:pPr>
                  <w:r>
                    <w:rPr>
                      <w:rFonts w:hint="default" w:ascii="Times New Roman" w:hAnsi="Times New Roman" w:cs="Times New Roman"/>
                      <w:b/>
                      <w:bCs/>
                    </w:rPr>
                    <w:t>监测点位</w:t>
                  </w:r>
                </w:p>
              </w:tc>
              <w:tc>
                <w:tcPr>
                  <w:tcW w:w="1027" w:type="pct"/>
                  <w:vAlign w:val="center"/>
                </w:tcPr>
                <w:p>
                  <w:pPr>
                    <w:pStyle w:val="37"/>
                    <w:ind w:left="0" w:leftChars="0"/>
                    <w:rPr>
                      <w:rFonts w:hint="default" w:ascii="Times New Roman" w:hAnsi="Times New Roman" w:cs="Times New Roman"/>
                      <w:b/>
                      <w:bCs/>
                    </w:rPr>
                  </w:pPr>
                  <w:r>
                    <w:rPr>
                      <w:rFonts w:hint="default" w:ascii="Times New Roman" w:hAnsi="Times New Roman" w:cs="Times New Roman"/>
                      <w:b/>
                      <w:bCs/>
                    </w:rPr>
                    <w:t>监测内容</w:t>
                  </w:r>
                </w:p>
              </w:tc>
              <w:tc>
                <w:tcPr>
                  <w:tcW w:w="627" w:type="pct"/>
                  <w:vAlign w:val="center"/>
                </w:tcPr>
                <w:p>
                  <w:pPr>
                    <w:pStyle w:val="37"/>
                    <w:ind w:left="0" w:leftChars="0"/>
                    <w:rPr>
                      <w:rFonts w:hint="default" w:ascii="Times New Roman" w:hAnsi="Times New Roman" w:cs="Times New Roman"/>
                      <w:b/>
                      <w:bCs/>
                    </w:rPr>
                  </w:pPr>
                  <w:r>
                    <w:rPr>
                      <w:rFonts w:hint="default" w:ascii="Times New Roman" w:hAnsi="Times New Roman" w:cs="Times New Roman"/>
                      <w:b/>
                      <w:bCs/>
                    </w:rPr>
                    <w:t>监测频次</w:t>
                  </w:r>
                </w:p>
              </w:tc>
              <w:tc>
                <w:tcPr>
                  <w:tcW w:w="688" w:type="pct"/>
                  <w:vAlign w:val="center"/>
                </w:tcPr>
                <w:p>
                  <w:pPr>
                    <w:pStyle w:val="37"/>
                    <w:ind w:left="0" w:leftChars="0"/>
                    <w:rPr>
                      <w:rFonts w:hint="default" w:ascii="Times New Roman" w:hAnsi="Times New Roman" w:cs="Times New Roman"/>
                      <w:b/>
                      <w:bCs/>
                    </w:rPr>
                  </w:pPr>
                  <w:r>
                    <w:rPr>
                      <w:rFonts w:hint="default" w:ascii="Times New Roman" w:hAnsi="Times New Roman" w:cs="Times New Roman"/>
                      <w:b/>
                      <w:bCs/>
                    </w:rPr>
                    <w:t>监测方式</w:t>
                  </w:r>
                </w:p>
              </w:tc>
              <w:tc>
                <w:tcPr>
                  <w:tcW w:w="1638" w:type="pct"/>
                  <w:vAlign w:val="center"/>
                </w:tcPr>
                <w:p>
                  <w:pPr>
                    <w:pStyle w:val="37"/>
                    <w:ind w:left="0" w:leftChars="0"/>
                    <w:rPr>
                      <w:rFonts w:hint="default" w:ascii="Times New Roman" w:hAnsi="Times New Roman" w:cs="Times New Roman"/>
                      <w:b/>
                      <w:bCs/>
                    </w:rPr>
                  </w:pPr>
                  <w:r>
                    <w:rPr>
                      <w:rFonts w:hint="default" w:ascii="Times New Roman" w:hAnsi="Times New Roman" w:cs="Times New Roman"/>
                      <w:b/>
                      <w:bCs/>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 w:hRule="atLeast"/>
                <w:jc w:val="center"/>
              </w:trPr>
              <w:tc>
                <w:tcPr>
                  <w:tcW w:w="1017" w:type="pct"/>
                  <w:vAlign w:val="center"/>
                </w:tcPr>
                <w:p>
                  <w:pPr>
                    <w:pStyle w:val="37"/>
                    <w:ind w:left="0" w:leftChars="0"/>
                    <w:rPr>
                      <w:rFonts w:hint="default" w:ascii="Times New Roman" w:hAnsi="Times New Roman" w:cs="Times New Roman"/>
                    </w:rPr>
                  </w:pPr>
                  <w:r>
                    <w:rPr>
                      <w:rFonts w:hint="default" w:ascii="Times New Roman" w:hAnsi="Times New Roman" w:cs="Times New Roman"/>
                    </w:rPr>
                    <w:t>厂界四周</w:t>
                  </w:r>
                </w:p>
              </w:tc>
              <w:tc>
                <w:tcPr>
                  <w:tcW w:w="1027" w:type="pct"/>
                  <w:vAlign w:val="center"/>
                </w:tcPr>
                <w:p>
                  <w:pPr>
                    <w:pStyle w:val="37"/>
                    <w:ind w:left="0" w:leftChars="0"/>
                    <w:rPr>
                      <w:rFonts w:hint="default" w:ascii="Times New Roman" w:hAnsi="Times New Roman" w:cs="Times New Roman"/>
                    </w:rPr>
                  </w:pPr>
                  <w:r>
                    <w:rPr>
                      <w:rFonts w:hint="default" w:ascii="Times New Roman" w:hAnsi="Times New Roman" w:cs="Times New Roman"/>
                    </w:rPr>
                    <w:t>等效连续A声级</w:t>
                  </w:r>
                </w:p>
              </w:tc>
              <w:tc>
                <w:tcPr>
                  <w:tcW w:w="627" w:type="pct"/>
                  <w:vAlign w:val="center"/>
                </w:tcPr>
                <w:p>
                  <w:pPr>
                    <w:pStyle w:val="37"/>
                    <w:ind w:left="0" w:leftChars="0"/>
                    <w:rPr>
                      <w:rFonts w:hint="default" w:ascii="Times New Roman" w:hAnsi="Times New Roman" w:cs="Times New Roman"/>
                    </w:rPr>
                  </w:pPr>
                  <w:r>
                    <w:rPr>
                      <w:rFonts w:hint="default" w:ascii="Times New Roman" w:hAnsi="Times New Roman" w:cs="Times New Roman"/>
                    </w:rPr>
                    <w:t>1次/季度</w:t>
                  </w:r>
                </w:p>
              </w:tc>
              <w:tc>
                <w:tcPr>
                  <w:tcW w:w="688" w:type="pct"/>
                  <w:vAlign w:val="center"/>
                </w:tcPr>
                <w:p>
                  <w:pPr>
                    <w:pStyle w:val="37"/>
                    <w:ind w:left="0" w:leftChars="0"/>
                    <w:rPr>
                      <w:rFonts w:hint="default" w:ascii="Times New Roman" w:hAnsi="Times New Roman" w:cs="Times New Roman"/>
                    </w:rPr>
                  </w:pPr>
                  <w:r>
                    <w:rPr>
                      <w:rFonts w:hint="default" w:ascii="Times New Roman" w:hAnsi="Times New Roman" w:cs="Times New Roman"/>
                    </w:rPr>
                    <w:t>手工</w:t>
                  </w:r>
                </w:p>
              </w:tc>
              <w:tc>
                <w:tcPr>
                  <w:tcW w:w="1638" w:type="pct"/>
                  <w:vAlign w:val="center"/>
                </w:tcPr>
                <w:p>
                  <w:pPr>
                    <w:pStyle w:val="37"/>
                    <w:ind w:left="0" w:leftChars="0"/>
                    <w:rPr>
                      <w:rFonts w:hint="default" w:ascii="Times New Roman" w:hAnsi="Times New Roman" w:cs="Times New Roman"/>
                    </w:rPr>
                  </w:pPr>
                  <w:r>
                    <w:rPr>
                      <w:rFonts w:hint="default" w:ascii="Times New Roman" w:hAnsi="Times New Roman" w:cs="Times New Roman"/>
                    </w:rPr>
                    <w:t>《工业企业厂界环境噪声排放标准》（GB12348-2008）3类</w:t>
                  </w:r>
                </w:p>
              </w:tc>
            </w:tr>
          </w:tbl>
          <w:p>
            <w:pPr>
              <w:ind w:firstLine="482"/>
              <w:rPr>
                <w:b/>
                <w:bCs/>
              </w:rPr>
            </w:pPr>
            <w:r>
              <w:rPr>
                <w:rFonts w:hint="eastAsia"/>
                <w:b/>
                <w:bCs/>
              </w:rPr>
              <w:t>4、固体废物</w:t>
            </w:r>
          </w:p>
          <w:p>
            <w:pPr>
              <w:ind w:firstLine="480"/>
              <w:rPr>
                <w:rFonts w:hint="default" w:eastAsia="宋体"/>
                <w:b/>
                <w:bCs/>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（1）固废源强</w:t>
            </w:r>
          </w:p>
          <w:p>
            <w:pPr>
              <w:ind w:firstLine="480"/>
              <w:rPr>
                <w:rFonts w:hint="eastAsia"/>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本项目营运产生的固体废物主要为员工生活垃圾、废边角料及不合格产品、废包装材料、</w:t>
            </w:r>
            <w:r>
              <w:rPr>
                <w:rFonts w:hint="eastAsia"/>
                <w:color w:val="000000" w:themeColor="text1"/>
                <w:u w:val="none"/>
                <w:lang w:val="en-US" w:eastAsia="zh-CN"/>
                <w14:textFill>
                  <w14:solidFill>
                    <w14:schemeClr w14:val="tx1"/>
                  </w14:solidFill>
                </w14:textFill>
              </w:rPr>
              <w:t>废水性涂料桶、废水性涂料、废抹布手套</w:t>
            </w:r>
            <w:r>
              <w:rPr>
                <w:rFonts w:hint="eastAsia"/>
                <w:color w:val="000000" w:themeColor="text1"/>
                <w:u w:val="none"/>
                <w14:textFill>
                  <w14:solidFill>
                    <w14:schemeClr w14:val="tx1"/>
                  </w14:solidFill>
                </w14:textFill>
              </w:rPr>
              <w:t>、废活性炭</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废机油、废机油桶、含油抹布及手套</w:t>
            </w:r>
            <w:r>
              <w:rPr>
                <w:rFonts w:hint="eastAsia"/>
                <w:color w:val="000000" w:themeColor="text1"/>
                <w:u w:val="none"/>
                <w14:textFill>
                  <w14:solidFill>
                    <w14:schemeClr w14:val="tx1"/>
                  </w14:solidFill>
                </w14:textFill>
              </w:rPr>
              <w:t>。</w:t>
            </w:r>
          </w:p>
          <w:p>
            <w:pPr>
              <w:pStyle w:val="58"/>
              <w:keepNext w:val="0"/>
              <w:keepLines/>
              <w:pageBreakBefore w:val="0"/>
              <w:widowControl w:val="0"/>
              <w:suppressLineNumbers w:val="0"/>
              <w:topLinePunct w:val="0"/>
              <w:bidi w:val="0"/>
              <w:spacing w:before="0" w:beforeAutospacing="0" w:after="0" w:afterAutospacing="0" w:line="360" w:lineRule="auto"/>
              <w:ind w:left="0" w:right="0" w:firstLine="482" w:firstLineChars="200"/>
              <w:rPr>
                <w:rFonts w:hint="default" w:ascii="Times New Roman" w:hAnsi="Times New Roman" w:cs="Times New Roman"/>
                <w:b/>
                <w:bCs w:val="0"/>
                <w:color w:val="000000"/>
                <w:sz w:val="24"/>
                <w:szCs w:val="24"/>
                <w:lang w:val="en-US"/>
              </w:rPr>
            </w:pPr>
            <w:r>
              <w:rPr>
                <w:rFonts w:hint="eastAsia" w:ascii="Times New Roman" w:hAnsi="Times New Roman" w:cs="Times New Roman"/>
                <w:b/>
                <w:bCs w:val="0"/>
                <w:color w:val="000000"/>
                <w:sz w:val="24"/>
                <w:szCs w:val="24"/>
                <w:lang w:val="en-US"/>
              </w:rPr>
              <w:t>一般工业固体废物</w:t>
            </w:r>
          </w:p>
          <w:p>
            <w:pPr>
              <w:ind w:firstLine="480"/>
              <w:rPr>
                <w:rFonts w:hint="eastAsia"/>
                <w:color w:val="000000" w:themeColor="text1"/>
                <w:u w:val="none"/>
                <w14:textFill>
                  <w14:solidFill>
                    <w14:schemeClr w14:val="tx1"/>
                  </w14:solidFill>
                </w14:textFill>
              </w:rPr>
            </w:pPr>
            <w:r>
              <w:rPr>
                <w:rFonts w:hint="eastAsia"/>
                <w:color w:val="000000" w:themeColor="text1"/>
                <w:u w:val="none"/>
                <w:lang w:val="en-US" w:eastAsia="zh-CN"/>
                <w14:textFill>
                  <w14:solidFill>
                    <w14:schemeClr w14:val="tx1"/>
                  </w14:solidFill>
                </w14:textFill>
              </w:rPr>
              <w:t>①</w:t>
            </w:r>
            <w:r>
              <w:rPr>
                <w:rFonts w:hint="eastAsia"/>
                <w:color w:val="000000" w:themeColor="text1"/>
                <w:u w:val="none"/>
                <w14:textFill>
                  <w14:solidFill>
                    <w14:schemeClr w14:val="tx1"/>
                  </w14:solidFill>
                </w14:textFill>
              </w:rPr>
              <w:t>生活垃圾</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本项目劳动定员人数1</w:t>
            </w:r>
            <w:r>
              <w:rPr>
                <w:rFonts w:hint="eastAsia"/>
                <w:color w:val="000000" w:themeColor="text1"/>
                <w:u w:val="none"/>
                <w:lang w:val="en-US" w:eastAsia="zh-CN"/>
                <w14:textFill>
                  <w14:solidFill>
                    <w14:schemeClr w14:val="tx1"/>
                  </w14:solidFill>
                </w14:textFill>
              </w:rPr>
              <w:t>7</w:t>
            </w:r>
            <w:r>
              <w:rPr>
                <w:rFonts w:hint="eastAsia"/>
                <w:color w:val="000000" w:themeColor="text1"/>
                <w:u w:val="none"/>
                <w14:textFill>
                  <w14:solidFill>
                    <w14:schemeClr w14:val="tx1"/>
                  </w14:solidFill>
                </w14:textFill>
              </w:rPr>
              <w:t>人，年工作300天，生活垃圾按0.5kg/人·d计，则生活垃圾产生量为2</w:t>
            </w:r>
            <w:r>
              <w:rPr>
                <w:rFonts w:hint="eastAsia"/>
                <w:color w:val="000000" w:themeColor="text1"/>
                <w:u w:val="none"/>
                <w:lang w:val="en-US" w:eastAsia="zh-CN"/>
                <w14:textFill>
                  <w14:solidFill>
                    <w14:schemeClr w14:val="tx1"/>
                  </w14:solidFill>
                </w14:textFill>
              </w:rPr>
              <w:t>.55</w:t>
            </w:r>
            <w:r>
              <w:rPr>
                <w:rFonts w:hint="eastAsia"/>
                <w:color w:val="000000" w:themeColor="text1"/>
                <w:u w:val="none"/>
                <w14:textFill>
                  <w14:solidFill>
                    <w14:schemeClr w14:val="tx1"/>
                  </w14:solidFill>
                </w14:textFill>
              </w:rPr>
              <w:t>t/a（</w:t>
            </w:r>
            <w:r>
              <w:rPr>
                <w:rFonts w:hint="eastAsia"/>
                <w:color w:val="000000" w:themeColor="text1"/>
                <w:u w:val="none"/>
                <w:lang w:val="en-US" w:eastAsia="zh-CN"/>
                <w14:textFill>
                  <w14:solidFill>
                    <w14:schemeClr w14:val="tx1"/>
                  </w14:solidFill>
                </w14:textFill>
              </w:rPr>
              <w:t>8.5</w:t>
            </w:r>
            <w:r>
              <w:rPr>
                <w:rFonts w:hint="eastAsia"/>
                <w:color w:val="000000" w:themeColor="text1"/>
                <w:u w:val="none"/>
                <w14:textFill>
                  <w14:solidFill>
                    <w14:schemeClr w14:val="tx1"/>
                  </w14:solidFill>
                </w14:textFill>
              </w:rPr>
              <w:t>kg/d），由建设单位采用垃圾桶收集，交由环卫部门统一处理。</w:t>
            </w:r>
          </w:p>
          <w:p>
            <w:pPr>
              <w:ind w:firstLine="480"/>
              <w:rPr>
                <w:rFonts w:hint="eastAsia"/>
                <w:color w:val="000000" w:themeColor="text1"/>
                <w:u w:val="none"/>
                <w14:textFill>
                  <w14:solidFill>
                    <w14:schemeClr w14:val="tx1"/>
                  </w14:solidFill>
                </w14:textFill>
              </w:rPr>
            </w:pPr>
            <w:r>
              <w:rPr>
                <w:rFonts w:hint="eastAsia"/>
                <w:color w:val="000000" w:themeColor="text1"/>
                <w:u w:val="none"/>
                <w:lang w:val="en-US" w:eastAsia="zh-CN"/>
                <w14:textFill>
                  <w14:solidFill>
                    <w14:schemeClr w14:val="tx1"/>
                  </w14:solidFill>
                </w14:textFill>
              </w:rPr>
              <w:t>②</w:t>
            </w:r>
            <w:r>
              <w:rPr>
                <w:rFonts w:hint="eastAsia"/>
                <w:color w:val="000000" w:themeColor="text1"/>
                <w:u w:val="none"/>
                <w14:textFill>
                  <w14:solidFill>
                    <w14:schemeClr w14:val="tx1"/>
                  </w14:solidFill>
                </w14:textFill>
              </w:rPr>
              <w:t>废边角料及不合格产品</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本项目在进行</w:t>
            </w:r>
            <w:r>
              <w:rPr>
                <w:rFonts w:hint="eastAsia"/>
                <w:color w:val="000000" w:themeColor="text1"/>
                <w:u w:val="none"/>
                <w:lang w:val="en-US" w:eastAsia="zh-CN"/>
                <w14:textFill>
                  <w14:solidFill>
                    <w14:schemeClr w14:val="tx1"/>
                  </w14:solidFill>
                </w14:textFill>
              </w:rPr>
              <w:t>分检、分切过程中</w:t>
            </w:r>
            <w:r>
              <w:rPr>
                <w:rFonts w:hint="eastAsia"/>
                <w:color w:val="000000" w:themeColor="text1"/>
                <w:u w:val="none"/>
                <w14:textFill>
                  <w14:solidFill>
                    <w14:schemeClr w14:val="tx1"/>
                  </w14:solidFill>
                </w14:textFill>
              </w:rPr>
              <w:t>会产生废边角料，根据建设单位提供的资料，其产生量约为原料用量的</w:t>
            </w:r>
            <w:r>
              <w:rPr>
                <w:rFonts w:hint="eastAsia"/>
                <w:color w:val="000000" w:themeColor="text1"/>
                <w:u w:val="none"/>
                <w:lang w:val="en-US" w:eastAsia="zh-CN"/>
                <w14:textFill>
                  <w14:solidFill>
                    <w14:schemeClr w14:val="tx1"/>
                  </w14:solidFill>
                </w14:textFill>
              </w:rPr>
              <w:t>0.1</w:t>
            </w:r>
            <w:r>
              <w:rPr>
                <w:rFonts w:hint="eastAsia"/>
                <w:color w:val="000000" w:themeColor="text1"/>
                <w:u w:val="none"/>
                <w14:textFill>
                  <w14:solidFill>
                    <w14:schemeClr w14:val="tx1"/>
                  </w14:solidFill>
                </w14:textFill>
              </w:rPr>
              <w:t>%，项目年使用</w:t>
            </w:r>
            <w:r>
              <w:rPr>
                <w:rFonts w:hint="eastAsia"/>
                <w:color w:val="000000" w:themeColor="text1"/>
                <w:u w:val="none"/>
                <w:lang w:val="en-US" w:eastAsia="zh-CN"/>
                <w14:textFill>
                  <w14:solidFill>
                    <w14:schemeClr w14:val="tx1"/>
                  </w14:solidFill>
                </w14:textFill>
              </w:rPr>
              <w:t>基膜共120</w:t>
            </w:r>
            <w:r>
              <w:rPr>
                <w:rFonts w:hint="eastAsia"/>
                <w:color w:val="000000" w:themeColor="text1"/>
                <w:u w:val="none"/>
                <w14:textFill>
                  <w14:solidFill>
                    <w14:schemeClr w14:val="tx1"/>
                  </w14:solidFill>
                </w14:textFill>
              </w:rPr>
              <w:t>0t/a，则边角料产生量为</w:t>
            </w:r>
            <w:r>
              <w:rPr>
                <w:rFonts w:hint="eastAsia"/>
                <w:color w:val="000000" w:themeColor="text1"/>
                <w:u w:val="none"/>
                <w:lang w:val="en-US" w:eastAsia="zh-CN"/>
                <w14:textFill>
                  <w14:solidFill>
                    <w14:schemeClr w14:val="tx1"/>
                  </w14:solidFill>
                </w14:textFill>
              </w:rPr>
              <w:t>1.2</w:t>
            </w:r>
            <w:r>
              <w:rPr>
                <w:rFonts w:hint="eastAsia"/>
                <w:color w:val="000000" w:themeColor="text1"/>
                <w:u w:val="none"/>
                <w14:textFill>
                  <w14:solidFill>
                    <w14:schemeClr w14:val="tx1"/>
                  </w14:solidFill>
                </w14:textFill>
              </w:rPr>
              <w:t>t/a。项目生产过程中因设备操作失误等因素，会产生少量次品，根据建设单位提供的资料，其产生量约为</w:t>
            </w:r>
            <w:r>
              <w:rPr>
                <w:rFonts w:hint="eastAsia"/>
                <w:color w:val="000000" w:themeColor="text1"/>
                <w:u w:val="none"/>
                <w:lang w:val="en-US" w:eastAsia="zh-CN"/>
                <w14:textFill>
                  <w14:solidFill>
                    <w14:schemeClr w14:val="tx1"/>
                  </w14:solidFill>
                </w14:textFill>
              </w:rPr>
              <w:t>0.6</w:t>
            </w:r>
            <w:r>
              <w:rPr>
                <w:rFonts w:hint="eastAsia"/>
                <w:color w:val="000000" w:themeColor="text1"/>
                <w:u w:val="none"/>
                <w14:textFill>
                  <w14:solidFill>
                    <w14:schemeClr w14:val="tx1"/>
                  </w14:solidFill>
                </w14:textFill>
              </w:rPr>
              <w:t>t/a。根据《固体废物分类与代码目录》（生态环境部公告2024年第4号），本项目废边角料及不合格产品属于SW17可再生类废物，废物代码为SW17-900-099-S17。废边角料暂存于一般固废暂存间，定期交由回收单位利用。</w:t>
            </w:r>
          </w:p>
          <w:p>
            <w:pPr>
              <w:ind w:firstLine="480"/>
              <w:rPr>
                <w:rFonts w:hint="eastAsia"/>
                <w:color w:val="000000" w:themeColor="text1"/>
                <w:u w:val="none"/>
                <w14:textFill>
                  <w14:solidFill>
                    <w14:schemeClr w14:val="tx1"/>
                  </w14:solidFill>
                </w14:textFill>
              </w:rPr>
            </w:pPr>
            <w:r>
              <w:rPr>
                <w:rFonts w:hint="eastAsia"/>
                <w:color w:val="000000" w:themeColor="text1"/>
                <w:u w:val="none"/>
                <w:lang w:val="en-US" w:eastAsia="zh-CN"/>
                <w14:textFill>
                  <w14:solidFill>
                    <w14:schemeClr w14:val="tx1"/>
                  </w14:solidFill>
                </w14:textFill>
              </w:rPr>
              <w:t>③</w:t>
            </w:r>
            <w:r>
              <w:rPr>
                <w:rFonts w:hint="eastAsia"/>
                <w:color w:val="000000" w:themeColor="text1"/>
                <w:u w:val="none"/>
                <w14:textFill>
                  <w14:solidFill>
                    <w14:schemeClr w14:val="tx1"/>
                  </w14:solidFill>
                </w14:textFill>
              </w:rPr>
              <w:t>废包装材料</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项目生产使用的</w:t>
            </w:r>
            <w:r>
              <w:rPr>
                <w:rFonts w:hint="eastAsia"/>
                <w:color w:val="000000" w:themeColor="text1"/>
                <w:u w:val="none"/>
                <w:lang w:val="en-US" w:eastAsia="zh-CN"/>
                <w14:textFill>
                  <w14:solidFill>
                    <w14:schemeClr w14:val="tx1"/>
                  </w14:solidFill>
                </w14:textFill>
              </w:rPr>
              <w:t>原料基膜</w:t>
            </w:r>
            <w:r>
              <w:rPr>
                <w:rFonts w:hint="eastAsia"/>
                <w:color w:val="000000" w:themeColor="text1"/>
                <w:u w:val="none"/>
                <w14:textFill>
                  <w14:solidFill>
                    <w14:schemeClr w14:val="tx1"/>
                  </w14:solidFill>
                </w14:textFill>
              </w:rPr>
              <w:t>在使用过程中会产生少量废包装，主要为废包装袋、废纸箱等，根据建设单位提供的资料，其产生量约为0.8t/a。根据《固体废物分类与代码目录》（生态环境部公告2024年第4号），本项目废包装属于SW17可再生类废物，废物代码为SW17-900-003-S17。废包装暂存于一般固废暂存间，定期交由回收单位利用。</w:t>
            </w:r>
          </w:p>
          <w:p>
            <w:pPr>
              <w:ind w:firstLine="480"/>
              <w:rPr>
                <w:rFonts w:hint="default"/>
                <w:b/>
                <w:bCs/>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危险废物</w:t>
            </w:r>
          </w:p>
          <w:p>
            <w:pPr>
              <w:pStyle w:val="58"/>
              <w:keepNext w:val="0"/>
              <w:keepLines/>
              <w:pageBreakBefore w:val="0"/>
              <w:widowControl w:val="0"/>
              <w:suppressLineNumbers w:val="0"/>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pPr>
            <w:r>
              <w:rPr>
                <w:rFonts w:hint="eastAsia"/>
                <w:lang w:val="en-US" w:eastAsia="zh-CN"/>
              </w:rPr>
              <w:t>④</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废水性涂料</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项目使用</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水性涂料进行涂布，</w:t>
            </w:r>
            <w:r>
              <w:rPr>
                <w:rFonts w:hint="eastAsia" w:cs="Times New Roman"/>
                <w:color w:val="000000" w:themeColor="text1"/>
                <w:kern w:val="2"/>
                <w:sz w:val="24"/>
                <w:szCs w:val="24"/>
                <w:u w:val="none"/>
                <w:lang w:val="en-US" w:eastAsia="zh-CN" w:bidi="ar-SA"/>
                <w14:textFill>
                  <w14:solidFill>
                    <w14:schemeClr w14:val="tx1"/>
                  </w14:solidFill>
                </w14:textFill>
              </w:rPr>
              <w:t>根据</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建设单位</w:t>
            </w:r>
            <w:r>
              <w:rPr>
                <w:rFonts w:hint="eastAsia" w:cs="Times New Roman"/>
                <w:color w:val="000000" w:themeColor="text1"/>
                <w:kern w:val="2"/>
                <w:sz w:val="24"/>
                <w:szCs w:val="24"/>
                <w:u w:val="none"/>
                <w:lang w:val="en-US" w:eastAsia="zh-CN" w:bidi="ar-SA"/>
                <w14:textFill>
                  <w14:solidFill>
                    <w14:schemeClr w14:val="tx1"/>
                  </w14:solidFill>
                </w14:textFill>
              </w:rPr>
              <w:t>提供</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数据，</w:t>
            </w:r>
            <w:r>
              <w:rPr>
                <w:rFonts w:hint="eastAsia" w:cs="Times New Roman"/>
                <w:color w:val="000000" w:themeColor="text1"/>
                <w:kern w:val="2"/>
                <w:sz w:val="24"/>
                <w:szCs w:val="24"/>
                <w:u w:val="none"/>
                <w:lang w:val="en-US" w:eastAsia="zh-CN" w:bidi="ar-SA"/>
                <w14:textFill>
                  <w14:solidFill>
                    <w14:schemeClr w14:val="tx1"/>
                  </w14:solidFill>
                </w14:textFill>
              </w:rPr>
              <w:t>废水性涂料</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产生量约为</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0.</w:t>
            </w:r>
            <w:r>
              <w:rPr>
                <w:rFonts w:hint="eastAsia" w:cs="Times New Roman"/>
                <w:color w:val="000000" w:themeColor="text1"/>
                <w:kern w:val="2"/>
                <w:sz w:val="24"/>
                <w:szCs w:val="24"/>
                <w:u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t/a</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根据《国家危险废物名录》（2025版）</w:t>
            </w:r>
            <w:r>
              <w:rPr>
                <w:rFonts w:hint="eastAsia" w:cs="Times New Roman"/>
                <w:color w:val="000000" w:themeColor="text1"/>
                <w:kern w:val="2"/>
                <w:sz w:val="24"/>
                <w:szCs w:val="24"/>
                <w:u w:val="none"/>
                <w:lang w:val="en-US" w:eastAsia="zh-CN" w:bidi="ar-SA"/>
                <w14:textFill>
                  <w14:solidFill>
                    <w14:schemeClr w14:val="tx1"/>
                  </w14:solidFill>
                </w14:textFill>
              </w:rPr>
              <w:t>，废水性涂料不属于</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《国家危险废物名录》（2025版）</w:t>
            </w:r>
            <w:r>
              <w:rPr>
                <w:rFonts w:hint="eastAsia" w:cs="Times New Roman"/>
                <w:color w:val="000000" w:themeColor="text1"/>
                <w:kern w:val="2"/>
                <w:sz w:val="24"/>
                <w:szCs w:val="24"/>
                <w:u w:val="none"/>
                <w:lang w:val="en-US" w:eastAsia="zh-CN" w:bidi="ar-SA"/>
                <w14:textFill>
                  <w14:solidFill>
                    <w14:schemeClr w14:val="tx1"/>
                  </w14:solidFill>
                </w14:textFill>
              </w:rPr>
              <w:t>所列危险废物，环评建议从严按危险废物进行管理，</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废水性涂料</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收集</w:t>
            </w:r>
            <w:r>
              <w:rPr>
                <w:rFonts w:hint="eastAsia" w:cs="Times New Roman"/>
                <w:color w:val="000000" w:themeColor="text1"/>
                <w:kern w:val="2"/>
                <w:sz w:val="24"/>
                <w:szCs w:val="24"/>
                <w:u w:val="none"/>
                <w:lang w:val="en-US" w:eastAsia="zh-CN" w:bidi="ar-SA"/>
                <w14:textFill>
                  <w14:solidFill>
                    <w14:schemeClr w14:val="tx1"/>
                  </w14:solidFill>
                </w14:textFill>
              </w:rPr>
              <w:t>暂存危险暂存间</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定期交由有危废资质的单位处理。</w:t>
            </w:r>
          </w:p>
          <w:p>
            <w:pPr>
              <w:pStyle w:val="58"/>
              <w:keepNext w:val="0"/>
              <w:keepLines/>
              <w:pageBreakBefore w:val="0"/>
              <w:widowControl w:val="0"/>
              <w:suppressLineNumbers w:val="0"/>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pPr>
            <w:r>
              <w:rPr>
                <w:rFonts w:hint="eastAsia" w:cs="Times New Roman"/>
                <w:color w:val="000000" w:themeColor="text1"/>
                <w:kern w:val="2"/>
                <w:sz w:val="24"/>
                <w:szCs w:val="24"/>
                <w:u w:val="none"/>
                <w:lang w:val="en-US" w:eastAsia="zh-CN" w:bidi="ar-SA"/>
                <w14:textFill>
                  <w14:solidFill>
                    <w14:schemeClr w14:val="tx1"/>
                  </w14:solidFill>
                </w14:textFill>
              </w:rPr>
              <w:t>⑤</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废水性</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涂料</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桶</w:t>
            </w:r>
            <w:r>
              <w:rPr>
                <w:rFonts w:hint="eastAsia" w:cs="Times New Roman"/>
                <w:color w:val="000000" w:themeColor="text1"/>
                <w:kern w:val="2"/>
                <w:sz w:val="24"/>
                <w:szCs w:val="24"/>
                <w:u w:val="none"/>
                <w:lang w:val="en-US" w:eastAsia="zh-CN" w:bidi="ar-SA"/>
                <w14:textFill>
                  <w14:solidFill>
                    <w14:schemeClr w14:val="tx1"/>
                  </w14:solidFill>
                </w14:textFill>
              </w:rPr>
              <w:t>、</w:t>
            </w:r>
            <w:r>
              <w:rPr>
                <w:rFonts w:hint="eastAsia"/>
                <w:lang w:val="en-US" w:eastAsia="zh-CN"/>
              </w:rPr>
              <w:t>废抹</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布手套：</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项目使用</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水性涂料进行涂布，</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产生的废水性</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涂料</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桶</w:t>
            </w:r>
            <w:r>
              <w:rPr>
                <w:rFonts w:hint="eastAsia" w:cs="Times New Roman"/>
                <w:color w:val="000000" w:themeColor="text1"/>
                <w:kern w:val="2"/>
                <w:sz w:val="24"/>
                <w:szCs w:val="24"/>
                <w:u w:val="none"/>
                <w:lang w:val="en-US" w:eastAsia="zh-CN" w:bidi="ar-SA"/>
                <w14:textFill>
                  <w14:solidFill>
                    <w14:schemeClr w14:val="tx1"/>
                  </w14:solidFill>
                </w14:textFill>
              </w:rPr>
              <w:t>约0.1t/a，</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用涂布辊筒清理产生的废抹布手套约0.01t/a。</w:t>
            </w:r>
            <w:r>
              <w:rPr>
                <w:rFonts w:hint="eastAsia" w:ascii="Times New Roman" w:hAnsi="Times New Roman" w:eastAsia="宋体" w:cs="Times New Roman"/>
                <w:bCs/>
                <w:color w:val="auto"/>
                <w:sz w:val="24"/>
                <w:szCs w:val="24"/>
                <w:u w:val="none"/>
                <w:lang w:val="en-US" w:eastAsia="zh-CN"/>
              </w:rPr>
              <w:t>根据</w:t>
            </w:r>
            <w:r>
              <w:rPr>
                <w:rFonts w:hint="default" w:ascii="Times New Roman" w:hAnsi="Times New Roman" w:eastAsia="宋体" w:cs="Times New Roman"/>
                <w:bCs/>
                <w:color w:val="auto"/>
                <w:sz w:val="24"/>
                <w:szCs w:val="24"/>
                <w:u w:val="none"/>
                <w:lang w:val="en-US" w:eastAsia="zh-CN"/>
              </w:rPr>
              <w:t>《国家危险废物名录》（202</w:t>
            </w:r>
            <w:r>
              <w:rPr>
                <w:rFonts w:hint="eastAsia" w:ascii="Times New Roman" w:hAnsi="Times New Roman" w:eastAsia="宋体" w:cs="Times New Roman"/>
                <w:bCs/>
                <w:color w:val="auto"/>
                <w:sz w:val="24"/>
                <w:szCs w:val="24"/>
                <w:u w:val="none"/>
                <w:lang w:val="en-US" w:eastAsia="zh-CN"/>
              </w:rPr>
              <w:t>5年</w:t>
            </w:r>
            <w:r>
              <w:rPr>
                <w:rFonts w:hint="default" w:ascii="Times New Roman" w:hAnsi="Times New Roman" w:eastAsia="宋体" w:cs="Times New Roman"/>
                <w:bCs/>
                <w:color w:val="auto"/>
                <w:sz w:val="24"/>
                <w:szCs w:val="24"/>
                <w:u w:val="none"/>
                <w:lang w:val="en-US" w:eastAsia="zh-CN"/>
              </w:rPr>
              <w:t>版）</w:t>
            </w:r>
            <w:r>
              <w:rPr>
                <w:rFonts w:hint="eastAsia" w:cs="Times New Roman"/>
                <w:bCs/>
                <w:color w:val="auto"/>
                <w:sz w:val="24"/>
                <w:szCs w:val="24"/>
                <w:u w:val="none"/>
                <w:lang w:val="en-US" w:eastAsia="zh-CN"/>
              </w:rPr>
              <w:t>，</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废水性</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涂料</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桶</w:t>
            </w:r>
            <w:r>
              <w:rPr>
                <w:rFonts w:hint="eastAsia" w:cs="Times New Roman"/>
                <w:color w:val="000000" w:themeColor="text1"/>
                <w:kern w:val="2"/>
                <w:sz w:val="24"/>
                <w:szCs w:val="24"/>
                <w:u w:val="none"/>
                <w:lang w:val="en-US" w:eastAsia="zh-CN" w:bidi="ar-SA"/>
                <w14:textFill>
                  <w14:solidFill>
                    <w14:schemeClr w14:val="tx1"/>
                  </w14:solidFill>
                </w14:textFill>
              </w:rPr>
              <w:t>、</w:t>
            </w:r>
            <w:r>
              <w:rPr>
                <w:rFonts w:hint="eastAsia"/>
                <w:lang w:val="en-US" w:eastAsia="zh-CN"/>
              </w:rPr>
              <w:t>废抹</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布手套</w:t>
            </w:r>
            <w:r>
              <w:rPr>
                <w:rFonts w:hint="eastAsia" w:cs="Times New Roman"/>
                <w:color w:val="000000" w:themeColor="text1"/>
                <w:kern w:val="2"/>
                <w:sz w:val="24"/>
                <w:szCs w:val="24"/>
                <w:u w:val="none"/>
                <w:lang w:val="en-US" w:eastAsia="zh-CN" w:bidi="ar-SA"/>
                <w14:textFill>
                  <w14:solidFill>
                    <w14:schemeClr w14:val="tx1"/>
                  </w14:solidFill>
                </w14:textFill>
              </w:rPr>
              <w:t>不属于</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《国家危险废物名录》（2025版）</w:t>
            </w:r>
            <w:r>
              <w:rPr>
                <w:rFonts w:hint="eastAsia" w:cs="Times New Roman"/>
                <w:color w:val="000000" w:themeColor="text1"/>
                <w:kern w:val="2"/>
                <w:sz w:val="24"/>
                <w:szCs w:val="24"/>
                <w:u w:val="none"/>
                <w:lang w:val="en-US" w:eastAsia="zh-CN" w:bidi="ar-SA"/>
                <w14:textFill>
                  <w14:solidFill>
                    <w14:schemeClr w14:val="tx1"/>
                  </w14:solidFill>
                </w14:textFill>
              </w:rPr>
              <w:t>所列危险废物，环评建议从严按危险废物进行管理，</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废水性涂料</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收集</w:t>
            </w:r>
            <w:r>
              <w:rPr>
                <w:rFonts w:hint="eastAsia" w:cs="Times New Roman"/>
                <w:color w:val="000000" w:themeColor="text1"/>
                <w:kern w:val="2"/>
                <w:sz w:val="24"/>
                <w:szCs w:val="24"/>
                <w:u w:val="none"/>
                <w:lang w:val="en-US" w:eastAsia="zh-CN" w:bidi="ar-SA"/>
                <w14:textFill>
                  <w14:solidFill>
                    <w14:schemeClr w14:val="tx1"/>
                  </w14:solidFill>
                </w14:textFill>
              </w:rPr>
              <w:t>暂存危险暂存间</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定期交由有危废资质的单位处理。</w:t>
            </w:r>
          </w:p>
          <w:p>
            <w:pPr>
              <w:pStyle w:val="58"/>
              <w:keepNext w:val="0"/>
              <w:keepLines/>
              <w:pageBreakBefore w:val="0"/>
              <w:widowControl w:val="0"/>
              <w:suppressLineNumbers w:val="0"/>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bCs/>
                <w:color w:val="000000"/>
                <w:sz w:val="24"/>
                <w:szCs w:val="24"/>
                <w:lang w:val="en-US" w:eastAsia="zh-CN"/>
              </w:rPr>
            </w:pPr>
            <w:r>
              <w:rPr>
                <w:rFonts w:hint="eastAsia" w:cs="Times New Roman"/>
                <w:bCs/>
                <w:color w:val="000000"/>
                <w:sz w:val="24"/>
                <w:szCs w:val="24"/>
                <w:lang w:val="en-US" w:eastAsia="zh-CN"/>
              </w:rPr>
              <w:t>⑥</w:t>
            </w:r>
            <w:r>
              <w:rPr>
                <w:rFonts w:hint="default" w:ascii="Times New Roman" w:hAnsi="Times New Roman" w:eastAsia="宋体" w:cs="Times New Roman"/>
                <w:bCs/>
                <w:color w:val="000000"/>
                <w:sz w:val="24"/>
                <w:szCs w:val="24"/>
                <w:lang w:val="en-US" w:eastAsia="zh-CN"/>
              </w:rPr>
              <w:t>废</w:t>
            </w:r>
            <w:r>
              <w:rPr>
                <w:rFonts w:hint="eastAsia" w:cs="Times New Roman"/>
                <w:bCs/>
                <w:color w:val="000000"/>
                <w:sz w:val="24"/>
                <w:szCs w:val="24"/>
                <w:lang w:val="en-US" w:eastAsia="zh-CN"/>
              </w:rPr>
              <w:t>机</w:t>
            </w:r>
            <w:r>
              <w:rPr>
                <w:rFonts w:hint="eastAsia" w:ascii="Times New Roman" w:hAnsi="Times New Roman" w:eastAsia="宋体" w:cs="Times New Roman"/>
                <w:bCs/>
                <w:color w:val="000000"/>
                <w:sz w:val="24"/>
                <w:szCs w:val="24"/>
                <w:lang w:val="en-US" w:eastAsia="zh-CN"/>
              </w:rPr>
              <w:t>油</w:t>
            </w:r>
            <w:r>
              <w:rPr>
                <w:rFonts w:hint="eastAsia" w:cs="Times New Roman"/>
                <w:bCs/>
                <w:color w:val="000000"/>
                <w:sz w:val="24"/>
                <w:szCs w:val="24"/>
                <w:lang w:val="en-US" w:eastAsia="zh-CN"/>
              </w:rPr>
              <w:t>：</w:t>
            </w:r>
            <w:r>
              <w:rPr>
                <w:rFonts w:hint="default" w:ascii="Times New Roman" w:hAnsi="Times New Roman" w:eastAsia="宋体" w:cs="Times New Roman"/>
                <w:bCs/>
                <w:color w:val="000000"/>
                <w:sz w:val="24"/>
                <w:szCs w:val="24"/>
                <w:lang w:val="en-US" w:eastAsia="zh-CN"/>
              </w:rPr>
              <w:t>本项目营运期定期对各机械设备进行检修维护，该过程会产生少量废</w:t>
            </w:r>
            <w:r>
              <w:rPr>
                <w:rFonts w:hint="eastAsia" w:cs="Times New Roman"/>
                <w:bCs/>
                <w:color w:val="000000"/>
                <w:sz w:val="24"/>
                <w:szCs w:val="24"/>
                <w:lang w:val="en-US" w:eastAsia="zh-CN"/>
              </w:rPr>
              <w:t>机</w:t>
            </w:r>
            <w:r>
              <w:rPr>
                <w:rFonts w:hint="eastAsia" w:ascii="Times New Roman" w:hAnsi="Times New Roman" w:eastAsia="宋体" w:cs="Times New Roman"/>
                <w:bCs/>
                <w:color w:val="000000"/>
                <w:sz w:val="24"/>
                <w:szCs w:val="24"/>
                <w:lang w:val="en-US" w:eastAsia="zh-CN"/>
              </w:rPr>
              <w:t>油</w:t>
            </w:r>
            <w:r>
              <w:rPr>
                <w:rFonts w:hint="default" w:ascii="Times New Roman" w:hAnsi="Times New Roman" w:eastAsia="宋体" w:cs="Times New Roman"/>
                <w:bCs/>
                <w:color w:val="000000"/>
                <w:sz w:val="24"/>
                <w:szCs w:val="24"/>
                <w:lang w:val="en-US" w:eastAsia="zh-CN"/>
              </w:rPr>
              <w:t>，根据建设单位预估数据，废矿物油产生量约0.</w:t>
            </w:r>
            <w:r>
              <w:rPr>
                <w:rFonts w:hint="eastAsia" w:cs="Times New Roman"/>
                <w:bCs/>
                <w:color w:val="000000"/>
                <w:sz w:val="24"/>
                <w:szCs w:val="24"/>
                <w:lang w:val="en-US" w:eastAsia="zh-CN"/>
              </w:rPr>
              <w:t>0</w:t>
            </w:r>
            <w:r>
              <w:rPr>
                <w:rFonts w:hint="default" w:ascii="Times New Roman" w:hAnsi="Times New Roman" w:eastAsia="宋体" w:cs="Times New Roman"/>
                <w:bCs/>
                <w:color w:val="000000"/>
                <w:sz w:val="24"/>
                <w:szCs w:val="24"/>
                <w:lang w:val="en-US" w:eastAsia="zh-CN"/>
              </w:rPr>
              <w:t>1t/a，</w:t>
            </w:r>
            <w:r>
              <w:rPr>
                <w:rFonts w:hint="eastAsia" w:ascii="Times New Roman" w:hAnsi="Times New Roman" w:eastAsia="宋体" w:cs="Times New Roman"/>
                <w:bCs/>
                <w:color w:val="auto"/>
                <w:sz w:val="24"/>
                <w:szCs w:val="24"/>
                <w:u w:val="none"/>
                <w:lang w:val="en-US" w:eastAsia="zh-CN"/>
              </w:rPr>
              <w:t>根据</w:t>
            </w:r>
            <w:r>
              <w:rPr>
                <w:rFonts w:hint="default" w:ascii="Times New Roman" w:hAnsi="Times New Roman" w:eastAsia="宋体" w:cs="Times New Roman"/>
                <w:bCs/>
                <w:color w:val="auto"/>
                <w:sz w:val="24"/>
                <w:szCs w:val="24"/>
                <w:u w:val="none"/>
                <w:lang w:val="en-US" w:eastAsia="zh-CN"/>
              </w:rPr>
              <w:t>《国家危险废物名录》（202</w:t>
            </w:r>
            <w:r>
              <w:rPr>
                <w:rFonts w:hint="eastAsia" w:ascii="Times New Roman" w:hAnsi="Times New Roman" w:eastAsia="宋体" w:cs="Times New Roman"/>
                <w:bCs/>
                <w:color w:val="auto"/>
                <w:sz w:val="24"/>
                <w:szCs w:val="24"/>
                <w:u w:val="none"/>
                <w:lang w:val="en-US" w:eastAsia="zh-CN"/>
              </w:rPr>
              <w:t>5年</w:t>
            </w:r>
            <w:r>
              <w:rPr>
                <w:rFonts w:hint="default" w:ascii="Times New Roman" w:hAnsi="Times New Roman" w:eastAsia="宋体" w:cs="Times New Roman"/>
                <w:bCs/>
                <w:color w:val="auto"/>
                <w:sz w:val="24"/>
                <w:szCs w:val="24"/>
                <w:u w:val="none"/>
                <w:lang w:val="en-US" w:eastAsia="zh-CN"/>
              </w:rPr>
              <w:t>版）</w:t>
            </w:r>
            <w:r>
              <w:rPr>
                <w:rFonts w:hint="eastAsia" w:ascii="Times New Roman" w:hAnsi="Times New Roman" w:eastAsia="宋体" w:cs="Times New Roman"/>
                <w:bCs/>
                <w:color w:val="auto"/>
                <w:sz w:val="24"/>
                <w:szCs w:val="24"/>
                <w:u w:val="none"/>
                <w:lang w:val="en-US" w:eastAsia="zh-CN"/>
              </w:rPr>
              <w:t>，</w:t>
            </w:r>
            <w:r>
              <w:rPr>
                <w:rFonts w:hint="default" w:ascii="Times New Roman" w:hAnsi="Times New Roman" w:eastAsia="宋体" w:cs="Times New Roman"/>
                <w:bCs/>
                <w:color w:val="000000"/>
                <w:sz w:val="24"/>
                <w:szCs w:val="24"/>
                <w:lang w:val="en-US" w:eastAsia="zh-CN"/>
              </w:rPr>
              <w:t>属于危险废物，危废代码为HW08-900-2</w:t>
            </w:r>
            <w:r>
              <w:rPr>
                <w:rFonts w:hint="eastAsia" w:cs="Times New Roman"/>
                <w:bCs/>
                <w:color w:val="000000"/>
                <w:sz w:val="24"/>
                <w:szCs w:val="24"/>
                <w:lang w:val="en-US" w:eastAsia="zh-CN"/>
              </w:rPr>
              <w:t>14</w:t>
            </w:r>
            <w:r>
              <w:rPr>
                <w:rFonts w:hint="default" w:ascii="Times New Roman" w:hAnsi="Times New Roman" w:eastAsia="宋体" w:cs="Times New Roman"/>
                <w:bCs/>
                <w:color w:val="000000"/>
                <w:sz w:val="24"/>
                <w:szCs w:val="24"/>
                <w:lang w:val="en-US" w:eastAsia="zh-CN"/>
              </w:rPr>
              <w:t>-08，废矿物油经收集后暂存于危险废物暂存间，定期委托有资质单位处置。</w:t>
            </w:r>
          </w:p>
          <w:p>
            <w:pPr>
              <w:pStyle w:val="58"/>
              <w:keepNext w:val="0"/>
              <w:keepLines/>
              <w:pageBreakBefore w:val="0"/>
              <w:widowControl w:val="0"/>
              <w:suppressLineNumbers w:val="0"/>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bCs/>
                <w:color w:val="000000"/>
                <w:sz w:val="24"/>
                <w:szCs w:val="24"/>
                <w:lang w:val="en-US" w:eastAsia="zh-CN"/>
              </w:rPr>
            </w:pPr>
            <w:r>
              <w:rPr>
                <w:rFonts w:hint="eastAsia"/>
                <w:color w:val="auto"/>
                <w:highlight w:val="none"/>
                <w:u w:val="none"/>
                <w:vertAlign w:val="baseline"/>
                <w:lang w:val="en-US" w:eastAsia="zh-CN"/>
              </w:rPr>
              <w:t>⑦</w:t>
            </w:r>
            <w:r>
              <w:rPr>
                <w:rFonts w:hint="default" w:ascii="Times New Roman" w:hAnsi="Times New Roman" w:eastAsia="宋体" w:cs="Times New Roman"/>
                <w:bCs/>
                <w:color w:val="000000"/>
                <w:sz w:val="24"/>
                <w:szCs w:val="24"/>
                <w:lang w:val="en-US" w:eastAsia="zh-CN"/>
              </w:rPr>
              <w:t>废</w:t>
            </w:r>
            <w:r>
              <w:rPr>
                <w:rFonts w:hint="eastAsia" w:cs="Times New Roman"/>
                <w:bCs/>
                <w:color w:val="000000"/>
                <w:sz w:val="24"/>
                <w:szCs w:val="24"/>
                <w:lang w:val="en-US" w:eastAsia="zh-CN"/>
              </w:rPr>
              <w:t>机</w:t>
            </w:r>
            <w:r>
              <w:rPr>
                <w:rFonts w:hint="eastAsia" w:ascii="Times New Roman" w:hAnsi="Times New Roman" w:eastAsia="宋体" w:cs="Times New Roman"/>
                <w:bCs/>
                <w:color w:val="000000"/>
                <w:sz w:val="24"/>
                <w:szCs w:val="24"/>
                <w:lang w:val="en-US" w:eastAsia="zh-CN"/>
              </w:rPr>
              <w:t>油桶</w:t>
            </w:r>
            <w:r>
              <w:rPr>
                <w:rFonts w:hint="eastAsia" w:cs="Times New Roman"/>
                <w:bCs/>
                <w:color w:val="000000"/>
                <w:sz w:val="24"/>
                <w:szCs w:val="24"/>
                <w:lang w:val="en-US" w:eastAsia="zh-CN"/>
              </w:rPr>
              <w:t>：</w:t>
            </w:r>
            <w:r>
              <w:rPr>
                <w:rFonts w:hint="default" w:ascii="Times New Roman" w:hAnsi="Times New Roman" w:eastAsia="宋体" w:cs="Times New Roman"/>
                <w:bCs/>
                <w:color w:val="000000"/>
                <w:sz w:val="24"/>
                <w:szCs w:val="24"/>
                <w:lang w:val="en-US" w:eastAsia="zh-CN"/>
              </w:rPr>
              <w:t>本项目营运期定期使用润滑油对各机械设备进行检修维护，该过程会产生少量废</w:t>
            </w:r>
            <w:r>
              <w:rPr>
                <w:rFonts w:hint="eastAsia" w:cs="Times New Roman"/>
                <w:bCs/>
                <w:color w:val="000000"/>
                <w:sz w:val="24"/>
                <w:szCs w:val="24"/>
                <w:lang w:val="en-US" w:eastAsia="zh-CN"/>
              </w:rPr>
              <w:t>机</w:t>
            </w:r>
            <w:r>
              <w:rPr>
                <w:rFonts w:hint="default" w:ascii="Times New Roman" w:hAnsi="Times New Roman" w:eastAsia="宋体" w:cs="Times New Roman"/>
                <w:bCs/>
                <w:color w:val="000000"/>
                <w:sz w:val="24"/>
                <w:szCs w:val="24"/>
                <w:lang w:val="en-US" w:eastAsia="zh-CN"/>
              </w:rPr>
              <w:t>油桶，根据建设单位预估数据，废</w:t>
            </w:r>
            <w:r>
              <w:rPr>
                <w:rFonts w:hint="eastAsia" w:cs="Times New Roman"/>
                <w:bCs/>
                <w:color w:val="000000"/>
                <w:sz w:val="24"/>
                <w:szCs w:val="24"/>
                <w:lang w:val="en-US" w:eastAsia="zh-CN"/>
              </w:rPr>
              <w:t>机</w:t>
            </w:r>
            <w:r>
              <w:rPr>
                <w:rFonts w:hint="default" w:ascii="Times New Roman" w:hAnsi="Times New Roman" w:eastAsia="宋体" w:cs="Times New Roman"/>
                <w:bCs/>
                <w:color w:val="000000"/>
                <w:sz w:val="24"/>
                <w:szCs w:val="24"/>
                <w:lang w:val="en-US" w:eastAsia="zh-CN"/>
              </w:rPr>
              <w:t>油桶产生量约0.01t/a，</w:t>
            </w:r>
            <w:r>
              <w:rPr>
                <w:rFonts w:hint="eastAsia" w:ascii="Times New Roman" w:hAnsi="Times New Roman" w:eastAsia="宋体" w:cs="Times New Roman"/>
                <w:bCs/>
                <w:color w:val="auto"/>
                <w:sz w:val="24"/>
                <w:szCs w:val="24"/>
                <w:u w:val="none"/>
                <w:lang w:val="en-US" w:eastAsia="zh-CN"/>
              </w:rPr>
              <w:t>根据</w:t>
            </w:r>
            <w:r>
              <w:rPr>
                <w:rFonts w:hint="default" w:ascii="Times New Roman" w:hAnsi="Times New Roman" w:eastAsia="宋体" w:cs="Times New Roman"/>
                <w:bCs/>
                <w:color w:val="auto"/>
                <w:sz w:val="24"/>
                <w:szCs w:val="24"/>
                <w:u w:val="none"/>
                <w:lang w:val="en-US" w:eastAsia="zh-CN"/>
              </w:rPr>
              <w:t>《国家危险废物名录》（202</w:t>
            </w:r>
            <w:r>
              <w:rPr>
                <w:rFonts w:hint="eastAsia" w:ascii="Times New Roman" w:hAnsi="Times New Roman" w:eastAsia="宋体" w:cs="Times New Roman"/>
                <w:bCs/>
                <w:color w:val="auto"/>
                <w:sz w:val="24"/>
                <w:szCs w:val="24"/>
                <w:u w:val="none"/>
                <w:lang w:val="en-US" w:eastAsia="zh-CN"/>
              </w:rPr>
              <w:t>5年</w:t>
            </w:r>
            <w:r>
              <w:rPr>
                <w:rFonts w:hint="default" w:ascii="Times New Roman" w:hAnsi="Times New Roman" w:eastAsia="宋体" w:cs="Times New Roman"/>
                <w:bCs/>
                <w:color w:val="auto"/>
                <w:sz w:val="24"/>
                <w:szCs w:val="24"/>
                <w:u w:val="none"/>
                <w:lang w:val="en-US" w:eastAsia="zh-CN"/>
              </w:rPr>
              <w:t>版）</w:t>
            </w:r>
            <w:r>
              <w:rPr>
                <w:rFonts w:hint="eastAsia" w:ascii="Times New Roman" w:hAnsi="Times New Roman" w:eastAsia="宋体" w:cs="Times New Roman"/>
                <w:bCs/>
                <w:color w:val="auto"/>
                <w:sz w:val="24"/>
                <w:szCs w:val="24"/>
                <w:u w:val="none"/>
                <w:lang w:val="en-US" w:eastAsia="zh-CN"/>
              </w:rPr>
              <w:t>，</w:t>
            </w:r>
            <w:r>
              <w:rPr>
                <w:rFonts w:hint="default" w:ascii="Times New Roman" w:hAnsi="Times New Roman" w:eastAsia="宋体" w:cs="Times New Roman"/>
                <w:bCs/>
                <w:color w:val="000000"/>
                <w:sz w:val="24"/>
                <w:szCs w:val="24"/>
                <w:lang w:val="en-US" w:eastAsia="zh-CN"/>
              </w:rPr>
              <w:t>属于危险废物，危废代码为HW08</w:t>
            </w:r>
            <w:r>
              <w:rPr>
                <w:rFonts w:hint="eastAsia" w:cs="Times New Roman"/>
                <w:bCs/>
                <w:color w:val="000000"/>
                <w:sz w:val="24"/>
                <w:szCs w:val="24"/>
                <w:lang w:val="en-US" w:eastAsia="zh-CN"/>
              </w:rPr>
              <w:t>-</w:t>
            </w:r>
            <w:r>
              <w:rPr>
                <w:rFonts w:hint="default" w:ascii="Times New Roman" w:hAnsi="Times New Roman" w:eastAsia="宋体" w:cs="Times New Roman"/>
                <w:bCs/>
                <w:color w:val="000000"/>
                <w:sz w:val="24"/>
                <w:szCs w:val="24"/>
                <w:lang w:val="en-US" w:eastAsia="zh-CN"/>
              </w:rPr>
              <w:t>900-249-08，废</w:t>
            </w:r>
            <w:r>
              <w:rPr>
                <w:rFonts w:hint="eastAsia" w:cs="Times New Roman"/>
                <w:bCs/>
                <w:color w:val="000000"/>
                <w:sz w:val="24"/>
                <w:szCs w:val="24"/>
                <w:lang w:val="en-US" w:eastAsia="zh-CN"/>
              </w:rPr>
              <w:t>机</w:t>
            </w:r>
            <w:r>
              <w:rPr>
                <w:rFonts w:hint="default" w:ascii="Times New Roman" w:hAnsi="Times New Roman" w:eastAsia="宋体" w:cs="Times New Roman"/>
                <w:bCs/>
                <w:color w:val="000000"/>
                <w:sz w:val="24"/>
                <w:szCs w:val="24"/>
                <w:lang w:val="en-US" w:eastAsia="zh-CN"/>
              </w:rPr>
              <w:t>油桶经收集后暂存于危险废物暂存间，定期委托有资质单位处置。</w:t>
            </w:r>
          </w:p>
          <w:p>
            <w:pPr>
              <w:keepNext w:val="0"/>
              <w:keepLines w:val="0"/>
              <w:suppressLineNumbers w:val="0"/>
              <w:bidi w:val="0"/>
              <w:spacing w:before="0" w:beforeAutospacing="0" w:after="0" w:afterAutospacing="0"/>
              <w:ind w:left="0" w:right="0"/>
              <w:rPr>
                <w:rFonts w:hint="eastAsia"/>
                <w:color w:val="auto"/>
                <w:highlight w:val="none"/>
                <w:u w:val="none"/>
                <w:vertAlign w:val="baseline"/>
                <w:lang w:val="en-US" w:eastAsia="zh-CN"/>
              </w:rPr>
            </w:pPr>
            <w:r>
              <w:rPr>
                <w:rFonts w:hint="eastAsia"/>
                <w:color w:val="auto"/>
                <w:highlight w:val="none"/>
                <w:u w:val="none"/>
                <w:vertAlign w:val="baseline"/>
                <w:lang w:val="en-US" w:eastAsia="zh-CN"/>
              </w:rPr>
              <w:t>⑧含油抹布及手套</w:t>
            </w:r>
            <w:r>
              <w:rPr>
                <w:rFonts w:hint="eastAsia"/>
                <w:color w:val="auto"/>
                <w:u w:val="none"/>
                <w:vertAlign w:val="baseline"/>
                <w:lang w:val="en-US" w:eastAsia="zh-CN"/>
              </w:rPr>
              <w:t>：</w:t>
            </w:r>
            <w:r>
              <w:rPr>
                <w:rFonts w:hint="eastAsia"/>
                <w:color w:val="auto"/>
                <w:highlight w:val="none"/>
                <w:u w:val="none"/>
                <w:vertAlign w:val="baseline"/>
                <w:lang w:val="en-US" w:eastAsia="zh-CN"/>
              </w:rPr>
              <w:t>本项目营运期定期对各机械设备进行检修维护，该过程会产生少量含油抹布及手套，根据建设单位预估数据，含油抹布及手套产生量约为0.005t/a，</w:t>
            </w:r>
            <w:r>
              <w:rPr>
                <w:rFonts w:hint="eastAsia" w:ascii="Times New Roman" w:hAnsi="Times New Roman" w:eastAsia="宋体" w:cs="Times New Roman"/>
                <w:bCs/>
                <w:color w:val="auto"/>
                <w:sz w:val="24"/>
                <w:szCs w:val="24"/>
                <w:u w:val="none"/>
                <w:lang w:val="en-US" w:eastAsia="zh-CN"/>
              </w:rPr>
              <w:t>根据</w:t>
            </w:r>
            <w:r>
              <w:rPr>
                <w:rFonts w:hint="default" w:ascii="Times New Roman" w:hAnsi="Times New Roman" w:eastAsia="宋体" w:cs="Times New Roman"/>
                <w:bCs/>
                <w:color w:val="auto"/>
                <w:sz w:val="24"/>
                <w:szCs w:val="24"/>
                <w:u w:val="none"/>
                <w:lang w:val="en-US" w:eastAsia="zh-CN"/>
              </w:rPr>
              <w:t>《国家危险废物名录》（202</w:t>
            </w:r>
            <w:r>
              <w:rPr>
                <w:rFonts w:hint="eastAsia" w:ascii="Times New Roman" w:hAnsi="Times New Roman" w:eastAsia="宋体" w:cs="Times New Roman"/>
                <w:bCs/>
                <w:color w:val="auto"/>
                <w:sz w:val="24"/>
                <w:szCs w:val="24"/>
                <w:u w:val="none"/>
                <w:lang w:val="en-US" w:eastAsia="zh-CN"/>
              </w:rPr>
              <w:t>5年</w:t>
            </w:r>
            <w:r>
              <w:rPr>
                <w:rFonts w:hint="default" w:ascii="Times New Roman" w:hAnsi="Times New Roman" w:eastAsia="宋体" w:cs="Times New Roman"/>
                <w:bCs/>
                <w:color w:val="auto"/>
                <w:sz w:val="24"/>
                <w:szCs w:val="24"/>
                <w:u w:val="none"/>
                <w:lang w:val="en-US" w:eastAsia="zh-CN"/>
              </w:rPr>
              <w:t>版）</w:t>
            </w:r>
            <w:r>
              <w:rPr>
                <w:rFonts w:hint="eastAsia" w:ascii="Times New Roman" w:hAnsi="Times New Roman" w:eastAsia="宋体" w:cs="Times New Roman"/>
                <w:bCs/>
                <w:color w:val="auto"/>
                <w:sz w:val="24"/>
                <w:szCs w:val="24"/>
                <w:u w:val="none"/>
                <w:lang w:val="en-US" w:eastAsia="zh-CN"/>
              </w:rPr>
              <w:t>，</w:t>
            </w:r>
            <w:r>
              <w:rPr>
                <w:rFonts w:hint="eastAsia"/>
                <w:color w:val="auto"/>
                <w:highlight w:val="none"/>
                <w:u w:val="none"/>
                <w:vertAlign w:val="baseline"/>
                <w:lang w:val="en-US" w:eastAsia="zh-CN"/>
              </w:rPr>
              <w:t>属于危险废物，危废代码为HW49-900-041-49，含油抹布及手套经收集后暂存于危险废物暂存间，定期委托有资质单位处置。</w:t>
            </w:r>
          </w:p>
          <w:p>
            <w:pPr>
              <w:ind w:firstLine="480"/>
              <w:rPr>
                <w:rFonts w:hint="eastAsia" w:ascii="Times New Roman" w:hAnsi="Times New Roman" w:eastAsia="宋体" w:cs="Times New Roman"/>
                <w:bCs w:val="0"/>
                <w:color w:val="000000" w:themeColor="text1"/>
                <w:kern w:val="2"/>
                <w:sz w:val="24"/>
                <w:szCs w:val="24"/>
                <w:u w:val="none"/>
                <w:lang w:val="en-US" w:eastAsia="zh-CN" w:bidi="ar-SA"/>
                <w14:textFill>
                  <w14:solidFill>
                    <w14:schemeClr w14:val="tx1"/>
                  </w14:solidFill>
                </w14:textFill>
              </w:rPr>
            </w:pPr>
            <w:r>
              <w:rPr>
                <w:rFonts w:hint="eastAsia"/>
                <w:bCs/>
                <w:color w:val="000000"/>
                <w:u w:val="none"/>
                <w:lang w:val="en-US" w:eastAsia="zh-CN"/>
              </w:rPr>
              <w:t>⑧</w:t>
            </w:r>
            <w:r>
              <w:rPr>
                <w:rFonts w:hint="eastAsia"/>
                <w:bCs/>
                <w:color w:val="000000"/>
                <w:u w:val="none"/>
              </w:rPr>
              <w:t>废活性炭</w:t>
            </w:r>
            <w:r>
              <w:rPr>
                <w:rFonts w:hint="eastAsia"/>
                <w:bCs/>
                <w:color w:val="000000"/>
                <w:u w:val="none"/>
                <w:lang w:eastAsia="zh-CN"/>
              </w:rPr>
              <w:t>：</w:t>
            </w:r>
            <w:r>
              <w:rPr>
                <w:rFonts w:hint="eastAsia" w:ascii="Times New Roman" w:hAnsi="Times New Roman" w:eastAsia="宋体" w:cs="Times New Roman"/>
                <w:bCs w:val="0"/>
                <w:color w:val="000000" w:themeColor="text1"/>
                <w:kern w:val="2"/>
                <w:sz w:val="24"/>
                <w:szCs w:val="24"/>
                <w:u w:val="none"/>
                <w:lang w:val="en-US" w:eastAsia="zh-CN" w:bidi="ar-SA"/>
                <w14:textFill>
                  <w14:solidFill>
                    <w14:schemeClr w14:val="tx1"/>
                  </w14:solidFill>
                </w14:textFill>
              </w:rPr>
              <w:t>活性炭吸附设备运行过程中产生废活性炭。根据《活性炭纤维在挥发性有机废气处理中应用》（杨芬，刘品华，曲靖师范学院学报，2003年第6期）的试验结果表明，每公斤活性炭可吸附0.22-0.25kg的有机废气，本次评价取每公斤活性炭吸附量为0.22kg/kg。本项目废气年削减量</w:t>
            </w:r>
            <w:r>
              <w:rPr>
                <w:rFonts w:hint="eastAsia" w:cs="Times New Roman"/>
                <w:bCs w:val="0"/>
                <w:color w:val="000000" w:themeColor="text1"/>
                <w:kern w:val="2"/>
                <w:sz w:val="24"/>
                <w:szCs w:val="24"/>
                <w:u w:val="none"/>
                <w:lang w:val="en-US" w:eastAsia="zh-CN" w:bidi="ar-SA"/>
                <w14:textFill>
                  <w14:solidFill>
                    <w14:schemeClr w14:val="tx1"/>
                  </w14:solidFill>
                </w14:textFill>
              </w:rPr>
              <w:t>499</w:t>
            </w:r>
            <w:r>
              <w:rPr>
                <w:rFonts w:hint="eastAsia" w:ascii="Times New Roman" w:hAnsi="Times New Roman" w:eastAsia="宋体" w:cs="Times New Roman"/>
                <w:bCs w:val="0"/>
                <w:color w:val="000000" w:themeColor="text1"/>
                <w:kern w:val="2"/>
                <w:sz w:val="24"/>
                <w:szCs w:val="24"/>
                <w:u w:val="none"/>
                <w:lang w:val="en-US" w:eastAsia="zh-CN" w:bidi="ar-SA"/>
                <w14:textFill>
                  <w14:solidFill>
                    <w14:schemeClr w14:val="tx1"/>
                  </w14:solidFill>
                </w14:textFill>
              </w:rPr>
              <w:t>kg，则需要活性炭</w:t>
            </w:r>
            <w:r>
              <w:rPr>
                <w:rFonts w:hint="eastAsia" w:cs="Times New Roman"/>
                <w:bCs w:val="0"/>
                <w:color w:val="000000" w:themeColor="text1"/>
                <w:kern w:val="2"/>
                <w:sz w:val="24"/>
                <w:szCs w:val="24"/>
                <w:u w:val="none"/>
                <w:lang w:val="en-US" w:eastAsia="zh-CN" w:bidi="ar-SA"/>
                <w14:textFill>
                  <w14:solidFill>
                    <w14:schemeClr w14:val="tx1"/>
                  </w14:solidFill>
                </w14:textFill>
              </w:rPr>
              <w:t>499</w:t>
            </w:r>
            <w:r>
              <w:rPr>
                <w:rFonts w:hint="eastAsia" w:ascii="Times New Roman" w:hAnsi="Times New Roman" w:eastAsia="宋体" w:cs="Times New Roman"/>
                <w:bCs w:val="0"/>
                <w:color w:val="000000" w:themeColor="text1"/>
                <w:kern w:val="2"/>
                <w:sz w:val="24"/>
                <w:szCs w:val="24"/>
                <w:u w:val="none"/>
                <w:lang w:val="en-US" w:eastAsia="zh-CN" w:bidi="ar-SA"/>
                <w14:textFill>
                  <w14:solidFill>
                    <w14:schemeClr w14:val="tx1"/>
                  </w14:solidFill>
                </w14:textFill>
              </w:rPr>
              <w:t>kg/0.22≈</w:t>
            </w:r>
            <w:r>
              <w:rPr>
                <w:rFonts w:hint="eastAsia" w:ascii="Times New Roman" w:hAnsi="Times New Roman" w:cs="Times New Roman"/>
                <w:bCs w:val="0"/>
                <w:color w:val="000000" w:themeColor="text1"/>
                <w:kern w:val="2"/>
                <w:sz w:val="24"/>
                <w:szCs w:val="24"/>
                <w:u w:val="none"/>
                <w:lang w:val="en-US" w:eastAsia="zh-CN" w:bidi="ar-SA"/>
                <w14:textFill>
                  <w14:solidFill>
                    <w14:schemeClr w14:val="tx1"/>
                  </w14:solidFill>
                </w14:textFill>
              </w:rPr>
              <w:t>2.</w:t>
            </w:r>
            <w:r>
              <w:rPr>
                <w:rFonts w:hint="eastAsia" w:cs="Times New Roman"/>
                <w:bCs w:val="0"/>
                <w:color w:val="000000" w:themeColor="text1"/>
                <w:kern w:val="2"/>
                <w:sz w:val="24"/>
                <w:szCs w:val="24"/>
                <w:u w:val="none"/>
                <w:lang w:val="en-US" w:eastAsia="zh-CN" w:bidi="ar-SA"/>
                <w14:textFill>
                  <w14:solidFill>
                    <w14:schemeClr w14:val="tx1"/>
                  </w14:solidFill>
                </w14:textFill>
              </w:rPr>
              <w:t>268</w:t>
            </w:r>
            <w:r>
              <w:rPr>
                <w:rFonts w:hint="eastAsia" w:ascii="Times New Roman" w:hAnsi="Times New Roman" w:cs="Times New Roman"/>
                <w:bCs w:val="0"/>
                <w:color w:val="000000" w:themeColor="text1"/>
                <w:kern w:val="2"/>
                <w:sz w:val="24"/>
                <w:szCs w:val="24"/>
                <w:u w:val="none"/>
                <w:lang w:val="en-US" w:eastAsia="zh-CN" w:bidi="ar-SA"/>
                <w14:textFill>
                  <w14:solidFill>
                    <w14:schemeClr w14:val="tx1"/>
                  </w14:solidFill>
                </w14:textFill>
              </w:rPr>
              <w:t>t</w:t>
            </w:r>
            <w:r>
              <w:rPr>
                <w:rFonts w:hint="eastAsia" w:ascii="Times New Roman" w:hAnsi="Times New Roman" w:eastAsia="宋体" w:cs="Times New Roman"/>
                <w:bCs w:val="0"/>
                <w:color w:val="000000" w:themeColor="text1"/>
                <w:kern w:val="2"/>
                <w:sz w:val="24"/>
                <w:szCs w:val="24"/>
                <w:u w:val="none"/>
                <w:lang w:val="en-US" w:eastAsia="zh-CN" w:bidi="ar-SA"/>
                <w14:textFill>
                  <w14:solidFill>
                    <w14:schemeClr w14:val="tx1"/>
                  </w14:solidFill>
                </w14:textFill>
              </w:rPr>
              <w:t>/。本项目要求使用碘值大于800mg/g的活性炭，且活性炭更换周期不应超过累计运行500小时或3个月，废活性炭年产生量约为</w:t>
            </w:r>
            <w:r>
              <w:rPr>
                <w:rFonts w:hint="eastAsia" w:cs="Times New Roman"/>
                <w:bCs w:val="0"/>
                <w:color w:val="000000" w:themeColor="text1"/>
                <w:kern w:val="2"/>
                <w:sz w:val="24"/>
                <w:szCs w:val="24"/>
                <w:u w:val="none"/>
                <w:lang w:val="en-US" w:eastAsia="zh-CN" w:bidi="ar-SA"/>
                <w14:textFill>
                  <w14:solidFill>
                    <w14:schemeClr w14:val="tx1"/>
                  </w14:solidFill>
                </w14:textFill>
              </w:rPr>
              <w:t>2.767</w:t>
            </w:r>
            <w:r>
              <w:rPr>
                <w:rFonts w:hint="eastAsia" w:ascii="Times New Roman" w:hAnsi="Times New Roman" w:eastAsia="宋体" w:cs="Times New Roman"/>
                <w:bCs w:val="0"/>
                <w:color w:val="000000" w:themeColor="text1"/>
                <w:kern w:val="2"/>
                <w:sz w:val="24"/>
                <w:szCs w:val="24"/>
                <w:u w:val="none"/>
                <w:lang w:val="en-US" w:eastAsia="zh-CN" w:bidi="ar-SA"/>
                <w14:textFill>
                  <w14:solidFill>
                    <w14:schemeClr w14:val="tx1"/>
                  </w14:solidFill>
                </w14:textFill>
              </w:rPr>
              <w:t>t/a。根据《国家危险废物名录（2025年版）》，危废代码为HW49</w:t>
            </w:r>
            <w:r>
              <w:rPr>
                <w:rFonts w:hint="eastAsia" w:cs="Times New Roman"/>
                <w:bCs w:val="0"/>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eastAsia="宋体" w:cs="Times New Roman"/>
                <w:bCs w:val="0"/>
                <w:color w:val="000000" w:themeColor="text1"/>
                <w:kern w:val="2"/>
                <w:sz w:val="24"/>
                <w:szCs w:val="24"/>
                <w:u w:val="none"/>
                <w:lang w:val="en-US" w:eastAsia="zh-CN" w:bidi="ar-SA"/>
                <w14:textFill>
                  <w14:solidFill>
                    <w14:schemeClr w14:val="tx1"/>
                  </w14:solidFill>
                </w14:textFill>
              </w:rPr>
              <w:t>900-039-49。废活性炭暂存在厂区危废间内，定期交由有危险废物处理资质的单位进行处置。</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482" w:firstLineChars="20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17</w:t>
            </w:r>
            <w:r>
              <w:rPr>
                <w:rFonts w:hint="eastAsia" w:ascii="Times New Roman" w:hAnsi="Times New Roman" w:cs="Times New Roman"/>
                <w:b/>
                <w:bCs w:val="0"/>
                <w:u w:val="none"/>
              </w:rPr>
              <w:t>本项目固废污染源情况表</w:t>
            </w:r>
          </w:p>
          <w:tbl>
            <w:tblPr>
              <w:tblStyle w:val="24"/>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817"/>
              <w:gridCol w:w="1017"/>
              <w:gridCol w:w="815"/>
              <w:gridCol w:w="780"/>
              <w:gridCol w:w="1521"/>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32" w:type="dxa"/>
                  <w:vAlign w:val="center"/>
                </w:tcPr>
                <w:p>
                  <w:pPr>
                    <w:pStyle w:val="37"/>
                    <w:spacing w:line="240" w:lineRule="auto"/>
                    <w:ind w:left="0" w:leftChars="0"/>
                    <w:rPr>
                      <w:rFonts w:hint="eastAsia" w:eastAsia="宋体"/>
                      <w:b/>
                      <w:bCs/>
                      <w:sz w:val="21"/>
                      <w:szCs w:val="21"/>
                      <w:u w:val="none"/>
                      <w:lang w:val="en-US" w:eastAsia="zh-CN"/>
                    </w:rPr>
                  </w:pPr>
                  <w:r>
                    <w:rPr>
                      <w:rFonts w:hint="eastAsia"/>
                      <w:b/>
                      <w:bCs/>
                      <w:sz w:val="21"/>
                      <w:szCs w:val="21"/>
                      <w:u w:val="none"/>
                      <w:lang w:val="en-US" w:eastAsia="zh-CN"/>
                    </w:rPr>
                    <w:t>序号</w:t>
                  </w:r>
                </w:p>
              </w:tc>
              <w:tc>
                <w:tcPr>
                  <w:tcW w:w="1817" w:type="dxa"/>
                  <w:vAlign w:val="center"/>
                </w:tcPr>
                <w:p>
                  <w:pPr>
                    <w:pStyle w:val="37"/>
                    <w:spacing w:line="240" w:lineRule="auto"/>
                    <w:ind w:left="0" w:leftChars="0"/>
                    <w:rPr>
                      <w:b/>
                      <w:bCs/>
                      <w:sz w:val="21"/>
                      <w:szCs w:val="21"/>
                      <w:u w:val="none"/>
                    </w:rPr>
                  </w:pPr>
                  <w:r>
                    <w:rPr>
                      <w:rFonts w:hint="eastAsia"/>
                      <w:b/>
                      <w:bCs/>
                      <w:sz w:val="21"/>
                      <w:szCs w:val="21"/>
                      <w:u w:val="none"/>
                    </w:rPr>
                    <w:t>固废名称</w:t>
                  </w:r>
                </w:p>
              </w:tc>
              <w:tc>
                <w:tcPr>
                  <w:tcW w:w="1017" w:type="dxa"/>
                  <w:vAlign w:val="center"/>
                </w:tcPr>
                <w:p>
                  <w:pPr>
                    <w:pStyle w:val="37"/>
                    <w:spacing w:line="240" w:lineRule="auto"/>
                    <w:ind w:left="0" w:leftChars="0"/>
                    <w:rPr>
                      <w:b/>
                      <w:bCs/>
                      <w:sz w:val="21"/>
                      <w:szCs w:val="21"/>
                      <w:u w:val="none"/>
                    </w:rPr>
                  </w:pPr>
                  <w:r>
                    <w:rPr>
                      <w:rFonts w:hint="eastAsia"/>
                      <w:b/>
                      <w:bCs/>
                      <w:sz w:val="21"/>
                      <w:szCs w:val="21"/>
                      <w:u w:val="none"/>
                    </w:rPr>
                    <w:t>产生量（t/a）</w:t>
                  </w:r>
                </w:p>
              </w:tc>
              <w:tc>
                <w:tcPr>
                  <w:tcW w:w="815" w:type="dxa"/>
                  <w:vAlign w:val="center"/>
                </w:tcPr>
                <w:p>
                  <w:pPr>
                    <w:pStyle w:val="37"/>
                    <w:spacing w:line="240" w:lineRule="auto"/>
                    <w:ind w:left="0" w:leftChars="0"/>
                    <w:rPr>
                      <w:b/>
                      <w:bCs/>
                      <w:sz w:val="21"/>
                      <w:szCs w:val="21"/>
                      <w:u w:val="none"/>
                    </w:rPr>
                  </w:pPr>
                  <w:r>
                    <w:rPr>
                      <w:rFonts w:hint="eastAsia"/>
                      <w:b/>
                      <w:bCs/>
                      <w:sz w:val="21"/>
                      <w:szCs w:val="21"/>
                      <w:u w:val="none"/>
                    </w:rPr>
                    <w:t>产生工序</w:t>
                  </w:r>
                </w:p>
              </w:tc>
              <w:tc>
                <w:tcPr>
                  <w:tcW w:w="780" w:type="dxa"/>
                  <w:vAlign w:val="center"/>
                </w:tcPr>
                <w:p>
                  <w:pPr>
                    <w:pStyle w:val="37"/>
                    <w:spacing w:line="240" w:lineRule="auto"/>
                    <w:ind w:left="0" w:leftChars="0"/>
                    <w:rPr>
                      <w:b/>
                      <w:bCs/>
                      <w:sz w:val="21"/>
                      <w:szCs w:val="21"/>
                      <w:u w:val="none"/>
                    </w:rPr>
                  </w:pPr>
                  <w:r>
                    <w:rPr>
                      <w:rFonts w:hint="eastAsia"/>
                      <w:b/>
                      <w:bCs/>
                      <w:sz w:val="21"/>
                      <w:szCs w:val="21"/>
                      <w:u w:val="none"/>
                    </w:rPr>
                    <w:t>固废性质</w:t>
                  </w:r>
                </w:p>
              </w:tc>
              <w:tc>
                <w:tcPr>
                  <w:tcW w:w="1521" w:type="dxa"/>
                  <w:vAlign w:val="center"/>
                </w:tcPr>
                <w:p>
                  <w:pPr>
                    <w:pStyle w:val="37"/>
                    <w:spacing w:line="240" w:lineRule="auto"/>
                    <w:ind w:left="0" w:leftChars="0"/>
                    <w:rPr>
                      <w:b/>
                      <w:bCs/>
                      <w:sz w:val="21"/>
                      <w:szCs w:val="21"/>
                      <w:u w:val="none"/>
                    </w:rPr>
                  </w:pPr>
                  <w:r>
                    <w:rPr>
                      <w:rFonts w:hint="eastAsia"/>
                      <w:b/>
                      <w:bCs/>
                      <w:sz w:val="21"/>
                      <w:szCs w:val="21"/>
                      <w:u w:val="none"/>
                    </w:rPr>
                    <w:t>代码</w:t>
                  </w:r>
                </w:p>
              </w:tc>
              <w:tc>
                <w:tcPr>
                  <w:tcW w:w="2073" w:type="dxa"/>
                  <w:vAlign w:val="center"/>
                </w:tcPr>
                <w:p>
                  <w:pPr>
                    <w:pStyle w:val="37"/>
                    <w:spacing w:line="240" w:lineRule="auto"/>
                    <w:ind w:left="0" w:leftChars="0"/>
                    <w:rPr>
                      <w:b/>
                      <w:bCs/>
                      <w:sz w:val="21"/>
                      <w:szCs w:val="21"/>
                      <w:u w:val="none"/>
                    </w:rPr>
                  </w:pPr>
                  <w:r>
                    <w:rPr>
                      <w:rFonts w:hint="eastAsia"/>
                      <w:b/>
                      <w:bCs/>
                      <w:sz w:val="21"/>
                      <w:szCs w:val="21"/>
                      <w:u w:val="none"/>
                    </w:rPr>
                    <w:t>处理或处置措施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32" w:type="dxa"/>
                  <w:vAlign w:val="center"/>
                </w:tcPr>
                <w:p>
                  <w:pPr>
                    <w:pStyle w:val="37"/>
                    <w:spacing w:line="240" w:lineRule="auto"/>
                    <w:ind w:left="0" w:leftChars="0"/>
                    <w:rPr>
                      <w:rFonts w:hint="eastAsia" w:eastAsia="宋体"/>
                      <w:sz w:val="21"/>
                      <w:szCs w:val="21"/>
                      <w:u w:val="none"/>
                      <w:lang w:val="en-US" w:eastAsia="zh-CN"/>
                    </w:rPr>
                  </w:pPr>
                  <w:r>
                    <w:rPr>
                      <w:rFonts w:hint="eastAsia"/>
                      <w:sz w:val="21"/>
                      <w:szCs w:val="21"/>
                      <w:u w:val="none"/>
                      <w:lang w:val="en-US" w:eastAsia="zh-CN"/>
                    </w:rPr>
                    <w:t>1</w:t>
                  </w:r>
                </w:p>
              </w:tc>
              <w:tc>
                <w:tcPr>
                  <w:tcW w:w="1817" w:type="dxa"/>
                  <w:vAlign w:val="center"/>
                </w:tcPr>
                <w:p>
                  <w:pPr>
                    <w:pStyle w:val="37"/>
                    <w:spacing w:line="240" w:lineRule="auto"/>
                    <w:ind w:left="0" w:leftChars="0"/>
                    <w:rPr>
                      <w:sz w:val="21"/>
                      <w:szCs w:val="21"/>
                      <w:u w:val="none"/>
                    </w:rPr>
                  </w:pPr>
                  <w:r>
                    <w:rPr>
                      <w:rFonts w:hint="eastAsia"/>
                      <w:sz w:val="21"/>
                      <w:szCs w:val="21"/>
                      <w:u w:val="none"/>
                    </w:rPr>
                    <w:t>生活垃圾</w:t>
                  </w:r>
                </w:p>
              </w:tc>
              <w:tc>
                <w:tcPr>
                  <w:tcW w:w="1017"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rPr>
                    <w:t>2.</w:t>
                  </w:r>
                  <w:r>
                    <w:rPr>
                      <w:rFonts w:hint="eastAsia"/>
                      <w:sz w:val="21"/>
                      <w:szCs w:val="21"/>
                      <w:u w:val="none"/>
                      <w:lang w:val="en-US" w:eastAsia="zh-CN"/>
                    </w:rPr>
                    <w:t>55</w:t>
                  </w:r>
                </w:p>
              </w:tc>
              <w:tc>
                <w:tcPr>
                  <w:tcW w:w="815" w:type="dxa"/>
                  <w:vAlign w:val="center"/>
                </w:tcPr>
                <w:p>
                  <w:pPr>
                    <w:pStyle w:val="37"/>
                    <w:spacing w:line="240" w:lineRule="auto"/>
                    <w:ind w:left="0" w:leftChars="0"/>
                    <w:rPr>
                      <w:sz w:val="21"/>
                      <w:szCs w:val="21"/>
                      <w:u w:val="none"/>
                    </w:rPr>
                  </w:pPr>
                  <w:r>
                    <w:rPr>
                      <w:rFonts w:hint="eastAsia"/>
                      <w:sz w:val="21"/>
                      <w:szCs w:val="21"/>
                      <w:u w:val="none"/>
                    </w:rPr>
                    <w:t>日常办公</w:t>
                  </w:r>
                </w:p>
              </w:tc>
              <w:tc>
                <w:tcPr>
                  <w:tcW w:w="780" w:type="dxa"/>
                  <w:vAlign w:val="center"/>
                </w:tcPr>
                <w:p>
                  <w:pPr>
                    <w:pStyle w:val="37"/>
                    <w:spacing w:line="240" w:lineRule="auto"/>
                    <w:ind w:left="0" w:leftChars="0"/>
                    <w:rPr>
                      <w:sz w:val="21"/>
                      <w:szCs w:val="21"/>
                      <w:u w:val="none"/>
                    </w:rPr>
                  </w:pPr>
                  <w:r>
                    <w:rPr>
                      <w:rFonts w:hint="eastAsia"/>
                      <w:sz w:val="21"/>
                      <w:szCs w:val="21"/>
                      <w:u w:val="none"/>
                    </w:rPr>
                    <w:t>生活垃圾</w:t>
                  </w:r>
                </w:p>
              </w:tc>
              <w:tc>
                <w:tcPr>
                  <w:tcW w:w="1521" w:type="dxa"/>
                  <w:vAlign w:val="center"/>
                </w:tcPr>
                <w:p>
                  <w:pPr>
                    <w:pStyle w:val="37"/>
                    <w:spacing w:line="240" w:lineRule="auto"/>
                    <w:ind w:left="0" w:leftChars="0"/>
                    <w:rPr>
                      <w:sz w:val="21"/>
                      <w:szCs w:val="21"/>
                      <w:u w:val="none"/>
                    </w:rPr>
                  </w:pPr>
                  <w:r>
                    <w:rPr>
                      <w:rFonts w:hint="eastAsia"/>
                      <w:sz w:val="21"/>
                      <w:szCs w:val="21"/>
                      <w:u w:val="none"/>
                    </w:rPr>
                    <w:t>/</w:t>
                  </w:r>
                </w:p>
              </w:tc>
              <w:tc>
                <w:tcPr>
                  <w:tcW w:w="2073" w:type="dxa"/>
                  <w:vAlign w:val="center"/>
                </w:tcPr>
                <w:p>
                  <w:pPr>
                    <w:pStyle w:val="37"/>
                    <w:spacing w:line="240" w:lineRule="auto"/>
                    <w:ind w:left="0" w:leftChars="0"/>
                    <w:rPr>
                      <w:sz w:val="21"/>
                      <w:szCs w:val="21"/>
                      <w:u w:val="none"/>
                    </w:rPr>
                  </w:pPr>
                  <w:r>
                    <w:rPr>
                      <w:rFonts w:hint="eastAsia"/>
                      <w:sz w:val="21"/>
                      <w:szCs w:val="21"/>
                      <w:u w:val="none"/>
                    </w:rPr>
                    <w:t>统一收集后定期由环卫部门进行清运。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32" w:type="dxa"/>
                  <w:vAlign w:val="center"/>
                </w:tcPr>
                <w:p>
                  <w:pPr>
                    <w:pStyle w:val="37"/>
                    <w:spacing w:line="240" w:lineRule="auto"/>
                    <w:ind w:left="0" w:leftChars="0"/>
                    <w:rPr>
                      <w:rFonts w:hint="eastAsia" w:eastAsia="宋体"/>
                      <w:sz w:val="21"/>
                      <w:szCs w:val="21"/>
                      <w:u w:val="none"/>
                      <w:lang w:val="en-US" w:eastAsia="zh-CN"/>
                    </w:rPr>
                  </w:pPr>
                  <w:r>
                    <w:rPr>
                      <w:rFonts w:hint="eastAsia"/>
                      <w:sz w:val="21"/>
                      <w:szCs w:val="21"/>
                      <w:u w:val="none"/>
                      <w:lang w:val="en-US" w:eastAsia="zh-CN"/>
                    </w:rPr>
                    <w:t>2</w:t>
                  </w:r>
                </w:p>
              </w:tc>
              <w:tc>
                <w:tcPr>
                  <w:tcW w:w="1817" w:type="dxa"/>
                  <w:vAlign w:val="center"/>
                </w:tcPr>
                <w:p>
                  <w:pPr>
                    <w:pStyle w:val="37"/>
                    <w:spacing w:line="240" w:lineRule="auto"/>
                    <w:ind w:left="0" w:leftChars="0"/>
                    <w:rPr>
                      <w:sz w:val="21"/>
                      <w:szCs w:val="21"/>
                      <w:u w:val="none"/>
                    </w:rPr>
                  </w:pPr>
                  <w:r>
                    <w:rPr>
                      <w:rFonts w:hint="eastAsia"/>
                      <w:sz w:val="21"/>
                      <w:szCs w:val="21"/>
                      <w:u w:val="none"/>
                    </w:rPr>
                    <w:t>废边角料及不合格产品</w:t>
                  </w:r>
                </w:p>
              </w:tc>
              <w:tc>
                <w:tcPr>
                  <w:tcW w:w="1017"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1.8</w:t>
                  </w:r>
                </w:p>
              </w:tc>
              <w:tc>
                <w:tcPr>
                  <w:tcW w:w="815"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分检、分切工序</w:t>
                  </w:r>
                </w:p>
              </w:tc>
              <w:tc>
                <w:tcPr>
                  <w:tcW w:w="780" w:type="dxa"/>
                  <w:vMerge w:val="restart"/>
                  <w:vAlign w:val="center"/>
                </w:tcPr>
                <w:p>
                  <w:pPr>
                    <w:pStyle w:val="37"/>
                    <w:spacing w:line="240" w:lineRule="auto"/>
                    <w:ind w:left="0" w:leftChars="0"/>
                    <w:rPr>
                      <w:rFonts w:hint="eastAsia" w:eastAsia="宋体"/>
                      <w:sz w:val="21"/>
                      <w:szCs w:val="21"/>
                      <w:u w:val="none"/>
                      <w:lang w:val="en-US" w:eastAsia="zh-CN"/>
                    </w:rPr>
                  </w:pPr>
                  <w:r>
                    <w:rPr>
                      <w:rFonts w:hint="eastAsia"/>
                      <w:sz w:val="21"/>
                      <w:szCs w:val="21"/>
                      <w:u w:val="none"/>
                      <w:lang w:val="en-US" w:eastAsia="zh-CN"/>
                    </w:rPr>
                    <w:t>一般固废</w:t>
                  </w:r>
                </w:p>
              </w:tc>
              <w:tc>
                <w:tcPr>
                  <w:tcW w:w="1521" w:type="dxa"/>
                  <w:vAlign w:val="center"/>
                </w:tcPr>
                <w:p>
                  <w:pPr>
                    <w:pStyle w:val="37"/>
                    <w:spacing w:line="240" w:lineRule="auto"/>
                    <w:ind w:left="0" w:leftChars="0"/>
                    <w:rPr>
                      <w:sz w:val="21"/>
                      <w:szCs w:val="21"/>
                      <w:u w:val="none"/>
                    </w:rPr>
                  </w:pPr>
                  <w:r>
                    <w:rPr>
                      <w:rFonts w:hint="eastAsia"/>
                      <w:color w:val="000000" w:themeColor="text1"/>
                      <w:sz w:val="21"/>
                      <w:szCs w:val="21"/>
                      <w:u w:val="none"/>
                      <w14:textFill>
                        <w14:solidFill>
                          <w14:schemeClr w14:val="tx1"/>
                        </w14:solidFill>
                      </w14:textFill>
                    </w:rPr>
                    <w:t>SW17-900-099-S17</w:t>
                  </w:r>
                </w:p>
              </w:tc>
              <w:tc>
                <w:tcPr>
                  <w:tcW w:w="2073" w:type="dxa"/>
                  <w:vMerge w:val="restart"/>
                  <w:vAlign w:val="center"/>
                </w:tcPr>
                <w:p>
                  <w:pPr>
                    <w:pStyle w:val="37"/>
                    <w:spacing w:line="240" w:lineRule="auto"/>
                    <w:ind w:left="0" w:leftChars="0"/>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暂存于一般固废暂存间，定期交由回收单位利用。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32" w:type="dxa"/>
                  <w:vAlign w:val="center"/>
                </w:tcPr>
                <w:p>
                  <w:pPr>
                    <w:pStyle w:val="37"/>
                    <w:spacing w:line="240" w:lineRule="auto"/>
                    <w:ind w:left="0" w:leftChars="0"/>
                    <w:rPr>
                      <w:rFonts w:hint="eastAsia" w:eastAsia="宋体"/>
                      <w:sz w:val="21"/>
                      <w:szCs w:val="21"/>
                      <w:u w:val="none"/>
                      <w:lang w:val="en-US" w:eastAsia="zh-CN"/>
                    </w:rPr>
                  </w:pPr>
                  <w:r>
                    <w:rPr>
                      <w:rFonts w:hint="eastAsia"/>
                      <w:sz w:val="21"/>
                      <w:szCs w:val="21"/>
                      <w:u w:val="none"/>
                      <w:lang w:val="en-US" w:eastAsia="zh-CN"/>
                    </w:rPr>
                    <w:t>3</w:t>
                  </w:r>
                </w:p>
              </w:tc>
              <w:tc>
                <w:tcPr>
                  <w:tcW w:w="1817" w:type="dxa"/>
                  <w:vAlign w:val="center"/>
                </w:tcPr>
                <w:p>
                  <w:pPr>
                    <w:pStyle w:val="37"/>
                    <w:spacing w:line="240" w:lineRule="auto"/>
                    <w:ind w:left="0" w:leftChars="0"/>
                    <w:rPr>
                      <w:sz w:val="21"/>
                      <w:szCs w:val="21"/>
                      <w:u w:val="none"/>
                    </w:rPr>
                  </w:pPr>
                  <w:r>
                    <w:rPr>
                      <w:rFonts w:hint="eastAsia"/>
                      <w:sz w:val="21"/>
                      <w:szCs w:val="21"/>
                      <w:u w:val="none"/>
                    </w:rPr>
                    <w:t>废包装材料</w:t>
                  </w:r>
                </w:p>
              </w:tc>
              <w:tc>
                <w:tcPr>
                  <w:tcW w:w="1017"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0.8</w:t>
                  </w:r>
                </w:p>
              </w:tc>
              <w:tc>
                <w:tcPr>
                  <w:tcW w:w="815"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生产过程</w:t>
                  </w:r>
                </w:p>
              </w:tc>
              <w:tc>
                <w:tcPr>
                  <w:tcW w:w="780" w:type="dxa"/>
                  <w:vMerge w:val="continue"/>
                  <w:vAlign w:val="center"/>
                </w:tcPr>
                <w:p>
                  <w:pPr>
                    <w:pStyle w:val="37"/>
                    <w:spacing w:line="240" w:lineRule="auto"/>
                    <w:ind w:left="0" w:leftChars="0"/>
                    <w:rPr>
                      <w:sz w:val="21"/>
                      <w:szCs w:val="21"/>
                      <w:u w:val="none"/>
                    </w:rPr>
                  </w:pPr>
                </w:p>
              </w:tc>
              <w:tc>
                <w:tcPr>
                  <w:tcW w:w="1521" w:type="dxa"/>
                  <w:vAlign w:val="center"/>
                </w:tcPr>
                <w:p>
                  <w:pPr>
                    <w:pStyle w:val="37"/>
                    <w:spacing w:line="240" w:lineRule="auto"/>
                    <w:ind w:left="0" w:leftChars="0"/>
                    <w:rPr>
                      <w:sz w:val="21"/>
                      <w:szCs w:val="21"/>
                      <w:u w:val="none"/>
                    </w:rPr>
                  </w:pPr>
                  <w:r>
                    <w:rPr>
                      <w:rFonts w:hint="eastAsia"/>
                      <w:color w:val="000000" w:themeColor="text1"/>
                      <w:sz w:val="21"/>
                      <w:szCs w:val="21"/>
                      <w:u w:val="none"/>
                      <w14:textFill>
                        <w14:solidFill>
                          <w14:schemeClr w14:val="tx1"/>
                        </w14:solidFill>
                      </w14:textFill>
                    </w:rPr>
                    <w:t>SW17-900-003-S17</w:t>
                  </w:r>
                </w:p>
              </w:tc>
              <w:tc>
                <w:tcPr>
                  <w:tcW w:w="2073" w:type="dxa"/>
                  <w:vMerge w:val="continue"/>
                  <w:vAlign w:val="center"/>
                </w:tcPr>
                <w:p>
                  <w:pPr>
                    <w:pStyle w:val="37"/>
                    <w:spacing w:line="240" w:lineRule="auto"/>
                    <w:ind w:left="0" w:leftChars="0"/>
                    <w:rPr>
                      <w:rFonts w:hint="default" w:ascii="Times New Roman" w:hAnsi="Times New Roman" w:eastAsia="宋体" w:cs="Times New Roman"/>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32" w:type="dxa"/>
                  <w:vAlign w:val="center"/>
                </w:tcPr>
                <w:p>
                  <w:pPr>
                    <w:pStyle w:val="37"/>
                    <w:spacing w:line="240" w:lineRule="auto"/>
                    <w:ind w:left="0" w:leftChars="0"/>
                    <w:rPr>
                      <w:rFonts w:hint="eastAsia" w:eastAsia="宋体"/>
                      <w:sz w:val="21"/>
                      <w:szCs w:val="21"/>
                      <w:u w:val="none"/>
                      <w:lang w:val="en-US" w:eastAsia="zh-CN"/>
                    </w:rPr>
                  </w:pPr>
                  <w:r>
                    <w:rPr>
                      <w:rFonts w:hint="eastAsia"/>
                      <w:sz w:val="21"/>
                      <w:szCs w:val="21"/>
                      <w:u w:val="none"/>
                      <w:lang w:val="en-US" w:eastAsia="zh-CN"/>
                    </w:rPr>
                    <w:t>4</w:t>
                  </w:r>
                </w:p>
              </w:tc>
              <w:tc>
                <w:tcPr>
                  <w:tcW w:w="1817" w:type="dxa"/>
                  <w:vAlign w:val="center"/>
                </w:tcPr>
                <w:p>
                  <w:pPr>
                    <w:pStyle w:val="37"/>
                    <w:spacing w:line="240" w:lineRule="auto"/>
                    <w:ind w:left="0" w:leftChars="0"/>
                    <w:rPr>
                      <w:sz w:val="21"/>
                      <w:szCs w:val="21"/>
                      <w:u w:val="none"/>
                    </w:rPr>
                  </w:pPr>
                  <w:r>
                    <w:rPr>
                      <w:rFonts w:hint="eastAsia"/>
                      <w:sz w:val="21"/>
                      <w:szCs w:val="21"/>
                      <w:u w:val="none"/>
                    </w:rPr>
                    <w:t>废水性涂料</w:t>
                  </w:r>
                </w:p>
              </w:tc>
              <w:tc>
                <w:tcPr>
                  <w:tcW w:w="1017"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rPr>
                    <w:t>0.</w:t>
                  </w:r>
                  <w:r>
                    <w:rPr>
                      <w:rFonts w:hint="eastAsia"/>
                      <w:sz w:val="21"/>
                      <w:szCs w:val="21"/>
                      <w:u w:val="none"/>
                      <w:lang w:val="en-US" w:eastAsia="zh-CN"/>
                    </w:rPr>
                    <w:t>1</w:t>
                  </w:r>
                </w:p>
              </w:tc>
              <w:tc>
                <w:tcPr>
                  <w:tcW w:w="815" w:type="dxa"/>
                  <w:vMerge w:val="restart"/>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涂布工序</w:t>
                  </w:r>
                </w:p>
              </w:tc>
              <w:tc>
                <w:tcPr>
                  <w:tcW w:w="780" w:type="dxa"/>
                  <w:vMerge w:val="restart"/>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危废废物</w:t>
                  </w:r>
                </w:p>
              </w:tc>
              <w:tc>
                <w:tcPr>
                  <w:tcW w:w="1521" w:type="dxa"/>
                  <w:vAlign w:val="center"/>
                </w:tcPr>
                <w:p>
                  <w:pPr>
                    <w:pStyle w:val="37"/>
                    <w:spacing w:line="240" w:lineRule="auto"/>
                    <w:ind w:left="0" w:leftChars="0"/>
                    <w:rPr>
                      <w:rFonts w:hint="eastAsia" w:eastAsia="宋体"/>
                      <w:sz w:val="21"/>
                      <w:szCs w:val="21"/>
                      <w:u w:val="none"/>
                      <w:lang w:eastAsia="zh-CN"/>
                    </w:rPr>
                  </w:pPr>
                  <w:r>
                    <w:rPr>
                      <w:rFonts w:hint="eastAsia" w:cs="Times New Roman"/>
                      <w:color w:val="000000" w:themeColor="text1"/>
                      <w:kern w:val="2"/>
                      <w:sz w:val="21"/>
                      <w:szCs w:val="21"/>
                      <w:u w:val="none"/>
                      <w:lang w:val="en-US" w:eastAsia="zh-CN" w:bidi="ar-SA"/>
                      <w14:textFill>
                        <w14:solidFill>
                          <w14:schemeClr w14:val="tx1"/>
                        </w14:solidFill>
                      </w14:textFill>
                    </w:rPr>
                    <w:t>/</w:t>
                  </w:r>
                </w:p>
              </w:tc>
              <w:tc>
                <w:tcPr>
                  <w:tcW w:w="2073" w:type="dxa"/>
                  <w:vMerge w:val="restart"/>
                  <w:vAlign w:val="center"/>
                </w:tcPr>
                <w:p>
                  <w:pPr>
                    <w:pStyle w:val="37"/>
                    <w:spacing w:line="240" w:lineRule="auto"/>
                    <w:ind w:left="0" w:leftChars="0"/>
                    <w:rPr>
                      <w:sz w:val="21"/>
                      <w:szCs w:val="21"/>
                      <w:u w:val="none"/>
                    </w:rPr>
                  </w:pPr>
                  <w:r>
                    <w:rPr>
                      <w:rFonts w:hint="eastAsia"/>
                      <w:sz w:val="21"/>
                      <w:szCs w:val="21"/>
                      <w:u w:val="none"/>
                    </w:rPr>
                    <w:t>暂存于危险废物暂存间，定期委托有资质单位处置。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632" w:type="dxa"/>
                  <w:vAlign w:val="center"/>
                </w:tcPr>
                <w:p>
                  <w:pPr>
                    <w:pStyle w:val="37"/>
                    <w:spacing w:line="240" w:lineRule="auto"/>
                    <w:ind w:left="0" w:leftChars="0"/>
                    <w:rPr>
                      <w:rFonts w:hint="eastAsia" w:eastAsia="宋体"/>
                      <w:sz w:val="21"/>
                      <w:szCs w:val="21"/>
                      <w:u w:val="none"/>
                      <w:lang w:val="en-US" w:eastAsia="zh-CN"/>
                    </w:rPr>
                  </w:pPr>
                  <w:r>
                    <w:rPr>
                      <w:rFonts w:hint="eastAsia"/>
                      <w:sz w:val="21"/>
                      <w:szCs w:val="21"/>
                      <w:u w:val="none"/>
                      <w:lang w:val="en-US" w:eastAsia="zh-CN"/>
                    </w:rPr>
                    <w:t>5</w:t>
                  </w:r>
                </w:p>
              </w:tc>
              <w:tc>
                <w:tcPr>
                  <w:tcW w:w="1817" w:type="dxa"/>
                  <w:vAlign w:val="center"/>
                </w:tcPr>
                <w:p>
                  <w:pPr>
                    <w:pStyle w:val="37"/>
                    <w:spacing w:line="240" w:lineRule="auto"/>
                    <w:ind w:left="0" w:leftChars="0"/>
                    <w:rPr>
                      <w:rFonts w:hint="eastAsia"/>
                      <w:sz w:val="21"/>
                      <w:szCs w:val="21"/>
                      <w:u w:val="none"/>
                    </w:rPr>
                  </w:pPr>
                  <w:r>
                    <w:rPr>
                      <w:rFonts w:hint="eastAsia"/>
                      <w:sz w:val="21"/>
                      <w:szCs w:val="21"/>
                      <w:u w:val="none"/>
                    </w:rPr>
                    <w:t>废水性涂料桶、废抹布手套</w:t>
                  </w:r>
                </w:p>
              </w:tc>
              <w:tc>
                <w:tcPr>
                  <w:tcW w:w="1017"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0.11</w:t>
                  </w:r>
                </w:p>
              </w:tc>
              <w:tc>
                <w:tcPr>
                  <w:tcW w:w="815" w:type="dxa"/>
                  <w:vMerge w:val="continue"/>
                  <w:vAlign w:val="center"/>
                </w:tcPr>
                <w:p>
                  <w:pPr>
                    <w:pStyle w:val="37"/>
                    <w:spacing w:line="240" w:lineRule="auto"/>
                    <w:ind w:left="0" w:leftChars="0"/>
                    <w:rPr>
                      <w:rFonts w:hint="eastAsia"/>
                      <w:sz w:val="21"/>
                      <w:szCs w:val="21"/>
                      <w:u w:val="none"/>
                      <w:lang w:val="en-US" w:eastAsia="zh-CN"/>
                    </w:rPr>
                  </w:pPr>
                </w:p>
              </w:tc>
              <w:tc>
                <w:tcPr>
                  <w:tcW w:w="780" w:type="dxa"/>
                  <w:vMerge w:val="continue"/>
                  <w:vAlign w:val="center"/>
                </w:tcPr>
                <w:p>
                  <w:pPr>
                    <w:pStyle w:val="37"/>
                    <w:spacing w:line="240" w:lineRule="auto"/>
                    <w:ind w:left="0" w:leftChars="0"/>
                    <w:rPr>
                      <w:rFonts w:hint="eastAsia"/>
                      <w:sz w:val="21"/>
                      <w:szCs w:val="21"/>
                      <w:u w:val="none"/>
                    </w:rPr>
                  </w:pPr>
                </w:p>
              </w:tc>
              <w:tc>
                <w:tcPr>
                  <w:tcW w:w="1521" w:type="dxa"/>
                  <w:vAlign w:val="center"/>
                </w:tcPr>
                <w:p>
                  <w:pPr>
                    <w:pStyle w:val="37"/>
                    <w:spacing w:line="240" w:lineRule="auto"/>
                    <w:ind w:left="0" w:leftChars="0"/>
                    <w:rPr>
                      <w:rFonts w:hint="eastAsia"/>
                      <w:sz w:val="21"/>
                      <w:szCs w:val="21"/>
                      <w:u w:val="none"/>
                      <w:lang w:val="en-US" w:eastAsia="zh-CN"/>
                    </w:rPr>
                  </w:pPr>
                  <w:r>
                    <w:rPr>
                      <w:rFonts w:hint="eastAsia" w:cs="Times New Roman"/>
                      <w:bCs/>
                      <w:color w:val="auto"/>
                      <w:sz w:val="21"/>
                      <w:szCs w:val="21"/>
                      <w:u w:val="none"/>
                      <w:lang w:val="en-US" w:eastAsia="zh-CN"/>
                    </w:rPr>
                    <w:t>/</w:t>
                  </w:r>
                </w:p>
              </w:tc>
              <w:tc>
                <w:tcPr>
                  <w:tcW w:w="2073" w:type="dxa"/>
                  <w:vMerge w:val="continue"/>
                  <w:vAlign w:val="center"/>
                </w:tcPr>
                <w:p>
                  <w:pPr>
                    <w:pStyle w:val="37"/>
                    <w:spacing w:line="240" w:lineRule="auto"/>
                    <w:ind w:left="0" w:leftChars="0"/>
                    <w:rPr>
                      <w:rFonts w:hint="default" w:ascii="Times New Roman" w:hAnsi="Times New Roman" w:eastAsia="宋体" w:cs="Times New Roman"/>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32" w:type="dxa"/>
                  <w:vAlign w:val="center"/>
                </w:tcPr>
                <w:p>
                  <w:pPr>
                    <w:pStyle w:val="37"/>
                    <w:spacing w:line="240" w:lineRule="auto"/>
                    <w:ind w:left="0" w:leftChars="0"/>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6</w:t>
                  </w:r>
                </w:p>
              </w:tc>
              <w:tc>
                <w:tcPr>
                  <w:tcW w:w="1817" w:type="dxa"/>
                  <w:vAlign w:val="center"/>
                </w:tcPr>
                <w:p>
                  <w:pPr>
                    <w:pStyle w:val="37"/>
                    <w:spacing w:line="240" w:lineRule="auto"/>
                    <w:ind w:left="0" w:leftChars="0"/>
                    <w:rPr>
                      <w:rFonts w:hint="eastAsia"/>
                      <w:sz w:val="21"/>
                      <w:szCs w:val="21"/>
                      <w:u w:val="none"/>
                    </w:rPr>
                  </w:pPr>
                  <w:r>
                    <w:rPr>
                      <w:rFonts w:hint="default" w:ascii="Times New Roman" w:hAnsi="Times New Roman" w:eastAsia="宋体" w:cs="Times New Roman"/>
                      <w:bCs/>
                      <w:color w:val="000000"/>
                      <w:sz w:val="21"/>
                      <w:szCs w:val="21"/>
                      <w:lang w:val="en-US" w:eastAsia="zh-CN"/>
                    </w:rPr>
                    <w:t>废</w:t>
                  </w:r>
                  <w:r>
                    <w:rPr>
                      <w:rFonts w:hint="eastAsia" w:cs="Times New Roman"/>
                      <w:bCs/>
                      <w:color w:val="000000"/>
                      <w:sz w:val="21"/>
                      <w:szCs w:val="21"/>
                      <w:lang w:val="en-US" w:eastAsia="zh-CN"/>
                    </w:rPr>
                    <w:t>机</w:t>
                  </w:r>
                  <w:r>
                    <w:rPr>
                      <w:rFonts w:hint="eastAsia" w:ascii="Times New Roman" w:hAnsi="Times New Roman" w:eastAsia="宋体" w:cs="Times New Roman"/>
                      <w:bCs/>
                      <w:color w:val="000000"/>
                      <w:sz w:val="21"/>
                      <w:szCs w:val="21"/>
                      <w:lang w:val="en-US" w:eastAsia="zh-CN"/>
                    </w:rPr>
                    <w:t>油</w:t>
                  </w:r>
                </w:p>
              </w:tc>
              <w:tc>
                <w:tcPr>
                  <w:tcW w:w="1017"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0.01</w:t>
                  </w:r>
                </w:p>
              </w:tc>
              <w:tc>
                <w:tcPr>
                  <w:tcW w:w="815" w:type="dxa"/>
                  <w:vMerge w:val="restart"/>
                  <w:vAlign w:val="center"/>
                </w:tcPr>
                <w:p>
                  <w:pPr>
                    <w:pStyle w:val="37"/>
                    <w:spacing w:line="240" w:lineRule="auto"/>
                    <w:ind w:left="0" w:leftChars="0"/>
                    <w:rPr>
                      <w:rFonts w:hint="default"/>
                      <w:sz w:val="21"/>
                      <w:szCs w:val="21"/>
                      <w:u w:val="none"/>
                      <w:lang w:val="en-US" w:eastAsia="zh-CN"/>
                    </w:rPr>
                  </w:pPr>
                  <w:r>
                    <w:rPr>
                      <w:rFonts w:hint="eastAsia"/>
                      <w:sz w:val="21"/>
                      <w:szCs w:val="21"/>
                      <w:u w:val="none"/>
                      <w:lang w:val="en-US" w:eastAsia="zh-CN"/>
                    </w:rPr>
                    <w:t>设备维修</w:t>
                  </w:r>
                </w:p>
              </w:tc>
              <w:tc>
                <w:tcPr>
                  <w:tcW w:w="780" w:type="dxa"/>
                  <w:vMerge w:val="continue"/>
                  <w:vAlign w:val="center"/>
                </w:tcPr>
                <w:p>
                  <w:pPr>
                    <w:pStyle w:val="37"/>
                    <w:spacing w:line="240" w:lineRule="auto"/>
                    <w:ind w:left="0" w:leftChars="0"/>
                    <w:rPr>
                      <w:rFonts w:hint="eastAsia"/>
                      <w:sz w:val="21"/>
                      <w:szCs w:val="21"/>
                      <w:u w:val="none"/>
                    </w:rPr>
                  </w:pPr>
                </w:p>
              </w:tc>
              <w:tc>
                <w:tcPr>
                  <w:tcW w:w="1521" w:type="dxa"/>
                  <w:vAlign w:val="center"/>
                </w:tcPr>
                <w:p>
                  <w:pPr>
                    <w:pStyle w:val="37"/>
                    <w:spacing w:line="240" w:lineRule="auto"/>
                    <w:ind w:left="0" w:leftChars="0"/>
                    <w:rPr>
                      <w:rFonts w:hint="eastAsia"/>
                      <w:sz w:val="21"/>
                      <w:szCs w:val="21"/>
                      <w:u w:val="none"/>
                      <w:lang w:val="en-US" w:eastAsia="zh-CN"/>
                    </w:rPr>
                  </w:pPr>
                  <w:r>
                    <w:rPr>
                      <w:rFonts w:hint="default" w:ascii="Times New Roman" w:hAnsi="Times New Roman" w:eastAsia="宋体" w:cs="Times New Roman"/>
                      <w:bCs/>
                      <w:color w:val="000000"/>
                      <w:sz w:val="21"/>
                      <w:szCs w:val="21"/>
                      <w:lang w:val="en-US" w:eastAsia="zh-CN"/>
                    </w:rPr>
                    <w:t>HW08-900-2</w:t>
                  </w:r>
                  <w:r>
                    <w:rPr>
                      <w:rFonts w:hint="eastAsia" w:cs="Times New Roman"/>
                      <w:bCs/>
                      <w:color w:val="000000"/>
                      <w:sz w:val="21"/>
                      <w:szCs w:val="21"/>
                      <w:lang w:val="en-US" w:eastAsia="zh-CN"/>
                    </w:rPr>
                    <w:t>14</w:t>
                  </w:r>
                  <w:r>
                    <w:rPr>
                      <w:rFonts w:hint="default" w:ascii="Times New Roman" w:hAnsi="Times New Roman" w:eastAsia="宋体" w:cs="Times New Roman"/>
                      <w:bCs/>
                      <w:color w:val="000000"/>
                      <w:sz w:val="21"/>
                      <w:szCs w:val="21"/>
                      <w:lang w:val="en-US" w:eastAsia="zh-CN"/>
                    </w:rPr>
                    <w:t>-08</w:t>
                  </w:r>
                </w:p>
              </w:tc>
              <w:tc>
                <w:tcPr>
                  <w:tcW w:w="2073" w:type="dxa"/>
                  <w:vMerge w:val="continue"/>
                  <w:vAlign w:val="center"/>
                </w:tcPr>
                <w:p>
                  <w:pPr>
                    <w:pStyle w:val="37"/>
                    <w:spacing w:line="240" w:lineRule="auto"/>
                    <w:ind w:left="0" w:leftChars="0"/>
                    <w:rPr>
                      <w:rFonts w:hint="default" w:ascii="Times New Roman" w:hAnsi="Times New Roman" w:eastAsia="宋体" w:cs="Times New Roman"/>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32" w:type="dxa"/>
                  <w:vAlign w:val="center"/>
                </w:tcPr>
                <w:p>
                  <w:pPr>
                    <w:pStyle w:val="37"/>
                    <w:spacing w:line="240" w:lineRule="auto"/>
                    <w:ind w:left="0" w:leftChars="0"/>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w:t>
                  </w:r>
                </w:p>
              </w:tc>
              <w:tc>
                <w:tcPr>
                  <w:tcW w:w="1817" w:type="dxa"/>
                  <w:vAlign w:val="center"/>
                </w:tcPr>
                <w:p>
                  <w:pPr>
                    <w:pStyle w:val="37"/>
                    <w:spacing w:line="240" w:lineRule="auto"/>
                    <w:ind w:left="0" w:leftChars="0"/>
                    <w:rPr>
                      <w:rFonts w:hint="default"/>
                      <w:sz w:val="21"/>
                      <w:szCs w:val="21"/>
                      <w:u w:val="none"/>
                      <w:lang w:val="en-US"/>
                    </w:rPr>
                  </w:pPr>
                  <w:r>
                    <w:rPr>
                      <w:rFonts w:hint="default" w:ascii="Times New Roman" w:hAnsi="Times New Roman" w:eastAsia="宋体" w:cs="Times New Roman"/>
                      <w:bCs/>
                      <w:color w:val="000000"/>
                      <w:sz w:val="21"/>
                      <w:szCs w:val="21"/>
                      <w:lang w:val="en-US" w:eastAsia="zh-CN"/>
                    </w:rPr>
                    <w:t>废</w:t>
                  </w:r>
                  <w:r>
                    <w:rPr>
                      <w:rFonts w:hint="eastAsia" w:cs="Times New Roman"/>
                      <w:bCs/>
                      <w:color w:val="000000"/>
                      <w:sz w:val="21"/>
                      <w:szCs w:val="21"/>
                      <w:lang w:val="en-US" w:eastAsia="zh-CN"/>
                    </w:rPr>
                    <w:t>机</w:t>
                  </w:r>
                  <w:r>
                    <w:rPr>
                      <w:rFonts w:hint="eastAsia" w:ascii="Times New Roman" w:hAnsi="Times New Roman" w:eastAsia="宋体" w:cs="Times New Roman"/>
                      <w:bCs/>
                      <w:color w:val="000000"/>
                      <w:sz w:val="21"/>
                      <w:szCs w:val="21"/>
                      <w:lang w:val="en-US" w:eastAsia="zh-CN"/>
                    </w:rPr>
                    <w:t>油桶</w:t>
                  </w:r>
                </w:p>
              </w:tc>
              <w:tc>
                <w:tcPr>
                  <w:tcW w:w="1017"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0.01</w:t>
                  </w:r>
                </w:p>
              </w:tc>
              <w:tc>
                <w:tcPr>
                  <w:tcW w:w="815" w:type="dxa"/>
                  <w:vMerge w:val="continue"/>
                  <w:vAlign w:val="center"/>
                </w:tcPr>
                <w:p>
                  <w:pPr>
                    <w:pStyle w:val="37"/>
                    <w:spacing w:line="240" w:lineRule="auto"/>
                    <w:ind w:left="0" w:leftChars="0"/>
                    <w:rPr>
                      <w:rFonts w:hint="eastAsia"/>
                      <w:sz w:val="21"/>
                      <w:szCs w:val="21"/>
                      <w:u w:val="none"/>
                      <w:lang w:val="en-US" w:eastAsia="zh-CN"/>
                    </w:rPr>
                  </w:pPr>
                </w:p>
              </w:tc>
              <w:tc>
                <w:tcPr>
                  <w:tcW w:w="780" w:type="dxa"/>
                  <w:vMerge w:val="continue"/>
                  <w:vAlign w:val="center"/>
                </w:tcPr>
                <w:p>
                  <w:pPr>
                    <w:pStyle w:val="37"/>
                    <w:spacing w:line="240" w:lineRule="auto"/>
                    <w:ind w:left="0" w:leftChars="0"/>
                    <w:rPr>
                      <w:rFonts w:hint="eastAsia"/>
                      <w:sz w:val="21"/>
                      <w:szCs w:val="21"/>
                      <w:u w:val="none"/>
                    </w:rPr>
                  </w:pPr>
                </w:p>
              </w:tc>
              <w:tc>
                <w:tcPr>
                  <w:tcW w:w="1521" w:type="dxa"/>
                  <w:vAlign w:val="center"/>
                </w:tcPr>
                <w:p>
                  <w:pPr>
                    <w:pStyle w:val="37"/>
                    <w:spacing w:line="240" w:lineRule="auto"/>
                    <w:ind w:left="0" w:leftChars="0"/>
                    <w:rPr>
                      <w:rFonts w:hint="eastAsia"/>
                      <w:sz w:val="21"/>
                      <w:szCs w:val="21"/>
                      <w:u w:val="none"/>
                      <w:lang w:val="en-US" w:eastAsia="zh-CN"/>
                    </w:rPr>
                  </w:pPr>
                  <w:r>
                    <w:rPr>
                      <w:rFonts w:hint="default" w:ascii="Times New Roman" w:hAnsi="Times New Roman" w:eastAsia="宋体" w:cs="Times New Roman"/>
                      <w:bCs/>
                      <w:color w:val="000000"/>
                      <w:sz w:val="21"/>
                      <w:szCs w:val="21"/>
                      <w:lang w:val="en-US" w:eastAsia="zh-CN"/>
                    </w:rPr>
                    <w:t>HW08</w:t>
                  </w:r>
                  <w:r>
                    <w:rPr>
                      <w:rFonts w:hint="eastAsia" w:cs="Times New Roman"/>
                      <w:bCs/>
                      <w:color w:val="000000"/>
                      <w:sz w:val="21"/>
                      <w:szCs w:val="21"/>
                      <w:lang w:val="en-US" w:eastAsia="zh-CN"/>
                    </w:rPr>
                    <w:t>-</w:t>
                  </w:r>
                  <w:r>
                    <w:rPr>
                      <w:rFonts w:hint="default" w:ascii="Times New Roman" w:hAnsi="Times New Roman" w:eastAsia="宋体" w:cs="Times New Roman"/>
                      <w:bCs/>
                      <w:color w:val="000000"/>
                      <w:sz w:val="21"/>
                      <w:szCs w:val="21"/>
                      <w:lang w:val="en-US" w:eastAsia="zh-CN"/>
                    </w:rPr>
                    <w:t>900-249-08</w:t>
                  </w:r>
                </w:p>
              </w:tc>
              <w:tc>
                <w:tcPr>
                  <w:tcW w:w="2073" w:type="dxa"/>
                  <w:vMerge w:val="continue"/>
                  <w:vAlign w:val="center"/>
                </w:tcPr>
                <w:p>
                  <w:pPr>
                    <w:pStyle w:val="37"/>
                    <w:spacing w:line="240" w:lineRule="auto"/>
                    <w:ind w:left="0" w:leftChars="0"/>
                    <w:rPr>
                      <w:rFonts w:hint="default" w:ascii="Times New Roman" w:hAnsi="Times New Roman" w:eastAsia="宋体" w:cs="Times New Roman"/>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32" w:type="dxa"/>
                  <w:vAlign w:val="center"/>
                </w:tcPr>
                <w:p>
                  <w:pPr>
                    <w:pStyle w:val="37"/>
                    <w:spacing w:line="240" w:lineRule="auto"/>
                    <w:ind w:left="0" w:leftChars="0"/>
                    <w:rPr>
                      <w:rFonts w:hint="default"/>
                      <w:color w:val="auto"/>
                      <w:sz w:val="21"/>
                      <w:szCs w:val="21"/>
                      <w:highlight w:val="none"/>
                      <w:u w:val="none"/>
                      <w:vertAlign w:val="baseline"/>
                      <w:lang w:val="en-US" w:eastAsia="zh-CN"/>
                    </w:rPr>
                  </w:pPr>
                  <w:r>
                    <w:rPr>
                      <w:rFonts w:hint="eastAsia"/>
                      <w:color w:val="auto"/>
                      <w:sz w:val="21"/>
                      <w:szCs w:val="21"/>
                      <w:highlight w:val="none"/>
                      <w:u w:val="none"/>
                      <w:vertAlign w:val="baseline"/>
                      <w:lang w:val="en-US" w:eastAsia="zh-CN"/>
                    </w:rPr>
                    <w:t>8</w:t>
                  </w:r>
                </w:p>
              </w:tc>
              <w:tc>
                <w:tcPr>
                  <w:tcW w:w="1817" w:type="dxa"/>
                  <w:vAlign w:val="center"/>
                </w:tcPr>
                <w:p>
                  <w:pPr>
                    <w:pStyle w:val="37"/>
                    <w:spacing w:line="240" w:lineRule="auto"/>
                    <w:ind w:left="0" w:leftChars="0"/>
                    <w:rPr>
                      <w:rFonts w:hint="eastAsia"/>
                      <w:sz w:val="21"/>
                      <w:szCs w:val="21"/>
                      <w:u w:val="none"/>
                    </w:rPr>
                  </w:pPr>
                  <w:r>
                    <w:rPr>
                      <w:rFonts w:hint="eastAsia"/>
                      <w:color w:val="auto"/>
                      <w:sz w:val="21"/>
                      <w:szCs w:val="21"/>
                      <w:highlight w:val="none"/>
                      <w:u w:val="none"/>
                      <w:vertAlign w:val="baseline"/>
                      <w:lang w:val="en-US" w:eastAsia="zh-CN"/>
                    </w:rPr>
                    <w:t>含油抹布及手套</w:t>
                  </w:r>
                </w:p>
              </w:tc>
              <w:tc>
                <w:tcPr>
                  <w:tcW w:w="1017"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0.005</w:t>
                  </w:r>
                </w:p>
              </w:tc>
              <w:tc>
                <w:tcPr>
                  <w:tcW w:w="815" w:type="dxa"/>
                  <w:vMerge w:val="continue"/>
                  <w:vAlign w:val="center"/>
                </w:tcPr>
                <w:p>
                  <w:pPr>
                    <w:pStyle w:val="37"/>
                    <w:spacing w:line="240" w:lineRule="auto"/>
                    <w:ind w:left="0" w:leftChars="0"/>
                    <w:rPr>
                      <w:rFonts w:hint="eastAsia"/>
                      <w:sz w:val="21"/>
                      <w:szCs w:val="21"/>
                      <w:u w:val="none"/>
                      <w:lang w:val="en-US" w:eastAsia="zh-CN"/>
                    </w:rPr>
                  </w:pPr>
                </w:p>
              </w:tc>
              <w:tc>
                <w:tcPr>
                  <w:tcW w:w="780" w:type="dxa"/>
                  <w:vMerge w:val="continue"/>
                  <w:vAlign w:val="center"/>
                </w:tcPr>
                <w:p>
                  <w:pPr>
                    <w:pStyle w:val="37"/>
                    <w:spacing w:line="240" w:lineRule="auto"/>
                    <w:ind w:left="0" w:leftChars="0"/>
                    <w:rPr>
                      <w:rFonts w:hint="eastAsia"/>
                      <w:sz w:val="21"/>
                      <w:szCs w:val="21"/>
                      <w:u w:val="none"/>
                    </w:rPr>
                  </w:pPr>
                </w:p>
              </w:tc>
              <w:tc>
                <w:tcPr>
                  <w:tcW w:w="1521" w:type="dxa"/>
                  <w:vAlign w:val="center"/>
                </w:tcPr>
                <w:p>
                  <w:pPr>
                    <w:pStyle w:val="37"/>
                    <w:spacing w:line="240" w:lineRule="auto"/>
                    <w:ind w:left="0" w:leftChars="0"/>
                    <w:rPr>
                      <w:rFonts w:hint="eastAsia"/>
                      <w:sz w:val="21"/>
                      <w:szCs w:val="21"/>
                      <w:u w:val="none"/>
                      <w:lang w:val="en-US" w:eastAsia="zh-CN"/>
                    </w:rPr>
                  </w:pPr>
                  <w:r>
                    <w:rPr>
                      <w:rFonts w:hint="default" w:ascii="Times New Roman" w:hAnsi="Times New Roman" w:eastAsia="宋体" w:cs="Times New Roman"/>
                      <w:bCs/>
                      <w:color w:val="auto"/>
                      <w:sz w:val="21"/>
                      <w:szCs w:val="21"/>
                      <w:u w:val="none"/>
                      <w:lang w:val="en-US" w:eastAsia="zh-CN"/>
                    </w:rPr>
                    <w:t>HW49</w:t>
                  </w:r>
                  <w:r>
                    <w:rPr>
                      <w:rFonts w:hint="eastAsia" w:ascii="Times New Roman" w:hAnsi="Times New Roman" w:eastAsia="宋体" w:cs="Times New Roman"/>
                      <w:bCs/>
                      <w:color w:val="auto"/>
                      <w:sz w:val="21"/>
                      <w:szCs w:val="21"/>
                      <w:u w:val="none"/>
                      <w:lang w:val="en-US" w:eastAsia="zh-CN"/>
                    </w:rPr>
                    <w:t>-</w:t>
                  </w:r>
                  <w:r>
                    <w:rPr>
                      <w:rFonts w:hint="default" w:ascii="Times New Roman" w:hAnsi="Times New Roman" w:eastAsia="宋体" w:cs="Times New Roman"/>
                      <w:bCs/>
                      <w:color w:val="auto"/>
                      <w:sz w:val="21"/>
                      <w:szCs w:val="21"/>
                      <w:u w:val="none"/>
                      <w:lang w:val="en-US" w:eastAsia="zh-CN"/>
                    </w:rPr>
                    <w:t>900-041-49</w:t>
                  </w:r>
                </w:p>
              </w:tc>
              <w:tc>
                <w:tcPr>
                  <w:tcW w:w="2073" w:type="dxa"/>
                  <w:vMerge w:val="continue"/>
                  <w:vAlign w:val="center"/>
                </w:tcPr>
                <w:p>
                  <w:pPr>
                    <w:pStyle w:val="37"/>
                    <w:spacing w:line="240" w:lineRule="auto"/>
                    <w:ind w:left="0" w:leftChars="0"/>
                    <w:rPr>
                      <w:rFonts w:hint="default" w:ascii="Times New Roman" w:hAnsi="Times New Roman" w:eastAsia="宋体" w:cs="Times New Roman"/>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32" w:type="dxa"/>
                  <w:vAlign w:val="center"/>
                </w:tcPr>
                <w:p>
                  <w:pPr>
                    <w:pStyle w:val="37"/>
                    <w:spacing w:line="240" w:lineRule="auto"/>
                    <w:ind w:left="0" w:leftChars="0"/>
                    <w:rPr>
                      <w:rFonts w:hint="eastAsia" w:eastAsia="宋体"/>
                      <w:sz w:val="21"/>
                      <w:szCs w:val="21"/>
                      <w:u w:val="none"/>
                      <w:lang w:val="en-US" w:eastAsia="zh-CN"/>
                    </w:rPr>
                  </w:pPr>
                  <w:r>
                    <w:rPr>
                      <w:rFonts w:hint="eastAsia"/>
                      <w:sz w:val="21"/>
                      <w:szCs w:val="21"/>
                      <w:u w:val="none"/>
                      <w:lang w:val="en-US" w:eastAsia="zh-CN"/>
                    </w:rPr>
                    <w:t>9</w:t>
                  </w:r>
                </w:p>
              </w:tc>
              <w:tc>
                <w:tcPr>
                  <w:tcW w:w="1817" w:type="dxa"/>
                  <w:vAlign w:val="center"/>
                </w:tcPr>
                <w:p>
                  <w:pPr>
                    <w:pStyle w:val="37"/>
                    <w:spacing w:line="240" w:lineRule="auto"/>
                    <w:ind w:left="0" w:leftChars="0"/>
                    <w:rPr>
                      <w:sz w:val="21"/>
                      <w:szCs w:val="21"/>
                      <w:u w:val="none"/>
                    </w:rPr>
                  </w:pPr>
                  <w:r>
                    <w:rPr>
                      <w:rFonts w:hint="eastAsia"/>
                      <w:sz w:val="21"/>
                      <w:szCs w:val="21"/>
                      <w:u w:val="none"/>
                    </w:rPr>
                    <w:t>废活性炭</w:t>
                  </w:r>
                </w:p>
              </w:tc>
              <w:tc>
                <w:tcPr>
                  <w:tcW w:w="1017" w:type="dxa"/>
                  <w:vAlign w:val="center"/>
                </w:tcPr>
                <w:p>
                  <w:pPr>
                    <w:pStyle w:val="37"/>
                    <w:spacing w:line="240" w:lineRule="auto"/>
                    <w:ind w:left="0" w:leftChars="0"/>
                    <w:rPr>
                      <w:rFonts w:hint="default" w:eastAsia="宋体"/>
                      <w:sz w:val="21"/>
                      <w:szCs w:val="21"/>
                      <w:u w:val="none"/>
                      <w:lang w:val="en-US" w:eastAsia="zh-CN"/>
                    </w:rPr>
                  </w:pPr>
                  <w:r>
                    <w:rPr>
                      <w:rFonts w:hint="eastAsia"/>
                      <w:sz w:val="21"/>
                      <w:szCs w:val="21"/>
                      <w:u w:val="none"/>
                      <w:lang w:val="en-US" w:eastAsia="zh-CN"/>
                    </w:rPr>
                    <w:t>2.767</w:t>
                  </w:r>
                </w:p>
              </w:tc>
              <w:tc>
                <w:tcPr>
                  <w:tcW w:w="815" w:type="dxa"/>
                  <w:vAlign w:val="center"/>
                </w:tcPr>
                <w:p>
                  <w:pPr>
                    <w:pStyle w:val="37"/>
                    <w:spacing w:line="240" w:lineRule="auto"/>
                    <w:ind w:left="0" w:leftChars="0"/>
                    <w:rPr>
                      <w:sz w:val="21"/>
                      <w:szCs w:val="21"/>
                      <w:u w:val="none"/>
                    </w:rPr>
                  </w:pPr>
                  <w:r>
                    <w:rPr>
                      <w:rFonts w:hint="eastAsia"/>
                      <w:sz w:val="21"/>
                      <w:szCs w:val="21"/>
                      <w:u w:val="none"/>
                    </w:rPr>
                    <w:t>废气治理</w:t>
                  </w:r>
                </w:p>
              </w:tc>
              <w:tc>
                <w:tcPr>
                  <w:tcW w:w="780" w:type="dxa"/>
                  <w:vMerge w:val="continue"/>
                  <w:vAlign w:val="center"/>
                </w:tcPr>
                <w:p>
                  <w:pPr>
                    <w:pStyle w:val="37"/>
                    <w:spacing w:line="240" w:lineRule="auto"/>
                    <w:ind w:left="0" w:leftChars="0"/>
                    <w:rPr>
                      <w:rFonts w:hint="default" w:eastAsia="宋体"/>
                      <w:sz w:val="21"/>
                      <w:szCs w:val="21"/>
                      <w:u w:val="none"/>
                      <w:lang w:val="en-US" w:eastAsia="zh-CN"/>
                    </w:rPr>
                  </w:pPr>
                </w:p>
              </w:tc>
              <w:tc>
                <w:tcPr>
                  <w:tcW w:w="1521" w:type="dxa"/>
                  <w:vAlign w:val="center"/>
                </w:tcPr>
                <w:p>
                  <w:pPr>
                    <w:pStyle w:val="37"/>
                    <w:spacing w:line="240" w:lineRule="auto"/>
                    <w:ind w:left="0" w:leftChars="0"/>
                    <w:rPr>
                      <w:sz w:val="21"/>
                      <w:szCs w:val="21"/>
                      <w:u w:val="none"/>
                    </w:rPr>
                  </w:pPr>
                  <w:r>
                    <w:rPr>
                      <w:bCs/>
                      <w:color w:val="000000"/>
                      <w:sz w:val="21"/>
                      <w:szCs w:val="21"/>
                      <w:u w:val="none"/>
                    </w:rPr>
                    <w:t>HW49</w:t>
                  </w:r>
                  <w:r>
                    <w:rPr>
                      <w:rFonts w:hint="eastAsia"/>
                      <w:bCs/>
                      <w:color w:val="000000"/>
                      <w:sz w:val="21"/>
                      <w:szCs w:val="21"/>
                      <w:u w:val="none"/>
                      <w:lang w:val="en-US" w:eastAsia="zh-CN"/>
                    </w:rPr>
                    <w:t>-</w:t>
                  </w:r>
                  <w:r>
                    <w:rPr>
                      <w:bCs/>
                      <w:color w:val="000000"/>
                      <w:sz w:val="21"/>
                      <w:szCs w:val="21"/>
                      <w:u w:val="none"/>
                    </w:rPr>
                    <w:t>900-039-49</w:t>
                  </w:r>
                </w:p>
              </w:tc>
              <w:tc>
                <w:tcPr>
                  <w:tcW w:w="2073" w:type="dxa"/>
                  <w:vMerge w:val="continue"/>
                  <w:vAlign w:val="center"/>
                </w:tcPr>
                <w:p>
                  <w:pPr>
                    <w:pStyle w:val="37"/>
                    <w:spacing w:line="240" w:lineRule="auto"/>
                    <w:ind w:left="0" w:leftChars="0"/>
                    <w:rPr>
                      <w:sz w:val="21"/>
                      <w:szCs w:val="21"/>
                      <w:u w:val="none"/>
                    </w:rPr>
                  </w:pPr>
                </w:p>
              </w:tc>
            </w:tr>
          </w:tbl>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18</w:t>
            </w:r>
            <w:r>
              <w:rPr>
                <w:rFonts w:hint="eastAsia" w:ascii="Times New Roman" w:hAnsi="Times New Roman" w:cs="Times New Roman"/>
                <w:b/>
                <w:bCs w:val="0"/>
                <w:u w:val="none"/>
              </w:rPr>
              <w:t>危险废物汇总表</w:t>
            </w:r>
          </w:p>
          <w:tbl>
            <w:tblPr>
              <w:tblStyle w:val="2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996"/>
              <w:gridCol w:w="795"/>
              <w:gridCol w:w="1123"/>
              <w:gridCol w:w="857"/>
              <w:gridCol w:w="811"/>
              <w:gridCol w:w="434"/>
              <w:gridCol w:w="485"/>
              <w:gridCol w:w="485"/>
              <w:gridCol w:w="603"/>
              <w:gridCol w:w="555"/>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dxa"/>
                  <w:vAlign w:val="center"/>
                </w:tcPr>
                <w:p>
                  <w:pPr>
                    <w:pStyle w:val="37"/>
                    <w:ind w:left="0" w:leftChars="0"/>
                    <w:rPr>
                      <w:b/>
                      <w:bCs/>
                    </w:rPr>
                  </w:pPr>
                  <w:r>
                    <w:rPr>
                      <w:b/>
                      <w:bCs/>
                    </w:rPr>
                    <w:t>序号</w:t>
                  </w:r>
                </w:p>
              </w:tc>
              <w:tc>
                <w:tcPr>
                  <w:tcW w:w="996" w:type="dxa"/>
                  <w:vAlign w:val="center"/>
                </w:tcPr>
                <w:p>
                  <w:pPr>
                    <w:pStyle w:val="37"/>
                    <w:ind w:left="0" w:leftChars="0"/>
                    <w:rPr>
                      <w:b/>
                      <w:bCs/>
                    </w:rPr>
                  </w:pPr>
                  <w:r>
                    <w:rPr>
                      <w:b/>
                      <w:bCs/>
                    </w:rPr>
                    <w:t>危险</w:t>
                  </w:r>
                </w:p>
                <w:p>
                  <w:pPr>
                    <w:pStyle w:val="37"/>
                    <w:ind w:left="0" w:leftChars="0"/>
                    <w:rPr>
                      <w:b/>
                      <w:bCs/>
                    </w:rPr>
                  </w:pPr>
                  <w:r>
                    <w:rPr>
                      <w:b/>
                      <w:bCs/>
                    </w:rPr>
                    <w:t>废物</w:t>
                  </w:r>
                </w:p>
                <w:p>
                  <w:pPr>
                    <w:pStyle w:val="37"/>
                    <w:ind w:left="0" w:leftChars="0"/>
                    <w:rPr>
                      <w:b/>
                      <w:bCs/>
                    </w:rPr>
                  </w:pPr>
                  <w:r>
                    <w:rPr>
                      <w:b/>
                      <w:bCs/>
                    </w:rPr>
                    <w:t>名称</w:t>
                  </w:r>
                </w:p>
              </w:tc>
              <w:tc>
                <w:tcPr>
                  <w:tcW w:w="795" w:type="dxa"/>
                  <w:vAlign w:val="center"/>
                </w:tcPr>
                <w:p>
                  <w:pPr>
                    <w:pStyle w:val="37"/>
                    <w:ind w:left="0" w:leftChars="0"/>
                    <w:rPr>
                      <w:b/>
                      <w:bCs/>
                    </w:rPr>
                  </w:pPr>
                  <w:r>
                    <w:rPr>
                      <w:b/>
                      <w:bCs/>
                    </w:rPr>
                    <w:t>危险废物类别</w:t>
                  </w:r>
                </w:p>
              </w:tc>
              <w:tc>
                <w:tcPr>
                  <w:tcW w:w="1123" w:type="dxa"/>
                  <w:vAlign w:val="center"/>
                </w:tcPr>
                <w:p>
                  <w:pPr>
                    <w:pStyle w:val="37"/>
                    <w:ind w:left="0" w:leftChars="0"/>
                    <w:rPr>
                      <w:b/>
                      <w:bCs/>
                    </w:rPr>
                  </w:pPr>
                  <w:r>
                    <w:rPr>
                      <w:b/>
                      <w:bCs/>
                    </w:rPr>
                    <w:t>危险废物代码</w:t>
                  </w:r>
                </w:p>
              </w:tc>
              <w:tc>
                <w:tcPr>
                  <w:tcW w:w="857" w:type="dxa"/>
                  <w:vAlign w:val="center"/>
                </w:tcPr>
                <w:p>
                  <w:pPr>
                    <w:pStyle w:val="37"/>
                    <w:ind w:left="0" w:leftChars="0"/>
                    <w:rPr>
                      <w:b/>
                      <w:bCs/>
                    </w:rPr>
                  </w:pPr>
                  <w:r>
                    <w:rPr>
                      <w:b/>
                      <w:bCs/>
                    </w:rPr>
                    <w:t>产生量（t/a）</w:t>
                  </w:r>
                </w:p>
              </w:tc>
              <w:tc>
                <w:tcPr>
                  <w:tcW w:w="811" w:type="dxa"/>
                  <w:vAlign w:val="center"/>
                </w:tcPr>
                <w:p>
                  <w:pPr>
                    <w:pStyle w:val="37"/>
                    <w:ind w:left="0" w:leftChars="0"/>
                    <w:rPr>
                      <w:b/>
                      <w:bCs/>
                    </w:rPr>
                  </w:pPr>
                  <w:r>
                    <w:rPr>
                      <w:b/>
                      <w:bCs/>
                    </w:rPr>
                    <w:t>产生工序及装置</w:t>
                  </w:r>
                </w:p>
              </w:tc>
              <w:tc>
                <w:tcPr>
                  <w:tcW w:w="434" w:type="dxa"/>
                  <w:vAlign w:val="center"/>
                </w:tcPr>
                <w:p>
                  <w:pPr>
                    <w:pStyle w:val="37"/>
                    <w:ind w:left="0" w:leftChars="0"/>
                    <w:rPr>
                      <w:b/>
                      <w:bCs/>
                    </w:rPr>
                  </w:pPr>
                  <w:r>
                    <w:rPr>
                      <w:b/>
                      <w:bCs/>
                    </w:rPr>
                    <w:t>形态</w:t>
                  </w:r>
                </w:p>
              </w:tc>
              <w:tc>
                <w:tcPr>
                  <w:tcW w:w="485" w:type="dxa"/>
                  <w:vAlign w:val="center"/>
                </w:tcPr>
                <w:p>
                  <w:pPr>
                    <w:pStyle w:val="37"/>
                    <w:ind w:left="0" w:leftChars="0"/>
                    <w:rPr>
                      <w:b/>
                      <w:bCs/>
                    </w:rPr>
                  </w:pPr>
                  <w:r>
                    <w:rPr>
                      <w:b/>
                      <w:bCs/>
                    </w:rPr>
                    <w:t>主要成分</w:t>
                  </w:r>
                </w:p>
              </w:tc>
              <w:tc>
                <w:tcPr>
                  <w:tcW w:w="485" w:type="dxa"/>
                  <w:vAlign w:val="center"/>
                </w:tcPr>
                <w:p>
                  <w:pPr>
                    <w:pStyle w:val="37"/>
                    <w:ind w:left="0" w:leftChars="0"/>
                    <w:rPr>
                      <w:b/>
                      <w:bCs/>
                    </w:rPr>
                  </w:pPr>
                  <w:r>
                    <w:rPr>
                      <w:b/>
                      <w:bCs/>
                    </w:rPr>
                    <w:t>有害成分</w:t>
                  </w:r>
                </w:p>
              </w:tc>
              <w:tc>
                <w:tcPr>
                  <w:tcW w:w="603" w:type="dxa"/>
                  <w:vAlign w:val="center"/>
                </w:tcPr>
                <w:p>
                  <w:pPr>
                    <w:pStyle w:val="37"/>
                    <w:ind w:left="0" w:leftChars="0"/>
                    <w:rPr>
                      <w:b/>
                      <w:bCs/>
                    </w:rPr>
                  </w:pPr>
                  <w:r>
                    <w:rPr>
                      <w:b/>
                      <w:bCs/>
                    </w:rPr>
                    <w:t>产生周期</w:t>
                  </w:r>
                </w:p>
              </w:tc>
              <w:tc>
                <w:tcPr>
                  <w:tcW w:w="555" w:type="dxa"/>
                  <w:vAlign w:val="center"/>
                </w:tcPr>
                <w:p>
                  <w:pPr>
                    <w:pStyle w:val="37"/>
                    <w:ind w:left="0" w:leftChars="0"/>
                    <w:rPr>
                      <w:b/>
                      <w:bCs/>
                    </w:rPr>
                  </w:pPr>
                  <w:r>
                    <w:rPr>
                      <w:b/>
                      <w:bCs/>
                    </w:rPr>
                    <w:t>危险特征</w:t>
                  </w:r>
                </w:p>
              </w:tc>
              <w:tc>
                <w:tcPr>
                  <w:tcW w:w="1059" w:type="dxa"/>
                  <w:vAlign w:val="center"/>
                </w:tcPr>
                <w:p>
                  <w:pPr>
                    <w:pStyle w:val="37"/>
                    <w:ind w:left="0" w:leftChars="0"/>
                    <w:rPr>
                      <w:b/>
                      <w:bCs/>
                    </w:rPr>
                  </w:pPr>
                  <w:r>
                    <w:rPr>
                      <w:b/>
                      <w:bCs/>
                    </w:rPr>
                    <w:t>污染</w:t>
                  </w:r>
                </w:p>
                <w:p>
                  <w:pPr>
                    <w:pStyle w:val="37"/>
                    <w:ind w:left="0" w:leftChars="0"/>
                    <w:rPr>
                      <w:b/>
                      <w:bCs/>
                    </w:rPr>
                  </w:pPr>
                  <w:r>
                    <w:rPr>
                      <w:b/>
                      <w:bCs/>
                    </w:rPr>
                    <w:t>防治</w:t>
                  </w:r>
                </w:p>
                <w:p>
                  <w:pPr>
                    <w:pStyle w:val="37"/>
                    <w:ind w:left="0" w:leftChars="0"/>
                    <w:rPr>
                      <w:b/>
                      <w:bCs/>
                    </w:rPr>
                  </w:pPr>
                  <w:r>
                    <w:rPr>
                      <w:b/>
                      <w:bCs/>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16" w:type="dxa"/>
                  <w:vAlign w:val="center"/>
                </w:tcPr>
                <w:p>
                  <w:pPr>
                    <w:pStyle w:val="37"/>
                    <w:ind w:left="0" w:leftChars="0"/>
                    <w:rPr>
                      <w:rFonts w:hint="eastAsia" w:eastAsia="宋体"/>
                      <w:lang w:eastAsia="zh-CN"/>
                    </w:rPr>
                  </w:pPr>
                  <w:r>
                    <w:rPr>
                      <w:rFonts w:hint="eastAsia"/>
                      <w:lang w:val="en-US" w:eastAsia="zh-CN"/>
                    </w:rPr>
                    <w:t>1</w:t>
                  </w:r>
                </w:p>
              </w:tc>
              <w:tc>
                <w:tcPr>
                  <w:tcW w:w="996" w:type="dxa"/>
                  <w:shd w:val="clear" w:color="auto" w:fill="auto"/>
                  <w:vAlign w:val="center"/>
                </w:tcPr>
                <w:p>
                  <w:pPr>
                    <w:pStyle w:val="37"/>
                    <w:spacing w:line="240" w:lineRule="auto"/>
                    <w:ind w:left="0" w:leftChars="0" w:firstLine="0" w:firstLineChars="0"/>
                  </w:pPr>
                  <w:r>
                    <w:rPr>
                      <w:rFonts w:hint="eastAsia"/>
                      <w:sz w:val="21"/>
                      <w:szCs w:val="21"/>
                      <w:u w:val="none"/>
                    </w:rPr>
                    <w:t>废水性涂料</w:t>
                  </w:r>
                </w:p>
              </w:tc>
              <w:tc>
                <w:tcPr>
                  <w:tcW w:w="795" w:type="dxa"/>
                  <w:vAlign w:val="center"/>
                </w:tcPr>
                <w:p>
                  <w:pPr>
                    <w:pStyle w:val="37"/>
                    <w:spacing w:line="240" w:lineRule="auto"/>
                    <w:ind w:left="0" w:leftChars="0" w:firstLine="0" w:firstLineChars="0"/>
                    <w:rPr>
                      <w:rFonts w:hint="eastAsia" w:eastAsia="宋体"/>
                      <w:lang w:val="en-US" w:eastAsia="zh-CN"/>
                    </w:rPr>
                  </w:pPr>
                  <w:r>
                    <w:rPr>
                      <w:rFonts w:hint="eastAsia"/>
                      <w:lang w:val="en-US" w:eastAsia="zh-CN"/>
                    </w:rPr>
                    <w:t>/</w:t>
                  </w:r>
                </w:p>
              </w:tc>
              <w:tc>
                <w:tcPr>
                  <w:tcW w:w="1123" w:type="dxa"/>
                  <w:vAlign w:val="center"/>
                </w:tcPr>
                <w:p>
                  <w:pPr>
                    <w:pStyle w:val="37"/>
                    <w:ind w:left="0" w:leftChars="0"/>
                    <w:rPr>
                      <w:rFonts w:hint="eastAsia" w:eastAsia="宋体"/>
                      <w:lang w:val="en-US" w:eastAsia="zh-CN"/>
                    </w:rPr>
                  </w:pPr>
                  <w:r>
                    <w:rPr>
                      <w:rFonts w:hint="eastAsia"/>
                      <w:lang w:val="en-US" w:eastAsia="zh-CN"/>
                    </w:rPr>
                    <w:t>/</w:t>
                  </w:r>
                </w:p>
              </w:tc>
              <w:tc>
                <w:tcPr>
                  <w:tcW w:w="857" w:type="dxa"/>
                  <w:shd w:val="clear" w:color="auto" w:fill="auto"/>
                  <w:vAlign w:val="center"/>
                </w:tcPr>
                <w:p>
                  <w:pPr>
                    <w:pStyle w:val="37"/>
                    <w:spacing w:line="240" w:lineRule="auto"/>
                    <w:ind w:left="0" w:leftChars="0" w:firstLine="0" w:firstLineChars="0"/>
                  </w:pPr>
                  <w:r>
                    <w:rPr>
                      <w:rFonts w:hint="eastAsia"/>
                      <w:sz w:val="21"/>
                      <w:szCs w:val="21"/>
                      <w:u w:val="none"/>
                    </w:rPr>
                    <w:t>0.</w:t>
                  </w:r>
                  <w:r>
                    <w:rPr>
                      <w:rFonts w:hint="eastAsia"/>
                      <w:sz w:val="21"/>
                      <w:szCs w:val="21"/>
                      <w:u w:val="none"/>
                      <w:lang w:val="en-US" w:eastAsia="zh-CN"/>
                    </w:rPr>
                    <w:t>1</w:t>
                  </w:r>
                </w:p>
              </w:tc>
              <w:tc>
                <w:tcPr>
                  <w:tcW w:w="811" w:type="dxa"/>
                  <w:vMerge w:val="restart"/>
                  <w:shd w:val="clear" w:color="auto" w:fill="auto"/>
                  <w:vAlign w:val="center"/>
                </w:tcPr>
                <w:p>
                  <w:pPr>
                    <w:pStyle w:val="37"/>
                    <w:spacing w:line="240" w:lineRule="auto"/>
                    <w:ind w:left="0" w:leftChars="0" w:firstLine="0" w:firstLineChars="0"/>
                  </w:pPr>
                  <w:r>
                    <w:rPr>
                      <w:rFonts w:hint="eastAsia"/>
                      <w:sz w:val="21"/>
                      <w:szCs w:val="21"/>
                      <w:u w:val="none"/>
                      <w:lang w:val="en-US" w:eastAsia="zh-CN"/>
                    </w:rPr>
                    <w:t>涂布工序</w:t>
                  </w:r>
                </w:p>
              </w:tc>
              <w:tc>
                <w:tcPr>
                  <w:tcW w:w="434" w:type="dxa"/>
                  <w:vAlign w:val="center"/>
                </w:tcPr>
                <w:p>
                  <w:pPr>
                    <w:pStyle w:val="37"/>
                    <w:ind w:left="0" w:leftChars="0"/>
                    <w:rPr>
                      <w:rFonts w:hint="eastAsia" w:eastAsia="宋体"/>
                      <w:lang w:val="en-US" w:eastAsia="zh-CN"/>
                    </w:rPr>
                  </w:pPr>
                  <w:r>
                    <w:rPr>
                      <w:rFonts w:hint="eastAsia"/>
                      <w:lang w:val="en-US" w:eastAsia="zh-CN"/>
                    </w:rPr>
                    <w:t>液态</w:t>
                  </w:r>
                </w:p>
              </w:tc>
              <w:tc>
                <w:tcPr>
                  <w:tcW w:w="970" w:type="dxa"/>
                  <w:gridSpan w:val="2"/>
                  <w:vMerge w:val="restart"/>
                  <w:vAlign w:val="center"/>
                </w:tcPr>
                <w:p>
                  <w:pPr>
                    <w:pStyle w:val="37"/>
                    <w:ind w:left="0" w:leftChars="0"/>
                    <w:rPr>
                      <w:rFonts w:hint="eastAsia" w:eastAsia="宋体"/>
                      <w:lang w:val="en-US" w:eastAsia="zh-CN"/>
                    </w:rPr>
                  </w:pPr>
                  <w:r>
                    <w:rPr>
                      <w:rFonts w:hint="eastAsia"/>
                      <w:lang w:val="en-US" w:eastAsia="zh-CN"/>
                    </w:rPr>
                    <w:t>涂料</w:t>
                  </w:r>
                </w:p>
              </w:tc>
              <w:tc>
                <w:tcPr>
                  <w:tcW w:w="603" w:type="dxa"/>
                  <w:vMerge w:val="restart"/>
                  <w:vAlign w:val="center"/>
                </w:tcPr>
                <w:p>
                  <w:pPr>
                    <w:spacing w:line="240" w:lineRule="auto"/>
                    <w:ind w:firstLine="0" w:firstLineChars="0"/>
                    <w:rPr>
                      <w:rFonts w:hint="eastAsia"/>
                      <w:sz w:val="21"/>
                      <w:szCs w:val="21"/>
                    </w:rPr>
                  </w:pPr>
                  <w:r>
                    <w:rPr>
                      <w:rFonts w:hint="eastAsia"/>
                      <w:sz w:val="21"/>
                      <w:szCs w:val="21"/>
                    </w:rPr>
                    <w:t>1</w:t>
                  </w:r>
                  <w:r>
                    <w:rPr>
                      <w:sz w:val="21"/>
                      <w:szCs w:val="21"/>
                    </w:rPr>
                    <w:t>年</w:t>
                  </w:r>
                </w:p>
              </w:tc>
              <w:tc>
                <w:tcPr>
                  <w:tcW w:w="555" w:type="dxa"/>
                  <w:vAlign w:val="center"/>
                </w:tcPr>
                <w:p>
                  <w:pPr>
                    <w:pStyle w:val="37"/>
                    <w:ind w:left="0" w:leftChars="0"/>
                    <w:rPr>
                      <w:rFonts w:hint="eastAsia" w:eastAsia="宋体"/>
                      <w:lang w:eastAsia="zh-CN"/>
                    </w:rPr>
                  </w:pPr>
                  <w:r>
                    <w:rPr>
                      <w:rFonts w:hint="eastAsia"/>
                      <w:lang w:val="en-US" w:eastAsia="zh-CN"/>
                    </w:rPr>
                    <w:t>/</w:t>
                  </w:r>
                </w:p>
              </w:tc>
              <w:tc>
                <w:tcPr>
                  <w:tcW w:w="1059" w:type="dxa"/>
                  <w:vMerge w:val="restart"/>
                  <w:vAlign w:val="center"/>
                </w:tcPr>
                <w:p>
                  <w:pPr>
                    <w:pStyle w:val="37"/>
                    <w:ind w:left="0" w:leftChars="0"/>
                  </w:pPr>
                  <w:r>
                    <w:rPr>
                      <w:rFonts w:hint="eastAsia"/>
                      <w:sz w:val="21"/>
                      <w:szCs w:val="21"/>
                      <w:u w:val="none"/>
                    </w:rPr>
                    <w:t>暂存于危险废物暂存间，定期委托有资质单位处置。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dxa"/>
                  <w:vAlign w:val="center"/>
                </w:tcPr>
                <w:p>
                  <w:pPr>
                    <w:pStyle w:val="37"/>
                    <w:ind w:left="0" w:leftChars="0"/>
                    <w:rPr>
                      <w:rFonts w:hint="default"/>
                      <w:lang w:val="en-US" w:eastAsia="zh-CN"/>
                    </w:rPr>
                  </w:pPr>
                  <w:r>
                    <w:rPr>
                      <w:rFonts w:hint="eastAsia"/>
                      <w:lang w:val="en-US" w:eastAsia="zh-CN"/>
                    </w:rPr>
                    <w:t>2</w:t>
                  </w:r>
                </w:p>
              </w:tc>
              <w:tc>
                <w:tcPr>
                  <w:tcW w:w="996" w:type="dxa"/>
                  <w:shd w:val="clear" w:color="auto" w:fill="auto"/>
                  <w:vAlign w:val="center"/>
                </w:tcPr>
                <w:p>
                  <w:pPr>
                    <w:pStyle w:val="37"/>
                    <w:spacing w:line="240" w:lineRule="auto"/>
                    <w:ind w:left="0" w:leftChars="0" w:firstLine="0" w:firstLineChars="0"/>
                    <w:rPr>
                      <w:rFonts w:hint="eastAsia"/>
                    </w:rPr>
                  </w:pPr>
                  <w:r>
                    <w:rPr>
                      <w:rFonts w:hint="eastAsia"/>
                      <w:sz w:val="21"/>
                      <w:szCs w:val="21"/>
                      <w:u w:val="none"/>
                    </w:rPr>
                    <w:t>废水性涂料桶、废抹布手套</w:t>
                  </w:r>
                </w:p>
              </w:tc>
              <w:tc>
                <w:tcPr>
                  <w:tcW w:w="795" w:type="dxa"/>
                  <w:vAlign w:val="center"/>
                </w:tcPr>
                <w:p>
                  <w:pPr>
                    <w:pStyle w:val="37"/>
                    <w:spacing w:line="240" w:lineRule="auto"/>
                    <w:ind w:left="0" w:leftChars="0" w:firstLine="0" w:firstLineChars="0"/>
                    <w:rPr>
                      <w:rFonts w:hint="eastAsia" w:eastAsia="宋体"/>
                      <w:lang w:val="en-US" w:eastAsia="zh-CN"/>
                    </w:rPr>
                  </w:pPr>
                  <w:r>
                    <w:rPr>
                      <w:rFonts w:hint="eastAsia"/>
                      <w:lang w:val="en-US" w:eastAsia="zh-CN"/>
                    </w:rPr>
                    <w:t>/</w:t>
                  </w:r>
                </w:p>
              </w:tc>
              <w:tc>
                <w:tcPr>
                  <w:tcW w:w="1123" w:type="dxa"/>
                  <w:vAlign w:val="center"/>
                </w:tcPr>
                <w:p>
                  <w:pPr>
                    <w:pStyle w:val="37"/>
                    <w:ind w:left="0" w:leftChars="0"/>
                    <w:rPr>
                      <w:rFonts w:hint="eastAsia" w:eastAsia="宋体"/>
                      <w:bCs/>
                      <w:color w:val="000000"/>
                      <w:lang w:val="en-US" w:eastAsia="zh-CN"/>
                    </w:rPr>
                  </w:pPr>
                  <w:r>
                    <w:rPr>
                      <w:rFonts w:hint="eastAsia"/>
                      <w:bCs/>
                      <w:color w:val="000000"/>
                      <w:lang w:val="en-US" w:eastAsia="zh-CN"/>
                    </w:rPr>
                    <w:t>/</w:t>
                  </w:r>
                </w:p>
              </w:tc>
              <w:tc>
                <w:tcPr>
                  <w:tcW w:w="857" w:type="dxa"/>
                  <w:shd w:val="clear" w:color="auto" w:fill="auto"/>
                  <w:vAlign w:val="center"/>
                </w:tcPr>
                <w:p>
                  <w:pPr>
                    <w:pStyle w:val="37"/>
                    <w:spacing w:line="240" w:lineRule="auto"/>
                    <w:ind w:left="0" w:leftChars="0" w:firstLine="0" w:firstLineChars="0"/>
                    <w:rPr>
                      <w:rFonts w:hint="eastAsia"/>
                      <w:sz w:val="21"/>
                      <w:szCs w:val="21"/>
                      <w:u w:val="none"/>
                      <w:lang w:val="en-US" w:eastAsia="zh-CN"/>
                    </w:rPr>
                  </w:pPr>
                  <w:r>
                    <w:rPr>
                      <w:rFonts w:hint="eastAsia"/>
                      <w:sz w:val="21"/>
                      <w:szCs w:val="21"/>
                      <w:u w:val="none"/>
                      <w:lang w:val="en-US" w:eastAsia="zh-CN"/>
                    </w:rPr>
                    <w:t>0.11</w:t>
                  </w:r>
                </w:p>
              </w:tc>
              <w:tc>
                <w:tcPr>
                  <w:tcW w:w="811" w:type="dxa"/>
                  <w:vMerge w:val="continue"/>
                  <w:shd w:val="clear" w:color="auto" w:fill="auto"/>
                  <w:vAlign w:val="center"/>
                </w:tcPr>
                <w:p>
                  <w:pPr>
                    <w:pStyle w:val="37"/>
                    <w:spacing w:line="240" w:lineRule="auto"/>
                    <w:ind w:left="0" w:leftChars="0" w:firstLine="0" w:firstLineChars="0"/>
                    <w:rPr>
                      <w:rFonts w:hint="eastAsia"/>
                    </w:rPr>
                  </w:pPr>
                </w:p>
              </w:tc>
              <w:tc>
                <w:tcPr>
                  <w:tcW w:w="434" w:type="dxa"/>
                  <w:vAlign w:val="center"/>
                </w:tcPr>
                <w:p>
                  <w:pPr>
                    <w:pStyle w:val="37"/>
                    <w:ind w:left="0" w:leftChars="0"/>
                    <w:rPr>
                      <w:rFonts w:hint="eastAsia"/>
                    </w:rPr>
                  </w:pPr>
                  <w:r>
                    <w:rPr>
                      <w:rFonts w:hint="eastAsia"/>
                    </w:rPr>
                    <w:t>固态</w:t>
                  </w:r>
                </w:p>
              </w:tc>
              <w:tc>
                <w:tcPr>
                  <w:tcW w:w="970" w:type="dxa"/>
                  <w:gridSpan w:val="2"/>
                  <w:vMerge w:val="continue"/>
                  <w:vAlign w:val="center"/>
                </w:tcPr>
                <w:p>
                  <w:pPr>
                    <w:pStyle w:val="37"/>
                    <w:ind w:left="0" w:leftChars="0"/>
                    <w:rPr>
                      <w:rFonts w:hint="eastAsia" w:eastAsia="宋体"/>
                      <w:lang w:val="en-US" w:eastAsia="zh-CN"/>
                    </w:rPr>
                  </w:pPr>
                </w:p>
              </w:tc>
              <w:tc>
                <w:tcPr>
                  <w:tcW w:w="603" w:type="dxa"/>
                  <w:vMerge w:val="continue"/>
                  <w:vAlign w:val="center"/>
                </w:tcPr>
                <w:p>
                  <w:pPr>
                    <w:spacing w:line="240" w:lineRule="auto"/>
                    <w:ind w:firstLine="0" w:firstLineChars="0"/>
                    <w:rPr>
                      <w:rFonts w:hint="eastAsia"/>
                      <w:sz w:val="21"/>
                      <w:szCs w:val="21"/>
                    </w:rPr>
                  </w:pPr>
                </w:p>
              </w:tc>
              <w:tc>
                <w:tcPr>
                  <w:tcW w:w="555" w:type="dxa"/>
                  <w:vAlign w:val="center"/>
                </w:tcPr>
                <w:p>
                  <w:pPr>
                    <w:pStyle w:val="37"/>
                    <w:ind w:left="0" w:leftChars="0"/>
                  </w:pPr>
                  <w:r>
                    <w:rPr>
                      <w:rFonts w:hint="eastAsia" w:cs="Times New Roman"/>
                      <w:color w:val="auto"/>
                      <w:sz w:val="21"/>
                      <w:szCs w:val="21"/>
                      <w:u w:val="none"/>
                      <w:lang w:val="en-US" w:eastAsia="zh-CN"/>
                    </w:rPr>
                    <w:t>/</w:t>
                  </w:r>
                </w:p>
              </w:tc>
              <w:tc>
                <w:tcPr>
                  <w:tcW w:w="1059" w:type="dxa"/>
                  <w:vMerge w:val="continue"/>
                  <w:vAlign w:val="center"/>
                </w:tcPr>
                <w:p>
                  <w:pPr>
                    <w:pStyle w:val="37"/>
                    <w:ind w:left="0" w:leftChars="0"/>
                    <w:rPr>
                      <w:rFonts w:hint="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16" w:type="dxa"/>
                  <w:vAlign w:val="center"/>
                </w:tcPr>
                <w:p>
                  <w:pPr>
                    <w:pStyle w:val="37"/>
                    <w:ind w:left="0" w:leftChars="0"/>
                    <w:rPr>
                      <w:rFonts w:hint="default"/>
                      <w:lang w:val="en-US" w:eastAsia="zh-CN"/>
                    </w:rPr>
                  </w:pPr>
                  <w:r>
                    <w:rPr>
                      <w:rFonts w:hint="eastAsia"/>
                      <w:lang w:val="en-US" w:eastAsia="zh-CN"/>
                    </w:rPr>
                    <w:t>3</w:t>
                  </w:r>
                </w:p>
              </w:tc>
              <w:tc>
                <w:tcPr>
                  <w:tcW w:w="996" w:type="dxa"/>
                  <w:shd w:val="clear" w:color="auto" w:fill="auto"/>
                  <w:vAlign w:val="center"/>
                </w:tcPr>
                <w:p>
                  <w:pPr>
                    <w:pStyle w:val="37"/>
                    <w:spacing w:line="240" w:lineRule="auto"/>
                    <w:ind w:left="0" w:leftChars="0" w:firstLine="0" w:firstLineChars="0"/>
                    <w:rPr>
                      <w:rFonts w:hint="eastAsia"/>
                    </w:rPr>
                  </w:pPr>
                  <w:r>
                    <w:rPr>
                      <w:rFonts w:hint="default" w:ascii="Times New Roman" w:hAnsi="Times New Roman" w:eastAsia="宋体" w:cs="Times New Roman"/>
                      <w:bCs/>
                      <w:color w:val="000000"/>
                      <w:sz w:val="21"/>
                      <w:szCs w:val="21"/>
                      <w:lang w:val="en-US" w:eastAsia="zh-CN"/>
                    </w:rPr>
                    <w:t>废</w:t>
                  </w:r>
                  <w:r>
                    <w:rPr>
                      <w:rFonts w:hint="eastAsia" w:cs="Times New Roman"/>
                      <w:bCs/>
                      <w:color w:val="000000"/>
                      <w:sz w:val="21"/>
                      <w:szCs w:val="21"/>
                      <w:lang w:val="en-US" w:eastAsia="zh-CN"/>
                    </w:rPr>
                    <w:t>机</w:t>
                  </w:r>
                  <w:r>
                    <w:rPr>
                      <w:rFonts w:hint="eastAsia" w:ascii="Times New Roman" w:hAnsi="Times New Roman" w:eastAsia="宋体" w:cs="Times New Roman"/>
                      <w:bCs/>
                      <w:color w:val="000000"/>
                      <w:sz w:val="21"/>
                      <w:szCs w:val="21"/>
                      <w:lang w:val="en-US" w:eastAsia="zh-CN"/>
                    </w:rPr>
                    <w:t>油</w:t>
                  </w:r>
                </w:p>
              </w:tc>
              <w:tc>
                <w:tcPr>
                  <w:tcW w:w="795" w:type="dxa"/>
                  <w:vAlign w:val="center"/>
                </w:tcPr>
                <w:p>
                  <w:pPr>
                    <w:pStyle w:val="37"/>
                    <w:spacing w:line="240" w:lineRule="auto"/>
                    <w:ind w:left="0" w:leftChars="0" w:firstLine="0" w:firstLineChars="0"/>
                    <w:rPr>
                      <w:rFonts w:hint="default"/>
                      <w:lang w:val="en-US"/>
                    </w:rPr>
                  </w:pPr>
                  <w:r>
                    <w:rPr>
                      <w:rFonts w:hint="eastAsia"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HW08</w:t>
                  </w:r>
                </w:p>
              </w:tc>
              <w:tc>
                <w:tcPr>
                  <w:tcW w:w="1123" w:type="dxa"/>
                  <w:vAlign w:val="center"/>
                </w:tcPr>
                <w:p>
                  <w:pPr>
                    <w:pStyle w:val="37"/>
                    <w:ind w:left="0" w:leftChars="0"/>
                    <w:rPr>
                      <w:bCs/>
                      <w:color w:val="000000"/>
                    </w:rPr>
                  </w:pPr>
                  <w:r>
                    <w:rPr>
                      <w:rFonts w:hint="default" w:ascii="Times New Roman" w:hAnsi="Times New Roman" w:eastAsia="宋体" w:cs="Times New Roman"/>
                      <w:bCs/>
                      <w:color w:val="000000"/>
                      <w:sz w:val="21"/>
                      <w:szCs w:val="21"/>
                      <w:lang w:val="en-US" w:eastAsia="zh-CN"/>
                    </w:rPr>
                    <w:t>900-2</w:t>
                  </w:r>
                  <w:r>
                    <w:rPr>
                      <w:rFonts w:hint="eastAsia" w:cs="Times New Roman"/>
                      <w:bCs/>
                      <w:color w:val="000000"/>
                      <w:sz w:val="21"/>
                      <w:szCs w:val="21"/>
                      <w:lang w:val="en-US" w:eastAsia="zh-CN"/>
                    </w:rPr>
                    <w:t>14</w:t>
                  </w:r>
                  <w:r>
                    <w:rPr>
                      <w:rFonts w:hint="default" w:ascii="Times New Roman" w:hAnsi="Times New Roman" w:eastAsia="宋体" w:cs="Times New Roman"/>
                      <w:bCs/>
                      <w:color w:val="000000"/>
                      <w:sz w:val="21"/>
                      <w:szCs w:val="21"/>
                      <w:lang w:val="en-US" w:eastAsia="zh-CN"/>
                    </w:rPr>
                    <w:t>-08</w:t>
                  </w:r>
                </w:p>
              </w:tc>
              <w:tc>
                <w:tcPr>
                  <w:tcW w:w="857" w:type="dxa"/>
                  <w:shd w:val="clear" w:color="auto" w:fill="auto"/>
                  <w:vAlign w:val="center"/>
                </w:tcPr>
                <w:p>
                  <w:pPr>
                    <w:pStyle w:val="37"/>
                    <w:spacing w:line="240" w:lineRule="auto"/>
                    <w:ind w:left="0" w:leftChars="0" w:firstLine="0" w:firstLineChars="0"/>
                    <w:rPr>
                      <w:rFonts w:hint="eastAsia"/>
                      <w:sz w:val="21"/>
                      <w:szCs w:val="21"/>
                      <w:u w:val="none"/>
                      <w:lang w:val="en-US" w:eastAsia="zh-CN"/>
                    </w:rPr>
                  </w:pPr>
                  <w:r>
                    <w:rPr>
                      <w:rFonts w:hint="eastAsia"/>
                      <w:sz w:val="21"/>
                      <w:szCs w:val="21"/>
                      <w:u w:val="none"/>
                      <w:lang w:val="en-US" w:eastAsia="zh-CN"/>
                    </w:rPr>
                    <w:t>0.01</w:t>
                  </w:r>
                </w:p>
              </w:tc>
              <w:tc>
                <w:tcPr>
                  <w:tcW w:w="811" w:type="dxa"/>
                  <w:vMerge w:val="restart"/>
                  <w:shd w:val="clear" w:color="auto" w:fill="auto"/>
                  <w:vAlign w:val="center"/>
                </w:tcPr>
                <w:p>
                  <w:pPr>
                    <w:pStyle w:val="37"/>
                    <w:ind w:left="0" w:leftChars="0"/>
                    <w:rPr>
                      <w:rFonts w:hint="eastAsia"/>
                    </w:rPr>
                  </w:pPr>
                  <w:r>
                    <w:rPr>
                      <w:rFonts w:hint="eastAsia"/>
                      <w:sz w:val="21"/>
                      <w:szCs w:val="21"/>
                      <w:u w:val="none"/>
                      <w:lang w:val="en-US" w:eastAsia="zh-CN"/>
                    </w:rPr>
                    <w:t>设备维修</w:t>
                  </w:r>
                </w:p>
              </w:tc>
              <w:tc>
                <w:tcPr>
                  <w:tcW w:w="434" w:type="dxa"/>
                  <w:vAlign w:val="center"/>
                </w:tcPr>
                <w:p>
                  <w:pPr>
                    <w:pStyle w:val="37"/>
                    <w:ind w:left="0" w:leftChars="0" w:firstLine="0" w:firstLineChars="0"/>
                    <w:rPr>
                      <w:rFonts w:hint="eastAsia"/>
                    </w:rPr>
                  </w:pPr>
                  <w:r>
                    <w:rPr>
                      <w:rFonts w:hint="eastAsia"/>
                      <w:lang w:val="en-US" w:eastAsia="zh-CN"/>
                    </w:rPr>
                    <w:t>液态</w:t>
                  </w:r>
                </w:p>
              </w:tc>
              <w:tc>
                <w:tcPr>
                  <w:tcW w:w="970" w:type="dxa"/>
                  <w:gridSpan w:val="2"/>
                  <w:vMerge w:val="restart"/>
                  <w:vAlign w:val="center"/>
                </w:tcPr>
                <w:p>
                  <w:pPr>
                    <w:pStyle w:val="37"/>
                    <w:ind w:left="0" w:leftChars="0"/>
                    <w:rPr>
                      <w:rFonts w:hint="eastAsia" w:eastAsia="宋体"/>
                      <w:lang w:val="en-US" w:eastAsia="zh-CN"/>
                    </w:rPr>
                  </w:pPr>
                  <w:r>
                    <w:rPr>
                      <w:rFonts w:hint="eastAsia"/>
                      <w:lang w:val="en-US" w:eastAsia="zh-CN"/>
                    </w:rPr>
                    <w:t>矿物油</w:t>
                  </w:r>
                </w:p>
              </w:tc>
              <w:tc>
                <w:tcPr>
                  <w:tcW w:w="603" w:type="dxa"/>
                  <w:vMerge w:val="continue"/>
                  <w:vAlign w:val="center"/>
                </w:tcPr>
                <w:p>
                  <w:pPr>
                    <w:spacing w:line="240" w:lineRule="auto"/>
                    <w:ind w:firstLine="0" w:firstLineChars="0"/>
                    <w:rPr>
                      <w:rFonts w:hint="eastAsia"/>
                      <w:sz w:val="21"/>
                      <w:szCs w:val="21"/>
                    </w:rPr>
                  </w:pPr>
                </w:p>
              </w:tc>
              <w:tc>
                <w:tcPr>
                  <w:tcW w:w="555" w:type="dxa"/>
                  <w:vAlign w:val="center"/>
                </w:tcPr>
                <w:p>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pPr>
                  <w:r>
                    <w:rPr>
                      <w:rFonts w:hint="eastAsia" w:ascii="Times New Roman" w:hAnsi="Times New Roman" w:eastAsia="宋体" w:cs="Times New Roman"/>
                      <w:color w:val="auto"/>
                      <w:sz w:val="21"/>
                      <w:szCs w:val="21"/>
                      <w:u w:val="none"/>
                      <w:lang w:val="en-US" w:eastAsia="zh-CN"/>
                    </w:rPr>
                    <w:t>T，I</w:t>
                  </w:r>
                </w:p>
              </w:tc>
              <w:tc>
                <w:tcPr>
                  <w:tcW w:w="1059" w:type="dxa"/>
                  <w:vMerge w:val="continue"/>
                  <w:vAlign w:val="center"/>
                </w:tcPr>
                <w:p>
                  <w:pPr>
                    <w:pStyle w:val="37"/>
                    <w:ind w:left="0" w:leftChars="0"/>
                    <w:rPr>
                      <w:rFonts w:hint="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16" w:type="dxa"/>
                  <w:vAlign w:val="center"/>
                </w:tcPr>
                <w:p>
                  <w:pPr>
                    <w:pStyle w:val="37"/>
                    <w:ind w:left="0" w:leftChars="0"/>
                    <w:rPr>
                      <w:rFonts w:hint="default"/>
                      <w:lang w:val="en-US" w:eastAsia="zh-CN"/>
                    </w:rPr>
                  </w:pPr>
                  <w:r>
                    <w:rPr>
                      <w:rFonts w:hint="eastAsia"/>
                      <w:lang w:val="en-US" w:eastAsia="zh-CN"/>
                    </w:rPr>
                    <w:t>4</w:t>
                  </w:r>
                </w:p>
              </w:tc>
              <w:tc>
                <w:tcPr>
                  <w:tcW w:w="996" w:type="dxa"/>
                  <w:shd w:val="clear" w:color="auto" w:fill="auto"/>
                  <w:vAlign w:val="center"/>
                </w:tcPr>
                <w:p>
                  <w:pPr>
                    <w:pStyle w:val="37"/>
                    <w:spacing w:line="240" w:lineRule="auto"/>
                    <w:ind w:left="0" w:leftChars="0" w:firstLine="0" w:firstLineChars="0"/>
                    <w:rPr>
                      <w:rFonts w:hint="eastAsia"/>
                    </w:rPr>
                  </w:pPr>
                  <w:r>
                    <w:rPr>
                      <w:rFonts w:hint="default" w:ascii="Times New Roman" w:hAnsi="Times New Roman" w:eastAsia="宋体" w:cs="Times New Roman"/>
                      <w:bCs/>
                      <w:color w:val="000000"/>
                      <w:sz w:val="21"/>
                      <w:szCs w:val="21"/>
                      <w:lang w:val="en-US" w:eastAsia="zh-CN"/>
                    </w:rPr>
                    <w:t>废</w:t>
                  </w:r>
                  <w:r>
                    <w:rPr>
                      <w:rFonts w:hint="eastAsia" w:cs="Times New Roman"/>
                      <w:bCs/>
                      <w:color w:val="000000"/>
                      <w:sz w:val="21"/>
                      <w:szCs w:val="21"/>
                      <w:lang w:val="en-US" w:eastAsia="zh-CN"/>
                    </w:rPr>
                    <w:t>机</w:t>
                  </w:r>
                  <w:r>
                    <w:rPr>
                      <w:rFonts w:hint="eastAsia" w:ascii="Times New Roman" w:hAnsi="Times New Roman" w:eastAsia="宋体" w:cs="Times New Roman"/>
                      <w:bCs/>
                      <w:color w:val="000000"/>
                      <w:sz w:val="21"/>
                      <w:szCs w:val="21"/>
                      <w:lang w:val="en-US" w:eastAsia="zh-CN"/>
                    </w:rPr>
                    <w:t>油桶</w:t>
                  </w:r>
                </w:p>
              </w:tc>
              <w:tc>
                <w:tcPr>
                  <w:tcW w:w="795" w:type="dxa"/>
                  <w:vAlign w:val="center"/>
                </w:tcPr>
                <w:p>
                  <w:pPr>
                    <w:pStyle w:val="37"/>
                    <w:spacing w:line="240" w:lineRule="auto"/>
                    <w:ind w:left="0" w:leftChars="0" w:firstLine="0" w:firstLineChars="0"/>
                    <w:rPr>
                      <w:rFonts w:hint="default"/>
                      <w:lang w:val="en-US"/>
                    </w:rPr>
                  </w:pPr>
                  <w:r>
                    <w:rPr>
                      <w:rFonts w:hint="eastAsia"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HW08</w:t>
                  </w:r>
                </w:p>
              </w:tc>
              <w:tc>
                <w:tcPr>
                  <w:tcW w:w="1123" w:type="dxa"/>
                  <w:vAlign w:val="center"/>
                </w:tcPr>
                <w:p>
                  <w:pPr>
                    <w:pStyle w:val="37"/>
                    <w:ind w:left="0" w:leftChars="0"/>
                    <w:rPr>
                      <w:bCs/>
                      <w:color w:val="000000"/>
                    </w:rPr>
                  </w:pPr>
                  <w:r>
                    <w:rPr>
                      <w:rFonts w:hint="default" w:ascii="Times New Roman" w:hAnsi="Times New Roman" w:eastAsia="宋体" w:cs="Times New Roman"/>
                      <w:bCs/>
                      <w:color w:val="000000"/>
                      <w:sz w:val="21"/>
                      <w:szCs w:val="21"/>
                      <w:lang w:val="en-US" w:eastAsia="zh-CN"/>
                    </w:rPr>
                    <w:t>900-249-08</w:t>
                  </w:r>
                </w:p>
              </w:tc>
              <w:tc>
                <w:tcPr>
                  <w:tcW w:w="857" w:type="dxa"/>
                  <w:shd w:val="clear" w:color="auto" w:fill="auto"/>
                  <w:vAlign w:val="center"/>
                </w:tcPr>
                <w:p>
                  <w:pPr>
                    <w:pStyle w:val="37"/>
                    <w:spacing w:line="240" w:lineRule="auto"/>
                    <w:ind w:left="0" w:leftChars="0" w:firstLine="0" w:firstLineChars="0"/>
                    <w:rPr>
                      <w:rFonts w:hint="eastAsia"/>
                      <w:sz w:val="21"/>
                      <w:szCs w:val="21"/>
                      <w:u w:val="none"/>
                      <w:lang w:val="en-US" w:eastAsia="zh-CN"/>
                    </w:rPr>
                  </w:pPr>
                  <w:r>
                    <w:rPr>
                      <w:rFonts w:hint="eastAsia"/>
                      <w:sz w:val="21"/>
                      <w:szCs w:val="21"/>
                      <w:u w:val="none"/>
                      <w:lang w:val="en-US" w:eastAsia="zh-CN"/>
                    </w:rPr>
                    <w:t>0.01</w:t>
                  </w:r>
                </w:p>
              </w:tc>
              <w:tc>
                <w:tcPr>
                  <w:tcW w:w="811" w:type="dxa"/>
                  <w:vMerge w:val="continue"/>
                  <w:shd w:val="clear" w:color="auto" w:fill="auto"/>
                  <w:vAlign w:val="center"/>
                </w:tcPr>
                <w:p>
                  <w:pPr>
                    <w:pStyle w:val="37"/>
                    <w:ind w:left="0" w:leftChars="0"/>
                    <w:rPr>
                      <w:rFonts w:hint="eastAsia"/>
                    </w:rPr>
                  </w:pPr>
                </w:p>
              </w:tc>
              <w:tc>
                <w:tcPr>
                  <w:tcW w:w="434" w:type="dxa"/>
                  <w:vAlign w:val="center"/>
                </w:tcPr>
                <w:p>
                  <w:pPr>
                    <w:pStyle w:val="37"/>
                    <w:ind w:left="0" w:leftChars="0" w:firstLine="0" w:firstLineChars="0"/>
                    <w:rPr>
                      <w:rFonts w:hint="eastAsia"/>
                    </w:rPr>
                  </w:pPr>
                  <w:r>
                    <w:rPr>
                      <w:rFonts w:hint="eastAsia"/>
                    </w:rPr>
                    <w:t>固态</w:t>
                  </w:r>
                </w:p>
              </w:tc>
              <w:tc>
                <w:tcPr>
                  <w:tcW w:w="970" w:type="dxa"/>
                  <w:gridSpan w:val="2"/>
                  <w:vMerge w:val="continue"/>
                  <w:vAlign w:val="center"/>
                </w:tcPr>
                <w:p>
                  <w:pPr>
                    <w:pStyle w:val="37"/>
                    <w:ind w:left="0" w:leftChars="0"/>
                    <w:rPr>
                      <w:rFonts w:hint="eastAsia"/>
                    </w:rPr>
                  </w:pPr>
                </w:p>
              </w:tc>
              <w:tc>
                <w:tcPr>
                  <w:tcW w:w="603" w:type="dxa"/>
                  <w:vMerge w:val="continue"/>
                  <w:vAlign w:val="center"/>
                </w:tcPr>
                <w:p>
                  <w:pPr>
                    <w:spacing w:line="240" w:lineRule="auto"/>
                    <w:ind w:firstLine="0" w:firstLineChars="0"/>
                    <w:rPr>
                      <w:rFonts w:hint="eastAsia"/>
                      <w:sz w:val="21"/>
                      <w:szCs w:val="21"/>
                    </w:rPr>
                  </w:pPr>
                </w:p>
              </w:tc>
              <w:tc>
                <w:tcPr>
                  <w:tcW w:w="555" w:type="dxa"/>
                  <w:vAlign w:val="center"/>
                </w:tcPr>
                <w:p>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pPr>
                  <w:r>
                    <w:rPr>
                      <w:rFonts w:hint="default" w:ascii="Times New Roman" w:hAnsi="Times New Roman" w:eastAsia="宋体" w:cs="Times New Roman"/>
                      <w:color w:val="auto"/>
                      <w:sz w:val="21"/>
                      <w:szCs w:val="21"/>
                      <w:u w:val="none"/>
                      <w:lang w:val="en-US" w:eastAsia="zh-CN"/>
                    </w:rPr>
                    <w:t>T/In</w:t>
                  </w:r>
                </w:p>
              </w:tc>
              <w:tc>
                <w:tcPr>
                  <w:tcW w:w="1059" w:type="dxa"/>
                  <w:vMerge w:val="continue"/>
                  <w:vAlign w:val="center"/>
                </w:tcPr>
                <w:p>
                  <w:pPr>
                    <w:pStyle w:val="37"/>
                    <w:ind w:left="0" w:leftChars="0"/>
                    <w:rPr>
                      <w:rFonts w:hint="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16" w:type="dxa"/>
                  <w:vAlign w:val="center"/>
                </w:tcPr>
                <w:p>
                  <w:pPr>
                    <w:pStyle w:val="37"/>
                    <w:ind w:left="0" w:leftChars="0"/>
                    <w:rPr>
                      <w:rFonts w:hint="default"/>
                      <w:lang w:val="en-US" w:eastAsia="zh-CN"/>
                    </w:rPr>
                  </w:pPr>
                  <w:r>
                    <w:rPr>
                      <w:rFonts w:hint="eastAsia"/>
                      <w:lang w:val="en-US" w:eastAsia="zh-CN"/>
                    </w:rPr>
                    <w:t>5</w:t>
                  </w:r>
                </w:p>
              </w:tc>
              <w:tc>
                <w:tcPr>
                  <w:tcW w:w="996" w:type="dxa"/>
                  <w:shd w:val="clear" w:color="auto" w:fill="auto"/>
                  <w:vAlign w:val="center"/>
                </w:tcPr>
                <w:p>
                  <w:pPr>
                    <w:pStyle w:val="37"/>
                    <w:spacing w:line="240" w:lineRule="auto"/>
                    <w:ind w:left="0" w:leftChars="0" w:firstLine="0" w:firstLineChars="0"/>
                    <w:rPr>
                      <w:rFonts w:hint="eastAsia"/>
                    </w:rPr>
                  </w:pPr>
                  <w:r>
                    <w:rPr>
                      <w:rFonts w:hint="eastAsia"/>
                      <w:color w:val="auto"/>
                      <w:sz w:val="21"/>
                      <w:szCs w:val="21"/>
                      <w:highlight w:val="none"/>
                      <w:u w:val="none"/>
                      <w:vertAlign w:val="baseline"/>
                      <w:lang w:val="en-US" w:eastAsia="zh-CN"/>
                    </w:rPr>
                    <w:t>含油抹布及手套</w:t>
                  </w:r>
                </w:p>
              </w:tc>
              <w:tc>
                <w:tcPr>
                  <w:tcW w:w="795" w:type="dxa"/>
                  <w:vAlign w:val="center"/>
                </w:tcPr>
                <w:p>
                  <w:pPr>
                    <w:pStyle w:val="37"/>
                    <w:spacing w:line="240" w:lineRule="auto"/>
                    <w:ind w:left="0" w:leftChars="0" w:firstLine="0" w:firstLineChars="0"/>
                    <w:rPr>
                      <w:rFonts w:hint="default"/>
                      <w:lang w:val="en-US"/>
                    </w:rPr>
                  </w:pPr>
                  <w:r>
                    <w:rPr>
                      <w:rFonts w:hint="eastAsia"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HW49</w:t>
                  </w:r>
                </w:p>
              </w:tc>
              <w:tc>
                <w:tcPr>
                  <w:tcW w:w="1123" w:type="dxa"/>
                  <w:vAlign w:val="center"/>
                </w:tcPr>
                <w:p>
                  <w:pPr>
                    <w:pStyle w:val="37"/>
                    <w:ind w:left="0" w:leftChars="0"/>
                    <w:rPr>
                      <w:bCs/>
                      <w:color w:val="000000"/>
                    </w:rPr>
                  </w:pPr>
                  <w:r>
                    <w:rPr>
                      <w:rFonts w:hint="default" w:ascii="Times New Roman" w:hAnsi="Times New Roman" w:eastAsia="宋体" w:cs="Times New Roman"/>
                      <w:bCs/>
                      <w:color w:val="auto"/>
                      <w:sz w:val="21"/>
                      <w:szCs w:val="21"/>
                      <w:u w:val="none"/>
                      <w:lang w:val="en-US" w:eastAsia="zh-CN"/>
                    </w:rPr>
                    <w:t>900-041-49</w:t>
                  </w:r>
                </w:p>
              </w:tc>
              <w:tc>
                <w:tcPr>
                  <w:tcW w:w="857" w:type="dxa"/>
                  <w:shd w:val="clear" w:color="auto" w:fill="auto"/>
                  <w:vAlign w:val="center"/>
                </w:tcPr>
                <w:p>
                  <w:pPr>
                    <w:pStyle w:val="37"/>
                    <w:spacing w:line="240" w:lineRule="auto"/>
                    <w:ind w:left="0" w:leftChars="0" w:firstLine="0" w:firstLineChars="0"/>
                    <w:rPr>
                      <w:rFonts w:hint="eastAsia"/>
                      <w:sz w:val="21"/>
                      <w:szCs w:val="21"/>
                      <w:u w:val="none"/>
                      <w:lang w:val="en-US" w:eastAsia="zh-CN"/>
                    </w:rPr>
                  </w:pPr>
                  <w:r>
                    <w:rPr>
                      <w:rFonts w:hint="eastAsia"/>
                      <w:sz w:val="21"/>
                      <w:szCs w:val="21"/>
                      <w:u w:val="none"/>
                      <w:lang w:val="en-US" w:eastAsia="zh-CN"/>
                    </w:rPr>
                    <w:t>0.005</w:t>
                  </w:r>
                </w:p>
              </w:tc>
              <w:tc>
                <w:tcPr>
                  <w:tcW w:w="811" w:type="dxa"/>
                  <w:vMerge w:val="continue"/>
                  <w:shd w:val="clear" w:color="auto" w:fill="auto"/>
                  <w:vAlign w:val="center"/>
                </w:tcPr>
                <w:p>
                  <w:pPr>
                    <w:pStyle w:val="37"/>
                    <w:ind w:left="0" w:leftChars="0"/>
                    <w:rPr>
                      <w:rFonts w:hint="eastAsia"/>
                    </w:rPr>
                  </w:pPr>
                </w:p>
              </w:tc>
              <w:tc>
                <w:tcPr>
                  <w:tcW w:w="434" w:type="dxa"/>
                  <w:vAlign w:val="center"/>
                </w:tcPr>
                <w:p>
                  <w:pPr>
                    <w:pStyle w:val="37"/>
                    <w:ind w:left="0" w:leftChars="0" w:firstLine="0" w:firstLineChars="0"/>
                    <w:rPr>
                      <w:rFonts w:hint="eastAsia"/>
                    </w:rPr>
                  </w:pPr>
                  <w:r>
                    <w:rPr>
                      <w:rFonts w:hint="eastAsia"/>
                      <w:lang w:val="en-US" w:eastAsia="zh-CN"/>
                    </w:rPr>
                    <w:t>固态</w:t>
                  </w:r>
                </w:p>
              </w:tc>
              <w:tc>
                <w:tcPr>
                  <w:tcW w:w="970" w:type="dxa"/>
                  <w:gridSpan w:val="2"/>
                  <w:vMerge w:val="continue"/>
                  <w:vAlign w:val="center"/>
                </w:tcPr>
                <w:p>
                  <w:pPr>
                    <w:pStyle w:val="37"/>
                    <w:ind w:left="0" w:leftChars="0"/>
                    <w:rPr>
                      <w:rFonts w:hint="eastAsia"/>
                    </w:rPr>
                  </w:pPr>
                </w:p>
              </w:tc>
              <w:tc>
                <w:tcPr>
                  <w:tcW w:w="603" w:type="dxa"/>
                  <w:vMerge w:val="continue"/>
                  <w:vAlign w:val="center"/>
                </w:tcPr>
                <w:p>
                  <w:pPr>
                    <w:spacing w:line="240" w:lineRule="auto"/>
                    <w:ind w:firstLine="0" w:firstLineChars="0"/>
                    <w:rPr>
                      <w:rFonts w:hint="eastAsia"/>
                      <w:sz w:val="21"/>
                      <w:szCs w:val="21"/>
                    </w:rPr>
                  </w:pPr>
                </w:p>
              </w:tc>
              <w:tc>
                <w:tcPr>
                  <w:tcW w:w="555" w:type="dxa"/>
                  <w:vAlign w:val="center"/>
                </w:tcPr>
                <w:p>
                  <w:pPr>
                    <w:pStyle w:val="37"/>
                    <w:ind w:left="0" w:leftChars="0"/>
                  </w:pPr>
                  <w:r>
                    <w:rPr>
                      <w:rFonts w:hint="default" w:ascii="Times New Roman" w:hAnsi="Times New Roman" w:eastAsia="宋体" w:cs="Times New Roman"/>
                      <w:color w:val="auto"/>
                      <w:sz w:val="21"/>
                      <w:szCs w:val="21"/>
                      <w:u w:val="none"/>
                      <w:lang w:val="en-US" w:eastAsia="zh-CN"/>
                    </w:rPr>
                    <w:t>T/In</w:t>
                  </w:r>
                </w:p>
              </w:tc>
              <w:tc>
                <w:tcPr>
                  <w:tcW w:w="1059" w:type="dxa"/>
                  <w:vMerge w:val="continue"/>
                  <w:vAlign w:val="center"/>
                </w:tcPr>
                <w:p>
                  <w:pPr>
                    <w:pStyle w:val="37"/>
                    <w:ind w:left="0" w:leftChars="0"/>
                    <w:rPr>
                      <w:rFonts w:hint="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16" w:type="dxa"/>
                  <w:vAlign w:val="center"/>
                </w:tcPr>
                <w:p>
                  <w:pPr>
                    <w:pStyle w:val="37"/>
                    <w:ind w:left="0" w:leftChars="0"/>
                    <w:rPr>
                      <w:rFonts w:hint="default"/>
                      <w:lang w:val="en-US" w:eastAsia="zh-CN"/>
                    </w:rPr>
                  </w:pPr>
                  <w:r>
                    <w:rPr>
                      <w:rFonts w:hint="eastAsia"/>
                      <w:lang w:val="en-US" w:eastAsia="zh-CN"/>
                    </w:rPr>
                    <w:t>6</w:t>
                  </w:r>
                </w:p>
              </w:tc>
              <w:tc>
                <w:tcPr>
                  <w:tcW w:w="996" w:type="dxa"/>
                  <w:shd w:val="clear" w:color="auto" w:fill="auto"/>
                  <w:vAlign w:val="center"/>
                </w:tcPr>
                <w:p>
                  <w:pPr>
                    <w:pStyle w:val="37"/>
                    <w:spacing w:line="240" w:lineRule="auto"/>
                    <w:ind w:left="0" w:leftChars="0" w:firstLine="0" w:firstLineChars="0"/>
                    <w:rPr>
                      <w:rFonts w:hint="eastAsia"/>
                    </w:rPr>
                  </w:pPr>
                  <w:r>
                    <w:rPr>
                      <w:rFonts w:hint="eastAsia"/>
                      <w:sz w:val="21"/>
                      <w:szCs w:val="21"/>
                      <w:u w:val="none"/>
                    </w:rPr>
                    <w:t>废活性炭</w:t>
                  </w:r>
                </w:p>
              </w:tc>
              <w:tc>
                <w:tcPr>
                  <w:tcW w:w="795" w:type="dxa"/>
                  <w:vAlign w:val="center"/>
                </w:tcPr>
                <w:p>
                  <w:pPr>
                    <w:pStyle w:val="37"/>
                    <w:spacing w:line="240" w:lineRule="auto"/>
                    <w:ind w:left="0" w:leftChars="0" w:firstLine="0" w:firstLineChars="0"/>
                    <w:rPr>
                      <w:rFonts w:hint="default"/>
                      <w:lang w:val="en-US"/>
                    </w:rPr>
                  </w:pPr>
                  <w:r>
                    <w:rPr>
                      <w:rFonts w:hint="eastAsia"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HW49</w:t>
                  </w:r>
                </w:p>
              </w:tc>
              <w:tc>
                <w:tcPr>
                  <w:tcW w:w="1123" w:type="dxa"/>
                  <w:vAlign w:val="center"/>
                </w:tcPr>
                <w:p>
                  <w:pPr>
                    <w:pStyle w:val="37"/>
                    <w:ind w:left="0" w:leftChars="0"/>
                    <w:rPr>
                      <w:bCs/>
                      <w:color w:val="000000"/>
                    </w:rPr>
                  </w:pPr>
                  <w:r>
                    <w:rPr>
                      <w:bCs/>
                      <w:color w:val="000000"/>
                      <w:sz w:val="21"/>
                      <w:szCs w:val="21"/>
                      <w:u w:val="none"/>
                    </w:rPr>
                    <w:t>900-039-49</w:t>
                  </w:r>
                </w:p>
              </w:tc>
              <w:tc>
                <w:tcPr>
                  <w:tcW w:w="857" w:type="dxa"/>
                  <w:shd w:val="clear" w:color="auto" w:fill="auto"/>
                  <w:vAlign w:val="center"/>
                </w:tcPr>
                <w:p>
                  <w:pPr>
                    <w:pStyle w:val="37"/>
                    <w:spacing w:line="240" w:lineRule="auto"/>
                    <w:ind w:left="0" w:leftChars="0" w:firstLine="0" w:firstLineChars="0"/>
                    <w:rPr>
                      <w:rFonts w:hint="eastAsia"/>
                      <w:sz w:val="21"/>
                      <w:szCs w:val="21"/>
                      <w:u w:val="none"/>
                      <w:lang w:val="en-US" w:eastAsia="zh-CN"/>
                    </w:rPr>
                  </w:pPr>
                  <w:r>
                    <w:rPr>
                      <w:rFonts w:hint="eastAsia"/>
                      <w:sz w:val="21"/>
                      <w:szCs w:val="21"/>
                      <w:u w:val="none"/>
                      <w:lang w:val="en-US" w:eastAsia="zh-CN"/>
                    </w:rPr>
                    <w:t>2.767</w:t>
                  </w:r>
                </w:p>
              </w:tc>
              <w:tc>
                <w:tcPr>
                  <w:tcW w:w="811" w:type="dxa"/>
                  <w:shd w:val="clear" w:color="auto" w:fill="auto"/>
                  <w:vAlign w:val="center"/>
                </w:tcPr>
                <w:p>
                  <w:pPr>
                    <w:pStyle w:val="37"/>
                    <w:ind w:left="0" w:leftChars="0" w:firstLine="0" w:firstLineChars="0"/>
                    <w:rPr>
                      <w:rFonts w:hint="eastAsia"/>
                    </w:rPr>
                  </w:pPr>
                  <w:r>
                    <w:rPr>
                      <w:rFonts w:hint="eastAsia"/>
                    </w:rPr>
                    <w:t>废气治理</w:t>
                  </w:r>
                </w:p>
              </w:tc>
              <w:tc>
                <w:tcPr>
                  <w:tcW w:w="434" w:type="dxa"/>
                  <w:vAlign w:val="center"/>
                </w:tcPr>
                <w:p>
                  <w:pPr>
                    <w:pStyle w:val="37"/>
                    <w:ind w:left="0" w:leftChars="0" w:firstLine="0" w:firstLineChars="0"/>
                    <w:rPr>
                      <w:rFonts w:hint="eastAsia"/>
                    </w:rPr>
                  </w:pPr>
                  <w:r>
                    <w:rPr>
                      <w:rFonts w:hint="eastAsia"/>
                    </w:rPr>
                    <w:t>固态</w:t>
                  </w:r>
                </w:p>
              </w:tc>
              <w:tc>
                <w:tcPr>
                  <w:tcW w:w="970" w:type="dxa"/>
                  <w:gridSpan w:val="2"/>
                  <w:vAlign w:val="center"/>
                </w:tcPr>
                <w:p>
                  <w:pPr>
                    <w:pStyle w:val="37"/>
                    <w:ind w:left="0" w:leftChars="0" w:firstLine="0" w:firstLineChars="0"/>
                    <w:rPr>
                      <w:rFonts w:hint="eastAsia"/>
                    </w:rPr>
                  </w:pPr>
                  <w:r>
                    <w:rPr>
                      <w:rFonts w:hint="eastAsia"/>
                    </w:rPr>
                    <w:t>废活性炭</w:t>
                  </w:r>
                </w:p>
              </w:tc>
              <w:tc>
                <w:tcPr>
                  <w:tcW w:w="603" w:type="dxa"/>
                  <w:vMerge w:val="continue"/>
                  <w:vAlign w:val="center"/>
                </w:tcPr>
                <w:p>
                  <w:pPr>
                    <w:spacing w:line="240" w:lineRule="auto"/>
                    <w:ind w:firstLine="0" w:firstLineChars="0"/>
                    <w:rPr>
                      <w:rFonts w:hint="eastAsia"/>
                      <w:sz w:val="21"/>
                      <w:szCs w:val="21"/>
                    </w:rPr>
                  </w:pPr>
                </w:p>
              </w:tc>
              <w:tc>
                <w:tcPr>
                  <w:tcW w:w="555" w:type="dxa"/>
                  <w:vAlign w:val="center"/>
                </w:tcPr>
                <w:p>
                  <w:pPr>
                    <w:pStyle w:val="37"/>
                    <w:ind w:left="0" w:leftChars="0" w:firstLine="0" w:firstLineChars="0"/>
                  </w:pPr>
                  <w:r>
                    <w:t>T</w:t>
                  </w:r>
                </w:p>
              </w:tc>
              <w:tc>
                <w:tcPr>
                  <w:tcW w:w="1059" w:type="dxa"/>
                  <w:vMerge w:val="continue"/>
                  <w:vAlign w:val="center"/>
                </w:tcPr>
                <w:p>
                  <w:pPr>
                    <w:pStyle w:val="37"/>
                    <w:ind w:left="0" w:leftChars="0"/>
                    <w:rPr>
                      <w:rFonts w:hint="eastAsia"/>
                      <w:sz w:val="21"/>
                      <w:szCs w:val="21"/>
                      <w:u w:val="none"/>
                    </w:rPr>
                  </w:pPr>
                </w:p>
              </w:tc>
            </w:tr>
          </w:tbl>
          <w:p>
            <w:pPr>
              <w:ind w:firstLine="480"/>
              <w:rPr>
                <w:b/>
                <w:bCs/>
              </w:rPr>
            </w:pPr>
            <w:r>
              <w:rPr>
                <w:rFonts w:hint="eastAsia"/>
                <w:b/>
                <w:bCs/>
                <w:lang w:val="en-US" w:eastAsia="zh-CN"/>
              </w:rPr>
              <w:t>（2）</w:t>
            </w:r>
            <w:r>
              <w:rPr>
                <w:rFonts w:hint="eastAsia"/>
                <w:b/>
                <w:bCs/>
              </w:rPr>
              <w:t>危险废物暂存间储存能力可行性分析</w:t>
            </w:r>
          </w:p>
          <w:p>
            <w:pPr>
              <w:ind w:firstLine="480"/>
            </w:pPr>
            <w:r>
              <w:rPr>
                <w:rFonts w:hint="eastAsia"/>
              </w:rPr>
              <w:t>危险废物储存周期不得超过一年，项目危废最大储存量应严格落实本环评提出的要求，详见下表。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w:t>
            </w:r>
            <w:r>
              <w:rPr>
                <w:rFonts w:hint="eastAsia" w:cs="Times New Roman"/>
                <w:b/>
                <w:bCs w:val="0"/>
                <w:u w:val="none"/>
                <w:lang w:val="en-US" w:eastAsia="zh-CN"/>
              </w:rPr>
              <w:t>19</w:t>
            </w:r>
            <w:r>
              <w:rPr>
                <w:rFonts w:hint="eastAsia" w:ascii="Times New Roman" w:hAnsi="Times New Roman" w:cs="Times New Roman"/>
                <w:b/>
                <w:bCs w:val="0"/>
                <w:u w:val="none"/>
              </w:rPr>
              <w:t>危险废物最大储存量一览表</w:t>
            </w:r>
          </w:p>
          <w:tbl>
            <w:tblPr>
              <w:tblStyle w:val="24"/>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85"/>
              <w:gridCol w:w="1104"/>
              <w:gridCol w:w="699"/>
              <w:gridCol w:w="1346"/>
              <w:gridCol w:w="900"/>
              <w:gridCol w:w="485"/>
              <w:gridCol w:w="643"/>
              <w:gridCol w:w="658"/>
              <w:gridCol w:w="677"/>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555"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序号</w:t>
                  </w:r>
                </w:p>
              </w:tc>
              <w:tc>
                <w:tcPr>
                  <w:tcW w:w="885"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贮存场所</w:t>
                  </w:r>
                </w:p>
              </w:tc>
              <w:tc>
                <w:tcPr>
                  <w:tcW w:w="1104"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危险废物名称</w:t>
                  </w:r>
                </w:p>
              </w:tc>
              <w:tc>
                <w:tcPr>
                  <w:tcW w:w="699"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产生量t/a</w:t>
                  </w:r>
                </w:p>
              </w:tc>
              <w:tc>
                <w:tcPr>
                  <w:tcW w:w="1346"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危险废物代码</w:t>
                  </w:r>
                </w:p>
              </w:tc>
              <w:tc>
                <w:tcPr>
                  <w:tcW w:w="900"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危险废物类别</w:t>
                  </w:r>
                </w:p>
              </w:tc>
              <w:tc>
                <w:tcPr>
                  <w:tcW w:w="485"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位置</w:t>
                  </w:r>
                </w:p>
              </w:tc>
              <w:tc>
                <w:tcPr>
                  <w:tcW w:w="643"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占地面积m</w:t>
                  </w:r>
                  <w:r>
                    <w:rPr>
                      <w:rFonts w:hint="default" w:ascii="Times New Roman" w:hAnsi="Times New Roman" w:eastAsia="宋体" w:cs="Times New Roman"/>
                      <w:b/>
                      <w:bCs w:val="0"/>
                      <w:color w:val="000000"/>
                      <w:sz w:val="21"/>
                      <w:szCs w:val="21"/>
                      <w:u w:val="none"/>
                      <w:vertAlign w:val="superscript"/>
                      <w:lang w:val="zh-CN" w:eastAsia="zh-CN"/>
                    </w:rPr>
                    <w:t>2</w:t>
                  </w:r>
                </w:p>
              </w:tc>
              <w:tc>
                <w:tcPr>
                  <w:tcW w:w="658"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贮存方式</w:t>
                  </w:r>
                </w:p>
              </w:tc>
              <w:tc>
                <w:tcPr>
                  <w:tcW w:w="677"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zh-CN" w:eastAsia="zh-CN"/>
                    </w:rPr>
                  </w:pPr>
                  <w:r>
                    <w:rPr>
                      <w:rFonts w:hint="default" w:ascii="Times New Roman" w:hAnsi="Times New Roman" w:eastAsia="宋体" w:cs="Times New Roman"/>
                      <w:b/>
                      <w:bCs w:val="0"/>
                      <w:color w:val="000000"/>
                      <w:sz w:val="21"/>
                      <w:szCs w:val="21"/>
                      <w:u w:val="none"/>
                      <w:lang w:val="zh-CN" w:eastAsia="zh-CN"/>
                    </w:rPr>
                    <w:t>贮存</w:t>
                  </w:r>
                </w:p>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能力</w:t>
                  </w:r>
                </w:p>
              </w:tc>
              <w:tc>
                <w:tcPr>
                  <w:tcW w:w="751"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zh-CN" w:eastAsia="zh-CN"/>
                    </w:rPr>
                  </w:pPr>
                  <w:r>
                    <w:rPr>
                      <w:rFonts w:hint="default" w:ascii="Times New Roman" w:hAnsi="Times New Roman" w:eastAsia="宋体" w:cs="Times New Roman"/>
                      <w:b/>
                      <w:bCs w:val="0"/>
                      <w:color w:val="000000"/>
                      <w:sz w:val="21"/>
                      <w:szCs w:val="21"/>
                      <w:u w:val="none"/>
                      <w:lang w:val="zh-CN" w:eastAsia="zh-CN"/>
                    </w:rPr>
                    <w:t>贮存</w:t>
                  </w:r>
                </w:p>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bCs w:val="0"/>
                      <w:color w:val="000000"/>
                      <w:sz w:val="21"/>
                      <w:szCs w:val="21"/>
                      <w:u w:val="none"/>
                      <w:lang w:val="en-US" w:eastAsia="zh-CN"/>
                    </w:rPr>
                  </w:pPr>
                  <w:r>
                    <w:rPr>
                      <w:rFonts w:hint="default" w:ascii="Times New Roman" w:hAnsi="Times New Roman" w:eastAsia="宋体" w:cs="Times New Roman"/>
                      <w:b/>
                      <w:bCs w:val="0"/>
                      <w:color w:val="000000"/>
                      <w:sz w:val="21"/>
                      <w:szCs w:val="21"/>
                      <w:u w:val="none"/>
                      <w:lang w:val="zh-CN" w:eastAsia="zh-CN"/>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555"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en-US" w:eastAsia="zh-CN"/>
                    </w:rPr>
                  </w:pPr>
                  <w:r>
                    <w:rPr>
                      <w:rFonts w:hint="eastAsia"/>
                      <w:lang w:val="en-US" w:eastAsia="zh-CN"/>
                    </w:rPr>
                    <w:t>1</w:t>
                  </w:r>
                </w:p>
              </w:tc>
              <w:tc>
                <w:tcPr>
                  <w:tcW w:w="885" w:type="dxa"/>
                  <w:vMerge w:val="restart"/>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default" w:ascii="Times New Roman" w:hAnsi="Times New Roman" w:eastAsia="宋体" w:cs="Times New Roman"/>
                      <w:b w:val="0"/>
                      <w:bCs/>
                      <w:color w:val="000000"/>
                      <w:sz w:val="21"/>
                      <w:szCs w:val="21"/>
                      <w:u w:val="none"/>
                      <w:lang w:val="zh-CN" w:eastAsia="zh-CN"/>
                    </w:rPr>
                    <w:t>危废暂存间</w:t>
                  </w:r>
                </w:p>
              </w:tc>
              <w:tc>
                <w:tcPr>
                  <w:tcW w:w="1104"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sz w:val="21"/>
                      <w:szCs w:val="21"/>
                      <w:u w:val="none"/>
                    </w:rPr>
                    <w:t>废水性涂料</w:t>
                  </w:r>
                </w:p>
              </w:tc>
              <w:tc>
                <w:tcPr>
                  <w:tcW w:w="699"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en-US" w:eastAsia="zh-CN"/>
                    </w:rPr>
                  </w:pPr>
                  <w:r>
                    <w:rPr>
                      <w:rFonts w:hint="eastAsia"/>
                      <w:sz w:val="21"/>
                      <w:szCs w:val="21"/>
                      <w:u w:val="none"/>
                    </w:rPr>
                    <w:t>0.</w:t>
                  </w:r>
                  <w:r>
                    <w:rPr>
                      <w:rFonts w:hint="eastAsia"/>
                      <w:sz w:val="21"/>
                      <w:szCs w:val="21"/>
                      <w:u w:val="none"/>
                      <w:lang w:val="en-US" w:eastAsia="zh-CN"/>
                    </w:rPr>
                    <w:t>1</w:t>
                  </w:r>
                </w:p>
              </w:tc>
              <w:tc>
                <w:tcPr>
                  <w:tcW w:w="1346"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en-US" w:eastAsia="zh-CN"/>
                    </w:rPr>
                  </w:pPr>
                  <w:r>
                    <w:rPr>
                      <w:rFonts w:hint="eastAsia" w:cs="Times New Roman"/>
                      <w:b w:val="0"/>
                      <w:bCs/>
                      <w:color w:val="000000"/>
                      <w:sz w:val="21"/>
                      <w:szCs w:val="21"/>
                      <w:u w:val="none"/>
                      <w:lang w:val="en-US" w:eastAsia="zh-CN"/>
                    </w:rPr>
                    <w:t>/</w:t>
                  </w:r>
                </w:p>
              </w:tc>
              <w:tc>
                <w:tcPr>
                  <w:tcW w:w="900"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en-US" w:eastAsia="zh-CN"/>
                    </w:rPr>
                  </w:pPr>
                  <w:r>
                    <w:rPr>
                      <w:rFonts w:hint="eastAsia" w:cs="Times New Roman"/>
                      <w:b w:val="0"/>
                      <w:bCs/>
                      <w:color w:val="000000"/>
                      <w:sz w:val="21"/>
                      <w:szCs w:val="21"/>
                      <w:u w:val="none"/>
                      <w:lang w:val="en-US" w:eastAsia="zh-CN"/>
                    </w:rPr>
                    <w:t>/</w:t>
                  </w:r>
                </w:p>
              </w:tc>
              <w:tc>
                <w:tcPr>
                  <w:tcW w:w="485" w:type="dxa"/>
                  <w:vMerge w:val="restart"/>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default" w:ascii="Times New Roman" w:hAnsi="Times New Roman" w:eastAsia="宋体" w:cs="Times New Roman"/>
                      <w:b w:val="0"/>
                      <w:bCs/>
                      <w:color w:val="000000"/>
                      <w:sz w:val="21"/>
                      <w:szCs w:val="21"/>
                      <w:u w:val="none"/>
                      <w:lang w:val="en-US" w:eastAsia="zh-CN"/>
                    </w:rPr>
                    <w:t>仓库</w:t>
                  </w:r>
                </w:p>
              </w:tc>
              <w:tc>
                <w:tcPr>
                  <w:tcW w:w="643" w:type="dxa"/>
                  <w:vMerge w:val="restart"/>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eastAsia" w:eastAsia="宋体" w:cs="Times New Roman"/>
                      <w:b w:val="0"/>
                      <w:bCs/>
                      <w:color w:val="000000"/>
                      <w:sz w:val="21"/>
                      <w:szCs w:val="21"/>
                      <w:u w:val="none"/>
                      <w:lang w:val="en-US" w:eastAsia="zh-CN"/>
                    </w:rPr>
                    <w:t>10</w:t>
                  </w:r>
                </w:p>
              </w:tc>
              <w:tc>
                <w:tcPr>
                  <w:tcW w:w="658"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eastAsia" w:eastAsia="宋体" w:cs="Times New Roman"/>
                      <w:b w:val="0"/>
                      <w:bCs/>
                      <w:color w:val="000000"/>
                      <w:sz w:val="21"/>
                      <w:szCs w:val="21"/>
                      <w:u w:val="none"/>
                      <w:lang w:val="en-US" w:eastAsia="zh-CN"/>
                    </w:rPr>
                    <w:t>25kg</w:t>
                  </w:r>
                  <w:r>
                    <w:rPr>
                      <w:rFonts w:hint="default" w:ascii="Times New Roman" w:hAnsi="Times New Roman" w:eastAsia="宋体" w:cs="Times New Roman"/>
                      <w:b w:val="0"/>
                      <w:bCs/>
                      <w:color w:val="000000"/>
                      <w:sz w:val="21"/>
                      <w:szCs w:val="21"/>
                      <w:u w:val="none"/>
                      <w:lang w:val="zh-CN" w:eastAsia="zh-CN"/>
                    </w:rPr>
                    <w:t>桶装</w:t>
                  </w:r>
                </w:p>
              </w:tc>
              <w:tc>
                <w:tcPr>
                  <w:tcW w:w="677" w:type="dxa"/>
                  <w:vMerge w:val="restart"/>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eastAsia" w:eastAsia="宋体" w:cs="Times New Roman"/>
                      <w:b w:val="0"/>
                      <w:bCs/>
                      <w:color w:val="000000"/>
                      <w:sz w:val="21"/>
                      <w:szCs w:val="21"/>
                      <w:u w:val="none"/>
                      <w:lang w:val="en-US" w:eastAsia="zh-CN"/>
                    </w:rPr>
                    <w:t>8</w:t>
                  </w:r>
                  <w:r>
                    <w:rPr>
                      <w:rFonts w:hint="default" w:ascii="Times New Roman" w:hAnsi="Times New Roman" w:eastAsia="宋体" w:cs="Times New Roman"/>
                      <w:b w:val="0"/>
                      <w:bCs/>
                      <w:color w:val="000000"/>
                      <w:sz w:val="21"/>
                      <w:szCs w:val="21"/>
                      <w:u w:val="none"/>
                      <w:lang w:val="zh-CN" w:eastAsia="zh-CN"/>
                    </w:rPr>
                    <w:t>t</w:t>
                  </w:r>
                </w:p>
              </w:tc>
              <w:tc>
                <w:tcPr>
                  <w:tcW w:w="751" w:type="dxa"/>
                  <w:vMerge w:val="restart"/>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eastAsia" w:eastAsia="宋体" w:cs="Times New Roman"/>
                      <w:b w:val="0"/>
                      <w:bCs/>
                      <w:color w:val="000000"/>
                      <w:sz w:val="21"/>
                      <w:szCs w:val="21"/>
                      <w:u w:val="none"/>
                      <w:lang w:val="en-US" w:eastAsia="zh-CN"/>
                    </w:rPr>
                    <w:t>12</w:t>
                  </w:r>
                  <w:r>
                    <w:rPr>
                      <w:rFonts w:hint="default" w:ascii="Times New Roman" w:hAnsi="Times New Roman" w:eastAsia="宋体" w:cs="Times New Roman"/>
                      <w:b w:val="0"/>
                      <w:bCs/>
                      <w:color w:val="000000"/>
                      <w:sz w:val="21"/>
                      <w:szCs w:val="21"/>
                      <w:u w:val="none"/>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555"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lang w:val="en-US" w:eastAsia="zh-CN"/>
                    </w:rPr>
                    <w:t>2</w:t>
                  </w:r>
                </w:p>
              </w:tc>
              <w:tc>
                <w:tcPr>
                  <w:tcW w:w="8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zh-CN" w:eastAsia="zh-CN"/>
                    </w:rPr>
                  </w:pPr>
                </w:p>
              </w:tc>
              <w:tc>
                <w:tcPr>
                  <w:tcW w:w="1104"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sz w:val="21"/>
                      <w:szCs w:val="21"/>
                      <w:u w:val="none"/>
                    </w:rPr>
                    <w:t>废水性涂料桶、废抹布手套</w:t>
                  </w:r>
                </w:p>
              </w:tc>
              <w:tc>
                <w:tcPr>
                  <w:tcW w:w="699" w:type="dxa"/>
                  <w:noWrap w:val="0"/>
                  <w:vAlign w:val="center"/>
                </w:tcPr>
                <w:p>
                  <w:pPr>
                    <w:pStyle w:val="37"/>
                    <w:spacing w:line="240" w:lineRule="auto"/>
                    <w:ind w:left="0" w:leftChars="0" w:firstLine="0" w:firstLineChars="0"/>
                    <w:rPr>
                      <w:rFonts w:hint="eastAsia" w:eastAsia="宋体" w:cs="Times New Roman"/>
                      <w:b w:val="0"/>
                      <w:bCs/>
                      <w:color w:val="000000"/>
                      <w:sz w:val="21"/>
                      <w:szCs w:val="21"/>
                      <w:u w:val="none"/>
                      <w:lang w:val="en-US" w:eastAsia="zh-CN"/>
                    </w:rPr>
                  </w:pPr>
                  <w:r>
                    <w:rPr>
                      <w:rFonts w:hint="eastAsia"/>
                      <w:sz w:val="21"/>
                      <w:szCs w:val="21"/>
                      <w:u w:val="none"/>
                      <w:lang w:val="en-US" w:eastAsia="zh-CN"/>
                    </w:rPr>
                    <w:t>0.11</w:t>
                  </w:r>
                </w:p>
              </w:tc>
              <w:tc>
                <w:tcPr>
                  <w:tcW w:w="1346"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en-US" w:eastAsia="zh-CN"/>
                    </w:rPr>
                  </w:pPr>
                  <w:r>
                    <w:rPr>
                      <w:rFonts w:hint="eastAsia" w:cs="Times New Roman"/>
                      <w:b w:val="0"/>
                      <w:bCs/>
                      <w:color w:val="000000"/>
                      <w:sz w:val="21"/>
                      <w:szCs w:val="21"/>
                      <w:u w:val="none"/>
                      <w:lang w:val="en-US" w:eastAsia="zh-CN"/>
                    </w:rPr>
                    <w:t>/</w:t>
                  </w:r>
                </w:p>
              </w:tc>
              <w:tc>
                <w:tcPr>
                  <w:tcW w:w="900"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en-US" w:eastAsia="zh-CN"/>
                    </w:rPr>
                  </w:pPr>
                  <w:r>
                    <w:rPr>
                      <w:rFonts w:hint="eastAsia" w:cs="Times New Roman"/>
                      <w:b w:val="0"/>
                      <w:bCs/>
                      <w:color w:val="000000"/>
                      <w:sz w:val="21"/>
                      <w:szCs w:val="21"/>
                      <w:u w:val="none"/>
                      <w:lang w:val="en-US" w:eastAsia="zh-CN"/>
                    </w:rPr>
                    <w:t>/</w:t>
                  </w:r>
                </w:p>
              </w:tc>
              <w:tc>
                <w:tcPr>
                  <w:tcW w:w="4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c>
                <w:tcPr>
                  <w:tcW w:w="643"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658"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eastAsia" w:eastAsia="宋体" w:cs="Times New Roman"/>
                      <w:b w:val="0"/>
                      <w:bCs/>
                      <w:color w:val="000000"/>
                      <w:sz w:val="21"/>
                      <w:szCs w:val="21"/>
                      <w:u w:val="none"/>
                      <w:lang w:val="en-US" w:eastAsia="zh-CN"/>
                    </w:rPr>
                    <w:t>袋装</w:t>
                  </w:r>
                </w:p>
              </w:tc>
              <w:tc>
                <w:tcPr>
                  <w:tcW w:w="677"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751"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55"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lang w:val="en-US" w:eastAsia="zh-CN"/>
                    </w:rPr>
                    <w:t>3</w:t>
                  </w:r>
                </w:p>
              </w:tc>
              <w:tc>
                <w:tcPr>
                  <w:tcW w:w="8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zh-CN" w:eastAsia="zh-CN"/>
                    </w:rPr>
                  </w:pPr>
                </w:p>
              </w:tc>
              <w:tc>
                <w:tcPr>
                  <w:tcW w:w="1104"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default" w:ascii="Times New Roman" w:hAnsi="Times New Roman" w:eastAsia="宋体" w:cs="Times New Roman"/>
                      <w:bCs/>
                      <w:color w:val="000000"/>
                      <w:sz w:val="21"/>
                      <w:szCs w:val="21"/>
                      <w:lang w:val="en-US" w:eastAsia="zh-CN"/>
                    </w:rPr>
                    <w:t>废</w:t>
                  </w:r>
                  <w:r>
                    <w:rPr>
                      <w:rFonts w:hint="eastAsia" w:cs="Times New Roman"/>
                      <w:bCs/>
                      <w:color w:val="000000"/>
                      <w:sz w:val="21"/>
                      <w:szCs w:val="21"/>
                      <w:lang w:val="en-US" w:eastAsia="zh-CN"/>
                    </w:rPr>
                    <w:t>机</w:t>
                  </w:r>
                  <w:r>
                    <w:rPr>
                      <w:rFonts w:hint="eastAsia" w:ascii="Times New Roman" w:hAnsi="Times New Roman" w:eastAsia="宋体" w:cs="Times New Roman"/>
                      <w:bCs/>
                      <w:color w:val="000000"/>
                      <w:sz w:val="21"/>
                      <w:szCs w:val="21"/>
                      <w:lang w:val="en-US" w:eastAsia="zh-CN"/>
                    </w:rPr>
                    <w:t>油</w:t>
                  </w:r>
                </w:p>
              </w:tc>
              <w:tc>
                <w:tcPr>
                  <w:tcW w:w="699" w:type="dxa"/>
                  <w:noWrap w:val="0"/>
                  <w:vAlign w:val="center"/>
                </w:tcPr>
                <w:p>
                  <w:pPr>
                    <w:pStyle w:val="37"/>
                    <w:spacing w:line="240" w:lineRule="auto"/>
                    <w:ind w:left="0" w:leftChars="0" w:firstLine="0" w:firstLineChars="0"/>
                    <w:rPr>
                      <w:rFonts w:hint="eastAsia" w:eastAsia="宋体" w:cs="Times New Roman"/>
                      <w:b w:val="0"/>
                      <w:bCs/>
                      <w:color w:val="000000"/>
                      <w:sz w:val="21"/>
                      <w:szCs w:val="21"/>
                      <w:u w:val="none"/>
                      <w:lang w:val="en-US" w:eastAsia="zh-CN"/>
                    </w:rPr>
                  </w:pPr>
                  <w:r>
                    <w:rPr>
                      <w:rFonts w:hint="eastAsia"/>
                      <w:sz w:val="21"/>
                      <w:szCs w:val="21"/>
                      <w:u w:val="none"/>
                      <w:lang w:val="en-US" w:eastAsia="zh-CN"/>
                    </w:rPr>
                    <w:t>0.01</w:t>
                  </w:r>
                </w:p>
              </w:tc>
              <w:tc>
                <w:tcPr>
                  <w:tcW w:w="1346"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default" w:ascii="Times New Roman" w:hAnsi="Times New Roman" w:eastAsia="宋体" w:cs="Times New Roman"/>
                      <w:bCs/>
                      <w:color w:val="000000"/>
                      <w:sz w:val="21"/>
                      <w:szCs w:val="21"/>
                      <w:lang w:val="en-US" w:eastAsia="zh-CN"/>
                    </w:rPr>
                    <w:t>900-2</w:t>
                  </w:r>
                  <w:r>
                    <w:rPr>
                      <w:rFonts w:hint="eastAsia" w:cs="Times New Roman"/>
                      <w:bCs/>
                      <w:color w:val="000000"/>
                      <w:sz w:val="21"/>
                      <w:szCs w:val="21"/>
                      <w:lang w:val="en-US" w:eastAsia="zh-CN"/>
                    </w:rPr>
                    <w:t>14</w:t>
                  </w:r>
                  <w:r>
                    <w:rPr>
                      <w:rFonts w:hint="default" w:ascii="Times New Roman" w:hAnsi="Times New Roman" w:eastAsia="宋体" w:cs="Times New Roman"/>
                      <w:bCs/>
                      <w:color w:val="000000"/>
                      <w:sz w:val="21"/>
                      <w:szCs w:val="21"/>
                      <w:lang w:val="en-US" w:eastAsia="zh-CN"/>
                    </w:rPr>
                    <w:t>-08</w:t>
                  </w:r>
                </w:p>
              </w:tc>
              <w:tc>
                <w:tcPr>
                  <w:tcW w:w="900"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HW08</w:t>
                  </w:r>
                </w:p>
              </w:tc>
              <w:tc>
                <w:tcPr>
                  <w:tcW w:w="4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c>
                <w:tcPr>
                  <w:tcW w:w="643"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658"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zh-CN" w:eastAsia="zh-CN"/>
                    </w:rPr>
                  </w:pPr>
                  <w:r>
                    <w:rPr>
                      <w:rFonts w:hint="eastAsia" w:ascii="Times New Roman" w:hAnsi="Times New Roman" w:eastAsia="宋体" w:cs="Times New Roman"/>
                      <w:b w:val="0"/>
                      <w:bCs/>
                      <w:color w:val="000000"/>
                      <w:sz w:val="21"/>
                      <w:szCs w:val="21"/>
                      <w:u w:val="none"/>
                      <w:lang w:val="en-US" w:eastAsia="zh-CN"/>
                    </w:rPr>
                    <w:t>25kg</w:t>
                  </w:r>
                  <w:r>
                    <w:rPr>
                      <w:rFonts w:hint="default" w:ascii="Times New Roman" w:hAnsi="Times New Roman" w:eastAsia="宋体" w:cs="Times New Roman"/>
                      <w:b w:val="0"/>
                      <w:bCs/>
                      <w:color w:val="000000"/>
                      <w:sz w:val="21"/>
                      <w:szCs w:val="21"/>
                      <w:u w:val="none"/>
                      <w:lang w:val="zh-CN" w:eastAsia="zh-CN"/>
                    </w:rPr>
                    <w:t>桶装</w:t>
                  </w:r>
                </w:p>
              </w:tc>
              <w:tc>
                <w:tcPr>
                  <w:tcW w:w="677"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751"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55"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lang w:val="en-US" w:eastAsia="zh-CN"/>
                    </w:rPr>
                    <w:t>4</w:t>
                  </w:r>
                </w:p>
              </w:tc>
              <w:tc>
                <w:tcPr>
                  <w:tcW w:w="8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zh-CN" w:eastAsia="zh-CN"/>
                    </w:rPr>
                  </w:pPr>
                </w:p>
              </w:tc>
              <w:tc>
                <w:tcPr>
                  <w:tcW w:w="1104"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default" w:ascii="Times New Roman" w:hAnsi="Times New Roman" w:eastAsia="宋体" w:cs="Times New Roman"/>
                      <w:bCs/>
                      <w:color w:val="000000"/>
                      <w:sz w:val="21"/>
                      <w:szCs w:val="21"/>
                      <w:lang w:val="en-US" w:eastAsia="zh-CN"/>
                    </w:rPr>
                    <w:t>废</w:t>
                  </w:r>
                  <w:r>
                    <w:rPr>
                      <w:rFonts w:hint="eastAsia" w:cs="Times New Roman"/>
                      <w:bCs/>
                      <w:color w:val="000000"/>
                      <w:sz w:val="21"/>
                      <w:szCs w:val="21"/>
                      <w:lang w:val="en-US" w:eastAsia="zh-CN"/>
                    </w:rPr>
                    <w:t>机</w:t>
                  </w:r>
                  <w:r>
                    <w:rPr>
                      <w:rFonts w:hint="eastAsia" w:ascii="Times New Roman" w:hAnsi="Times New Roman" w:eastAsia="宋体" w:cs="Times New Roman"/>
                      <w:bCs/>
                      <w:color w:val="000000"/>
                      <w:sz w:val="21"/>
                      <w:szCs w:val="21"/>
                      <w:lang w:val="en-US" w:eastAsia="zh-CN"/>
                    </w:rPr>
                    <w:t>油桶</w:t>
                  </w:r>
                </w:p>
              </w:tc>
              <w:tc>
                <w:tcPr>
                  <w:tcW w:w="699" w:type="dxa"/>
                  <w:noWrap w:val="0"/>
                  <w:vAlign w:val="center"/>
                </w:tcPr>
                <w:p>
                  <w:pPr>
                    <w:pStyle w:val="37"/>
                    <w:spacing w:line="240" w:lineRule="auto"/>
                    <w:ind w:left="0" w:leftChars="0" w:firstLine="0" w:firstLineChars="0"/>
                    <w:rPr>
                      <w:rFonts w:hint="eastAsia" w:eastAsia="宋体" w:cs="Times New Roman"/>
                      <w:b w:val="0"/>
                      <w:bCs/>
                      <w:color w:val="000000"/>
                      <w:sz w:val="21"/>
                      <w:szCs w:val="21"/>
                      <w:u w:val="none"/>
                      <w:lang w:val="en-US" w:eastAsia="zh-CN"/>
                    </w:rPr>
                  </w:pPr>
                  <w:r>
                    <w:rPr>
                      <w:rFonts w:hint="eastAsia"/>
                      <w:sz w:val="21"/>
                      <w:szCs w:val="21"/>
                      <w:u w:val="none"/>
                      <w:lang w:val="en-US" w:eastAsia="zh-CN"/>
                    </w:rPr>
                    <w:t>0.01</w:t>
                  </w:r>
                </w:p>
              </w:tc>
              <w:tc>
                <w:tcPr>
                  <w:tcW w:w="1346"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default" w:ascii="Times New Roman" w:hAnsi="Times New Roman" w:eastAsia="宋体" w:cs="Times New Roman"/>
                      <w:bCs/>
                      <w:color w:val="000000"/>
                      <w:sz w:val="21"/>
                      <w:szCs w:val="21"/>
                      <w:lang w:val="en-US" w:eastAsia="zh-CN"/>
                    </w:rPr>
                    <w:t>900-249-08</w:t>
                  </w:r>
                </w:p>
              </w:tc>
              <w:tc>
                <w:tcPr>
                  <w:tcW w:w="900"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HW08</w:t>
                  </w:r>
                </w:p>
              </w:tc>
              <w:tc>
                <w:tcPr>
                  <w:tcW w:w="4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c>
                <w:tcPr>
                  <w:tcW w:w="643"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658"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eastAsia" w:eastAsia="宋体" w:cs="Times New Roman"/>
                      <w:b w:val="0"/>
                      <w:bCs/>
                      <w:color w:val="000000"/>
                      <w:sz w:val="21"/>
                      <w:szCs w:val="21"/>
                      <w:u w:val="none"/>
                      <w:lang w:val="en-US" w:eastAsia="zh-CN"/>
                    </w:rPr>
                    <w:t>/</w:t>
                  </w:r>
                </w:p>
              </w:tc>
              <w:tc>
                <w:tcPr>
                  <w:tcW w:w="677"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751"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55"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lang w:val="en-US" w:eastAsia="zh-CN"/>
                    </w:rPr>
                    <w:t>5</w:t>
                  </w:r>
                </w:p>
              </w:tc>
              <w:tc>
                <w:tcPr>
                  <w:tcW w:w="8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zh-CN" w:eastAsia="zh-CN"/>
                    </w:rPr>
                  </w:pPr>
                </w:p>
              </w:tc>
              <w:tc>
                <w:tcPr>
                  <w:tcW w:w="1104"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color w:val="auto"/>
                      <w:sz w:val="21"/>
                      <w:szCs w:val="21"/>
                      <w:highlight w:val="none"/>
                      <w:u w:val="none"/>
                      <w:vertAlign w:val="baseline"/>
                      <w:lang w:val="en-US" w:eastAsia="zh-CN"/>
                    </w:rPr>
                    <w:t>含油抹布及手套</w:t>
                  </w:r>
                </w:p>
              </w:tc>
              <w:tc>
                <w:tcPr>
                  <w:tcW w:w="699" w:type="dxa"/>
                  <w:noWrap w:val="0"/>
                  <w:vAlign w:val="center"/>
                </w:tcPr>
                <w:p>
                  <w:pPr>
                    <w:pStyle w:val="37"/>
                    <w:spacing w:line="240" w:lineRule="auto"/>
                    <w:ind w:left="0" w:leftChars="0" w:firstLine="0" w:firstLineChars="0"/>
                    <w:rPr>
                      <w:rFonts w:hint="eastAsia" w:eastAsia="宋体" w:cs="Times New Roman"/>
                      <w:b w:val="0"/>
                      <w:bCs/>
                      <w:color w:val="000000"/>
                      <w:sz w:val="21"/>
                      <w:szCs w:val="21"/>
                      <w:u w:val="none"/>
                      <w:lang w:val="en-US" w:eastAsia="zh-CN"/>
                    </w:rPr>
                  </w:pPr>
                  <w:r>
                    <w:rPr>
                      <w:rFonts w:hint="eastAsia"/>
                      <w:sz w:val="21"/>
                      <w:szCs w:val="21"/>
                      <w:u w:val="none"/>
                      <w:lang w:val="en-US" w:eastAsia="zh-CN"/>
                    </w:rPr>
                    <w:t>0.005</w:t>
                  </w:r>
                </w:p>
              </w:tc>
              <w:tc>
                <w:tcPr>
                  <w:tcW w:w="1346"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default" w:ascii="Times New Roman" w:hAnsi="Times New Roman" w:eastAsia="宋体" w:cs="Times New Roman"/>
                      <w:bCs/>
                      <w:color w:val="auto"/>
                      <w:sz w:val="21"/>
                      <w:szCs w:val="21"/>
                      <w:u w:val="none"/>
                      <w:lang w:val="en-US" w:eastAsia="zh-CN"/>
                    </w:rPr>
                    <w:t>900-041-49</w:t>
                  </w:r>
                </w:p>
              </w:tc>
              <w:tc>
                <w:tcPr>
                  <w:tcW w:w="900"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HW49</w:t>
                  </w:r>
                </w:p>
              </w:tc>
              <w:tc>
                <w:tcPr>
                  <w:tcW w:w="4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c>
                <w:tcPr>
                  <w:tcW w:w="643"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658"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zh-CN" w:eastAsia="zh-CN"/>
                    </w:rPr>
                  </w:pPr>
                  <w:r>
                    <w:rPr>
                      <w:rFonts w:hint="eastAsia" w:eastAsia="宋体" w:cs="Times New Roman"/>
                      <w:b w:val="0"/>
                      <w:bCs/>
                      <w:color w:val="000000"/>
                      <w:sz w:val="21"/>
                      <w:szCs w:val="21"/>
                      <w:u w:val="none"/>
                      <w:lang w:val="en-US" w:eastAsia="zh-CN"/>
                    </w:rPr>
                    <w:t>袋装</w:t>
                  </w:r>
                </w:p>
              </w:tc>
              <w:tc>
                <w:tcPr>
                  <w:tcW w:w="677"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751"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55"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lang w:val="en-US" w:eastAsia="zh-CN"/>
                    </w:rPr>
                    <w:t>6</w:t>
                  </w:r>
                </w:p>
              </w:tc>
              <w:tc>
                <w:tcPr>
                  <w:tcW w:w="8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zh-CN" w:eastAsia="zh-CN"/>
                    </w:rPr>
                  </w:pPr>
                </w:p>
              </w:tc>
              <w:tc>
                <w:tcPr>
                  <w:tcW w:w="1104"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sz w:val="21"/>
                      <w:szCs w:val="21"/>
                      <w:u w:val="none"/>
                    </w:rPr>
                    <w:t>废活性炭</w:t>
                  </w:r>
                </w:p>
              </w:tc>
              <w:tc>
                <w:tcPr>
                  <w:tcW w:w="699" w:type="dxa"/>
                  <w:noWrap w:val="0"/>
                  <w:vAlign w:val="center"/>
                </w:tcPr>
                <w:p>
                  <w:pPr>
                    <w:pStyle w:val="37"/>
                    <w:spacing w:line="240" w:lineRule="auto"/>
                    <w:ind w:left="0" w:leftChars="0" w:firstLine="0" w:firstLineChars="0"/>
                    <w:rPr>
                      <w:rFonts w:hint="eastAsia" w:eastAsia="宋体" w:cs="Times New Roman"/>
                      <w:b w:val="0"/>
                      <w:bCs/>
                      <w:color w:val="000000"/>
                      <w:sz w:val="21"/>
                      <w:szCs w:val="21"/>
                      <w:u w:val="none"/>
                      <w:lang w:val="en-US" w:eastAsia="zh-CN"/>
                    </w:rPr>
                  </w:pPr>
                  <w:r>
                    <w:rPr>
                      <w:rFonts w:hint="eastAsia"/>
                      <w:sz w:val="21"/>
                      <w:szCs w:val="21"/>
                      <w:u w:val="none"/>
                      <w:lang w:val="en-US" w:eastAsia="zh-CN"/>
                    </w:rPr>
                    <w:t>2.767</w:t>
                  </w:r>
                </w:p>
              </w:tc>
              <w:tc>
                <w:tcPr>
                  <w:tcW w:w="1346" w:type="dxa"/>
                  <w:noWrap w:val="0"/>
                  <w:vAlign w:val="center"/>
                </w:tcPr>
                <w:p>
                  <w:pPr>
                    <w:pStyle w:val="37"/>
                    <w:ind w:left="0" w:leftChars="0" w:firstLine="0" w:firstLineChars="0"/>
                    <w:rPr>
                      <w:rFonts w:hint="default" w:ascii="Times New Roman" w:hAnsi="Times New Roman" w:eastAsia="宋体" w:cs="Times New Roman"/>
                      <w:b w:val="0"/>
                      <w:bCs/>
                      <w:color w:val="000000"/>
                      <w:sz w:val="21"/>
                      <w:szCs w:val="21"/>
                      <w:u w:val="none"/>
                      <w:lang w:val="zh-CN" w:eastAsia="zh-CN"/>
                    </w:rPr>
                  </w:pPr>
                  <w:r>
                    <w:rPr>
                      <w:bCs/>
                      <w:color w:val="000000"/>
                      <w:sz w:val="21"/>
                      <w:szCs w:val="21"/>
                      <w:u w:val="none"/>
                    </w:rPr>
                    <w:t>900-039-49</w:t>
                  </w:r>
                </w:p>
              </w:tc>
              <w:tc>
                <w:tcPr>
                  <w:tcW w:w="900" w:type="dxa"/>
                  <w:noWrap w:val="0"/>
                  <w:vAlign w:val="center"/>
                </w:tcPr>
                <w:p>
                  <w:pPr>
                    <w:pStyle w:val="37"/>
                    <w:spacing w:line="240" w:lineRule="auto"/>
                    <w:ind w:left="0" w:leftChars="0" w:firstLine="0" w:firstLineChars="0"/>
                    <w:rPr>
                      <w:rFonts w:hint="default" w:ascii="Times New Roman" w:hAnsi="Times New Roman" w:eastAsia="宋体" w:cs="Times New Roman"/>
                      <w:b w:val="0"/>
                      <w:bCs/>
                      <w:color w:val="000000"/>
                      <w:sz w:val="21"/>
                      <w:szCs w:val="21"/>
                      <w:u w:val="none"/>
                      <w:lang w:val="zh-CN" w:eastAsia="zh-CN"/>
                    </w:rPr>
                  </w:pPr>
                  <w:r>
                    <w:rPr>
                      <w:rFonts w:hint="eastAsia"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HW49</w:t>
                  </w:r>
                </w:p>
              </w:tc>
              <w:tc>
                <w:tcPr>
                  <w:tcW w:w="485"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c>
                <w:tcPr>
                  <w:tcW w:w="643"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658" w:type="dxa"/>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zh-CN" w:eastAsia="zh-CN"/>
                    </w:rPr>
                  </w:pPr>
                  <w:r>
                    <w:rPr>
                      <w:rFonts w:hint="eastAsia" w:eastAsia="宋体" w:cs="Times New Roman"/>
                      <w:b w:val="0"/>
                      <w:bCs/>
                      <w:color w:val="000000"/>
                      <w:sz w:val="21"/>
                      <w:szCs w:val="21"/>
                      <w:u w:val="none"/>
                      <w:lang w:val="en-US" w:eastAsia="zh-CN"/>
                    </w:rPr>
                    <w:t>袋装</w:t>
                  </w:r>
                </w:p>
              </w:tc>
              <w:tc>
                <w:tcPr>
                  <w:tcW w:w="677"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eastAsia" w:eastAsia="宋体" w:cs="Times New Roman"/>
                      <w:b w:val="0"/>
                      <w:bCs/>
                      <w:color w:val="000000"/>
                      <w:sz w:val="21"/>
                      <w:szCs w:val="21"/>
                      <w:u w:val="none"/>
                      <w:lang w:val="en-US" w:eastAsia="zh-CN"/>
                    </w:rPr>
                  </w:pPr>
                </w:p>
              </w:tc>
              <w:tc>
                <w:tcPr>
                  <w:tcW w:w="751" w:type="dxa"/>
                  <w:vMerge w:val="continue"/>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44" w:type="dxa"/>
                  <w:gridSpan w:val="3"/>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default" w:ascii="Times New Roman" w:hAnsi="Times New Roman" w:eastAsia="宋体" w:cs="Times New Roman"/>
                      <w:b w:val="0"/>
                      <w:bCs/>
                      <w:color w:val="000000"/>
                      <w:sz w:val="21"/>
                      <w:szCs w:val="21"/>
                      <w:u w:val="none"/>
                      <w:lang w:val="en-US" w:eastAsia="zh-CN"/>
                    </w:rPr>
                    <w:t>合计产生量t/a</w:t>
                  </w:r>
                </w:p>
              </w:tc>
              <w:tc>
                <w:tcPr>
                  <w:tcW w:w="6159" w:type="dxa"/>
                  <w:gridSpan w:val="8"/>
                  <w:noWrap w:val="0"/>
                  <w:vAlign w:val="center"/>
                </w:tcPr>
                <w:p>
                  <w:pPr>
                    <w:pStyle w:val="59"/>
                    <w:keepNext w:val="0"/>
                    <w:keepLines/>
                    <w:pageBreakBefore w:val="0"/>
                    <w:widowControl w:val="0"/>
                    <w:suppressLineNumbers w:val="0"/>
                    <w:kinsoku/>
                    <w:wordWrap/>
                    <w:overflowPunct/>
                    <w:topLinePunct w:val="0"/>
                    <w:autoSpaceDE w:val="0"/>
                    <w:autoSpaceDN w:val="0"/>
                    <w:bidi w:val="0"/>
                    <w:spacing w:beforeAutospacing="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u w:val="none"/>
                      <w:lang w:val="en-US" w:eastAsia="zh-CN"/>
                    </w:rPr>
                  </w:pPr>
                  <w:r>
                    <w:rPr>
                      <w:rFonts w:hint="eastAsia" w:eastAsia="宋体" w:cs="Times New Roman"/>
                      <w:b w:val="0"/>
                      <w:bCs/>
                      <w:color w:val="000000"/>
                      <w:sz w:val="21"/>
                      <w:szCs w:val="21"/>
                      <w:u w:val="none"/>
                      <w:lang w:val="en-US" w:eastAsia="zh-CN"/>
                    </w:rPr>
                    <w:t>3.002</w:t>
                  </w:r>
                </w:p>
              </w:tc>
            </w:tr>
          </w:tbl>
          <w:p>
            <w:pPr>
              <w:ind w:firstLine="480"/>
            </w:pPr>
            <w:r>
              <w:rPr>
                <w:rFonts w:hint="eastAsia"/>
              </w:rPr>
              <w:t>危险废物贮存能力与产生量与转运周期密切相关，在严格落实本次评价提出的要求基础上，储存能力是可行的。</w:t>
            </w:r>
          </w:p>
          <w:p>
            <w:pPr>
              <w:ind w:firstLine="480"/>
              <w:rPr>
                <w:rFonts w:hint="eastAsia"/>
              </w:rPr>
            </w:pPr>
            <w:r>
              <w:rPr>
                <w:rFonts w:hint="eastAsia"/>
              </w:rPr>
              <w:t>本环评要求：</w:t>
            </w:r>
          </w:p>
          <w:p>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leftChars="0" w:right="0" w:firstLine="480" w:firstLineChars="200"/>
              <w:textAlignment w:val="auto"/>
              <w:rPr>
                <w:rFonts w:hint="eastAsia"/>
                <w:color w:val="auto"/>
                <w:sz w:val="24"/>
                <w:szCs w:val="32"/>
                <w:u w:val="none"/>
                <w:lang w:val="en-US" w:eastAsia="zh-CN"/>
              </w:rPr>
            </w:pPr>
            <w:r>
              <w:rPr>
                <w:rFonts w:hint="eastAsia"/>
                <w:color w:val="auto"/>
                <w:sz w:val="24"/>
                <w:szCs w:val="32"/>
                <w:u w:val="none"/>
                <w:lang w:val="en-US" w:eastAsia="zh-CN"/>
              </w:rPr>
              <w:t>1）一般固废</w:t>
            </w:r>
          </w:p>
          <w:p>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leftChars="0" w:right="0" w:firstLine="480" w:firstLineChars="200"/>
              <w:textAlignment w:val="auto"/>
              <w:rPr>
                <w:rFonts w:hint="eastAsia"/>
                <w:color w:val="auto"/>
                <w:sz w:val="24"/>
                <w:szCs w:val="32"/>
                <w:u w:val="none"/>
                <w:lang w:val="en-US" w:eastAsia="zh-CN"/>
              </w:rPr>
            </w:pPr>
            <w:r>
              <w:rPr>
                <w:rFonts w:hint="eastAsia"/>
                <w:color w:val="auto"/>
                <w:sz w:val="24"/>
                <w:szCs w:val="32"/>
                <w:u w:val="none"/>
                <w:lang w:val="en-US" w:eastAsia="zh-CN"/>
              </w:rPr>
              <w:t>①要按照《一般工业固体废物贮存和填埋污染控制标准》（GB18599-2020）的要求设置暂存场所；</w:t>
            </w:r>
          </w:p>
          <w:p>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leftChars="0" w:right="0" w:firstLine="480" w:firstLineChars="200"/>
              <w:textAlignment w:val="auto"/>
              <w:rPr>
                <w:rFonts w:hint="eastAsia"/>
                <w:color w:val="auto"/>
                <w:sz w:val="24"/>
                <w:szCs w:val="32"/>
                <w:u w:val="none"/>
                <w:lang w:val="en-US" w:eastAsia="zh-CN"/>
              </w:rPr>
            </w:pPr>
            <w:r>
              <w:rPr>
                <w:rFonts w:hint="eastAsia"/>
                <w:color w:val="auto"/>
                <w:sz w:val="24"/>
                <w:szCs w:val="32"/>
                <w:u w:val="none"/>
                <w:lang w:val="en-US" w:eastAsia="zh-CN"/>
              </w:rPr>
              <w:t>②贮存、处置场的设置必须与将要堆放的一般工业固体废物的类别相一致；</w:t>
            </w:r>
          </w:p>
          <w:p>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leftChars="0" w:right="0" w:firstLine="480" w:firstLineChars="200"/>
              <w:textAlignment w:val="auto"/>
              <w:rPr>
                <w:rFonts w:hint="eastAsia"/>
                <w:color w:val="auto"/>
                <w:sz w:val="24"/>
                <w:szCs w:val="32"/>
                <w:u w:val="none"/>
                <w:lang w:val="en-US" w:eastAsia="zh-CN"/>
              </w:rPr>
            </w:pPr>
            <w:r>
              <w:rPr>
                <w:rFonts w:hint="eastAsia"/>
                <w:color w:val="auto"/>
                <w:sz w:val="24"/>
                <w:szCs w:val="32"/>
                <w:u w:val="none"/>
                <w:lang w:val="en-US" w:eastAsia="zh-CN"/>
              </w:rPr>
              <w:t>③不得露天堆放，防止雨水进入产生二次污染；</w:t>
            </w:r>
          </w:p>
          <w:p>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leftChars="0" w:right="0" w:firstLine="480" w:firstLineChars="200"/>
              <w:textAlignment w:val="auto"/>
              <w:rPr>
                <w:rFonts w:hint="eastAsia"/>
                <w:color w:val="auto"/>
                <w:sz w:val="24"/>
                <w:szCs w:val="32"/>
                <w:u w:val="none"/>
                <w:lang w:val="en-US" w:eastAsia="zh-CN"/>
              </w:rPr>
            </w:pPr>
            <w:r>
              <w:rPr>
                <w:rFonts w:hint="eastAsia"/>
                <w:color w:val="auto"/>
                <w:sz w:val="24"/>
                <w:szCs w:val="32"/>
                <w:u w:val="none"/>
                <w:lang w:val="en-US" w:eastAsia="zh-CN"/>
              </w:rPr>
              <w:t>④贮存、处置场使用单位，应建立检查维护制度，定期检查维护堤、坝、挡土墙、导流渠等设施，发现有损坏可能或异常，应及时采取必要措施，以保障正常运行；</w:t>
            </w:r>
          </w:p>
          <w:p>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leftChars="0" w:right="0" w:firstLine="480" w:firstLineChars="200"/>
              <w:textAlignment w:val="auto"/>
              <w:rPr>
                <w:rFonts w:hint="eastAsia"/>
                <w:color w:val="auto"/>
                <w:sz w:val="24"/>
                <w:szCs w:val="32"/>
                <w:u w:val="none"/>
                <w:lang w:val="en-US" w:eastAsia="zh-CN"/>
              </w:rPr>
            </w:pPr>
            <w:r>
              <w:rPr>
                <w:rFonts w:hint="eastAsia"/>
                <w:color w:val="auto"/>
                <w:sz w:val="24"/>
                <w:szCs w:val="32"/>
                <w:u w:val="none"/>
                <w:lang w:val="en-US" w:eastAsia="zh-CN"/>
              </w:rPr>
              <w:t>⑤单位须针对此对员工进行培训，加强安全及防止污染的意识，培训通过后方可上岗，对于固体废弃物的收集、运输要实施专人专职管理制度并建立好档案制度。应将入场的一般工业固体废物的种类和数量以及下列资料，详细记录在案，长期保存，供随时查阅。</w:t>
            </w:r>
          </w:p>
          <w:p>
            <w:pPr>
              <w:ind w:firstLine="480"/>
              <w:rPr>
                <w:u w:val="none"/>
              </w:rPr>
            </w:pPr>
            <w:r>
              <w:rPr>
                <w:rFonts w:hint="eastAsia"/>
                <w:u w:val="none"/>
                <w:lang w:val="en-US" w:eastAsia="zh-CN"/>
              </w:rPr>
              <w:t>2</w:t>
            </w:r>
            <w:r>
              <w:rPr>
                <w:rFonts w:hint="eastAsia"/>
                <w:u w:val="none"/>
              </w:rPr>
              <w:t>）危险废物的收集要求</w:t>
            </w:r>
          </w:p>
          <w:p>
            <w:pPr>
              <w:ind w:firstLine="480"/>
              <w:rPr>
                <w:u w:val="none"/>
              </w:rPr>
            </w:pPr>
            <w:r>
              <w:rPr>
                <w:rFonts w:hint="eastAsia"/>
                <w:u w:val="none"/>
              </w:rPr>
              <w:t>①性质类似的废物可收集到同一容器中、性质不相容的危险废物不应混合包装；</w:t>
            </w:r>
          </w:p>
          <w:p>
            <w:pPr>
              <w:ind w:firstLine="480"/>
              <w:rPr>
                <w:u w:val="none"/>
              </w:rPr>
            </w:pPr>
            <w:r>
              <w:rPr>
                <w:rFonts w:hint="eastAsia"/>
                <w:u w:val="none"/>
              </w:rPr>
              <w:t>②危险废物包装应能有效隔断危险废物迁移扩散途径，并达到防渗、防漏要求；</w:t>
            </w:r>
          </w:p>
          <w:p>
            <w:pPr>
              <w:ind w:firstLine="480"/>
              <w:rPr>
                <w:u w:val="none"/>
              </w:rPr>
            </w:pPr>
            <w:r>
              <w:rPr>
                <w:rFonts w:hint="eastAsia"/>
                <w:u w:val="none"/>
              </w:rPr>
              <w:t>③在危险废物的收集和转运过程中，应采取相应的安全防护和污染防治措施，包括防爆、防火、防泄漏、防风、防雨或其它防止污染环境的措施；</w:t>
            </w:r>
          </w:p>
          <w:p>
            <w:pPr>
              <w:ind w:firstLine="480"/>
              <w:rPr>
                <w:u w:val="none"/>
              </w:rPr>
            </w:pPr>
            <w:r>
              <w:rPr>
                <w:rFonts w:hint="eastAsia"/>
                <w:u w:val="none"/>
              </w:rPr>
              <w:t>④危险废物内部转运应综合考虑厂区的实际情况确定转运路线，尽量避开办公区和生活区；</w:t>
            </w:r>
          </w:p>
          <w:p>
            <w:pPr>
              <w:ind w:firstLine="480"/>
              <w:rPr>
                <w:u w:val="none"/>
              </w:rPr>
            </w:pPr>
            <w:r>
              <w:rPr>
                <w:rFonts w:hint="eastAsia"/>
                <w:u w:val="none"/>
              </w:rPr>
              <w:t>⑤危险废物内部转运结束后，应对转运路线进行检查和清理，确保无危险废物遗失在转运路线上，并对转运工具进行清洗；</w:t>
            </w:r>
          </w:p>
          <w:p>
            <w:pPr>
              <w:ind w:firstLine="480"/>
              <w:rPr>
                <w:u w:val="none"/>
              </w:rPr>
            </w:pPr>
            <w:r>
              <w:rPr>
                <w:rFonts w:hint="eastAsia"/>
                <w:u w:val="none"/>
              </w:rPr>
              <w:t>⑥收集过危险废物的容器、设备、设施、场所及其他物品转作他用时，应消除污染，确保其使用安全。</w:t>
            </w:r>
          </w:p>
          <w:p>
            <w:pPr>
              <w:ind w:firstLine="480"/>
              <w:rPr>
                <w:u w:val="none"/>
              </w:rPr>
            </w:pPr>
            <w:r>
              <w:rPr>
                <w:rFonts w:hint="eastAsia"/>
                <w:u w:val="none"/>
                <w:lang w:val="en-US" w:eastAsia="zh-CN"/>
              </w:rPr>
              <w:t>3</w:t>
            </w:r>
            <w:r>
              <w:rPr>
                <w:rFonts w:hint="eastAsia"/>
                <w:u w:val="none"/>
              </w:rPr>
              <w:t>）危废贮存场所的要求</w:t>
            </w:r>
          </w:p>
          <w:p>
            <w:pPr>
              <w:ind w:firstLine="480"/>
              <w:rPr>
                <w:u w:val="none"/>
              </w:rPr>
            </w:pPr>
            <w:r>
              <w:rPr>
                <w:rFonts w:hint="eastAsia"/>
                <w:u w:val="none"/>
              </w:rPr>
              <w:t>本项目运营期间产生的危险废物在贮存过程中不会产生浸出液，因此无需设置浸出液收集系统。贮存危险废物的容器上必须粘贴标签，标签内容应包括废物类别、行业来源、废物代码、危险废物和危险特性。为降低危废渗漏的影响，建设单位拟在危废暂存点设置防水、防腐特殊保护层，危险废物在厂区内收集后，暂存于防风、防雨、防晒、防渗的危废暂存场所。危险废物在堆放时若管理不当容易发生扩散和</w:t>
            </w:r>
            <w:r>
              <w:rPr>
                <w:rFonts w:hint="eastAsia"/>
                <w:u w:val="none"/>
                <w:lang w:eastAsia="zh-CN"/>
              </w:rPr>
              <w:t>泄漏</w:t>
            </w:r>
            <w:r>
              <w:rPr>
                <w:rFonts w:hint="eastAsia"/>
                <w:u w:val="none"/>
              </w:rPr>
              <w:t>，进而对环境造成污染，甚至损害人们的健康。因此，根据‌《危险废物贮存污染控制标准》（GB 18597—2023）的相关要求，本评价建议项目落实以下措施：</w:t>
            </w:r>
          </w:p>
          <w:p>
            <w:pPr>
              <w:ind w:firstLine="480"/>
              <w:rPr>
                <w:u w:val="none"/>
              </w:rPr>
            </w:pPr>
            <w:r>
              <w:rPr>
                <w:rFonts w:hint="eastAsia"/>
                <w:u w:val="none"/>
              </w:rPr>
              <w:t>①危险废物贮存设施要用坚固、防渗的材料建造，建筑材料必须与危险废物相容。</w:t>
            </w:r>
          </w:p>
          <w:p>
            <w:pPr>
              <w:ind w:firstLine="480"/>
              <w:rPr>
                <w:u w:val="none"/>
              </w:rPr>
            </w:pPr>
            <w:r>
              <w:rPr>
                <w:rFonts w:hint="eastAsia"/>
                <w:u w:val="none"/>
                <w:lang w:val="en-US" w:eastAsia="zh-CN"/>
              </w:rPr>
              <w:t>②</w:t>
            </w:r>
            <w:r>
              <w:rPr>
                <w:rFonts w:hint="eastAsia"/>
                <w:u w:val="none"/>
              </w:rPr>
              <w:t>堆放地点基础必须防渗，防渗层为至少1m厚黏土层（渗透系数≤10-7cm/s），或2mm厚高密度聚乙烯，或至少2 mm厚的其他人工材料（渗透系数≤10-10cm/s）。</w:t>
            </w:r>
          </w:p>
          <w:p>
            <w:pPr>
              <w:ind w:firstLine="480"/>
              <w:rPr>
                <w:u w:val="none"/>
              </w:rPr>
            </w:pPr>
            <w:r>
              <w:rPr>
                <w:rFonts w:hint="eastAsia"/>
                <w:u w:val="none"/>
                <w:lang w:val="en-US" w:eastAsia="zh-CN"/>
              </w:rPr>
              <w:t>③</w:t>
            </w:r>
            <w:r>
              <w:rPr>
                <w:rFonts w:hint="eastAsia"/>
                <w:u w:val="none"/>
              </w:rPr>
              <w:t>危险废物堆放采取必要的防风、防晒、防雨、防漏、防渗、防腐以及其他环境污染防治措施，不应露天堆放危险废物。</w:t>
            </w:r>
          </w:p>
          <w:p>
            <w:pPr>
              <w:keepLines/>
              <w:autoSpaceDE w:val="0"/>
              <w:autoSpaceDN w:val="0"/>
              <w:spacing w:before="3"/>
              <w:ind w:left="480" w:leftChars="200" w:firstLine="0" w:firstLineChars="0"/>
              <w:jc w:val="left"/>
              <w:rPr>
                <w:bCs/>
                <w:color w:val="000000"/>
                <w:szCs w:val="22"/>
                <w:u w:val="none"/>
                <w:lang w:bidi="zh-CN"/>
              </w:rPr>
            </w:pPr>
            <w:r>
              <w:rPr>
                <w:rFonts w:hint="eastAsia"/>
                <w:bCs/>
                <w:color w:val="000000"/>
                <w:szCs w:val="22"/>
                <w:u w:val="none"/>
                <w:lang w:val="en-US" w:bidi="zh-CN"/>
              </w:rPr>
              <w:t>4</w:t>
            </w:r>
            <w:r>
              <w:rPr>
                <w:rFonts w:hint="eastAsia"/>
                <w:bCs/>
                <w:color w:val="000000"/>
                <w:szCs w:val="22"/>
                <w:u w:val="none"/>
                <w:lang w:bidi="zh-CN"/>
              </w:rPr>
              <w:t>）</w:t>
            </w:r>
            <w:r>
              <w:rPr>
                <w:bCs/>
                <w:color w:val="000000"/>
                <w:szCs w:val="22"/>
                <w:u w:val="none"/>
                <w:lang w:bidi="zh-CN"/>
              </w:rPr>
              <w:t>危废</w:t>
            </w:r>
            <w:r>
              <w:rPr>
                <w:rFonts w:hint="eastAsia"/>
                <w:bCs/>
                <w:color w:val="000000"/>
                <w:szCs w:val="22"/>
                <w:u w:val="none"/>
                <w:lang w:bidi="zh-CN"/>
              </w:rPr>
              <w:t>废物的运输</w:t>
            </w:r>
            <w:r>
              <w:rPr>
                <w:bCs/>
                <w:color w:val="000000"/>
                <w:szCs w:val="22"/>
                <w:u w:val="none"/>
                <w:lang w:bidi="zh-CN"/>
              </w:rPr>
              <w:t>要求</w:t>
            </w:r>
          </w:p>
          <w:p>
            <w:pPr>
              <w:keepLines/>
              <w:autoSpaceDE w:val="0"/>
              <w:autoSpaceDN w:val="0"/>
              <w:spacing w:before="3"/>
              <w:ind w:firstLine="480"/>
              <w:jc w:val="left"/>
              <w:rPr>
                <w:bCs/>
                <w:color w:val="000000"/>
                <w:szCs w:val="22"/>
                <w:u w:val="none"/>
                <w:lang w:bidi="zh-CN"/>
              </w:rPr>
            </w:pPr>
            <w:r>
              <w:rPr>
                <w:bCs/>
                <w:color w:val="000000"/>
                <w:szCs w:val="22"/>
                <w:u w:val="none"/>
                <w:lang w:bidi="zh-CN"/>
              </w:rPr>
              <w:t>按照《危险废物收集贮存运输技术规范》（HJ2025-2012），</w:t>
            </w:r>
            <w:r>
              <w:rPr>
                <w:rFonts w:hint="eastAsia"/>
                <w:bCs/>
                <w:color w:val="000000"/>
                <w:szCs w:val="22"/>
                <w:u w:val="none"/>
                <w:lang w:bidi="zh-CN"/>
              </w:rPr>
              <w:t>本</w:t>
            </w:r>
            <w:r>
              <w:rPr>
                <w:bCs/>
                <w:color w:val="000000"/>
                <w:szCs w:val="22"/>
                <w:u w:val="none"/>
                <w:lang w:bidi="zh-CN"/>
              </w:rPr>
              <w:t>项目危险废物的运输由持有危险废物经营许可证的单位按照其许可证的经营范围组织，并由获得交通运输部门颁发的危险货物运输资质的单位承担运输。危险废物运输时的中转、装卸过程应遵守规范技术要求：</w:t>
            </w:r>
          </w:p>
          <w:p>
            <w:pPr>
              <w:keepLines/>
              <w:autoSpaceDE w:val="0"/>
              <w:autoSpaceDN w:val="0"/>
              <w:spacing w:before="3"/>
              <w:ind w:firstLine="480"/>
              <w:jc w:val="left"/>
              <w:rPr>
                <w:bCs/>
                <w:color w:val="000000"/>
                <w:szCs w:val="22"/>
                <w:u w:val="none"/>
                <w:lang w:bidi="zh-CN"/>
              </w:rPr>
            </w:pPr>
            <w:r>
              <w:rPr>
                <w:bCs/>
                <w:color w:val="000000"/>
                <w:szCs w:val="22"/>
                <w:u w:val="none"/>
                <w:lang w:bidi="zh-CN"/>
              </w:rPr>
              <w:t>①装卸区的工作人员应熟悉废物的危险特性，并配备适当的个人防护装备；</w:t>
            </w:r>
          </w:p>
          <w:p>
            <w:pPr>
              <w:keepLines/>
              <w:autoSpaceDE w:val="0"/>
              <w:autoSpaceDN w:val="0"/>
              <w:spacing w:before="3"/>
              <w:ind w:firstLine="480"/>
              <w:jc w:val="left"/>
              <w:rPr>
                <w:bCs/>
                <w:color w:val="000000"/>
                <w:szCs w:val="22"/>
                <w:u w:val="none"/>
                <w:lang w:bidi="zh-CN"/>
              </w:rPr>
            </w:pPr>
            <w:r>
              <w:rPr>
                <w:bCs/>
                <w:color w:val="000000"/>
                <w:szCs w:val="22"/>
                <w:u w:val="none"/>
                <w:lang w:bidi="zh-CN"/>
              </w:rPr>
              <w:t>②装卸区应配备必要的消防设备和设施，并设置明显的指示标志；</w:t>
            </w:r>
          </w:p>
          <w:p>
            <w:pPr>
              <w:keepLines/>
              <w:autoSpaceDE w:val="0"/>
              <w:autoSpaceDN w:val="0"/>
              <w:spacing w:before="3"/>
              <w:ind w:firstLine="480"/>
              <w:jc w:val="left"/>
              <w:rPr>
                <w:bCs/>
                <w:color w:val="000000"/>
                <w:szCs w:val="22"/>
                <w:u w:val="none"/>
                <w:lang w:bidi="zh-CN"/>
              </w:rPr>
            </w:pPr>
            <w:r>
              <w:rPr>
                <w:bCs/>
                <w:color w:val="000000"/>
                <w:szCs w:val="22"/>
                <w:u w:val="none"/>
                <w:lang w:bidi="zh-CN"/>
              </w:rPr>
              <w:t>③危险废物装卸区应设置隔离设施。</w:t>
            </w:r>
          </w:p>
          <w:p>
            <w:pPr>
              <w:keepLines/>
              <w:autoSpaceDE w:val="0"/>
              <w:autoSpaceDN w:val="0"/>
              <w:spacing w:before="3"/>
              <w:ind w:firstLine="480"/>
              <w:jc w:val="left"/>
              <w:rPr>
                <w:bCs/>
                <w:color w:val="000000"/>
                <w:szCs w:val="22"/>
                <w:u w:val="none"/>
                <w:lang w:bidi="zh-CN"/>
              </w:rPr>
            </w:pPr>
            <w:r>
              <w:rPr>
                <w:rFonts w:hint="eastAsia"/>
                <w:bCs/>
                <w:color w:val="000000"/>
                <w:szCs w:val="22"/>
                <w:u w:val="none"/>
                <w:lang w:bidi="zh-CN"/>
              </w:rPr>
              <w:t>本</w:t>
            </w:r>
            <w:r>
              <w:rPr>
                <w:bCs/>
                <w:color w:val="000000"/>
                <w:szCs w:val="22"/>
                <w:u w:val="none"/>
                <w:lang w:bidi="zh-CN"/>
              </w:rPr>
              <w:t>项目产生的危险废物严格按照危险废物运输的管理规定进行运输，减少运输过程中的二次污染和可能造成的环境风险，因此采取的污染防治措施的可行。经上述措施处理后，建设项目产生的固体废弃物不会对周围环境造成不良影响。</w:t>
            </w:r>
          </w:p>
          <w:p>
            <w:pPr>
              <w:keepLines/>
              <w:autoSpaceDE w:val="0"/>
              <w:autoSpaceDN w:val="0"/>
              <w:spacing w:before="3"/>
              <w:ind w:left="480" w:leftChars="200" w:firstLine="0" w:firstLineChars="0"/>
              <w:jc w:val="left"/>
              <w:rPr>
                <w:bCs/>
                <w:color w:val="000000"/>
                <w:szCs w:val="22"/>
                <w:u w:val="none"/>
                <w:lang w:bidi="zh-CN"/>
              </w:rPr>
            </w:pPr>
            <w:r>
              <w:rPr>
                <w:rFonts w:hint="eastAsia"/>
                <w:bCs/>
                <w:color w:val="000000"/>
                <w:szCs w:val="22"/>
                <w:u w:val="none"/>
                <w:lang w:val="en-US" w:bidi="zh-CN"/>
              </w:rPr>
              <w:t>5</w:t>
            </w:r>
            <w:r>
              <w:rPr>
                <w:rFonts w:hint="eastAsia"/>
                <w:bCs/>
                <w:color w:val="000000"/>
                <w:szCs w:val="22"/>
                <w:u w:val="none"/>
                <w:lang w:bidi="zh-CN"/>
              </w:rPr>
              <w:t>）</w:t>
            </w:r>
            <w:r>
              <w:rPr>
                <w:bCs/>
                <w:color w:val="000000"/>
                <w:szCs w:val="22"/>
                <w:u w:val="none"/>
                <w:lang w:bidi="zh-CN"/>
              </w:rPr>
              <w:t>危废</w:t>
            </w:r>
            <w:r>
              <w:rPr>
                <w:rFonts w:hint="eastAsia"/>
                <w:bCs/>
                <w:color w:val="000000"/>
                <w:szCs w:val="22"/>
                <w:u w:val="none"/>
                <w:lang w:bidi="zh-CN"/>
              </w:rPr>
              <w:t>废物的管理</w:t>
            </w:r>
            <w:r>
              <w:rPr>
                <w:bCs/>
                <w:color w:val="000000"/>
                <w:szCs w:val="22"/>
                <w:u w:val="none"/>
                <w:lang w:bidi="zh-CN"/>
              </w:rPr>
              <w:t>要求</w:t>
            </w:r>
          </w:p>
          <w:p>
            <w:pPr>
              <w:keepLines/>
              <w:autoSpaceDE w:val="0"/>
              <w:autoSpaceDN w:val="0"/>
              <w:spacing w:before="3"/>
              <w:ind w:firstLine="480"/>
              <w:jc w:val="left"/>
              <w:rPr>
                <w:bCs/>
                <w:color w:val="000000"/>
                <w:szCs w:val="22"/>
                <w:u w:val="none"/>
                <w:lang w:bidi="zh-CN"/>
              </w:rPr>
            </w:pPr>
            <w:r>
              <w:rPr>
                <w:rFonts w:hint="eastAsia"/>
                <w:bCs/>
                <w:color w:val="000000"/>
                <w:szCs w:val="22"/>
                <w:u w:val="none"/>
                <w:lang w:bidi="zh-CN"/>
              </w:rPr>
              <w:t>企业</w:t>
            </w:r>
            <w:r>
              <w:rPr>
                <w:bCs/>
                <w:color w:val="000000"/>
                <w:szCs w:val="22"/>
                <w:u w:val="none"/>
                <w:lang w:bidi="zh-CN"/>
              </w:rPr>
              <w:t>须根据管理台账和近年生产计划，制订危险废物管理计划，并报当地环保部门备案。台帐应如实记载产生危险废物的种类、数量、利用、贮存、处置、流向等信息，以此作为向当地环保部门申报危险废物管理计划的编制依据。产生的危险废物实行分类收集后置于贮存设施内，贮存时限一般不得超过一年，并设专人管理。盛装危险废物的容器和包装物以及产生、收集、贮存、运输、处置危险废物的场所，必须依法设置相应标识、警示标志和标签，标签上应注明贮存的废物类别、危害性以及开始贮存时间等内容。企业必须严格执行危险废物转移计划报批和依法运行危险废物转移联单，并通过信息系统登记转移计划和电子转移联单。企业还需健全产生单位内部管理制度，包括落实危险废物产生信息公开制度，建立员工培训和固体废物管理员制度，完善危险废物相关档案管理制度</w:t>
            </w:r>
            <w:r>
              <w:rPr>
                <w:rFonts w:hint="eastAsia"/>
                <w:bCs/>
                <w:color w:val="000000"/>
                <w:szCs w:val="22"/>
                <w:u w:val="none"/>
                <w:lang w:bidi="zh-CN"/>
              </w:rPr>
              <w:t>。</w:t>
            </w:r>
          </w:p>
          <w:p>
            <w:pPr>
              <w:keepLines/>
              <w:ind w:firstLine="480"/>
              <w:rPr>
                <w:color w:val="000000"/>
                <w:u w:val="none"/>
              </w:rPr>
            </w:pPr>
            <w:r>
              <w:rPr>
                <w:color w:val="000000"/>
                <w:kern w:val="24"/>
                <w:u w:val="none"/>
              </w:rPr>
              <w:t>拟于厂区内设置若干个垃圾收集箱，可满足本项目生活垃圾的存储需求，且生活垃圾及时清运，不会对外环境产生污染影响。</w:t>
            </w:r>
          </w:p>
          <w:p>
            <w:pPr>
              <w:keepLines/>
              <w:ind w:firstLine="480"/>
              <w:rPr>
                <w:color w:val="000000"/>
                <w:u w:val="none"/>
              </w:rPr>
            </w:pPr>
            <w:r>
              <w:rPr>
                <w:rFonts w:hint="eastAsia" w:cs="宋体"/>
                <w:color w:val="000000"/>
                <w:u w:val="none"/>
              </w:rPr>
              <w:t>综上所述，项目危险废物的收集、贮存、运输、管理均妥善处置，项目固体废物在经过相应的处置措施和污染防治措施后，</w:t>
            </w:r>
            <w:r>
              <w:rPr>
                <w:rFonts w:hint="eastAsia"/>
                <w:color w:val="000000"/>
                <w:u w:val="none"/>
              </w:rPr>
              <w:t>产生的固废能够得到有效利用和处理处置，对外环境影响较小。</w:t>
            </w:r>
          </w:p>
          <w:p>
            <w:pPr>
              <w:ind w:firstLine="482"/>
              <w:rPr>
                <w:b/>
                <w:bCs/>
                <w:u w:val="none"/>
              </w:rPr>
            </w:pPr>
            <w:r>
              <w:rPr>
                <w:rFonts w:hint="eastAsia"/>
                <w:b/>
                <w:bCs/>
                <w:u w:val="none"/>
              </w:rPr>
              <w:t>5、地下水、土壤环境影响分析</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针对可能发生的地下水及土壤污染，建设单位应按照“源头控制、分区防治、污染监控、应急响应”相结合的原则，从污染物的产生、入渗、扩散、应急响应全方位进行防控。</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 xml:space="preserve">①源头控制措施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 xml:space="preserve">1）建设单位应选择先进、成熟、可靠的工艺技术和较清洁的原辅材料，采用清洁生产审核等手段对生产全过程进行控制，并对产生的各类废物进行合理的回用和治理，尽可能从源头上减少污染物的产生和排放，降低生产过程和末端治理的成本。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2）建设单位对有害物质可能泄漏的区域均应采取防渗措施，地面与裙脚采用坚固、防渗、耐腐蚀的材料建造，且表面应涂有高密度聚乙烯防渗层（渗透系数≤10</w:t>
            </w:r>
            <w:r>
              <w:rPr>
                <w:rFonts w:hint="eastAsia"/>
                <w:u w:val="none"/>
                <w:vertAlign w:val="superscript"/>
              </w:rPr>
              <w:t>-10</w:t>
            </w:r>
            <w:r>
              <w:rPr>
                <w:rFonts w:hint="eastAsia"/>
                <w:u w:val="none"/>
              </w:rPr>
              <w:t>厘米/秒），无裂隙。其他区域基础均应采用防渗混凝土结构防渗，表面刷水泥基防渗涂层，相当于1m厚粘土层（渗透系数≤10</w:t>
            </w:r>
            <w:r>
              <w:rPr>
                <w:rFonts w:hint="eastAsia"/>
                <w:u w:val="none"/>
                <w:vertAlign w:val="superscript"/>
              </w:rPr>
              <w:t>-7</w:t>
            </w:r>
            <w:r>
              <w:rPr>
                <w:rFonts w:hint="eastAsia"/>
                <w:u w:val="none"/>
              </w:rPr>
              <w:t xml:space="preserve">厘米/秒）。这些设计都能够大大降低地下水污染的风险。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 xml:space="preserve">3）防渗工程的设计使用年限不应低于设备、管线及建、构筑物的设计使用年限。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 xml:space="preserve">4）严格按照国家相关规范要求，对工艺、管道、设备、仓库等采取相应措施，以防止和降低污染物的跑、冒、滴、漏，将污染物泄漏的环境风险事故降到最低程度。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 xml:space="preserve">5）堆放各种原辅料的仓库要按照国家相关规范要求，采取防泄漏、防溢流、防腐蚀等措施，严格化学品的管理。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 xml:space="preserve">②分区防治措施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本项目划分重点污染防渗区、一般污染防渗区和简单防渗区。重点污染防渗区主要包括涉及生产车间区域、</w:t>
            </w:r>
            <w:r>
              <w:rPr>
                <w:rFonts w:hint="eastAsia"/>
                <w:u w:val="none"/>
                <w:lang w:val="en-US" w:eastAsia="zh-CN"/>
              </w:rPr>
              <w:t>仓库、</w:t>
            </w:r>
            <w:r>
              <w:rPr>
                <w:rFonts w:hint="eastAsia"/>
                <w:u w:val="none"/>
              </w:rPr>
              <w:t>危险废物暂存间等。一般污染防渗区为重点污染防渗区外其他可能的产生污染物的车间区域或污染物存放区域，根据本项目特点，一般污染防渗区</w:t>
            </w:r>
            <w:r>
              <w:rPr>
                <w:rFonts w:hint="eastAsia"/>
                <w:u w:val="none"/>
                <w:lang w:val="en-US" w:eastAsia="zh-CN"/>
              </w:rPr>
              <w:t>为</w:t>
            </w:r>
            <w:r>
              <w:rPr>
                <w:rFonts w:hint="eastAsia"/>
                <w:u w:val="none"/>
              </w:rPr>
              <w:t xml:space="preserve">一般固废暂存区。简单防渗区为除了重点、一般防渗区、绿化区以外的其他区域，主要包括办公区、厂区道路等。各分区应采取的防渗措施如下。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重点污染防渗区：生产车间区域</w:t>
            </w:r>
            <w:r>
              <w:rPr>
                <w:rFonts w:hint="eastAsia"/>
                <w:u w:val="none"/>
                <w:lang w:eastAsia="zh-CN"/>
              </w:rPr>
              <w:t>、</w:t>
            </w:r>
            <w:r>
              <w:rPr>
                <w:rFonts w:hint="eastAsia"/>
                <w:u w:val="none"/>
                <w:lang w:val="en-US" w:eastAsia="zh-CN"/>
              </w:rPr>
              <w:t>仓库</w:t>
            </w:r>
            <w:r>
              <w:rPr>
                <w:rFonts w:hint="eastAsia"/>
                <w:u w:val="none"/>
              </w:rPr>
              <w:t>等重点污染防渗区域采取粘土铺底，再在上层铺设水泥进行硬化并进行防腐防渗处理，同时铺环氧树脂，厚度不小于2mm，注重维护保养，发现破损及时修复，防渗层渗透系数≤10</w:t>
            </w:r>
            <w:r>
              <w:rPr>
                <w:rFonts w:hint="eastAsia"/>
                <w:u w:val="none"/>
                <w:vertAlign w:val="superscript"/>
              </w:rPr>
              <w:t>-10</w:t>
            </w:r>
            <w:r>
              <w:rPr>
                <w:rFonts w:hint="eastAsia"/>
                <w:u w:val="none"/>
              </w:rPr>
              <w:t xml:space="preserve">cm/s；危险废物暂存间应按照《危险废物贮存污染控制标准》（GB18597-2023）的要求进行防渗。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一般污染防渗区：应采取的防渗措施为车间混凝土硬化，铺设耐磨骨料防渗地坪，可使一般污染防渗区各单元防渗层渗透系数≤10</w:t>
            </w:r>
            <w:r>
              <w:rPr>
                <w:rFonts w:hint="eastAsia"/>
                <w:u w:val="none"/>
                <w:vertAlign w:val="superscript"/>
              </w:rPr>
              <w:t>-7</w:t>
            </w:r>
            <w:r>
              <w:rPr>
                <w:rFonts w:hint="eastAsia"/>
                <w:u w:val="none"/>
              </w:rPr>
              <w:t xml:space="preserve">cm/s。防渗措施可以满足《一般工业固体废物贮存和填埋污染控制标准》(GB18599—2020)的要求。 </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u w:val="none"/>
              </w:rPr>
            </w:pPr>
            <w:r>
              <w:rPr>
                <w:rFonts w:hint="eastAsia"/>
                <w:u w:val="none"/>
              </w:rPr>
              <w:t>简单防渗区：除绿化区外均应采取混凝土硬化措施，满足防渗要求。</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u w:val="none"/>
              </w:rPr>
              <w:t xml:space="preserve"> </w:t>
            </w:r>
            <w:r>
              <w:rPr>
                <w:rFonts w:hint="eastAsia" w:ascii="Times New Roman" w:hAnsi="Times New Roman" w:cs="Times New Roman"/>
                <w:b/>
                <w:bCs w:val="0"/>
                <w:u w:val="none"/>
              </w:rPr>
              <w:t>表4-</w:t>
            </w:r>
            <w:r>
              <w:rPr>
                <w:rFonts w:hint="eastAsia" w:cs="Times New Roman"/>
                <w:b/>
                <w:bCs w:val="0"/>
                <w:u w:val="none"/>
                <w:lang w:val="en-US" w:eastAsia="zh-CN"/>
              </w:rPr>
              <w:t>20</w:t>
            </w:r>
            <w:r>
              <w:rPr>
                <w:rFonts w:hint="eastAsia" w:ascii="Times New Roman" w:hAnsi="Times New Roman" w:cs="Times New Roman"/>
                <w:b/>
                <w:bCs w:val="0"/>
                <w:u w:val="none"/>
              </w:rPr>
              <w:t>地下水分区防渗表</w:t>
            </w:r>
          </w:p>
          <w:tbl>
            <w:tblPr>
              <w:tblStyle w:val="24"/>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434"/>
              <w:gridCol w:w="2050"/>
              <w:gridCol w:w="4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pStyle w:val="37"/>
                    <w:ind w:left="0" w:leftChars="0"/>
                    <w:rPr>
                      <w:b/>
                      <w:bCs/>
                      <w:u w:val="none"/>
                    </w:rPr>
                  </w:pPr>
                  <w:r>
                    <w:rPr>
                      <w:b/>
                      <w:bCs/>
                      <w:u w:val="none"/>
                    </w:rPr>
                    <w:t>序号</w:t>
                  </w:r>
                </w:p>
              </w:tc>
              <w:tc>
                <w:tcPr>
                  <w:tcW w:w="1434" w:type="dxa"/>
                  <w:vAlign w:val="center"/>
                </w:tcPr>
                <w:p>
                  <w:pPr>
                    <w:pStyle w:val="37"/>
                    <w:ind w:left="0" w:leftChars="0"/>
                    <w:rPr>
                      <w:b/>
                      <w:bCs/>
                      <w:u w:val="none"/>
                    </w:rPr>
                  </w:pPr>
                  <w:r>
                    <w:rPr>
                      <w:b/>
                      <w:bCs/>
                      <w:u w:val="none"/>
                    </w:rPr>
                    <w:t>防渗分区</w:t>
                  </w:r>
                </w:p>
              </w:tc>
              <w:tc>
                <w:tcPr>
                  <w:tcW w:w="2050" w:type="dxa"/>
                  <w:vAlign w:val="center"/>
                </w:tcPr>
                <w:p>
                  <w:pPr>
                    <w:pStyle w:val="37"/>
                    <w:ind w:left="0" w:leftChars="0"/>
                    <w:rPr>
                      <w:b/>
                      <w:bCs/>
                      <w:u w:val="none"/>
                    </w:rPr>
                  </w:pPr>
                  <w:r>
                    <w:rPr>
                      <w:b/>
                      <w:bCs/>
                      <w:u w:val="none"/>
                    </w:rPr>
                    <w:t>工程</w:t>
                  </w:r>
                </w:p>
              </w:tc>
              <w:tc>
                <w:tcPr>
                  <w:tcW w:w="4494" w:type="dxa"/>
                  <w:vAlign w:val="center"/>
                </w:tcPr>
                <w:p>
                  <w:pPr>
                    <w:pStyle w:val="37"/>
                    <w:ind w:left="0" w:leftChars="0"/>
                    <w:rPr>
                      <w:b/>
                      <w:bCs/>
                      <w:u w:val="none"/>
                    </w:rPr>
                  </w:pPr>
                  <w:r>
                    <w:rPr>
                      <w:b/>
                      <w:bCs/>
                      <w:u w:val="none"/>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pStyle w:val="37"/>
                    <w:ind w:left="0" w:leftChars="0"/>
                    <w:rPr>
                      <w:u w:val="none"/>
                    </w:rPr>
                  </w:pPr>
                  <w:r>
                    <w:rPr>
                      <w:u w:val="none"/>
                    </w:rPr>
                    <w:t>1</w:t>
                  </w:r>
                </w:p>
              </w:tc>
              <w:tc>
                <w:tcPr>
                  <w:tcW w:w="1434" w:type="dxa"/>
                  <w:vAlign w:val="center"/>
                </w:tcPr>
                <w:p>
                  <w:pPr>
                    <w:pStyle w:val="37"/>
                    <w:ind w:left="0" w:leftChars="0"/>
                    <w:rPr>
                      <w:u w:val="none"/>
                    </w:rPr>
                  </w:pPr>
                  <w:r>
                    <w:rPr>
                      <w:u w:val="none"/>
                    </w:rPr>
                    <w:t>重点防渗区</w:t>
                  </w:r>
                </w:p>
              </w:tc>
              <w:tc>
                <w:tcPr>
                  <w:tcW w:w="2050" w:type="dxa"/>
                  <w:vAlign w:val="center"/>
                </w:tcPr>
                <w:p>
                  <w:pPr>
                    <w:pStyle w:val="37"/>
                    <w:ind w:left="0" w:leftChars="0"/>
                    <w:rPr>
                      <w:u w:val="none"/>
                    </w:rPr>
                  </w:pPr>
                  <w:r>
                    <w:rPr>
                      <w:rFonts w:hint="eastAsia"/>
                      <w:u w:val="none"/>
                      <w:lang w:val="en-US" w:eastAsia="zh-CN"/>
                    </w:rPr>
                    <w:t>生产区</w:t>
                  </w:r>
                  <w:r>
                    <w:rPr>
                      <w:rFonts w:hint="eastAsia"/>
                      <w:u w:val="none"/>
                    </w:rPr>
                    <w:t>、</w:t>
                  </w:r>
                  <w:r>
                    <w:rPr>
                      <w:rFonts w:hint="eastAsia"/>
                      <w:u w:val="none"/>
                      <w:lang w:val="en-US" w:eastAsia="zh-CN"/>
                    </w:rPr>
                    <w:t>仓库、</w:t>
                  </w:r>
                  <w:r>
                    <w:rPr>
                      <w:u w:val="none"/>
                    </w:rPr>
                    <w:t>危废暂存间</w:t>
                  </w:r>
                </w:p>
              </w:tc>
              <w:tc>
                <w:tcPr>
                  <w:tcW w:w="4494" w:type="dxa"/>
                  <w:vAlign w:val="center"/>
                </w:tcPr>
                <w:p>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both"/>
                    <w:textAlignment w:val="auto"/>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危废暂存处防渗要求依据《危险废物贮存污染控制标准》（GB18597-20</w:t>
                  </w:r>
                  <w:r>
                    <w:rPr>
                      <w:rFonts w:hint="eastAsia" w:ascii="Times New Roman" w:hAnsi="Times New Roman" w:cs="Times New Roman"/>
                      <w:sz w:val="21"/>
                      <w:szCs w:val="21"/>
                      <w:u w:val="none" w:color="auto"/>
                      <w:lang w:val="en-US" w:eastAsia="zh-CN"/>
                    </w:rPr>
                    <w:t>23</w:t>
                  </w:r>
                  <w:r>
                    <w:rPr>
                      <w:rFonts w:hint="default" w:ascii="Times New Roman" w:hAnsi="Times New Roman" w:cs="Times New Roman"/>
                      <w:sz w:val="21"/>
                      <w:szCs w:val="21"/>
                      <w:u w:val="none" w:color="auto"/>
                    </w:rPr>
                    <w:t>）；</w:t>
                  </w:r>
                </w:p>
                <w:p>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both"/>
                    <w:textAlignment w:val="auto"/>
                    <w:rPr>
                      <w:u w:val="none"/>
                    </w:rPr>
                  </w:pPr>
                  <w:r>
                    <w:rPr>
                      <w:rFonts w:hint="default" w:ascii="Times New Roman" w:hAnsi="Times New Roman" w:cs="Times New Roman"/>
                      <w:sz w:val="21"/>
                      <w:szCs w:val="21"/>
                      <w:u w:val="none" w:color="auto"/>
                    </w:rPr>
                    <w:t>其余工作区防渗要求为：等效黏土防渗层厚≥6.0m，要求渗透系数≤1.0×10</w:t>
                  </w:r>
                  <w:r>
                    <w:rPr>
                      <w:rFonts w:hint="default" w:ascii="Times New Roman" w:hAnsi="Times New Roman" w:cs="Times New Roman"/>
                      <w:sz w:val="21"/>
                      <w:szCs w:val="21"/>
                      <w:u w:val="none" w:color="auto"/>
                      <w:vertAlign w:val="superscript"/>
                    </w:rPr>
                    <w:t>-7</w:t>
                  </w:r>
                  <w:r>
                    <w:rPr>
                      <w:rFonts w:hint="default" w:ascii="Times New Roman" w:hAnsi="Times New Roman" w:cs="Times New Roman"/>
                      <w:sz w:val="21"/>
                      <w:szCs w:val="21"/>
                      <w:u w:val="none" w:color="auto"/>
                    </w:rPr>
                    <w:t>cm/s，或者参考GB18598执行；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pStyle w:val="37"/>
                    <w:ind w:left="0" w:leftChars="0"/>
                    <w:rPr>
                      <w:u w:val="none"/>
                    </w:rPr>
                  </w:pPr>
                  <w:r>
                    <w:rPr>
                      <w:u w:val="none"/>
                    </w:rPr>
                    <w:t>2</w:t>
                  </w:r>
                </w:p>
              </w:tc>
              <w:tc>
                <w:tcPr>
                  <w:tcW w:w="1434" w:type="dxa"/>
                  <w:vAlign w:val="center"/>
                </w:tcPr>
                <w:p>
                  <w:pPr>
                    <w:pStyle w:val="37"/>
                    <w:ind w:left="0" w:leftChars="0"/>
                    <w:rPr>
                      <w:u w:val="none"/>
                    </w:rPr>
                  </w:pPr>
                  <w:r>
                    <w:rPr>
                      <w:u w:val="none"/>
                    </w:rPr>
                    <w:t>一般防渗区</w:t>
                  </w:r>
                </w:p>
              </w:tc>
              <w:tc>
                <w:tcPr>
                  <w:tcW w:w="2050" w:type="dxa"/>
                  <w:vAlign w:val="center"/>
                </w:tcPr>
                <w:p>
                  <w:pPr>
                    <w:pStyle w:val="37"/>
                    <w:ind w:left="0" w:leftChars="0"/>
                    <w:rPr>
                      <w:rFonts w:hint="eastAsia" w:eastAsia="宋体"/>
                      <w:u w:val="none"/>
                      <w:lang w:eastAsia="zh-CN"/>
                    </w:rPr>
                  </w:pPr>
                  <w:r>
                    <w:rPr>
                      <w:rFonts w:hint="eastAsia" w:ascii="Times New Roman" w:hAnsi="Times New Roman" w:eastAsia="宋体" w:cs="Times New Roman"/>
                      <w:color w:val="auto"/>
                      <w:sz w:val="21"/>
                      <w:szCs w:val="21"/>
                      <w:u w:val="none" w:color="auto"/>
                      <w:lang w:val="en-US" w:eastAsia="zh-CN"/>
                    </w:rPr>
                    <w:t>一般固废暂存区</w:t>
                  </w:r>
                </w:p>
              </w:tc>
              <w:tc>
                <w:tcPr>
                  <w:tcW w:w="4494" w:type="dxa"/>
                  <w:vAlign w:val="center"/>
                </w:tcPr>
                <w:p>
                  <w:pPr>
                    <w:pStyle w:val="37"/>
                    <w:keepNext w:val="0"/>
                    <w:keepLines w:val="0"/>
                    <w:suppressLineNumbers w:val="0"/>
                    <w:spacing w:before="0" w:beforeAutospacing="0" w:after="0" w:afterAutospacing="0" w:line="240" w:lineRule="auto"/>
                    <w:ind w:left="0" w:leftChars="0" w:right="0" w:rightChars="0" w:firstLine="0" w:firstLineChars="0"/>
                    <w:jc w:val="left"/>
                    <w:rPr>
                      <w:u w:val="none"/>
                    </w:rPr>
                  </w:pPr>
                  <w:r>
                    <w:rPr>
                      <w:rFonts w:hint="eastAsia" w:ascii="Times New Roman" w:hAnsi="Times New Roman" w:eastAsia="宋体" w:cs="Times New Roman"/>
                      <w:color w:val="auto"/>
                      <w:sz w:val="21"/>
                      <w:szCs w:val="21"/>
                      <w:u w:val="none" w:color="auto"/>
                      <w:lang w:val="en-US" w:eastAsia="zh-CN"/>
                    </w:rPr>
                    <w:t>等效黏土防渗层不应低于1.5m</w:t>
                  </w:r>
                  <w:r>
                    <w:rPr>
                      <w:rFonts w:hint="eastAsia" w:cs="Times New Roman"/>
                      <w:color w:val="auto"/>
                      <w:sz w:val="21"/>
                      <w:szCs w:val="21"/>
                      <w:u w:val="none" w:color="auto"/>
                      <w:lang w:val="en-US" w:eastAsia="zh-CN"/>
                    </w:rPr>
                    <w:t>，</w:t>
                  </w:r>
                  <w:r>
                    <w:rPr>
                      <w:rFonts w:hint="eastAsia" w:ascii="Times New Roman" w:hAnsi="Times New Roman" w:eastAsia="宋体" w:cs="Times New Roman"/>
                      <w:color w:val="auto"/>
                      <w:sz w:val="21"/>
                      <w:szCs w:val="21"/>
                      <w:u w:val="none" w:color="auto"/>
                      <w:lang w:val="en-US" w:eastAsia="zh-CN"/>
                    </w:rPr>
                    <w:t>渗透系数为低于1×10</w:t>
                  </w:r>
                  <w:r>
                    <w:rPr>
                      <w:rFonts w:hint="eastAsia" w:ascii="Times New Roman" w:hAnsi="Times New Roman" w:eastAsia="宋体" w:cs="Times New Roman"/>
                      <w:color w:val="auto"/>
                      <w:sz w:val="21"/>
                      <w:szCs w:val="21"/>
                      <w:u w:val="none" w:color="auto"/>
                      <w:vertAlign w:val="superscript"/>
                      <w:lang w:val="en-US" w:eastAsia="zh-CN"/>
                    </w:rPr>
                    <w:t>-7</w:t>
                  </w:r>
                  <w:r>
                    <w:rPr>
                      <w:rFonts w:hint="eastAsia" w:ascii="Times New Roman" w:hAnsi="Times New Roman" w:eastAsia="宋体" w:cs="Times New Roman"/>
                      <w:color w:val="auto"/>
                      <w:sz w:val="21"/>
                      <w:szCs w:val="21"/>
                      <w:u w:val="none" w:color="auto"/>
                      <w:lang w:val="en-US" w:eastAsia="zh-CN"/>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pStyle w:val="37"/>
                    <w:ind w:left="0" w:leftChars="0"/>
                    <w:rPr>
                      <w:u w:val="none"/>
                    </w:rPr>
                  </w:pPr>
                  <w:r>
                    <w:rPr>
                      <w:u w:val="none"/>
                    </w:rPr>
                    <w:t>3</w:t>
                  </w:r>
                </w:p>
              </w:tc>
              <w:tc>
                <w:tcPr>
                  <w:tcW w:w="1434" w:type="dxa"/>
                  <w:vAlign w:val="center"/>
                </w:tcPr>
                <w:p>
                  <w:pPr>
                    <w:pStyle w:val="37"/>
                    <w:ind w:left="0" w:leftChars="0"/>
                    <w:rPr>
                      <w:u w:val="none"/>
                    </w:rPr>
                  </w:pPr>
                  <w:r>
                    <w:rPr>
                      <w:u w:val="none"/>
                    </w:rPr>
                    <w:t>简单防渗区</w:t>
                  </w:r>
                </w:p>
              </w:tc>
              <w:tc>
                <w:tcPr>
                  <w:tcW w:w="2050" w:type="dxa"/>
                  <w:vAlign w:val="center"/>
                </w:tcPr>
                <w:p>
                  <w:pPr>
                    <w:pStyle w:val="37"/>
                    <w:ind w:left="0" w:leftChars="0"/>
                    <w:rPr>
                      <w:rFonts w:hint="default" w:eastAsia="宋体"/>
                      <w:u w:val="none"/>
                      <w:lang w:val="en-US" w:eastAsia="zh-CN"/>
                    </w:rPr>
                  </w:pPr>
                  <w:r>
                    <w:rPr>
                      <w:rFonts w:hint="eastAsia"/>
                      <w:u w:val="none"/>
                      <w:lang w:val="en-US" w:eastAsia="zh-CN"/>
                    </w:rPr>
                    <w:t>办公区及其他</w:t>
                  </w:r>
                </w:p>
              </w:tc>
              <w:tc>
                <w:tcPr>
                  <w:tcW w:w="4494" w:type="dxa"/>
                  <w:vAlign w:val="center"/>
                </w:tcPr>
                <w:p>
                  <w:pPr>
                    <w:pStyle w:val="37"/>
                    <w:keepNext w:val="0"/>
                    <w:keepLines w:val="0"/>
                    <w:suppressLineNumbers w:val="0"/>
                    <w:spacing w:before="0" w:beforeAutospacing="0" w:after="0" w:afterAutospacing="0" w:line="240" w:lineRule="auto"/>
                    <w:ind w:left="0" w:leftChars="0" w:right="0" w:rightChars="0" w:firstLine="0" w:firstLineChars="0"/>
                    <w:jc w:val="left"/>
                    <w:rPr>
                      <w:u w:val="none"/>
                    </w:rPr>
                  </w:pPr>
                  <w:r>
                    <w:rPr>
                      <w:rFonts w:hint="default"/>
                      <w:sz w:val="21"/>
                      <w:szCs w:val="21"/>
                      <w:u w:val="none" w:color="auto"/>
                    </w:rPr>
                    <w:t>地面进行水泥硬化</w:t>
                  </w:r>
                  <w:r>
                    <w:rPr>
                      <w:rFonts w:hint="eastAsia"/>
                      <w:sz w:val="21"/>
                      <w:szCs w:val="21"/>
                      <w:u w:val="none" w:color="auto"/>
                    </w:rPr>
                    <w:t>。</w:t>
                  </w:r>
                </w:p>
              </w:tc>
            </w:tr>
          </w:tbl>
          <w:p>
            <w:pPr>
              <w:ind w:firstLine="480"/>
              <w:rPr>
                <w:u w:val="none"/>
              </w:rPr>
            </w:pPr>
            <w:r>
              <w:rPr>
                <w:rFonts w:hint="eastAsia"/>
                <w:u w:val="none"/>
              </w:rPr>
              <w:t>综上所述，只要建设方落实以上环保措施，加强员工的管理，对地下水环境影响较小。</w:t>
            </w:r>
          </w:p>
          <w:p>
            <w:pPr>
              <w:ind w:firstLine="482"/>
              <w:rPr>
                <w:b/>
                <w:bCs/>
                <w:u w:val="none"/>
              </w:rPr>
            </w:pPr>
            <w:r>
              <w:rPr>
                <w:rFonts w:hint="eastAsia"/>
                <w:b/>
                <w:bCs/>
                <w:u w:val="none"/>
              </w:rPr>
              <w:t>6、环境风险</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w:r>
              <w:rPr>
                <w:rFonts w:hint="eastAsia"/>
                <w:color w:val="000000"/>
                <w:highlight w:val="none"/>
                <w:u w:val="none"/>
                <w:lang w:val="en-US" w:eastAsia="zh-CN"/>
              </w:rPr>
              <w:t>（</w:t>
            </w:r>
            <w:r>
              <w:rPr>
                <w:rFonts w:hint="default" w:ascii="Times New Roman" w:hAnsi="Times New Roman" w:cs="Times New Roman"/>
                <w:color w:val="000000"/>
                <w:sz w:val="24"/>
                <w:szCs w:val="24"/>
                <w:highlight w:val="none"/>
                <w:u w:val="none"/>
                <w:lang w:val="en-US" w:eastAsia="zh-CN"/>
              </w:rPr>
              <w:t>1）风险潜势初判</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w:r>
              <w:rPr>
                <w:rFonts w:hint="default" w:ascii="Times New Roman" w:hAnsi="Times New Roman" w:cs="Times New Roman"/>
                <w:color w:val="000000"/>
                <w:sz w:val="24"/>
                <w:szCs w:val="24"/>
                <w:highlight w:val="none"/>
                <w:u w:val="none"/>
                <w:lang w:val="en-US" w:eastAsia="zh-CN"/>
              </w:rPr>
              <w:t>根据《建设项目环境风险评价技术导则》（HJ/T169－2018）附表B突发环境事件风险物质及临界量和附录C危险物质及工艺系统危险性（P）分级，计算所涉及的每种危险物质在厂界内的最大存在总量与其在附录B中对应临界量的比值Q。在不同厂区的同一种物质，按其在厂界内的最大存在总量计算。计算公式如下：</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w:r>
              <w:rPr>
                <w:rFonts w:hint="default" w:ascii="Times New Roman" w:hAnsi="Times New Roman" w:cs="Times New Roman"/>
                <w:color w:val="000000"/>
                <w:sz w:val="24"/>
                <w:szCs w:val="24"/>
                <w:highlight w:val="none"/>
                <w:u w:val="none"/>
                <w:lang w:val="en-US" w:eastAsia="zh-CN"/>
              </w:rPr>
              <w:t>当只涉及一种危险物质时，计算该物质的总量与其临界量比值，即为Q；</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w:r>
              <w:rPr>
                <w:rFonts w:hint="default" w:ascii="Times New Roman" w:hAnsi="Times New Roman" w:cs="Times New Roman"/>
                <w:color w:val="000000"/>
                <w:sz w:val="24"/>
                <w:szCs w:val="24"/>
                <w:highlight w:val="none"/>
                <w:u w:val="none"/>
                <w:lang w:val="en-US" w:eastAsia="zh-CN"/>
              </w:rPr>
              <w:t>当存在多种危险物质时，则按下式计算物质总量与其临界量比值（Q）：</w:t>
            </w:r>
          </w:p>
          <w:p>
            <w:pPr>
              <w:pStyle w:val="36"/>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m:oMathPara>
              <m:oMath>
                <m:r>
                  <m:rPr>
                    <m:sty m:val="p"/>
                  </m:rPr>
                  <w:rPr>
                    <w:rFonts w:hint="default" w:ascii="Cambria Math" w:hAnsi="Cambria Math" w:cs="Times New Roman"/>
                    <w:color w:val="auto"/>
                    <w:kern w:val="2"/>
                    <w:sz w:val="24"/>
                    <w:szCs w:val="24"/>
                    <w:highlight w:val="none"/>
                    <w:u w:val="none"/>
                    <w:lang w:val="en-US" w:eastAsia="zh-CN" w:bidi="ar-SA"/>
                  </w:rPr>
                  <m:t>Q=</m:t>
                </m:r>
                <m:f>
                  <m:fPr>
                    <m:ctrlPr>
                      <w:rPr>
                        <w:rFonts w:hint="default" w:ascii="Cambria Math" w:hAnsi="Cambria Math" w:cs="Times New Roman"/>
                        <w:color w:val="auto"/>
                        <w:kern w:val="2"/>
                        <w:sz w:val="24"/>
                        <w:szCs w:val="24"/>
                        <w:highlight w:val="none"/>
                        <w:u w:val="none"/>
                        <w:lang w:val="en-US" w:eastAsia="zh-CN" w:bidi="ar-SA"/>
                      </w:rPr>
                    </m:ctrlPr>
                  </m:fPr>
                  <m:num>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1</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num>
                  <m:den>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1</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den>
                </m:f>
                <m:r>
                  <m:rPr>
                    <m:sty m:val="p"/>
                  </m:rPr>
                  <w:rPr>
                    <w:rFonts w:hint="default" w:ascii="Cambria Math" w:hAnsi="Cambria Math" w:cs="Times New Roman"/>
                    <w:color w:val="auto"/>
                    <w:kern w:val="2"/>
                    <w:sz w:val="24"/>
                    <w:szCs w:val="24"/>
                    <w:highlight w:val="none"/>
                    <w:u w:val="none"/>
                    <w:lang w:val="en-US" w:eastAsia="zh-CN" w:bidi="ar-SA"/>
                  </w:rPr>
                  <m:t>+</m:t>
                </m:r>
                <m:f>
                  <m:fPr>
                    <m:ctrlPr>
                      <w:rPr>
                        <w:rFonts w:hint="default" w:ascii="Cambria Math" w:hAnsi="Cambria Math" w:cs="Times New Roman"/>
                        <w:color w:val="auto"/>
                        <w:kern w:val="2"/>
                        <w:sz w:val="24"/>
                        <w:szCs w:val="24"/>
                        <w:highlight w:val="none"/>
                        <w:u w:val="none"/>
                        <w:lang w:val="en-US" w:eastAsia="zh-CN" w:bidi="ar-SA"/>
                      </w:rPr>
                    </m:ctrlPr>
                  </m:fPr>
                  <m:num>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2</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num>
                  <m:den>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2</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den>
                </m:f>
                <m:r>
                  <m:rPr>
                    <m:sty m:val="p"/>
                  </m:rPr>
                  <w:rPr>
                    <w:rFonts w:hint="default" w:ascii="Cambria Math" w:hAnsi="Cambria Math" w:cs="Times New Roman"/>
                    <w:color w:val="auto"/>
                    <w:kern w:val="2"/>
                    <w:sz w:val="24"/>
                    <w:szCs w:val="24"/>
                    <w:highlight w:val="none"/>
                    <w:u w:val="none"/>
                    <w:lang w:val="en-US" w:eastAsia="zh-CN" w:bidi="ar-SA"/>
                  </w:rPr>
                  <m:t>+</m:t>
                </m:r>
                <m:f>
                  <m:fPr>
                    <m:ctrlPr>
                      <w:rPr>
                        <w:rFonts w:hint="default" w:ascii="Cambria Math" w:hAnsi="Cambria Math" w:cs="Times New Roman"/>
                        <w:color w:val="auto"/>
                        <w:kern w:val="2"/>
                        <w:sz w:val="24"/>
                        <w:szCs w:val="24"/>
                        <w:highlight w:val="none"/>
                        <w:u w:val="none"/>
                        <w:lang w:val="en-US" w:eastAsia="zh-CN" w:bidi="ar-SA"/>
                      </w:rPr>
                    </m:ctrlPr>
                  </m:fPr>
                  <m:num>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3</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num>
                  <m:den>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3</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den>
                </m:f>
                <m:r>
                  <m:rPr>
                    <m:sty m:val="p"/>
                  </m:rPr>
                  <w:rPr>
                    <w:rFonts w:hint="default" w:ascii="Cambria Math" w:hAnsi="Cambria Math" w:cs="Times New Roman"/>
                    <w:color w:val="auto"/>
                    <w:kern w:val="2"/>
                    <w:sz w:val="24"/>
                    <w:szCs w:val="24"/>
                    <w:highlight w:val="none"/>
                    <w:u w:val="none"/>
                    <w:lang w:val="en-US" w:eastAsia="zh-CN" w:bidi="ar-SA"/>
                  </w:rPr>
                  <m:t>······+</m:t>
                </m:r>
                <m:f>
                  <m:fPr>
                    <m:ctrlPr>
                      <w:rPr>
                        <w:rFonts w:hint="default" w:ascii="Cambria Math" w:hAnsi="Cambria Math" w:cs="Times New Roman"/>
                        <w:color w:val="auto"/>
                        <w:kern w:val="2"/>
                        <w:sz w:val="24"/>
                        <w:szCs w:val="24"/>
                        <w:highlight w:val="none"/>
                        <w:u w:val="none"/>
                        <w:lang w:val="en-US" w:eastAsia="zh-CN" w:bidi="ar-SA"/>
                      </w:rPr>
                    </m:ctrlPr>
                  </m:fPr>
                  <m:num>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n</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num>
                  <m:den>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n</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den>
                </m:f>
              </m:oMath>
            </m:oMathPara>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w:r>
              <w:rPr>
                <w:rFonts w:hint="default" w:ascii="Times New Roman" w:hAnsi="Times New Roman" w:cs="Times New Roman"/>
                <w:color w:val="000000"/>
                <w:sz w:val="24"/>
                <w:szCs w:val="24"/>
                <w:highlight w:val="none"/>
                <w:u w:val="none"/>
                <w:lang w:val="en-US" w:eastAsia="zh-CN"/>
              </w:rPr>
              <w:t>式中：</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1</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u w:val="none"/>
                <w:lang w:val="en-US" w:eastAsia="zh-CN"/>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2</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bCs/>
                <w:i w:val="0"/>
                <w:color w:val="000000"/>
                <w:kern w:val="2"/>
                <w:sz w:val="24"/>
                <w:szCs w:val="24"/>
                <w:highlight w:val="none"/>
                <w:u w:val="none"/>
                <w:lang w:val="en-US" w:eastAsia="zh-CN" w:bidi="ar-SA"/>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3</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u w:val="none"/>
                <w:lang w:val="en-US" w:eastAsia="zh-CN"/>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n</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u w:val="none"/>
                <w:lang w:val="en-US" w:eastAsia="zh-CN"/>
              </w:rPr>
              <w:t>—每种危险物质的最大存在量，t；</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1</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u w:val="none"/>
                <w:lang w:val="en-US" w:eastAsia="zh-CN"/>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2</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bCs/>
                <w:i w:val="0"/>
                <w:color w:val="000000"/>
                <w:kern w:val="2"/>
                <w:sz w:val="24"/>
                <w:szCs w:val="24"/>
                <w:highlight w:val="none"/>
                <w:u w:val="none"/>
                <w:lang w:val="en-US" w:eastAsia="zh-CN" w:bidi="ar-SA"/>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3</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u w:val="none"/>
                <w:lang w:val="en-US" w:eastAsia="zh-CN"/>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n</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u w:val="none"/>
                <w:lang w:val="en-US" w:eastAsia="zh-CN"/>
              </w:rPr>
              <w:t>—每种危险物质的临界量，t。</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w:r>
              <w:rPr>
                <w:rFonts w:hint="default" w:ascii="Times New Roman" w:hAnsi="Times New Roman" w:cs="Times New Roman"/>
                <w:color w:val="000000"/>
                <w:sz w:val="24"/>
                <w:szCs w:val="24"/>
                <w:highlight w:val="none"/>
                <w:u w:val="none"/>
                <w:lang w:val="en-US" w:eastAsia="zh-CN"/>
              </w:rPr>
              <w:t>当Q＜1时，该项目环境风险潜势为I。</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u w:val="none"/>
                <w:lang w:val="en-US" w:eastAsia="zh-CN"/>
              </w:rPr>
            </w:pPr>
            <w:r>
              <w:rPr>
                <w:rFonts w:hint="default" w:ascii="Times New Roman" w:hAnsi="Times New Roman" w:cs="Times New Roman"/>
                <w:color w:val="000000"/>
                <w:sz w:val="24"/>
                <w:szCs w:val="24"/>
                <w:highlight w:val="none"/>
                <w:u w:val="none"/>
                <w:lang w:val="en-US" w:eastAsia="zh-CN"/>
              </w:rPr>
              <w:t>当Q≥1时，将Q值划分为：（1）1≤Q＜10；（2）10≤Q＜100；（3）Q≥100。</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highlight w:val="none"/>
                <w:u w:val="none"/>
                <w:lang w:val="en-US" w:eastAsia="zh-CN"/>
              </w:rPr>
              <w:t>Q值确定见下表。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b/>
                <w:bCs w:val="0"/>
                <w:u w:val="none"/>
              </w:rPr>
            </w:pPr>
            <w:r>
              <w:rPr>
                <w:rFonts w:hint="eastAsia" w:ascii="Times New Roman" w:hAnsi="Times New Roman" w:cs="Times New Roman"/>
                <w:b/>
                <w:bCs w:val="0"/>
                <w:u w:val="none"/>
              </w:rPr>
              <w:t>表4-2</w:t>
            </w:r>
            <w:r>
              <w:rPr>
                <w:rFonts w:hint="eastAsia" w:cs="Times New Roman"/>
                <w:b/>
                <w:bCs w:val="0"/>
                <w:u w:val="none"/>
                <w:lang w:val="en-US" w:eastAsia="zh-CN"/>
              </w:rPr>
              <w:t>1</w:t>
            </w:r>
            <w:r>
              <w:rPr>
                <w:rFonts w:hint="eastAsia" w:ascii="Times New Roman" w:hAnsi="Times New Roman" w:cs="Times New Roman"/>
                <w:b/>
                <w:bCs w:val="0"/>
                <w:u w:val="none"/>
              </w:rPr>
              <w:t>建设项目Q值确定表</w:t>
            </w:r>
          </w:p>
          <w:tbl>
            <w:tblPr>
              <w:tblStyle w:val="24"/>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166"/>
              <w:gridCol w:w="1453"/>
              <w:gridCol w:w="1453"/>
              <w:gridCol w:w="986"/>
              <w:gridCol w:w="979"/>
              <w:gridCol w:w="90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8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u w:val="none" w:color="auto"/>
                      <w:lang w:val="en-US" w:eastAsia="zh-CN"/>
                    </w:rPr>
                  </w:pPr>
                  <w:r>
                    <w:rPr>
                      <w:rFonts w:hint="default" w:ascii="Times New Roman" w:hAnsi="Times New Roman" w:eastAsia="宋体" w:cs="Times New Roman"/>
                      <w:b/>
                      <w:bCs/>
                      <w:color w:val="auto"/>
                      <w:kern w:val="2"/>
                      <w:sz w:val="21"/>
                      <w:szCs w:val="21"/>
                      <w:u w:val="none" w:color="auto"/>
                      <w:lang w:val="en-US" w:eastAsia="zh-CN"/>
                    </w:rPr>
                    <w:t>序号</w:t>
                  </w:r>
                </w:p>
              </w:tc>
              <w:tc>
                <w:tcPr>
                  <w:tcW w:w="675"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u w:val="none" w:color="auto"/>
                      <w:lang w:val="en-US" w:eastAsia="zh-CN"/>
                    </w:rPr>
                  </w:pPr>
                  <w:r>
                    <w:rPr>
                      <w:rFonts w:hint="default" w:ascii="Times New Roman" w:hAnsi="Times New Roman" w:eastAsia="宋体" w:cs="Times New Roman"/>
                      <w:b/>
                      <w:bCs/>
                      <w:color w:val="auto"/>
                      <w:kern w:val="2"/>
                      <w:sz w:val="21"/>
                      <w:szCs w:val="21"/>
                      <w:u w:val="none" w:color="auto"/>
                      <w:lang w:val="en-US" w:eastAsia="zh-CN"/>
                    </w:rPr>
                    <w:t>风险物质名称</w:t>
                  </w:r>
                </w:p>
              </w:tc>
              <w:tc>
                <w:tcPr>
                  <w:tcW w:w="84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u w:val="none" w:color="auto"/>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类别</w:t>
                  </w:r>
                </w:p>
              </w:tc>
              <w:tc>
                <w:tcPr>
                  <w:tcW w:w="84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u w:val="none" w:color="auto"/>
                      <w:lang w:val="en-US" w:eastAsia="zh-CN"/>
                    </w:rPr>
                  </w:pPr>
                  <w:r>
                    <w:rPr>
                      <w:rFonts w:hint="default" w:ascii="Times New Roman" w:hAnsi="Times New Roman" w:eastAsia="宋体" w:cs="Times New Roman"/>
                      <w:b/>
                      <w:bCs/>
                      <w:color w:val="auto"/>
                      <w:kern w:val="2"/>
                      <w:sz w:val="21"/>
                      <w:szCs w:val="21"/>
                      <w:u w:val="none" w:color="auto"/>
                      <w:lang w:val="en-US" w:eastAsia="zh-CN"/>
                    </w:rPr>
                    <w:t>储存位置</w:t>
                  </w:r>
                </w:p>
              </w:tc>
              <w:tc>
                <w:tcPr>
                  <w:tcW w:w="570"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u w:val="none" w:color="auto"/>
                      <w:lang w:val="en-US" w:eastAsia="zh-CN"/>
                    </w:rPr>
                  </w:pPr>
                  <w:r>
                    <w:rPr>
                      <w:rFonts w:hint="default" w:ascii="Times New Roman" w:hAnsi="Times New Roman" w:eastAsia="宋体" w:cs="Times New Roman"/>
                      <w:b/>
                      <w:bCs/>
                      <w:color w:val="auto"/>
                      <w:kern w:val="2"/>
                      <w:sz w:val="21"/>
                      <w:szCs w:val="21"/>
                      <w:u w:val="none" w:color="auto"/>
                      <w:lang w:val="en-US" w:eastAsia="zh-CN"/>
                    </w:rPr>
                    <w:t>储存</w:t>
                  </w:r>
                </w:p>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u w:val="none" w:color="auto"/>
                      <w:lang w:val="en-US" w:eastAsia="zh-CN"/>
                    </w:rPr>
                  </w:pPr>
                  <w:r>
                    <w:rPr>
                      <w:rFonts w:hint="default" w:ascii="Times New Roman" w:hAnsi="Times New Roman" w:eastAsia="宋体" w:cs="Times New Roman"/>
                      <w:b/>
                      <w:bCs/>
                      <w:color w:val="auto"/>
                      <w:kern w:val="2"/>
                      <w:sz w:val="21"/>
                      <w:szCs w:val="21"/>
                      <w:u w:val="none" w:color="auto"/>
                      <w:lang w:val="en-US" w:eastAsia="zh-CN"/>
                    </w:rPr>
                    <w:t>方式</w:t>
                  </w:r>
                </w:p>
              </w:tc>
              <w:tc>
                <w:tcPr>
                  <w:tcW w:w="566"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u w:val="none" w:color="auto"/>
                      <w:lang w:val="en-US" w:eastAsia="zh-CN"/>
                    </w:rPr>
                  </w:pPr>
                  <w:r>
                    <w:rPr>
                      <w:rFonts w:hint="default" w:ascii="Times New Roman" w:hAnsi="Times New Roman" w:eastAsia="宋体" w:cs="Times New Roman"/>
                      <w:b/>
                      <w:bCs/>
                      <w:color w:val="auto"/>
                      <w:kern w:val="2"/>
                      <w:sz w:val="21"/>
                      <w:szCs w:val="21"/>
                      <w:u w:val="none" w:color="auto"/>
                      <w:lang w:val="en-US" w:eastAsia="zh-CN"/>
                    </w:rPr>
                    <w:t>最大存在量qi/t</w:t>
                  </w:r>
                </w:p>
              </w:tc>
              <w:tc>
                <w:tcPr>
                  <w:tcW w:w="523"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u w:val="none" w:color="auto"/>
                      <w:lang w:val="en-US" w:eastAsia="zh-CN"/>
                    </w:rPr>
                  </w:pPr>
                  <w:r>
                    <w:rPr>
                      <w:rFonts w:hint="default" w:ascii="Times New Roman" w:hAnsi="Times New Roman" w:eastAsia="宋体" w:cs="Times New Roman"/>
                      <w:b/>
                      <w:bCs/>
                      <w:color w:val="auto"/>
                      <w:kern w:val="2"/>
                      <w:sz w:val="21"/>
                      <w:szCs w:val="21"/>
                      <w:u w:val="none" w:color="auto"/>
                      <w:lang w:val="en-US" w:eastAsia="zh-CN"/>
                    </w:rPr>
                    <w:t>临界量Qn/t</w:t>
                  </w:r>
                </w:p>
              </w:tc>
              <w:tc>
                <w:tcPr>
                  <w:tcW w:w="698"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u w:val="none" w:color="auto"/>
                      <w:lang w:val="en-US" w:eastAsia="zh-CN"/>
                    </w:rPr>
                  </w:pPr>
                  <w:r>
                    <w:rPr>
                      <w:rFonts w:hint="default" w:ascii="Times New Roman" w:hAnsi="Times New Roman" w:eastAsia="宋体" w:cs="Times New Roman"/>
                      <w:b/>
                      <w:bCs/>
                      <w:color w:val="auto"/>
                      <w:kern w:val="2"/>
                      <w:sz w:val="21"/>
                      <w:szCs w:val="21"/>
                      <w:u w:val="none" w:color="auto"/>
                      <w:lang w:val="en-US" w:eastAsia="zh-CN"/>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rPr>
                  </w:pPr>
                  <w:r>
                    <w:rPr>
                      <w:rFonts w:hint="default" w:ascii="Times New Roman" w:hAnsi="Times New Roman" w:eastAsia="宋体" w:cs="Times New Roman"/>
                      <w:color w:val="auto"/>
                      <w:kern w:val="2"/>
                      <w:sz w:val="21"/>
                      <w:szCs w:val="21"/>
                      <w:u w:val="none" w:color="auto"/>
                      <w:lang w:val="en-US" w:eastAsia="zh-CN"/>
                    </w:rPr>
                    <w:t>1</w:t>
                  </w:r>
                </w:p>
              </w:tc>
              <w:tc>
                <w:tcPr>
                  <w:tcW w:w="675"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rPr>
                  </w:pPr>
                  <w:r>
                    <w:rPr>
                      <w:rFonts w:hint="default" w:ascii="Times New Roman" w:hAnsi="Times New Roman" w:eastAsia="宋体" w:cs="Times New Roman"/>
                      <w:color w:val="auto"/>
                      <w:kern w:val="2"/>
                      <w:sz w:val="21"/>
                      <w:szCs w:val="21"/>
                      <w:u w:val="none" w:color="auto"/>
                      <w:lang w:val="en-US" w:eastAsia="zh-CN"/>
                    </w:rPr>
                    <w:t>危险废物</w:t>
                  </w:r>
                </w:p>
              </w:tc>
              <w:tc>
                <w:tcPr>
                  <w:tcW w:w="841" w:type="pct"/>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auto"/>
                      <w:kern w:val="2"/>
                      <w:sz w:val="21"/>
                      <w:szCs w:val="21"/>
                      <w:u w:val="none" w:color="auto"/>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其他类物质及污染物</w:t>
                  </w:r>
                </w:p>
              </w:tc>
              <w:tc>
                <w:tcPr>
                  <w:tcW w:w="84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rPr>
                  </w:pPr>
                  <w:r>
                    <w:rPr>
                      <w:rFonts w:hint="default" w:ascii="Times New Roman" w:hAnsi="Times New Roman" w:eastAsia="宋体" w:cs="Times New Roman"/>
                      <w:color w:val="auto"/>
                      <w:kern w:val="2"/>
                      <w:sz w:val="21"/>
                      <w:szCs w:val="21"/>
                      <w:u w:val="none" w:color="auto"/>
                      <w:lang w:val="en-US" w:eastAsia="zh-CN"/>
                    </w:rPr>
                    <w:t>危废暂存间</w:t>
                  </w:r>
                </w:p>
              </w:tc>
              <w:tc>
                <w:tcPr>
                  <w:tcW w:w="570"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rPr>
                  </w:pPr>
                  <w:r>
                    <w:rPr>
                      <w:rFonts w:hint="default" w:ascii="Times New Roman" w:hAnsi="Times New Roman" w:eastAsia="宋体" w:cs="Times New Roman"/>
                      <w:color w:val="auto"/>
                      <w:kern w:val="2"/>
                      <w:sz w:val="21"/>
                      <w:szCs w:val="21"/>
                      <w:u w:val="none" w:color="auto"/>
                      <w:lang w:val="en-US" w:eastAsia="zh-CN"/>
                    </w:rPr>
                    <w:t>袋装、</w:t>
                  </w:r>
                </w:p>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rPr>
                  </w:pPr>
                  <w:r>
                    <w:rPr>
                      <w:rFonts w:hint="default" w:ascii="Times New Roman" w:hAnsi="Times New Roman" w:eastAsia="宋体" w:cs="Times New Roman"/>
                      <w:color w:val="auto"/>
                      <w:kern w:val="2"/>
                      <w:sz w:val="21"/>
                      <w:szCs w:val="21"/>
                      <w:u w:val="none" w:color="auto"/>
                      <w:lang w:val="en-US" w:eastAsia="zh-CN"/>
                    </w:rPr>
                    <w:t>桶装</w:t>
                  </w:r>
                </w:p>
              </w:tc>
              <w:tc>
                <w:tcPr>
                  <w:tcW w:w="56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none" w:color="auto"/>
                      <w:lang w:val="en-US" w:eastAsia="zh-CN"/>
                    </w:rPr>
                  </w:pPr>
                  <w:r>
                    <w:rPr>
                      <w:rFonts w:hint="eastAsia" w:cs="Times New Roman"/>
                      <w:color w:val="auto"/>
                      <w:kern w:val="2"/>
                      <w:sz w:val="21"/>
                      <w:szCs w:val="21"/>
                      <w:u w:val="none" w:color="auto"/>
                      <w:lang w:val="en-US" w:eastAsia="zh-CN"/>
                    </w:rPr>
                    <w:t>3.002</w:t>
                  </w:r>
                </w:p>
              </w:tc>
              <w:tc>
                <w:tcPr>
                  <w:tcW w:w="52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50</w:t>
                  </w:r>
                </w:p>
              </w:tc>
              <w:tc>
                <w:tcPr>
                  <w:tcW w:w="12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none" w:color="auto"/>
                      <w:lang w:val="en-US" w:eastAsia="zh-CN"/>
                    </w:rPr>
                  </w:pPr>
                  <w:r>
                    <w:rPr>
                      <w:rFonts w:hint="eastAsia" w:ascii="Times New Roman" w:hAnsi="Times New Roman" w:eastAsia="宋体" w:cs="Times New Roman"/>
                      <w:color w:val="auto"/>
                      <w:kern w:val="2"/>
                      <w:sz w:val="21"/>
                      <w:szCs w:val="21"/>
                      <w:u w:val="none" w:color="auto"/>
                      <w:lang w:val="en-US" w:eastAsia="zh-CN"/>
                    </w:rPr>
                    <w:t>0.06004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rPr>
                  </w:pPr>
                  <w:r>
                    <w:rPr>
                      <w:rFonts w:hint="default" w:ascii="Times New Roman" w:hAnsi="Times New Roman" w:cs="Times New Roman"/>
                      <w:color w:val="auto"/>
                      <w:kern w:val="2"/>
                      <w:sz w:val="21"/>
                      <w:szCs w:val="21"/>
                      <w:u w:val="none" w:color="auto"/>
                      <w:lang w:val="en-US" w:eastAsia="zh-CN"/>
                    </w:rPr>
                    <w:t>2</w:t>
                  </w:r>
                </w:p>
              </w:tc>
              <w:tc>
                <w:tcPr>
                  <w:tcW w:w="675"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rPr>
                  </w:pPr>
                  <w:r>
                    <w:rPr>
                      <w:rFonts w:hint="eastAsia" w:cs="Times New Roman"/>
                      <w:color w:val="auto"/>
                      <w:kern w:val="2"/>
                      <w:sz w:val="21"/>
                      <w:szCs w:val="21"/>
                      <w:u w:val="none" w:color="auto"/>
                      <w:lang w:val="en-US" w:eastAsia="zh-CN"/>
                    </w:rPr>
                    <w:t>水性涂料</w:t>
                  </w:r>
                </w:p>
              </w:tc>
              <w:tc>
                <w:tcPr>
                  <w:tcW w:w="841" w:type="pct"/>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cs="Times New Roman"/>
                      <w:color w:val="auto"/>
                      <w:kern w:val="2"/>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健康危险急性毒性物质</w:t>
                  </w:r>
                  <w:r>
                    <w:rPr>
                      <w:rFonts w:hint="eastAsia" w:ascii="Times New Roman" w:hAnsi="Times New Roman" w:eastAsia="宋体" w:cs="Times New Roman"/>
                      <w:sz w:val="21"/>
                      <w:szCs w:val="21"/>
                      <w:u w:val="none" w:color="auto"/>
                      <w:lang w:val="en-US" w:eastAsia="zh-CN"/>
                    </w:rPr>
                    <w:t>类别3</w:t>
                  </w:r>
                </w:p>
              </w:tc>
              <w:tc>
                <w:tcPr>
                  <w:tcW w:w="84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rPr>
                  </w:pPr>
                  <w:r>
                    <w:rPr>
                      <w:rFonts w:hint="eastAsia" w:cs="Times New Roman"/>
                      <w:color w:val="auto"/>
                      <w:kern w:val="2"/>
                      <w:sz w:val="21"/>
                      <w:szCs w:val="21"/>
                      <w:u w:val="none" w:color="auto"/>
                      <w:lang w:val="en-US" w:eastAsia="zh-CN"/>
                    </w:rPr>
                    <w:t>仓库</w:t>
                  </w:r>
                </w:p>
              </w:tc>
              <w:tc>
                <w:tcPr>
                  <w:tcW w:w="570"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rPr>
                  </w:pPr>
                  <w:r>
                    <w:rPr>
                      <w:rFonts w:hint="eastAsia" w:cs="Times New Roman"/>
                      <w:color w:val="auto"/>
                      <w:kern w:val="2"/>
                      <w:sz w:val="21"/>
                      <w:szCs w:val="21"/>
                      <w:u w:val="none" w:color="auto"/>
                      <w:lang w:val="en-US" w:eastAsia="zh-CN"/>
                    </w:rPr>
                    <w:t>桶装</w:t>
                  </w:r>
                </w:p>
              </w:tc>
              <w:tc>
                <w:tcPr>
                  <w:tcW w:w="56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none" w:color="auto"/>
                      <w:lang w:val="en-US" w:eastAsia="zh-CN"/>
                    </w:rPr>
                  </w:pPr>
                  <w:r>
                    <w:rPr>
                      <w:rFonts w:hint="eastAsia" w:cs="Times New Roman"/>
                      <w:color w:val="auto"/>
                      <w:kern w:val="2"/>
                      <w:sz w:val="21"/>
                      <w:szCs w:val="21"/>
                      <w:u w:val="none" w:color="auto"/>
                      <w:lang w:val="en-US" w:eastAsia="zh-CN"/>
                    </w:rPr>
                    <w:t>3.82</w:t>
                  </w:r>
                </w:p>
              </w:tc>
              <w:tc>
                <w:tcPr>
                  <w:tcW w:w="52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none" w:color="auto"/>
                      <w:lang w:val="en-US" w:eastAsia="zh-CN"/>
                    </w:rPr>
                  </w:pPr>
                  <w:r>
                    <w:rPr>
                      <w:rFonts w:hint="eastAsia" w:cs="Times New Roman"/>
                      <w:i w:val="0"/>
                      <w:iCs w:val="0"/>
                      <w:color w:val="000000"/>
                      <w:kern w:val="0"/>
                      <w:sz w:val="21"/>
                      <w:szCs w:val="21"/>
                      <w:u w:val="none" w:color="auto"/>
                      <w:lang w:val="en-US" w:eastAsia="zh-CN" w:bidi="ar"/>
                    </w:rPr>
                    <w:t>50</w:t>
                  </w:r>
                </w:p>
              </w:tc>
              <w:tc>
                <w:tcPr>
                  <w:tcW w:w="12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none" w:color="auto"/>
                      <w:lang w:val="en-US" w:eastAsia="zh-CN"/>
                    </w:rPr>
                  </w:pPr>
                  <w:r>
                    <w:rPr>
                      <w:rFonts w:hint="eastAsia" w:ascii="Times New Roman" w:hAnsi="Times New Roman" w:eastAsia="宋体" w:cs="Times New Roman"/>
                      <w:color w:val="auto"/>
                      <w:kern w:val="2"/>
                      <w:sz w:val="21"/>
                      <w:szCs w:val="21"/>
                      <w:u w:val="none" w:color="auto"/>
                      <w:lang w:val="en-US" w:eastAsia="zh-CN"/>
                    </w:rPr>
                    <w:t>0.0764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301" w:type="pct"/>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none" w:color="auto"/>
                      <w:lang w:val="en-US" w:eastAsia="zh-CN"/>
                    </w:rPr>
                  </w:pPr>
                  <w:r>
                    <w:rPr>
                      <w:rFonts w:hint="default" w:ascii="Times New Roman" w:hAnsi="Times New Roman" w:cs="Times New Roman"/>
                      <w:color w:val="auto"/>
                      <w:kern w:val="2"/>
                      <w:sz w:val="21"/>
                      <w:szCs w:val="21"/>
                      <w:u w:val="none" w:color="auto"/>
                      <w:lang w:val="en-US" w:eastAsia="zh-CN"/>
                    </w:rPr>
                    <w:t>合计</w:t>
                  </w:r>
                </w:p>
              </w:tc>
              <w:tc>
                <w:tcPr>
                  <w:tcW w:w="6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color="auto"/>
                      <w:lang w:val="en-US" w:eastAsia="zh-CN" w:bidi="ar-SA"/>
                    </w:rPr>
                  </w:pPr>
                  <w:r>
                    <w:rPr>
                      <w:rFonts w:hint="eastAsia" w:cs="Times New Roman"/>
                      <w:i w:val="0"/>
                      <w:iCs w:val="0"/>
                      <w:color w:val="000000"/>
                      <w:kern w:val="2"/>
                      <w:sz w:val="21"/>
                      <w:szCs w:val="21"/>
                      <w:u w:val="none" w:color="auto"/>
                      <w:lang w:val="en-US" w:eastAsia="zh-CN" w:bidi="ar-SA"/>
                    </w:rPr>
                    <w:t>0.1364</w:t>
                  </w:r>
                </w:p>
              </w:tc>
            </w:tr>
          </w:tbl>
          <w:p>
            <w:pPr>
              <w:keepNext w:val="0"/>
              <w:keepLines/>
              <w:pageBreakBefore w:val="0"/>
              <w:widowControl w:val="0"/>
              <w:suppressLineNumbers w:val="0"/>
              <w:kinsoku/>
              <w:wordWrap/>
              <w:overflowPunct/>
              <w:topLinePunct w:val="0"/>
              <w:bidi w:val="0"/>
              <w:spacing w:before="0" w:beforeAutospacing="0" w:after="0" w:afterAutospacing="0" w:line="240" w:lineRule="auto"/>
              <w:ind w:left="0" w:leftChars="0" w:right="0" w:firstLine="0" w:firstLineChars="0"/>
              <w:jc w:val="both"/>
              <w:rPr>
                <w:rFonts w:hint="eastAsia" w:ascii="Times New Roman" w:hAnsi="Times New Roman" w:eastAsia="宋体" w:cs="Times New Roman"/>
                <w:color w:val="000000"/>
                <w:sz w:val="21"/>
                <w:szCs w:val="21"/>
                <w:highlight w:val="none"/>
                <w:u w:val="none"/>
                <w:lang w:val="en-US" w:eastAsia="zh-CN"/>
              </w:rPr>
            </w:pPr>
            <w:r>
              <w:rPr>
                <w:rFonts w:hint="eastAsia" w:cs="Times New Roman"/>
                <w:color w:val="000000"/>
                <w:sz w:val="21"/>
                <w:szCs w:val="21"/>
                <w:highlight w:val="none"/>
                <w:u w:val="none"/>
                <w:lang w:val="en-US" w:eastAsia="zh-CN"/>
              </w:rPr>
              <w:t>备注：</w:t>
            </w:r>
            <w:r>
              <w:rPr>
                <w:rFonts w:hint="eastAsia"/>
                <w:sz w:val="21"/>
                <w:szCs w:val="21"/>
                <w:u w:val="none"/>
              </w:rPr>
              <w:t>危险废物临界值参照《浙江省企业环境风险评估技术指南（修订版）》</w:t>
            </w:r>
            <w:r>
              <w:rPr>
                <w:rFonts w:hint="eastAsia"/>
                <w:sz w:val="21"/>
                <w:szCs w:val="21"/>
                <w:u w:val="none"/>
                <w:lang w:eastAsia="zh-CN"/>
              </w:rPr>
              <w:t>，</w:t>
            </w:r>
            <w:r>
              <w:rPr>
                <w:rFonts w:hint="eastAsia"/>
                <w:sz w:val="21"/>
                <w:szCs w:val="21"/>
                <w:u w:val="none"/>
                <w:lang w:val="en-US" w:eastAsia="zh-CN"/>
              </w:rPr>
              <w:t>临界量</w:t>
            </w:r>
            <w:r>
              <w:rPr>
                <w:rFonts w:hint="eastAsia"/>
                <w:sz w:val="21"/>
                <w:szCs w:val="21"/>
                <w:u w:val="none"/>
              </w:rPr>
              <w:t>按50选取</w:t>
            </w:r>
            <w:r>
              <w:rPr>
                <w:rFonts w:hint="eastAsia"/>
                <w:sz w:val="21"/>
                <w:szCs w:val="21"/>
                <w:u w:val="none"/>
                <w:lang w:eastAsia="zh-CN"/>
              </w:rPr>
              <w:t>。</w:t>
            </w:r>
          </w:p>
          <w:p>
            <w:pPr>
              <w:pStyle w:val="14"/>
              <w:jc w:val="both"/>
              <w:rPr>
                <w:rFonts w:hint="default" w:ascii="Times New Roman" w:hAnsi="Times New Roman" w:cs="Times New Roman"/>
                <w:color w:val="000000"/>
                <w:sz w:val="24"/>
                <w:szCs w:val="24"/>
                <w:u w:val="none"/>
                <w:vertAlign w:val="baseline"/>
                <w:lang w:val="en-US" w:eastAsia="zh-CN"/>
              </w:rPr>
            </w:pPr>
            <w:r>
              <w:rPr>
                <w:rFonts w:hint="default" w:ascii="Times New Roman" w:hAnsi="Times New Roman" w:cs="Times New Roman"/>
                <w:color w:val="000000"/>
                <w:sz w:val="24"/>
                <w:szCs w:val="24"/>
                <w:highlight w:val="none"/>
                <w:u w:val="none"/>
                <w:lang w:val="en-US" w:eastAsia="zh-CN"/>
              </w:rPr>
              <w:t>经计算本项目Q值为</w:t>
            </w:r>
            <w:r>
              <w:rPr>
                <w:rFonts w:hint="eastAsia" w:ascii="Times New Roman" w:hAnsi="Times New Roman" w:cs="Times New Roman"/>
                <w:color w:val="000000"/>
                <w:sz w:val="24"/>
                <w:szCs w:val="24"/>
                <w:u w:val="none"/>
                <w:lang w:val="en-US" w:eastAsia="zh-CN"/>
              </w:rPr>
              <w:t>0</w:t>
            </w:r>
            <w:r>
              <w:rPr>
                <w:rFonts w:hint="eastAsia" w:cs="Times New Roman"/>
                <w:color w:val="000000"/>
                <w:sz w:val="24"/>
                <w:szCs w:val="24"/>
                <w:u w:val="none"/>
                <w:lang w:val="en-US" w:eastAsia="zh-CN"/>
              </w:rPr>
              <w:t>.1364</w:t>
            </w:r>
            <w:r>
              <w:rPr>
                <w:rFonts w:hint="default" w:ascii="Times New Roman" w:hAnsi="Times New Roman" w:cs="Times New Roman"/>
                <w:color w:val="000000"/>
                <w:sz w:val="24"/>
                <w:szCs w:val="24"/>
                <w:highlight w:val="none"/>
                <w:u w:val="none"/>
                <w:lang w:val="en-US" w:eastAsia="zh-CN"/>
              </w:rPr>
              <w:t>，根据《建设项目环境风险评价导则》（HJ/T169-2018）</w:t>
            </w:r>
            <w:r>
              <w:rPr>
                <w:rFonts w:hint="eastAsia"/>
                <w:highlight w:val="none"/>
                <w:u w:val="none"/>
                <w:lang w:val="en-US" w:eastAsia="zh-CN"/>
              </w:rPr>
              <w:t>及《建设项目环境影响报告表编制技术指南（污染影响类）（试行）》</w:t>
            </w:r>
            <w:r>
              <w:rPr>
                <w:rFonts w:hint="default" w:ascii="Times New Roman" w:hAnsi="Times New Roman" w:cs="Times New Roman"/>
                <w:color w:val="000000"/>
                <w:sz w:val="24"/>
                <w:szCs w:val="24"/>
                <w:highlight w:val="none"/>
                <w:u w:val="none"/>
                <w:lang w:val="en-US" w:eastAsia="zh-CN"/>
              </w:rPr>
              <w:t>，判定项目突发环境事件风险物质数量与临界量比值Q＜1，项目环境风险潜势为Ⅰ，本项目不需要设置环境风险专项评价。</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u w:val="none"/>
                <w:vertAlign w:val="baseline"/>
                <w:lang w:val="en-US" w:eastAsia="zh-CN"/>
              </w:rPr>
            </w:pPr>
            <w:r>
              <w:rPr>
                <w:rFonts w:hint="default" w:ascii="Times New Roman" w:hAnsi="Times New Roman" w:eastAsia="宋体" w:cs="Times New Roman"/>
                <w:color w:val="000000"/>
                <w:sz w:val="24"/>
                <w:szCs w:val="24"/>
                <w:u w:val="none"/>
                <w:vertAlign w:val="baseline"/>
                <w:lang w:val="en-US" w:eastAsia="zh-CN" w:bidi="zh-CN"/>
              </w:rPr>
              <w:t>（3）</w:t>
            </w:r>
            <w:r>
              <w:rPr>
                <w:rFonts w:hint="default" w:ascii="Times New Roman" w:hAnsi="Times New Roman" w:cs="Times New Roman"/>
                <w:color w:val="000000"/>
                <w:sz w:val="24"/>
                <w:szCs w:val="24"/>
                <w:u w:val="none"/>
                <w:vertAlign w:val="baseline"/>
                <w:lang w:val="en-US" w:eastAsia="zh-CN"/>
              </w:rPr>
              <w:t>环境风险识别</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highlight w:val="none"/>
                <w:u w:val="none"/>
                <w:lang w:val="en-US" w:eastAsia="zh-CN"/>
              </w:rPr>
            </w:pPr>
            <w:r>
              <w:rPr>
                <w:rFonts w:hint="default" w:ascii="Times New Roman" w:hAnsi="Times New Roman" w:eastAsia="宋体" w:cs="Times New Roman"/>
                <w:color w:val="000000"/>
                <w:sz w:val="24"/>
                <w:szCs w:val="24"/>
                <w:highlight w:val="none"/>
                <w:u w:val="none"/>
                <w:lang w:val="en-US" w:eastAsia="zh-CN"/>
              </w:rPr>
              <w:t>本项目风险为：液体物料（</w:t>
            </w:r>
            <w:r>
              <w:rPr>
                <w:rFonts w:hint="eastAsia" w:cs="Times New Roman"/>
                <w:color w:val="000000"/>
                <w:sz w:val="24"/>
                <w:szCs w:val="24"/>
                <w:highlight w:val="none"/>
                <w:u w:val="none"/>
                <w:lang w:val="en-US" w:eastAsia="zh-CN"/>
              </w:rPr>
              <w:t>水性涂料</w:t>
            </w:r>
            <w:r>
              <w:rPr>
                <w:rFonts w:hint="default" w:ascii="Times New Roman" w:hAnsi="Times New Roman" w:eastAsia="宋体" w:cs="Times New Roman"/>
                <w:color w:val="000000"/>
                <w:sz w:val="24"/>
                <w:szCs w:val="24"/>
                <w:highlight w:val="none"/>
                <w:u w:val="none"/>
                <w:lang w:val="en-US" w:eastAsia="zh-CN"/>
              </w:rPr>
              <w:t>）泄漏事故环境风险；火灾、爆炸次生环境风险；危险废物泄漏事故环境风险；废气超标排放事故环境风险</w:t>
            </w:r>
            <w:r>
              <w:rPr>
                <w:rFonts w:hint="eastAsia" w:ascii="Times New Roman" w:hAnsi="Times New Roman" w:eastAsia="宋体" w:cs="Times New Roman"/>
                <w:color w:val="000000"/>
                <w:sz w:val="24"/>
                <w:szCs w:val="24"/>
                <w:highlight w:val="none"/>
                <w:u w:val="none"/>
                <w:lang w:val="en-US" w:eastAsia="zh-CN"/>
              </w:rPr>
              <w:t>。</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u w:val="none"/>
                <w:lang w:val="en-US" w:eastAsia="zh-CN"/>
              </w:rPr>
            </w:pPr>
            <w:r>
              <w:rPr>
                <w:rFonts w:hint="eastAsia" w:ascii="Times New Roman" w:hAnsi="Times New Roman" w:eastAsia="宋体" w:cs="Times New Roman"/>
                <w:color w:val="000000"/>
                <w:sz w:val="24"/>
                <w:szCs w:val="24"/>
                <w:highlight w:val="none"/>
                <w:u w:val="none"/>
                <w:lang w:val="en-US" w:eastAsia="zh-CN"/>
              </w:rPr>
              <w:t>（4）环境风险分析</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u w:val="none"/>
                <w:lang w:val="en-US" w:eastAsia="zh-CN"/>
              </w:rPr>
            </w:pPr>
            <w:r>
              <w:rPr>
                <w:rFonts w:hint="eastAsia" w:ascii="Times New Roman" w:hAnsi="Times New Roman" w:eastAsia="宋体" w:cs="Times New Roman"/>
                <w:color w:val="000000"/>
                <w:sz w:val="24"/>
                <w:szCs w:val="24"/>
                <w:highlight w:val="none"/>
                <w:u w:val="none"/>
                <w:lang w:val="en-US" w:eastAsia="zh-CN"/>
              </w:rPr>
              <w:t>①液体物料泄漏事故环境风险：本项目使用</w:t>
            </w:r>
            <w:r>
              <w:rPr>
                <w:rFonts w:hint="eastAsia" w:cs="Times New Roman"/>
                <w:color w:val="000000"/>
                <w:sz w:val="24"/>
                <w:szCs w:val="24"/>
                <w:highlight w:val="none"/>
                <w:u w:val="none"/>
                <w:lang w:val="en-US" w:eastAsia="zh-CN"/>
              </w:rPr>
              <w:t>水性涂料</w:t>
            </w:r>
            <w:r>
              <w:rPr>
                <w:rFonts w:hint="eastAsia" w:ascii="Times New Roman" w:hAnsi="Times New Roman" w:eastAsia="宋体" w:cs="Times New Roman"/>
                <w:color w:val="000000"/>
                <w:sz w:val="24"/>
                <w:szCs w:val="24"/>
                <w:highlight w:val="none"/>
                <w:u w:val="none"/>
                <w:lang w:val="en-US" w:eastAsia="zh-CN"/>
              </w:rPr>
              <w:t>为液态并</w:t>
            </w:r>
            <w:r>
              <w:rPr>
                <w:rFonts w:hint="eastAsia" w:cs="Times New Roman"/>
                <w:color w:val="000000"/>
                <w:sz w:val="24"/>
                <w:szCs w:val="24"/>
                <w:highlight w:val="none"/>
                <w:u w:val="none"/>
                <w:lang w:val="en-US" w:eastAsia="zh-CN"/>
              </w:rPr>
              <w:t>采用桶装</w:t>
            </w:r>
            <w:r>
              <w:rPr>
                <w:rFonts w:hint="eastAsia" w:ascii="Times New Roman" w:hAnsi="Times New Roman" w:eastAsia="宋体" w:cs="Times New Roman"/>
                <w:color w:val="000000"/>
                <w:sz w:val="24"/>
                <w:szCs w:val="24"/>
                <w:highlight w:val="none"/>
                <w:u w:val="none"/>
                <w:lang w:val="en-US" w:eastAsia="zh-CN"/>
              </w:rPr>
              <w:t>储存于</w:t>
            </w:r>
            <w:r>
              <w:rPr>
                <w:rFonts w:hint="eastAsia" w:cs="Times New Roman"/>
                <w:color w:val="000000"/>
                <w:sz w:val="24"/>
                <w:szCs w:val="24"/>
                <w:highlight w:val="none"/>
                <w:u w:val="none"/>
                <w:lang w:val="en-US" w:eastAsia="zh-CN"/>
              </w:rPr>
              <w:t>仓库</w:t>
            </w:r>
            <w:r>
              <w:rPr>
                <w:rFonts w:hint="eastAsia" w:ascii="Times New Roman" w:hAnsi="Times New Roman" w:eastAsia="宋体" w:cs="Times New Roman"/>
                <w:color w:val="000000"/>
                <w:sz w:val="24"/>
                <w:szCs w:val="24"/>
                <w:highlight w:val="none"/>
                <w:u w:val="none"/>
                <w:lang w:val="en-US" w:eastAsia="zh-CN"/>
              </w:rPr>
              <w:t xml:space="preserve">，泄漏事故主要发生在生产和储运过程中。 </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②火灾、爆炸及次生环境风险：本项目风险物质使用过程存在的主要风险是厂内使用和存储过程中</w:t>
            </w:r>
            <w:r>
              <w:rPr>
                <w:rFonts w:hint="eastAsia" w:cs="Times New Roman"/>
                <w:color w:val="000000"/>
                <w:sz w:val="24"/>
                <w:szCs w:val="24"/>
                <w:highlight w:val="none"/>
                <w:lang w:val="en-US" w:eastAsia="zh-CN"/>
              </w:rPr>
              <w:t>各种原料</w:t>
            </w:r>
            <w:r>
              <w:rPr>
                <w:rFonts w:hint="eastAsia" w:ascii="Times New Roman" w:hAnsi="Times New Roman" w:eastAsia="宋体" w:cs="Times New Roman"/>
                <w:color w:val="000000"/>
                <w:sz w:val="24"/>
                <w:szCs w:val="24"/>
                <w:highlight w:val="none"/>
                <w:lang w:val="en-US" w:eastAsia="zh-CN"/>
              </w:rPr>
              <w:t xml:space="preserve">等遇到明火造成火灾事故。 </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u w:val="none" w:color="auto"/>
                <w:lang w:val="en-US" w:eastAsia="zh-CN"/>
              </w:rPr>
            </w:pPr>
            <w:r>
              <w:rPr>
                <w:rFonts w:hint="default" w:ascii="Times New Roman" w:hAnsi="Times New Roman" w:eastAsia="宋体" w:cs="Times New Roman"/>
                <w:color w:val="000000"/>
                <w:sz w:val="24"/>
                <w:szCs w:val="24"/>
                <w:highlight w:val="none"/>
                <w:u w:val="none"/>
                <w:lang w:val="en-US" w:eastAsia="zh-CN"/>
              </w:rPr>
              <w:t>③危险废物泄漏事故环境风险：</w:t>
            </w:r>
            <w:r>
              <w:rPr>
                <w:rFonts w:hint="default" w:ascii="Times New Roman" w:hAnsi="Times New Roman" w:eastAsia="宋体" w:cs="Times New Roman"/>
                <w:color w:val="000000"/>
                <w:sz w:val="24"/>
                <w:szCs w:val="24"/>
                <w:highlight w:val="none"/>
                <w:u w:val="none" w:color="auto"/>
                <w:lang w:val="en-US" w:eastAsia="zh-CN"/>
              </w:rPr>
              <w:t>项目在生产过程中会产生危险废物，</w:t>
            </w:r>
            <w:r>
              <w:rPr>
                <w:rFonts w:hint="eastAsia" w:ascii="Times New Roman" w:hAnsi="Times New Roman" w:eastAsia="宋体" w:cs="Times New Roman"/>
                <w:color w:val="000000"/>
                <w:sz w:val="24"/>
                <w:szCs w:val="24"/>
                <w:highlight w:val="none"/>
                <w:u w:val="none" w:color="auto"/>
                <w:lang w:val="en-US" w:eastAsia="zh-CN"/>
              </w:rPr>
              <w:t>废水性涂料桶、废抹布手套、废活性炭、废机油桶、含油抹布及手套废活性炭均</w:t>
            </w:r>
            <w:r>
              <w:rPr>
                <w:rFonts w:hint="default" w:ascii="Times New Roman" w:hAnsi="Times New Roman" w:eastAsia="宋体" w:cs="Times New Roman"/>
                <w:color w:val="000000"/>
                <w:sz w:val="24"/>
                <w:szCs w:val="24"/>
                <w:highlight w:val="none"/>
                <w:u w:val="none" w:color="auto"/>
                <w:lang w:val="en-US" w:eastAsia="zh-CN"/>
              </w:rPr>
              <w:t>属于固体危险废物，主要在厂内运输时发生散落</w:t>
            </w:r>
            <w:r>
              <w:rPr>
                <w:rFonts w:hint="eastAsia" w:ascii="Times New Roman" w:hAnsi="Times New Roman" w:eastAsia="宋体" w:cs="Times New Roman"/>
                <w:color w:val="000000"/>
                <w:sz w:val="24"/>
                <w:szCs w:val="24"/>
                <w:highlight w:val="none"/>
                <w:u w:val="none" w:color="auto"/>
                <w:lang w:val="en-US" w:eastAsia="zh-CN"/>
              </w:rPr>
              <w:t>；废水性涂料、废机油属于液体危险废物，包装桶破损会导致液体危险废物泄漏。</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④废气处理设施故障，导致废气超标排放事件。</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（5）</w:t>
            </w:r>
            <w:r>
              <w:rPr>
                <w:rFonts w:hint="default" w:ascii="Times New Roman" w:hAnsi="Times New Roman" w:eastAsia="宋体" w:cs="Times New Roman"/>
                <w:color w:val="000000"/>
                <w:sz w:val="24"/>
                <w:szCs w:val="24"/>
                <w:vertAlign w:val="baseline"/>
                <w:lang w:val="en-US" w:eastAsia="zh-CN"/>
              </w:rPr>
              <w:t>风险防范措施</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1、液态物料泄漏防范措施：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①液态物料贮存于</w:t>
            </w:r>
            <w:r>
              <w:rPr>
                <w:rFonts w:hint="eastAsia" w:cs="Times New Roman"/>
                <w:color w:val="000000"/>
                <w:sz w:val="24"/>
                <w:szCs w:val="24"/>
                <w:vertAlign w:val="baseline"/>
                <w:lang w:val="en-US" w:eastAsia="zh-CN"/>
              </w:rPr>
              <w:t>仓库</w:t>
            </w:r>
            <w:r>
              <w:rPr>
                <w:rFonts w:hint="eastAsia" w:ascii="Times New Roman" w:hAnsi="Times New Roman" w:eastAsia="宋体" w:cs="Times New Roman"/>
                <w:color w:val="000000"/>
                <w:sz w:val="24"/>
                <w:szCs w:val="24"/>
                <w:vertAlign w:val="baseline"/>
                <w:lang w:val="en-US" w:eastAsia="zh-CN"/>
              </w:rPr>
              <w:t>且远离火种、热源，保证堆放区阴凉、通风，同时采用防爆型照明、通风设施，</w:t>
            </w:r>
            <w:r>
              <w:rPr>
                <w:rFonts w:hint="eastAsia" w:cs="Times New Roman"/>
                <w:color w:val="000000"/>
                <w:sz w:val="24"/>
                <w:szCs w:val="24"/>
                <w:vertAlign w:val="baseline"/>
                <w:lang w:val="en-US" w:eastAsia="zh-CN"/>
              </w:rPr>
              <w:t>仓库</w:t>
            </w:r>
            <w:r>
              <w:rPr>
                <w:rFonts w:hint="eastAsia" w:ascii="Times New Roman" w:hAnsi="Times New Roman" w:eastAsia="宋体" w:cs="Times New Roman"/>
                <w:color w:val="000000"/>
                <w:sz w:val="24"/>
                <w:szCs w:val="24"/>
                <w:vertAlign w:val="baseline"/>
                <w:lang w:val="en-US" w:eastAsia="zh-CN"/>
              </w:rPr>
              <w:t>应备有泄漏应急处理设备和合适的收容材料，</w:t>
            </w:r>
            <w:r>
              <w:rPr>
                <w:rFonts w:hint="eastAsia" w:cs="Times New Roman"/>
                <w:color w:val="000000"/>
                <w:sz w:val="24"/>
                <w:szCs w:val="24"/>
                <w:vertAlign w:val="baseline"/>
                <w:lang w:val="en-US" w:eastAsia="zh-CN"/>
              </w:rPr>
              <w:t>涂料桶设置托盘</w:t>
            </w:r>
            <w:r>
              <w:rPr>
                <w:rFonts w:hint="eastAsia" w:ascii="Times New Roman" w:hAnsi="Times New Roman" w:eastAsia="宋体" w:cs="Times New Roman"/>
                <w:color w:val="000000"/>
                <w:sz w:val="24"/>
                <w:szCs w:val="24"/>
                <w:vertAlign w:val="baseline"/>
                <w:lang w:val="en-US" w:eastAsia="zh-CN"/>
              </w:rPr>
              <w:t xml:space="preserve">；在贮存期定期检查，发现其品质变化、包装破损、渗漏等，应及时处理。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2、火灾、爆炸及次生环境风险事故的防范措施：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①严格按照防火规范进行平面布置。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②设置有手提式干粉灭火器、消防砂、消防栓及其配套设施，设置有专门的环境风险应急物资储存区；</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②严禁吸烟和带入火柴、打火机等火种；禁火区应设置明显的标识，并标出警戒线，设置永久性“严禁烟火”、“禁止吸烟”等警告牌。</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③设置明显的警示标志，并建立严格的值班保卫制度，防止人为蓄意破坏；对重要 的仪器设备有完善的检查和维护记录；对操作人员定期进行防火安全教育或应急演习，提高职工的安全意识，提高识别异常状态的能力。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④采取相应的火灾事故的预防措施，加强员工的事故安全知识教育，要求全体人员 了解事故处理的程序，事故处理器材的使用方法，一旦出现事故可以立即停产，控制事 故的危害范围和程度。</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⑤产生消防废水时，立即关闭雨水口，将消防废水导入园区污水管网，进入园区污 水处理厂处理，防止消防废水进入外环境。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3、危险废物泄漏的防范措施：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u w:val="single" w:color="auto"/>
                <w:vertAlign w:val="baseline"/>
                <w:lang w:val="en-US" w:eastAsia="zh-CN"/>
              </w:rPr>
            </w:pPr>
            <w:r>
              <w:rPr>
                <w:rFonts w:hint="eastAsia" w:ascii="Times New Roman" w:hAnsi="Times New Roman" w:eastAsia="宋体" w:cs="Times New Roman"/>
                <w:color w:val="000000"/>
                <w:sz w:val="24"/>
                <w:szCs w:val="24"/>
                <w:vertAlign w:val="baseline"/>
                <w:lang w:val="en-US" w:eastAsia="zh-CN"/>
              </w:rPr>
              <w:t>①应按照《危险废物贮存污染</w:t>
            </w:r>
            <w:r>
              <w:rPr>
                <w:rFonts w:hint="eastAsia" w:ascii="Times New Roman" w:hAnsi="Times New Roman" w:eastAsia="宋体" w:cs="Times New Roman"/>
                <w:color w:val="000000"/>
                <w:sz w:val="24"/>
                <w:szCs w:val="24"/>
                <w:u w:val="none" w:color="auto"/>
                <w:vertAlign w:val="baseline"/>
                <w:lang w:val="en-US" w:eastAsia="zh-CN"/>
              </w:rPr>
              <w:t>控制标准》（</w:t>
            </w:r>
            <w:r>
              <w:rPr>
                <w:rFonts w:hint="default" w:ascii="Times New Roman" w:hAnsi="Times New Roman" w:eastAsia="宋体" w:cs="Times New Roman"/>
                <w:color w:val="000000"/>
                <w:sz w:val="24"/>
                <w:szCs w:val="24"/>
                <w:u w:val="none" w:color="auto"/>
                <w:vertAlign w:val="baseline"/>
                <w:lang w:val="en-US" w:eastAsia="zh-CN"/>
              </w:rPr>
              <w:t>GB 18597-2023</w:t>
            </w:r>
            <w:r>
              <w:rPr>
                <w:rFonts w:hint="eastAsia" w:ascii="Times New Roman" w:hAnsi="Times New Roman" w:eastAsia="宋体" w:cs="Times New Roman"/>
                <w:color w:val="000000"/>
                <w:sz w:val="24"/>
                <w:szCs w:val="24"/>
                <w:u w:val="none" w:color="auto"/>
                <w:vertAlign w:val="baseline"/>
                <w:lang w:val="en-US" w:eastAsia="zh-CN"/>
              </w:rPr>
              <w:t>）中相关要求进行建设，库房应封闭，应做好防雨、防风、防渗漏、防扬散措施。</w:t>
            </w:r>
            <w:r>
              <w:rPr>
                <w:rFonts w:hint="eastAsia" w:ascii="Times New Roman" w:hAnsi="Times New Roman" w:eastAsia="宋体" w:cs="Times New Roman"/>
                <w:color w:val="000000"/>
                <w:sz w:val="24"/>
                <w:szCs w:val="24"/>
                <w:u w:val="none" w:color="auto"/>
                <w:lang w:val="en-US" w:eastAsia="zh-CN"/>
              </w:rPr>
              <w:t>废水性涂料桶、废抹布手套、废活性炭、废机油桶、含油抹布及手套废活性炭</w:t>
            </w:r>
            <w:r>
              <w:rPr>
                <w:rFonts w:hint="eastAsia" w:ascii="Times New Roman" w:hAnsi="Times New Roman" w:eastAsia="宋体" w:cs="Times New Roman"/>
                <w:color w:val="000000"/>
                <w:sz w:val="24"/>
                <w:szCs w:val="24"/>
                <w:u w:val="none" w:color="auto"/>
                <w:vertAlign w:val="baseline"/>
                <w:lang w:val="en-US" w:eastAsia="zh-CN"/>
              </w:rPr>
              <w:t>等分类整齐摆放于危废暂存间，不得混贮，严禁不相容物质混贮；</w:t>
            </w:r>
            <w:r>
              <w:rPr>
                <w:rFonts w:hint="eastAsia" w:ascii="Times New Roman" w:hAnsi="Times New Roman" w:eastAsia="宋体" w:cs="Times New Roman"/>
                <w:color w:val="000000"/>
                <w:sz w:val="24"/>
                <w:szCs w:val="24"/>
                <w:highlight w:val="none"/>
                <w:u w:val="none" w:color="auto"/>
                <w:lang w:val="en-US" w:eastAsia="zh-CN"/>
              </w:rPr>
              <w:t>废水性涂料、废机油</w:t>
            </w:r>
            <w:r>
              <w:rPr>
                <w:rFonts w:hint="eastAsia" w:ascii="Times New Roman" w:hAnsi="Times New Roman" w:eastAsia="宋体" w:cs="Times New Roman"/>
                <w:color w:val="000000"/>
                <w:sz w:val="24"/>
                <w:szCs w:val="24"/>
                <w:u w:val="none" w:color="auto"/>
                <w:vertAlign w:val="baseline"/>
                <w:lang w:val="en-US" w:eastAsia="zh-CN"/>
              </w:rPr>
              <w:t>等液体危险废物需设置托盘，在危废暂存间存放抹布、应急空桶等应急物资，采取上述措施后可有效防止危废泄漏到外环境。</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②为防止意外伤害，危险废物暂存库周边应设置危险废物图形标志，注明严禁无关人员进入。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③加强日常监控，组织专人负责危废暂存间的安全，以杜绝安全隐患。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4、废气超标排放的防范措施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①建立健全的环保机构，配置必要的监测仪器；对管理人员和技术人员进行岗位培训，对废气处理实行全过程跟踪控制。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②平时加强废气处理设施的维护保养，及时发现处理设备的隐患，并及时进行维修，确保废气处理系统正常运行。</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（6）环境风险分析结论</w:t>
            </w:r>
          </w:p>
          <w:p>
            <w:pPr>
              <w:keepNext w:val="0"/>
              <w:keepLines/>
              <w:pageBreakBefore w:val="0"/>
              <w:widowControl w:val="0"/>
              <w:suppressLineNumbers w:val="0"/>
              <w:topLinePunct w:val="0"/>
              <w:autoSpaceDE/>
              <w:autoSpaceDN/>
              <w:bidi w:val="0"/>
              <w:spacing w:before="0" w:beforeAutospacing="0" w:after="0" w:afterAutospacing="0" w:line="360" w:lineRule="auto"/>
              <w:ind w:left="0" w:right="0" w:firstLine="480" w:firstLineChars="200"/>
              <w:jc w:val="both"/>
              <w:rPr>
                <w:rFonts w:hint="default" w:ascii="Times New Roman" w:hAnsi="Times New Roman" w:cs="Times New Roman"/>
                <w:b/>
                <w:bCs/>
                <w:color w:val="000000"/>
                <w:sz w:val="24"/>
                <w:szCs w:val="24"/>
                <w:lang w:val="en-US" w:bidi="ar-SA"/>
              </w:rPr>
            </w:pPr>
            <w:r>
              <w:rPr>
                <w:rFonts w:hint="eastAsia" w:ascii="Times New Roman" w:hAnsi="Times New Roman" w:cs="Times New Roman"/>
                <w:bCs/>
                <w:color w:val="000000"/>
                <w:sz w:val="24"/>
                <w:szCs w:val="20"/>
                <w:lang w:val="en-US" w:bidi="ar-SA"/>
              </w:rPr>
              <w:t>对照《危险化学品重大危险源识别》（GB1</w:t>
            </w:r>
            <w:r>
              <w:rPr>
                <w:rFonts w:hint="default" w:ascii="Times New Roman" w:hAnsi="Times New Roman" w:cs="Times New Roman"/>
                <w:bCs/>
                <w:color w:val="000000"/>
                <w:sz w:val="24"/>
                <w:szCs w:val="20"/>
                <w:lang w:val="en-US" w:bidi="ar-SA"/>
              </w:rPr>
              <w:t>8218</w:t>
            </w:r>
            <w:r>
              <w:rPr>
                <w:rFonts w:hint="eastAsia" w:ascii="Times New Roman" w:hAnsi="Times New Roman" w:cs="Times New Roman"/>
                <w:bCs/>
                <w:color w:val="000000"/>
                <w:sz w:val="24"/>
                <w:szCs w:val="20"/>
                <w:lang w:val="en-US" w:bidi="ar-SA"/>
              </w:rPr>
              <w:t>-</w:t>
            </w:r>
            <w:r>
              <w:rPr>
                <w:rFonts w:hint="default" w:ascii="Times New Roman" w:hAnsi="Times New Roman" w:cs="Times New Roman"/>
                <w:bCs/>
                <w:color w:val="000000"/>
                <w:sz w:val="24"/>
                <w:szCs w:val="20"/>
                <w:lang w:val="en-US" w:bidi="ar-SA"/>
              </w:rPr>
              <w:t>2018</w:t>
            </w:r>
            <w:r>
              <w:rPr>
                <w:rFonts w:hint="eastAsia" w:ascii="Times New Roman" w:hAnsi="Times New Roman" w:cs="Times New Roman"/>
                <w:bCs/>
                <w:color w:val="000000"/>
                <w:sz w:val="24"/>
                <w:szCs w:val="20"/>
                <w:lang w:val="en-US" w:bidi="ar-SA"/>
              </w:rPr>
              <w:t>）和</w:t>
            </w:r>
            <w:r>
              <w:rPr>
                <w:rFonts w:hint="default" w:ascii="Times New Roman" w:hAnsi="Times New Roman" w:cs="Times New Roman"/>
                <w:bCs/>
                <w:color w:val="000000"/>
                <w:sz w:val="24"/>
                <w:szCs w:val="20"/>
                <w:lang w:val="en-US" w:bidi="ar-SA"/>
              </w:rPr>
              <w:t>《建设项目环境风险评价技术导则》（HJ169-2018）</w:t>
            </w:r>
            <w:r>
              <w:rPr>
                <w:rFonts w:hint="eastAsia" w:ascii="Times New Roman" w:hAnsi="Times New Roman" w:cs="Times New Roman"/>
                <w:bCs/>
                <w:color w:val="000000"/>
                <w:sz w:val="24"/>
                <w:szCs w:val="20"/>
                <w:lang w:val="en-US" w:bidi="ar-SA"/>
              </w:rPr>
              <w:t>，本项目Q＜1、为简单分析。经建设单位采取相应的风险防范措施和事故应预案后，本项目环境风险可控，对周围环境影响较小。建设项目环境风险简单分析内容表见表4-2</w:t>
            </w:r>
            <w:r>
              <w:rPr>
                <w:rFonts w:hint="eastAsia" w:cs="Times New Roman"/>
                <w:bCs/>
                <w:color w:val="000000"/>
                <w:sz w:val="24"/>
                <w:szCs w:val="20"/>
                <w:lang w:val="en-US" w:eastAsia="zh-CN" w:bidi="ar-SA"/>
              </w:rPr>
              <w:t>2</w:t>
            </w:r>
            <w:r>
              <w:rPr>
                <w:rFonts w:hint="eastAsia" w:ascii="Times New Roman" w:hAnsi="Times New Roman" w:cs="Times New Roman"/>
                <w:bCs/>
                <w:color w:val="000000"/>
                <w:sz w:val="24"/>
                <w:szCs w:val="20"/>
                <w:lang w:val="en-US" w:bidi="ar-SA"/>
              </w:rPr>
              <w:t>。</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val="0"/>
                <w:u w:val="none"/>
                <w:lang w:val="en-US" w:eastAsia="zh-CN"/>
              </w:rPr>
            </w:pPr>
            <w:r>
              <w:rPr>
                <w:rFonts w:hint="default" w:ascii="Times New Roman" w:hAnsi="Times New Roman" w:cs="Times New Roman"/>
                <w:b/>
                <w:bCs w:val="0"/>
                <w:u w:val="none"/>
                <w:lang w:val="en-US" w:eastAsia="zh-CN"/>
              </w:rPr>
              <w:t>表</w:t>
            </w:r>
            <w:r>
              <w:rPr>
                <w:rFonts w:hint="eastAsia" w:ascii="Times New Roman" w:hAnsi="Times New Roman" w:cs="Times New Roman"/>
                <w:b/>
                <w:bCs w:val="0"/>
                <w:u w:val="none"/>
                <w:lang w:val="en-US" w:eastAsia="zh-CN"/>
              </w:rPr>
              <w:t>4-2</w:t>
            </w:r>
            <w:r>
              <w:rPr>
                <w:rFonts w:hint="eastAsia" w:cs="Times New Roman"/>
                <w:b/>
                <w:bCs w:val="0"/>
                <w:u w:val="none"/>
                <w:lang w:val="en-US" w:eastAsia="zh-CN"/>
              </w:rPr>
              <w:t>2</w:t>
            </w:r>
            <w:r>
              <w:rPr>
                <w:rFonts w:hint="eastAsia" w:ascii="Times New Roman" w:hAnsi="Times New Roman" w:cs="Times New Roman"/>
                <w:b/>
                <w:bCs w:val="0"/>
                <w:u w:val="none"/>
                <w:lang w:val="en-US" w:eastAsia="zh-CN"/>
              </w:rPr>
              <w:t>建设项目环境风险简单分析内容表</w:t>
            </w:r>
          </w:p>
          <w:tbl>
            <w:tblPr>
              <w:tblStyle w:val="23"/>
              <w:tblW w:w="8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9"/>
              <w:gridCol w:w="968"/>
              <w:gridCol w:w="1080"/>
              <w:gridCol w:w="1080"/>
              <w:gridCol w:w="1080"/>
              <w:gridCol w:w="3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9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建设项目名称</w:t>
                  </w:r>
                </w:p>
              </w:tc>
              <w:tc>
                <w:tcPr>
                  <w:tcW w:w="7377"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湖南巨洋科技有限公司年产1000万米预涂膜生产线项目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9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建设地点</w:t>
                  </w:r>
                </w:p>
              </w:tc>
              <w:tc>
                <w:tcPr>
                  <w:tcW w:w="9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（岳阳）市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（湘阴）县</w:t>
                  </w:r>
                </w:p>
              </w:tc>
              <w:tc>
                <w:tcPr>
                  <w:tcW w:w="31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湖南省岳阳市湘阴县洋沙湖镇高新区洋沙湖片区新华路东侧新华标厂1栋101室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9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地理坐标</w:t>
                  </w:r>
                </w:p>
              </w:tc>
              <w:tc>
                <w:tcPr>
                  <w:tcW w:w="737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东经：112度54分31.580秒，北纬：28度37分52.395秒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129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主要危险物质及分布</w:t>
                  </w:r>
                </w:p>
              </w:tc>
              <w:tc>
                <w:tcPr>
                  <w:tcW w:w="737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项目主要危险物质为废水性涂料桶、废水性涂料、废抹布手套、废活性炭、废机油、废机油桶、含油抹布及手套等危险废物以及</w:t>
                  </w:r>
                  <w:r>
                    <w:rPr>
                      <w:rFonts w:hint="eastAsia" w:cs="Times New Roman"/>
                      <w:i w:val="0"/>
                      <w:iCs w:val="0"/>
                      <w:color w:val="000000"/>
                      <w:kern w:val="0"/>
                      <w:sz w:val="21"/>
                      <w:szCs w:val="21"/>
                      <w:u w:val="none"/>
                      <w:lang w:val="en-US" w:eastAsia="zh-CN" w:bidi="ar"/>
                    </w:rPr>
                    <w:t>水性涂料</w:t>
                  </w:r>
                  <w:r>
                    <w:rPr>
                      <w:rFonts w:hint="default" w:ascii="Times New Roman" w:hAnsi="Times New Roman" w:eastAsia="宋体" w:cs="Times New Roman"/>
                      <w:i w:val="0"/>
                      <w:iCs w:val="0"/>
                      <w:color w:val="000000"/>
                      <w:kern w:val="0"/>
                      <w:sz w:val="21"/>
                      <w:szCs w:val="21"/>
                      <w:u w:val="none"/>
                      <w:lang w:val="en-US" w:eastAsia="zh-CN" w:bidi="ar"/>
                    </w:rPr>
                    <w:t>；危险废物贮存于厂区危废暂存间；</w:t>
                  </w:r>
                  <w:r>
                    <w:rPr>
                      <w:rFonts w:hint="eastAsia" w:cs="Times New Roman"/>
                      <w:i w:val="0"/>
                      <w:iCs w:val="0"/>
                      <w:color w:val="000000"/>
                      <w:kern w:val="0"/>
                      <w:sz w:val="21"/>
                      <w:szCs w:val="21"/>
                      <w:u w:val="none"/>
                      <w:lang w:val="en-US" w:eastAsia="zh-CN" w:bidi="ar"/>
                    </w:rPr>
                    <w:t>水性涂料</w:t>
                  </w:r>
                  <w:r>
                    <w:rPr>
                      <w:rFonts w:hint="default" w:ascii="Times New Roman" w:hAnsi="Times New Roman" w:eastAsia="宋体" w:cs="Times New Roman"/>
                      <w:i w:val="0"/>
                      <w:iCs w:val="0"/>
                      <w:color w:val="000000"/>
                      <w:kern w:val="0"/>
                      <w:sz w:val="21"/>
                      <w:szCs w:val="21"/>
                      <w:u w:val="none"/>
                      <w:lang w:val="en-US" w:eastAsia="zh-CN" w:bidi="ar"/>
                    </w:rPr>
                    <w:t>存放于</w:t>
                  </w:r>
                  <w:r>
                    <w:rPr>
                      <w:rFonts w:hint="eastAsia" w:cs="Times New Roman"/>
                      <w:i w:val="0"/>
                      <w:iCs w:val="0"/>
                      <w:color w:val="000000"/>
                      <w:kern w:val="0"/>
                      <w:sz w:val="21"/>
                      <w:szCs w:val="21"/>
                      <w:u w:val="none"/>
                      <w:lang w:val="en-US" w:eastAsia="zh-CN" w:bidi="ar"/>
                    </w:rPr>
                    <w:t>仓库</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9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环境影响途径及危害后果（大气、地表水、地下水等）</w:t>
                  </w:r>
                </w:p>
              </w:tc>
              <w:tc>
                <w:tcPr>
                  <w:tcW w:w="737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危废暂存间、</w:t>
                  </w:r>
                  <w:r>
                    <w:rPr>
                      <w:rFonts w:hint="eastAsia" w:cs="Times New Roman"/>
                      <w:i w:val="0"/>
                      <w:iCs w:val="0"/>
                      <w:color w:val="000000"/>
                      <w:kern w:val="0"/>
                      <w:sz w:val="21"/>
                      <w:szCs w:val="21"/>
                      <w:u w:val="none"/>
                      <w:lang w:val="en-US" w:eastAsia="zh-CN" w:bidi="ar"/>
                    </w:rPr>
                    <w:t>仓库</w:t>
                  </w:r>
                  <w:r>
                    <w:rPr>
                      <w:rFonts w:hint="default" w:ascii="Times New Roman" w:hAnsi="Times New Roman" w:eastAsia="宋体" w:cs="Times New Roman"/>
                      <w:i w:val="0"/>
                      <w:iCs w:val="0"/>
                      <w:color w:val="000000"/>
                      <w:kern w:val="0"/>
                      <w:sz w:val="21"/>
                      <w:szCs w:val="21"/>
                      <w:u w:val="none"/>
                      <w:lang w:val="en-US" w:eastAsia="zh-CN" w:bidi="ar"/>
                    </w:rPr>
                    <w:t>发生泄漏会对水体造成污染；管理、操作不当或设备损害等因素，可能会引起火灾、爆炸事故，污染周边大气；火灾事故释放的烟雾和气体会污染周边大气环境；废气超标排放对大气环境造成影响。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129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风险防范措施要求</w:t>
                  </w:r>
                </w:p>
              </w:tc>
              <w:tc>
                <w:tcPr>
                  <w:tcW w:w="737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1、液态物料泄漏防范措施：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①液态物料贮存于仓库且远离火种、热源，保证堆放区阴凉、通风，同时采用防爆型照明、通风设施，仓库应备有泄漏应急处理设备和合适的收容材料，涂料桶设置托盘；在贮存期定期检查，发现其品质变化、包装破损、渗漏等，应及时处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2、火灾、爆炸及次生环境风险事故的防范措施：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①严格按照防火规范进行平面布置。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②设置有手提式干粉灭火器、消防砂、消防栓及其配套设施，设置有专门的环境风险应急物资储存区；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②严禁吸烟和带入火柴、打火机等火种；禁火区应设置明显的标识，并标出警戒线，设置永久性“严禁烟火”、“禁止吸烟”等警告牌。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③设置明显的警示标志，并建立严格的值班保卫制度，防止人为蓄意破坏；对重要 的仪器设备有完善的检查和维护记录；对操作人员定期进行防火安全教育或应急演习，提高职工的安全意识，提高识别异常状态的能力。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④采取相应的火灾事故的预防措施，加强员工的事故安全知识教育，要求全体人员 了解事故处理的程序，事故处理器材的使用方法，一旦出现事故可以立即停产，控制事 故的危害范围和程度。</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⑤产生消防废水时，立即关闭雨水口，将消防废水导入园区污水管网，进入园区污 水处理厂处理，防止消防废水进入外环境。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3、危险废物泄漏的防范措施：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①应按照《危险废物贮存污染控制标准》（GB 18597-2023）中相关要求进行建设，库房应封闭，应做好防雨、防风、防渗漏、防扬散措施。废水性涂料桶、废抹布手套、废活性炭、废机油桶、含油抹布及手套废活性炭等分类整齐摆放于危废暂存间，不得混贮，严禁不相容物质混贮；废水性涂料、废机油等液体危险废物需设置托盘，在危废暂存间存放抹布、应急空桶等应急物资，采取上述措施后可有效防止危废泄漏到外环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②为防止意外伤害，危险废物暂存库周边应设置危险废物图形标志，注明严禁无关人员进入。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③加强日常监控，组织专人负责危废暂存间的安全，以杜绝安全隐患。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4、废气超标排放的防范措施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①建立健全的环保机构，配置必要的监测仪器；对管理人员和技术人员进行岗位培训，对废气处理实行全过程跟踪控制。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②平时加强废气处理设施的维护保养，及时发现处理设备的隐患，并及时进行维修，确保废气处理系统正常运行。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676"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填表说明（列出项目相关信息及评价说明）：根据《建设项目环境风险评价技术导则》（HJ169-2018）附录B，本项目不涉及风险物质，环境风险潜势为Ⅰ，环境风险评级等级为简单分析。</w:t>
                  </w:r>
                </w:p>
              </w:tc>
            </w:tr>
          </w:tbl>
          <w:p>
            <w:pPr>
              <w:ind w:firstLine="480"/>
            </w:pPr>
            <w:r>
              <w:rPr>
                <w:rFonts w:hint="eastAsia"/>
              </w:rPr>
              <w:t>7、环保投资</w:t>
            </w:r>
          </w:p>
          <w:p>
            <w:pPr>
              <w:ind w:firstLine="480"/>
              <w:rPr>
                <w:u w:val="none"/>
              </w:rPr>
            </w:pPr>
            <w:r>
              <w:rPr>
                <w:rFonts w:hint="eastAsia"/>
                <w:u w:val="none"/>
              </w:rPr>
              <w:t>本项目总投资</w:t>
            </w:r>
            <w:r>
              <w:rPr>
                <w:rFonts w:hint="eastAsia"/>
                <w:u w:val="none"/>
                <w:lang w:val="en-US" w:eastAsia="zh-CN"/>
              </w:rPr>
              <w:t>200</w:t>
            </w:r>
            <w:r>
              <w:rPr>
                <w:rFonts w:hint="eastAsia"/>
                <w:u w:val="none"/>
              </w:rPr>
              <w:t>万元，其中环保总投资</w:t>
            </w:r>
            <w:r>
              <w:rPr>
                <w:rFonts w:hint="eastAsia"/>
                <w:u w:val="none"/>
                <w:lang w:val="en-US" w:eastAsia="zh-CN"/>
              </w:rPr>
              <w:t>20</w:t>
            </w:r>
            <w:r>
              <w:rPr>
                <w:rFonts w:hint="eastAsia"/>
                <w:u w:val="none"/>
              </w:rPr>
              <w:t>万元，约占固定资产的</w:t>
            </w:r>
            <w:r>
              <w:rPr>
                <w:rFonts w:hint="eastAsia"/>
                <w:u w:val="none"/>
                <w:lang w:val="en-US" w:eastAsia="zh-CN"/>
              </w:rPr>
              <w:t>10</w:t>
            </w:r>
            <w:r>
              <w:rPr>
                <w:rFonts w:hint="eastAsia"/>
                <w:u w:val="none"/>
              </w:rPr>
              <w:t>%，项目环保投资详见下表。</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pPr>
            <w:r>
              <w:rPr>
                <w:rFonts w:hint="eastAsia" w:ascii="Times New Roman" w:hAnsi="Times New Roman" w:cs="Times New Roman"/>
                <w:b/>
                <w:bCs w:val="0"/>
                <w:u w:val="none"/>
              </w:rPr>
              <w:t>表4-2</w:t>
            </w:r>
            <w:r>
              <w:rPr>
                <w:rFonts w:hint="eastAsia" w:cs="Times New Roman"/>
                <w:b/>
                <w:bCs w:val="0"/>
                <w:u w:val="none"/>
                <w:lang w:val="en-US" w:eastAsia="zh-CN"/>
              </w:rPr>
              <w:t>3</w:t>
            </w:r>
            <w:r>
              <w:rPr>
                <w:rFonts w:hint="eastAsia" w:ascii="Times New Roman" w:hAnsi="Times New Roman" w:cs="Times New Roman"/>
                <w:b/>
                <w:bCs w:val="0"/>
                <w:u w:val="none"/>
              </w:rPr>
              <w:t xml:space="preserve"> 环保投资一览表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00"/>
              <w:gridCol w:w="3807"/>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restart"/>
                  <w:vAlign w:val="center"/>
                </w:tcPr>
                <w:p>
                  <w:pPr>
                    <w:pStyle w:val="37"/>
                    <w:ind w:left="0" w:leftChars="0"/>
                    <w:rPr>
                      <w:b/>
                      <w:bCs/>
                      <w:color w:val="000000" w:themeColor="text1"/>
                      <w:sz w:val="21"/>
                      <w:szCs w:val="21"/>
                      <w:u w:val="none" w:color="auto"/>
                      <w14:textFill>
                        <w14:solidFill>
                          <w14:schemeClr w14:val="tx1"/>
                        </w14:solidFill>
                      </w14:textFill>
                    </w:rPr>
                  </w:pPr>
                  <w:r>
                    <w:rPr>
                      <w:rFonts w:hint="eastAsia"/>
                      <w:b/>
                      <w:bCs/>
                      <w:color w:val="000000" w:themeColor="text1"/>
                      <w:sz w:val="21"/>
                      <w:szCs w:val="21"/>
                      <w:u w:val="none" w:color="auto"/>
                      <w14:textFill>
                        <w14:solidFill>
                          <w14:schemeClr w14:val="tx1"/>
                        </w14:solidFill>
                      </w14:textFill>
                    </w:rPr>
                    <w:t>类型</w:t>
                  </w:r>
                </w:p>
              </w:tc>
              <w:tc>
                <w:tcPr>
                  <w:tcW w:w="1510" w:type="pct"/>
                  <w:vMerge w:val="restart"/>
                  <w:vAlign w:val="center"/>
                </w:tcPr>
                <w:p>
                  <w:pPr>
                    <w:pStyle w:val="37"/>
                    <w:ind w:left="0" w:leftChars="0"/>
                    <w:rPr>
                      <w:b/>
                      <w:bCs/>
                      <w:color w:val="000000" w:themeColor="text1"/>
                      <w:sz w:val="21"/>
                      <w:szCs w:val="21"/>
                      <w:u w:val="none" w:color="auto"/>
                      <w14:textFill>
                        <w14:solidFill>
                          <w14:schemeClr w14:val="tx1"/>
                        </w14:solidFill>
                      </w14:textFill>
                    </w:rPr>
                  </w:pPr>
                  <w:r>
                    <w:rPr>
                      <w:rFonts w:hint="eastAsia"/>
                      <w:b/>
                      <w:bCs/>
                      <w:color w:val="000000" w:themeColor="text1"/>
                      <w:sz w:val="21"/>
                      <w:szCs w:val="21"/>
                      <w:u w:val="none" w:color="auto"/>
                      <w14:textFill>
                        <w14:solidFill>
                          <w14:schemeClr w14:val="tx1"/>
                        </w14:solidFill>
                      </w14:textFill>
                    </w:rPr>
                    <w:t>环保设施名称</w:t>
                  </w:r>
                </w:p>
              </w:tc>
              <w:tc>
                <w:tcPr>
                  <w:tcW w:w="2719" w:type="pct"/>
                  <w:gridSpan w:val="2"/>
                  <w:vAlign w:val="center"/>
                </w:tcPr>
                <w:p>
                  <w:pPr>
                    <w:pStyle w:val="37"/>
                    <w:ind w:left="0" w:leftChars="0"/>
                    <w:rPr>
                      <w:b/>
                      <w:bCs/>
                      <w:color w:val="000000" w:themeColor="text1"/>
                      <w:sz w:val="21"/>
                      <w:szCs w:val="21"/>
                      <w:u w:val="none" w:color="auto"/>
                      <w14:textFill>
                        <w14:solidFill>
                          <w14:schemeClr w14:val="tx1"/>
                        </w14:solidFill>
                      </w14:textFill>
                    </w:rPr>
                  </w:pPr>
                  <w:r>
                    <w:rPr>
                      <w:rFonts w:hint="eastAsia"/>
                      <w:b/>
                      <w:bCs/>
                      <w:color w:val="000000" w:themeColor="text1"/>
                      <w:sz w:val="21"/>
                      <w:szCs w:val="21"/>
                      <w:u w:val="none" w:color="auto"/>
                      <w14:textFill>
                        <w14:solidFill>
                          <w14:schemeClr w14:val="tx1"/>
                        </w14:solidFill>
                      </w14:textFill>
                    </w:rPr>
                    <w:t>新增措施及投资估算（万元）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continue"/>
                  <w:vAlign w:val="center"/>
                </w:tcPr>
                <w:p>
                  <w:pPr>
                    <w:pStyle w:val="37"/>
                    <w:ind w:left="0" w:leftChars="0"/>
                    <w:rPr>
                      <w:b/>
                      <w:bCs/>
                      <w:color w:val="000000" w:themeColor="text1"/>
                      <w:sz w:val="21"/>
                      <w:szCs w:val="21"/>
                      <w:u w:val="none" w:color="auto"/>
                      <w14:textFill>
                        <w14:solidFill>
                          <w14:schemeClr w14:val="tx1"/>
                        </w14:solidFill>
                      </w14:textFill>
                    </w:rPr>
                  </w:pPr>
                </w:p>
              </w:tc>
              <w:tc>
                <w:tcPr>
                  <w:tcW w:w="1510" w:type="pct"/>
                  <w:vMerge w:val="continue"/>
                  <w:vAlign w:val="center"/>
                </w:tcPr>
                <w:p>
                  <w:pPr>
                    <w:pStyle w:val="37"/>
                    <w:ind w:left="0" w:leftChars="0"/>
                    <w:rPr>
                      <w:b/>
                      <w:bCs/>
                      <w:color w:val="000000" w:themeColor="text1"/>
                      <w:sz w:val="21"/>
                      <w:szCs w:val="21"/>
                      <w:u w:val="none" w:color="auto"/>
                      <w14:textFill>
                        <w14:solidFill>
                          <w14:schemeClr w14:val="tx1"/>
                        </w14:solidFill>
                      </w14:textFill>
                    </w:rPr>
                  </w:pPr>
                </w:p>
              </w:tc>
              <w:tc>
                <w:tcPr>
                  <w:tcW w:w="2211" w:type="pct"/>
                  <w:vAlign w:val="center"/>
                </w:tcPr>
                <w:p>
                  <w:pPr>
                    <w:pStyle w:val="37"/>
                    <w:ind w:left="0" w:leftChars="0"/>
                    <w:rPr>
                      <w:b/>
                      <w:bCs/>
                      <w:color w:val="000000" w:themeColor="text1"/>
                      <w:sz w:val="21"/>
                      <w:szCs w:val="21"/>
                      <w:u w:val="none" w:color="auto"/>
                      <w14:textFill>
                        <w14:solidFill>
                          <w14:schemeClr w14:val="tx1"/>
                        </w14:solidFill>
                      </w14:textFill>
                    </w:rPr>
                  </w:pPr>
                  <w:r>
                    <w:rPr>
                      <w:rFonts w:hint="eastAsia"/>
                      <w:b/>
                      <w:bCs/>
                      <w:color w:val="000000" w:themeColor="text1"/>
                      <w:sz w:val="21"/>
                      <w:szCs w:val="21"/>
                      <w:u w:val="none" w:color="auto"/>
                      <w14:textFill>
                        <w14:solidFill>
                          <w14:schemeClr w14:val="tx1"/>
                        </w14:solidFill>
                      </w14:textFill>
                    </w:rPr>
                    <w:t>内容</w:t>
                  </w:r>
                </w:p>
              </w:tc>
              <w:tc>
                <w:tcPr>
                  <w:tcW w:w="508" w:type="pct"/>
                  <w:vAlign w:val="center"/>
                </w:tcPr>
                <w:p>
                  <w:pPr>
                    <w:pStyle w:val="37"/>
                    <w:ind w:left="0" w:leftChars="0"/>
                    <w:rPr>
                      <w:b/>
                      <w:bCs/>
                      <w:color w:val="000000" w:themeColor="text1"/>
                      <w:sz w:val="21"/>
                      <w:szCs w:val="21"/>
                      <w:u w:val="none" w:color="auto"/>
                      <w14:textFill>
                        <w14:solidFill>
                          <w14:schemeClr w14:val="tx1"/>
                        </w14:solidFill>
                      </w14:textFill>
                    </w:rPr>
                  </w:pPr>
                  <w:r>
                    <w:rPr>
                      <w:rFonts w:hint="eastAsia"/>
                      <w:b/>
                      <w:bCs/>
                      <w:color w:val="000000" w:themeColor="text1"/>
                      <w:sz w:val="21"/>
                      <w:szCs w:val="21"/>
                      <w:u w:val="none" w:color="auto"/>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restar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废气</w:t>
                  </w:r>
                </w:p>
              </w:tc>
              <w:tc>
                <w:tcPr>
                  <w:tcW w:w="1510" w:type="pct"/>
                  <w:vAlign w:val="center"/>
                </w:tcPr>
                <w:p>
                  <w:pPr>
                    <w:pStyle w:val="37"/>
                    <w:ind w:left="0" w:leftChars="0"/>
                    <w:jc w:val="center"/>
                    <w:rPr>
                      <w:rFonts w:hint="default" w:eastAsia="宋体"/>
                      <w:color w:val="000000" w:themeColor="text1"/>
                      <w:sz w:val="21"/>
                      <w:szCs w:val="21"/>
                      <w:u w:val="none" w:color="auto"/>
                      <w:lang w:val="en-US" w:eastAsia="zh-CN"/>
                      <w14:textFill>
                        <w14:solidFill>
                          <w14:schemeClr w14:val="tx1"/>
                        </w14:solidFill>
                      </w14:textFill>
                    </w:rPr>
                  </w:pPr>
                  <w:r>
                    <w:rPr>
                      <w:rFonts w:hint="eastAsia"/>
                      <w:color w:val="000000" w:themeColor="text1"/>
                      <w:sz w:val="21"/>
                      <w:szCs w:val="21"/>
                      <w:u w:val="none" w:color="auto"/>
                      <w:lang w:val="en-US" w:eastAsia="zh-CN"/>
                      <w14:textFill>
                        <w14:solidFill>
                          <w14:schemeClr w14:val="tx1"/>
                        </w14:solidFill>
                      </w14:textFill>
                    </w:rPr>
                    <w:t>有组织废气处理设施</w:t>
                  </w:r>
                </w:p>
              </w:tc>
              <w:tc>
                <w:tcPr>
                  <w:tcW w:w="2211" w:type="pct"/>
                  <w:vAlign w:val="center"/>
                </w:tcPr>
                <w:p>
                  <w:pPr>
                    <w:pStyle w:val="37"/>
                    <w:ind w:left="0" w:leftChars="0"/>
                    <w:rPr>
                      <w:color w:val="000000" w:themeColor="text1"/>
                      <w:sz w:val="21"/>
                      <w:szCs w:val="21"/>
                      <w:u w:val="none" w:color="auto"/>
                      <w14:textFill>
                        <w14:solidFill>
                          <w14:schemeClr w14:val="tx1"/>
                        </w14:solidFill>
                      </w14:textFill>
                    </w:rPr>
                  </w:pPr>
                  <w:r>
                    <w:rPr>
                      <w:rFonts w:hint="default" w:ascii="Times New Roman" w:hAnsi="Times New Roman" w:eastAsia="宋体" w:cs="Times New Roman"/>
                      <w:i w:val="0"/>
                      <w:iCs w:val="0"/>
                      <w:color w:val="000000"/>
                      <w:kern w:val="0"/>
                      <w:sz w:val="21"/>
                      <w:szCs w:val="21"/>
                      <w:u w:val="none" w:color="auto"/>
                      <w:lang w:val="en-US" w:eastAsia="zh-CN" w:bidi="ar"/>
                    </w:rPr>
                    <w:t>密闭负压收集+二级</w:t>
                  </w:r>
                  <w:r>
                    <w:rPr>
                      <w:rFonts w:hint="eastAsia" w:cs="Times New Roman"/>
                      <w:i w:val="0"/>
                      <w:iCs w:val="0"/>
                      <w:color w:val="000000"/>
                      <w:kern w:val="0"/>
                      <w:sz w:val="21"/>
                      <w:szCs w:val="21"/>
                      <w:u w:val="none" w:color="auto"/>
                      <w:lang w:val="en-US" w:eastAsia="zh-CN" w:bidi="ar"/>
                    </w:rPr>
                    <w:t>活性炭装置</w:t>
                  </w:r>
                  <w:r>
                    <w:rPr>
                      <w:rFonts w:hint="default" w:ascii="Times New Roman" w:hAnsi="Times New Roman" w:eastAsia="宋体" w:cs="Times New Roman"/>
                      <w:i w:val="0"/>
                      <w:iCs w:val="0"/>
                      <w:color w:val="000000"/>
                      <w:kern w:val="0"/>
                      <w:sz w:val="21"/>
                      <w:szCs w:val="21"/>
                      <w:u w:val="none" w:color="auto"/>
                      <w:lang w:val="en-US" w:eastAsia="zh-CN" w:bidi="ar"/>
                    </w:rPr>
                    <w:t>+15m高排气筒DA001</w:t>
                  </w:r>
                </w:p>
              </w:tc>
              <w:tc>
                <w:tcPr>
                  <w:tcW w:w="508" w:type="pct"/>
                  <w:vAlign w:val="center"/>
                </w:tcPr>
                <w:p>
                  <w:pPr>
                    <w:pStyle w:val="37"/>
                    <w:ind w:left="0" w:leftChars="0"/>
                    <w:rPr>
                      <w:rFonts w:hint="default" w:eastAsia="宋体"/>
                      <w:color w:val="000000" w:themeColor="text1"/>
                      <w:sz w:val="21"/>
                      <w:szCs w:val="21"/>
                      <w:u w:val="none" w:color="auto"/>
                      <w:lang w:val="en-US" w:eastAsia="zh-CN"/>
                      <w14:textFill>
                        <w14:solidFill>
                          <w14:schemeClr w14:val="tx1"/>
                        </w14:solidFill>
                      </w14:textFill>
                    </w:rPr>
                  </w:pPr>
                  <w:r>
                    <w:rPr>
                      <w:rFonts w:hint="eastAsia"/>
                      <w:color w:val="000000" w:themeColor="text1"/>
                      <w:sz w:val="21"/>
                      <w:szCs w:val="21"/>
                      <w:u w:val="none" w:color="auto"/>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continue"/>
                  <w:vAlign w:val="center"/>
                </w:tcPr>
                <w:p>
                  <w:pPr>
                    <w:pStyle w:val="37"/>
                    <w:ind w:left="0" w:leftChars="0"/>
                    <w:rPr>
                      <w:color w:val="000000" w:themeColor="text1"/>
                      <w:sz w:val="21"/>
                      <w:szCs w:val="21"/>
                      <w:u w:val="none" w:color="auto"/>
                      <w14:textFill>
                        <w14:solidFill>
                          <w14:schemeClr w14:val="tx1"/>
                        </w14:solidFill>
                      </w14:textFill>
                    </w:rPr>
                  </w:pPr>
                </w:p>
              </w:tc>
              <w:tc>
                <w:tcPr>
                  <w:tcW w:w="1510" w:type="pct"/>
                  <w:vAlign w:val="center"/>
                </w:tcPr>
                <w:p>
                  <w:pPr>
                    <w:pStyle w:val="37"/>
                    <w:ind w:left="0" w:leftChars="0"/>
                    <w:jc w:val="center"/>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无组织废气处理设施</w:t>
                  </w:r>
                </w:p>
              </w:tc>
              <w:tc>
                <w:tcPr>
                  <w:tcW w:w="2211"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加强生产工序密闭管理</w:t>
                  </w:r>
                </w:p>
              </w:tc>
              <w:tc>
                <w:tcPr>
                  <w:tcW w:w="508" w:type="pct"/>
                  <w:vAlign w:val="center"/>
                </w:tcPr>
                <w:p>
                  <w:pPr>
                    <w:pStyle w:val="37"/>
                    <w:ind w:left="0" w:leftChars="0"/>
                    <w:rPr>
                      <w:rFonts w:hint="eastAsia" w:eastAsia="宋体"/>
                      <w:color w:val="000000" w:themeColor="text1"/>
                      <w:sz w:val="21"/>
                      <w:szCs w:val="21"/>
                      <w:u w:val="none" w:color="auto"/>
                      <w:lang w:eastAsia="zh-CN"/>
                      <w14:textFill>
                        <w14:solidFill>
                          <w14:schemeClr w14:val="tx1"/>
                        </w14:solidFill>
                      </w14:textFill>
                    </w:rPr>
                  </w:pPr>
                  <w:r>
                    <w:rPr>
                      <w:rFonts w:hint="eastAsia"/>
                      <w:color w:val="000000" w:themeColor="text1"/>
                      <w:sz w:val="21"/>
                      <w:szCs w:val="21"/>
                      <w:u w:val="none" w:color="auto"/>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9"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废水</w:t>
                  </w:r>
                </w:p>
              </w:tc>
              <w:tc>
                <w:tcPr>
                  <w:tcW w:w="1510"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生活污水</w:t>
                  </w:r>
                  <w:r>
                    <w:rPr>
                      <w:rFonts w:hint="eastAsia"/>
                      <w:color w:val="000000" w:themeColor="text1"/>
                      <w:sz w:val="21"/>
                      <w:szCs w:val="21"/>
                      <w:u w:val="none" w:color="auto"/>
                      <w:lang w:eastAsia="zh-CN"/>
                      <w14:textFill>
                        <w14:solidFill>
                          <w14:schemeClr w14:val="tx1"/>
                        </w14:solidFill>
                      </w14:textFill>
                    </w:rPr>
                    <w:t>、</w:t>
                  </w:r>
                  <w:r>
                    <w:rPr>
                      <w:rFonts w:hint="eastAsia"/>
                      <w:color w:val="000000" w:themeColor="text1"/>
                      <w:sz w:val="21"/>
                      <w:szCs w:val="21"/>
                      <w:u w:val="none" w:color="auto"/>
                      <w:lang w:val="en-US" w:eastAsia="zh-CN"/>
                      <w14:textFill>
                        <w14:solidFill>
                          <w14:schemeClr w14:val="tx1"/>
                        </w14:solidFill>
                      </w14:textFill>
                    </w:rPr>
                    <w:t>地面清洁废水</w:t>
                  </w:r>
                  <w:r>
                    <w:rPr>
                      <w:rFonts w:hint="eastAsia"/>
                      <w:color w:val="000000" w:themeColor="text1"/>
                      <w:sz w:val="21"/>
                      <w:szCs w:val="21"/>
                      <w:u w:val="none" w:color="auto"/>
                      <w14:textFill>
                        <w14:solidFill>
                          <w14:schemeClr w14:val="tx1"/>
                        </w14:solidFill>
                      </w14:textFill>
                    </w:rPr>
                    <w:t>处理设施</w:t>
                  </w:r>
                </w:p>
              </w:tc>
              <w:tc>
                <w:tcPr>
                  <w:tcW w:w="2211"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依托租赁公司化粪池</w:t>
                  </w:r>
                </w:p>
              </w:tc>
              <w:tc>
                <w:tcPr>
                  <w:tcW w:w="508" w:type="pct"/>
                  <w:vAlign w:val="center"/>
                </w:tcPr>
                <w:p>
                  <w:pPr>
                    <w:pStyle w:val="37"/>
                    <w:ind w:left="0" w:leftChars="0"/>
                    <w:rPr>
                      <w:color w:val="000000" w:themeColor="text1"/>
                      <w:sz w:val="21"/>
                      <w:szCs w:val="21"/>
                      <w:u w:val="none" w:color="auto"/>
                      <w14:textFill>
                        <w14:solidFill>
                          <w14:schemeClr w14:val="tx1"/>
                        </w14:solidFill>
                      </w14:textFill>
                    </w:rPr>
                  </w:pPr>
                  <w:r>
                    <w:rPr>
                      <w:color w:val="000000" w:themeColor="text1"/>
                      <w:sz w:val="21"/>
                      <w:szCs w:val="21"/>
                      <w:u w:val="none" w:color="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噪声</w:t>
                  </w:r>
                </w:p>
              </w:tc>
              <w:tc>
                <w:tcPr>
                  <w:tcW w:w="1510"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噪声治理设施</w:t>
                  </w:r>
                </w:p>
              </w:tc>
              <w:tc>
                <w:tcPr>
                  <w:tcW w:w="2211"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基础减振、合理布置、合理安排作业时间、设备基础安装减震软垫</w:t>
                  </w:r>
                </w:p>
              </w:tc>
              <w:tc>
                <w:tcPr>
                  <w:tcW w:w="508"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restar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固废</w:t>
                  </w:r>
                </w:p>
              </w:tc>
              <w:tc>
                <w:tcPr>
                  <w:tcW w:w="1510"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生活垃圾</w:t>
                  </w:r>
                </w:p>
              </w:tc>
              <w:tc>
                <w:tcPr>
                  <w:tcW w:w="2211"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垃圾桶</w:t>
                  </w:r>
                </w:p>
              </w:tc>
              <w:tc>
                <w:tcPr>
                  <w:tcW w:w="508"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continue"/>
                  <w:vAlign w:val="center"/>
                </w:tcPr>
                <w:p>
                  <w:pPr>
                    <w:pStyle w:val="37"/>
                    <w:ind w:left="0" w:leftChars="0"/>
                    <w:rPr>
                      <w:color w:val="000000" w:themeColor="text1"/>
                      <w:sz w:val="21"/>
                      <w:szCs w:val="21"/>
                      <w:u w:val="none" w:color="auto"/>
                      <w14:textFill>
                        <w14:solidFill>
                          <w14:schemeClr w14:val="tx1"/>
                        </w14:solidFill>
                      </w14:textFill>
                    </w:rPr>
                  </w:pPr>
                </w:p>
              </w:tc>
              <w:tc>
                <w:tcPr>
                  <w:tcW w:w="1510"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危险废物</w:t>
                  </w:r>
                </w:p>
              </w:tc>
              <w:tc>
                <w:tcPr>
                  <w:tcW w:w="2211"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危险废物暂存间</w:t>
                  </w:r>
                </w:p>
              </w:tc>
              <w:tc>
                <w:tcPr>
                  <w:tcW w:w="508" w:type="pct"/>
                  <w:vAlign w:val="center"/>
                </w:tcPr>
                <w:p>
                  <w:pPr>
                    <w:pStyle w:val="37"/>
                    <w:ind w:left="0" w:leftChars="0"/>
                    <w:rPr>
                      <w:rFonts w:hint="eastAsia" w:eastAsia="宋体"/>
                      <w:color w:val="000000" w:themeColor="text1"/>
                      <w:sz w:val="21"/>
                      <w:szCs w:val="21"/>
                      <w:u w:val="none" w:color="auto"/>
                      <w:lang w:eastAsia="zh-CN"/>
                      <w14:textFill>
                        <w14:solidFill>
                          <w14:schemeClr w14:val="tx1"/>
                        </w14:solidFill>
                      </w14:textFill>
                    </w:rPr>
                  </w:pPr>
                  <w:r>
                    <w:rPr>
                      <w:rFonts w:hint="eastAsia"/>
                      <w:color w:val="000000" w:themeColor="text1"/>
                      <w:sz w:val="21"/>
                      <w:szCs w:val="21"/>
                      <w:u w:val="none" w:color="auto"/>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土壤、地下水</w:t>
                  </w:r>
                </w:p>
              </w:tc>
              <w:tc>
                <w:tcPr>
                  <w:tcW w:w="1510"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生产区域分区防渗</w:t>
                  </w:r>
                </w:p>
              </w:tc>
              <w:tc>
                <w:tcPr>
                  <w:tcW w:w="2211"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防渗措施</w:t>
                  </w:r>
                </w:p>
              </w:tc>
              <w:tc>
                <w:tcPr>
                  <w:tcW w:w="508"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风险防控</w:t>
                  </w:r>
                </w:p>
              </w:tc>
              <w:tc>
                <w:tcPr>
                  <w:tcW w:w="2600" w:type="dxa"/>
                  <w:vAlign w:val="center"/>
                </w:tcPr>
                <w:p>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20" w:leftChars="0" w:right="0" w:rightChars="0" w:hanging="420" w:hangingChars="200"/>
                    <w:textAlignment w:val="auto"/>
                    <w:rPr>
                      <w:rFonts w:hint="default"/>
                      <w:color w:val="000000" w:themeColor="text1"/>
                      <w:sz w:val="21"/>
                      <w:szCs w:val="21"/>
                      <w:u w:val="none" w:color="auto"/>
                      <w:lang w:val="en-US"/>
                      <w14:textFill>
                        <w14:solidFill>
                          <w14:schemeClr w14:val="tx1"/>
                        </w14:solidFill>
                      </w14:textFill>
                    </w:rPr>
                  </w:pPr>
                  <w:r>
                    <w:rPr>
                      <w:rFonts w:hint="eastAsia" w:ascii="Times New Roman" w:hAnsi="Times New Roman" w:cs="Times New Roman"/>
                      <w:color w:val="auto"/>
                      <w:sz w:val="21"/>
                      <w:szCs w:val="21"/>
                      <w:u w:val="none" w:color="auto"/>
                      <w:lang w:val="en-US" w:eastAsia="zh-CN"/>
                    </w:rPr>
                    <w:t>仓库</w:t>
                  </w:r>
                  <w:r>
                    <w:rPr>
                      <w:rFonts w:hint="eastAsia" w:cs="Times New Roman"/>
                      <w:color w:val="auto"/>
                      <w:sz w:val="21"/>
                      <w:szCs w:val="21"/>
                      <w:u w:val="none" w:color="auto"/>
                      <w:lang w:val="en-US" w:eastAsia="zh-CN"/>
                    </w:rPr>
                    <w:t>、危废暂存间</w:t>
                  </w:r>
                </w:p>
              </w:tc>
              <w:tc>
                <w:tcPr>
                  <w:tcW w:w="3807" w:type="dxa"/>
                  <w:vAlign w:val="center"/>
                </w:tcPr>
                <w:p>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20" w:leftChars="0" w:right="0" w:rightChars="0" w:hanging="420" w:hangingChars="200"/>
                    <w:textAlignment w:val="auto"/>
                    <w:rPr>
                      <w:color w:val="000000" w:themeColor="text1"/>
                      <w:sz w:val="21"/>
                      <w:szCs w:val="21"/>
                      <w:u w:val="none" w:color="auto"/>
                      <w14:textFill>
                        <w14:solidFill>
                          <w14:schemeClr w14:val="tx1"/>
                        </w14:solidFill>
                      </w14:textFill>
                    </w:rPr>
                  </w:pPr>
                  <w:r>
                    <w:rPr>
                      <w:rFonts w:hint="eastAsia" w:ascii="Times New Roman" w:hAnsi="Times New Roman" w:eastAsia="宋体" w:cs="Times New Roman"/>
                      <w:color w:val="auto"/>
                      <w:sz w:val="21"/>
                      <w:szCs w:val="21"/>
                      <w:u w:val="none" w:color="auto"/>
                      <w:lang w:val="en-US" w:eastAsia="zh-CN"/>
                    </w:rPr>
                    <w:t>设置托盘</w:t>
                  </w:r>
                </w:p>
              </w:tc>
              <w:tc>
                <w:tcPr>
                  <w:tcW w:w="508" w:type="pct"/>
                  <w:vAlign w:val="center"/>
                </w:tcPr>
                <w:p>
                  <w:pPr>
                    <w:pStyle w:val="37"/>
                    <w:ind w:left="0" w:leftChars="0"/>
                    <w:rPr>
                      <w:rFonts w:hint="default" w:eastAsia="宋体"/>
                      <w:color w:val="000000" w:themeColor="text1"/>
                      <w:sz w:val="21"/>
                      <w:szCs w:val="21"/>
                      <w:u w:val="none" w:color="auto"/>
                      <w:lang w:val="en-US" w:eastAsia="zh-CN"/>
                      <w14:textFill>
                        <w14:solidFill>
                          <w14:schemeClr w14:val="tx1"/>
                        </w14:solidFill>
                      </w14:textFill>
                    </w:rPr>
                  </w:pPr>
                  <w:r>
                    <w:rPr>
                      <w:rFonts w:hint="eastAsia"/>
                      <w:color w:val="000000" w:themeColor="text1"/>
                      <w:sz w:val="21"/>
                      <w:szCs w:val="21"/>
                      <w:u w:val="none" w:color="auto"/>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91" w:type="pct"/>
                  <w:gridSpan w:val="3"/>
                  <w:vAlign w:val="center"/>
                </w:tcPr>
                <w:p>
                  <w:pPr>
                    <w:pStyle w:val="37"/>
                    <w:ind w:left="0" w:leftChars="0"/>
                    <w:rPr>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合计</w:t>
                  </w:r>
                </w:p>
              </w:tc>
              <w:tc>
                <w:tcPr>
                  <w:tcW w:w="508" w:type="pct"/>
                  <w:vAlign w:val="center"/>
                </w:tcPr>
                <w:p>
                  <w:pPr>
                    <w:pStyle w:val="37"/>
                    <w:ind w:left="0" w:leftChars="0"/>
                    <w:rPr>
                      <w:rFonts w:hint="default" w:eastAsia="宋体"/>
                      <w:color w:val="000000" w:themeColor="text1"/>
                      <w:sz w:val="21"/>
                      <w:szCs w:val="21"/>
                      <w:u w:val="none" w:color="auto"/>
                      <w:lang w:val="en-US" w:eastAsia="zh-CN"/>
                      <w14:textFill>
                        <w14:solidFill>
                          <w14:schemeClr w14:val="tx1"/>
                        </w14:solidFill>
                      </w14:textFill>
                    </w:rPr>
                  </w:pPr>
                  <w:r>
                    <w:rPr>
                      <w:rFonts w:hint="eastAsia"/>
                      <w:color w:val="000000" w:themeColor="text1"/>
                      <w:sz w:val="21"/>
                      <w:szCs w:val="21"/>
                      <w:u w:val="none" w:color="auto"/>
                      <w:lang w:val="en-US" w:eastAsia="zh-CN"/>
                      <w14:textFill>
                        <w14:solidFill>
                          <w14:schemeClr w14:val="tx1"/>
                        </w14:solidFill>
                      </w14:textFill>
                    </w:rPr>
                    <w:t>20</w:t>
                  </w:r>
                </w:p>
              </w:tc>
            </w:tr>
          </w:tbl>
          <w:p>
            <w:pPr>
              <w:ind w:firstLine="0" w:firstLineChars="0"/>
            </w:pPr>
          </w:p>
        </w:tc>
      </w:tr>
    </w:tbl>
    <w:p>
      <w:pPr>
        <w:ind w:firstLine="0" w:firstLineChars="0"/>
        <w:sectPr>
          <w:pgSz w:w="11906" w:h="16838"/>
          <w:pgMar w:top="1440" w:right="1417" w:bottom="1440" w:left="1417" w:header="851" w:footer="992" w:gutter="0"/>
          <w:cols w:space="425" w:num="1"/>
          <w:docGrid w:type="lines" w:linePitch="312" w:charSpace="0"/>
        </w:sectPr>
      </w:pPr>
    </w:p>
    <w:p>
      <w:pPr>
        <w:pStyle w:val="8"/>
        <w:jc w:val="center"/>
        <w:rPr>
          <w:rFonts w:hint="default"/>
        </w:rPr>
      </w:pPr>
      <w:bookmarkStart w:id="34" w:name="_Toc1468"/>
      <w:bookmarkStart w:id="35" w:name="_Toc18363"/>
      <w:bookmarkStart w:id="36" w:name="_Toc25288"/>
      <w:r>
        <w:t>五、环境保护措施监督检查清单</w:t>
      </w:r>
      <w:bookmarkEnd w:id="34"/>
      <w:bookmarkEnd w:id="35"/>
      <w:bookmarkEnd w:id="36"/>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699"/>
        <w:gridCol w:w="1513"/>
        <w:gridCol w:w="1812"/>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47" w:type="dxa"/>
            <w:vAlign w:val="center"/>
          </w:tcPr>
          <w:p>
            <w:pPr>
              <w:pStyle w:val="37"/>
              <w:ind w:left="0" w:leftChars="0"/>
              <w:rPr>
                <w:b/>
                <w:bCs/>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-19050</wp:posOffset>
                      </wp:positionV>
                      <wp:extent cx="772795" cy="463550"/>
                      <wp:effectExtent l="3175" t="5715" r="5080" b="6985"/>
                      <wp:wrapNone/>
                      <wp:docPr id="20" name="直接连接符 20"/>
                      <wp:cNvGraphicFramePr/>
                      <a:graphic xmlns:a="http://schemas.openxmlformats.org/drawingml/2006/main">
                        <a:graphicData uri="http://schemas.microsoft.com/office/word/2010/wordprocessingShape">
                          <wps:wsp>
                            <wps:cNvCnPr/>
                            <wps:spPr>
                              <a:xfrm>
                                <a:off x="829310" y="1334770"/>
                                <a:ext cx="772795" cy="4635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75pt;margin-top:-1.5pt;height:36.5pt;width:60.85pt;z-index:251659264;mso-width-relative:page;mso-height-relative:page;" filled="f" stroked="t" coordsize="21600,21600" o:gfxdata="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Q72sdgAAAAIAQAADwAAAAAAAAABACAAAAAiAAAAZHJzL2Rvd25yZXYueG1sUEsB&#10;AhQAFAAAAAgAh07iQEXkMcL1AQAAwwMAAA4AAAAAAAAAAQAgAAAAJwEAAGRycy9lMm9Eb2MueG1s&#10;UEsFBgAAAAAGAAYAWQEAAI4FAAAAAA==&#10;">
                      <v:fill on="f" focussize="0,0"/>
                      <v:stroke weight="1pt" color="#000000 [3213]" miterlimit="8" joinstyle="miter"/>
                      <v:imagedata o:title=""/>
                      <o:lock v:ext="edit" aspectratio="f"/>
                    </v:line>
                  </w:pict>
                </mc:Fallback>
              </mc:AlternateContent>
            </w:r>
            <w:r>
              <w:rPr>
                <w:b/>
                <w:bCs/>
              </w:rPr>
              <w:t>要素</w:t>
            </w:r>
          </w:p>
          <w:p>
            <w:pPr>
              <w:pStyle w:val="37"/>
              <w:ind w:left="0" w:leftChars="0"/>
              <w:rPr>
                <w:b/>
                <w:bCs/>
              </w:rPr>
            </w:pPr>
            <w:r>
              <w:rPr>
                <w:b/>
                <w:bCs/>
              </w:rPr>
              <w:t>内容</w:t>
            </w:r>
          </w:p>
        </w:tc>
        <w:tc>
          <w:tcPr>
            <w:tcW w:w="1699" w:type="dxa"/>
            <w:vAlign w:val="center"/>
          </w:tcPr>
          <w:p>
            <w:pPr>
              <w:pStyle w:val="37"/>
              <w:ind w:left="0" w:leftChars="0"/>
              <w:rPr>
                <w:b/>
                <w:bCs/>
              </w:rPr>
            </w:pPr>
            <w:r>
              <w:rPr>
                <w:b/>
                <w:bCs/>
              </w:rPr>
              <w:t>排放口（编号、名称）/污染源</w:t>
            </w:r>
          </w:p>
        </w:tc>
        <w:tc>
          <w:tcPr>
            <w:tcW w:w="1513" w:type="dxa"/>
            <w:vAlign w:val="center"/>
          </w:tcPr>
          <w:p>
            <w:pPr>
              <w:pStyle w:val="37"/>
              <w:ind w:left="0" w:leftChars="0"/>
              <w:rPr>
                <w:b/>
                <w:bCs/>
              </w:rPr>
            </w:pPr>
            <w:r>
              <w:rPr>
                <w:b/>
                <w:bCs/>
              </w:rPr>
              <w:t>污染物项目</w:t>
            </w:r>
          </w:p>
        </w:tc>
        <w:tc>
          <w:tcPr>
            <w:tcW w:w="1812" w:type="dxa"/>
            <w:vAlign w:val="center"/>
          </w:tcPr>
          <w:p>
            <w:pPr>
              <w:pStyle w:val="37"/>
              <w:ind w:left="0" w:leftChars="0"/>
              <w:rPr>
                <w:b/>
                <w:bCs/>
              </w:rPr>
            </w:pPr>
            <w:r>
              <w:rPr>
                <w:b/>
                <w:bCs/>
              </w:rPr>
              <w:t>环境保护措施</w:t>
            </w:r>
          </w:p>
        </w:tc>
        <w:tc>
          <w:tcPr>
            <w:tcW w:w="3017" w:type="dxa"/>
            <w:vAlign w:val="center"/>
          </w:tcPr>
          <w:p>
            <w:pPr>
              <w:pStyle w:val="37"/>
              <w:ind w:left="0" w:leftChars="0"/>
              <w:rPr>
                <w:b/>
                <w:bCs/>
              </w:rPr>
            </w:pPr>
            <w:r>
              <w:rPr>
                <w:b/>
                <w:bCs/>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restart"/>
            <w:vAlign w:val="center"/>
          </w:tcPr>
          <w:p>
            <w:pPr>
              <w:pStyle w:val="37"/>
              <w:ind w:left="0" w:leftChars="0"/>
            </w:pPr>
            <w:r>
              <w:t>大气环境</w:t>
            </w:r>
          </w:p>
        </w:tc>
        <w:tc>
          <w:tcPr>
            <w:tcW w:w="1699" w:type="dxa"/>
            <w:vAlign w:val="center"/>
          </w:tcPr>
          <w:p>
            <w:pPr>
              <w:pStyle w:val="37"/>
              <w:ind w:left="0" w:leftChars="0"/>
              <w:rPr>
                <w:rFonts w:hint="default" w:eastAsia="宋体"/>
                <w:lang w:val="en-US" w:eastAsia="zh-CN"/>
              </w:rPr>
            </w:pPr>
            <w:r>
              <w:rPr>
                <w:color w:val="000000"/>
              </w:rPr>
              <w:t>DA001</w:t>
            </w:r>
            <w:r>
              <w:rPr>
                <w:rFonts w:hint="eastAsia"/>
                <w:color w:val="000000"/>
                <w:lang w:val="en-US" w:eastAsia="zh-CN"/>
              </w:rPr>
              <w:t>涂布烘干工序废气</w:t>
            </w:r>
          </w:p>
        </w:tc>
        <w:tc>
          <w:tcPr>
            <w:tcW w:w="1513" w:type="dxa"/>
            <w:vAlign w:val="center"/>
          </w:tcPr>
          <w:p>
            <w:pPr>
              <w:pStyle w:val="37"/>
              <w:ind w:left="0" w:leftChars="0"/>
              <w:rPr>
                <w:rFonts w:hint="eastAsia" w:eastAsia="宋体"/>
                <w:lang w:eastAsia="zh-CN"/>
              </w:rPr>
            </w:pPr>
            <w:r>
              <w:rPr>
                <w:rFonts w:hint="eastAsia"/>
                <w:lang w:val="en-US" w:eastAsia="zh-CN"/>
              </w:rPr>
              <w:t>VOCs（以非甲烷总烃计）</w:t>
            </w:r>
          </w:p>
        </w:tc>
        <w:tc>
          <w:tcPr>
            <w:tcW w:w="1812" w:type="dxa"/>
            <w:vAlign w:val="center"/>
          </w:tcPr>
          <w:p>
            <w:pPr>
              <w:pStyle w:val="37"/>
              <w:ind w:left="0" w:leftChars="0"/>
            </w:pPr>
            <w:r>
              <w:rPr>
                <w:rFonts w:hint="eastAsia"/>
              </w:rPr>
              <w:t>密闭负压收集+二级活性炭装置+15m高排气筒DA001</w:t>
            </w:r>
          </w:p>
        </w:tc>
        <w:tc>
          <w:tcPr>
            <w:tcW w:w="3017"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textAlignment w:val="center"/>
              <w:rPr>
                <w:sz w:val="21"/>
                <w:szCs w:val="21"/>
              </w:rPr>
            </w:pPr>
            <w:r>
              <w:rPr>
                <w:rFonts w:hint="eastAsia"/>
                <w:sz w:val="21"/>
                <w:szCs w:val="21"/>
                <w:lang w:eastAsia="zh-CN"/>
              </w:rPr>
              <w:t>《</w:t>
            </w:r>
            <w:r>
              <w:rPr>
                <w:sz w:val="21"/>
                <w:szCs w:val="21"/>
              </w:rPr>
              <w:t>大气污染物综合排放标准》（GB16297-1996）表2中浓度限值及速率限值严格50%执行。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47" w:type="dxa"/>
            <w:vMerge w:val="continue"/>
            <w:vAlign w:val="center"/>
          </w:tcPr>
          <w:p>
            <w:pPr>
              <w:pStyle w:val="37"/>
              <w:ind w:left="0" w:leftChars="0"/>
            </w:pPr>
          </w:p>
        </w:tc>
        <w:tc>
          <w:tcPr>
            <w:tcW w:w="1699" w:type="dxa"/>
            <w:vAlign w:val="center"/>
          </w:tcPr>
          <w:p>
            <w:pPr>
              <w:pStyle w:val="37"/>
              <w:ind w:left="0" w:leftChars="0"/>
            </w:pPr>
            <w:r>
              <w:t>无组织（厂界）</w:t>
            </w:r>
          </w:p>
        </w:tc>
        <w:tc>
          <w:tcPr>
            <w:tcW w:w="1513" w:type="dxa"/>
            <w:tcBorders>
              <w:bottom w:val="single" w:color="000000" w:sz="2" w:space="0"/>
            </w:tcBorders>
            <w:vAlign w:val="center"/>
          </w:tcPr>
          <w:p>
            <w:pPr>
              <w:pStyle w:val="37"/>
              <w:ind w:left="0" w:leftChars="0"/>
              <w:jc w:val="center"/>
            </w:pPr>
            <w:r>
              <w:t>非甲烷总烃</w:t>
            </w:r>
          </w:p>
        </w:tc>
        <w:tc>
          <w:tcPr>
            <w:tcW w:w="1812" w:type="dxa"/>
            <w:tcBorders>
              <w:bottom w:val="single" w:color="000000" w:sz="2" w:space="0"/>
            </w:tcBorders>
            <w:vAlign w:val="center"/>
          </w:tcPr>
          <w:p>
            <w:pPr>
              <w:pStyle w:val="37"/>
              <w:wordWrap w:val="0"/>
              <w:ind w:left="0" w:leftChars="0"/>
            </w:pPr>
            <w:r>
              <w:t>加强生产工序密闭管理</w:t>
            </w:r>
          </w:p>
        </w:tc>
        <w:tc>
          <w:tcPr>
            <w:tcW w:w="3017"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《大气污染物综合排放标准》（GB16297-1996）表2中无组织监控浓度限值</w:t>
            </w:r>
            <w:r>
              <w:rPr>
                <w:rFonts w:hint="eastAsia"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7" w:type="dxa"/>
            <w:vMerge w:val="continue"/>
            <w:vAlign w:val="center"/>
          </w:tcPr>
          <w:p>
            <w:pPr>
              <w:pStyle w:val="37"/>
              <w:ind w:left="0" w:leftChars="0"/>
            </w:pPr>
          </w:p>
        </w:tc>
        <w:tc>
          <w:tcPr>
            <w:tcW w:w="1699" w:type="dxa"/>
            <w:vAlign w:val="center"/>
          </w:tcPr>
          <w:p>
            <w:pPr>
              <w:pStyle w:val="37"/>
              <w:ind w:left="0" w:leftChars="0"/>
            </w:pPr>
            <w:r>
              <w:t>无组织（厂</w:t>
            </w:r>
            <w:r>
              <w:rPr>
                <w:rFonts w:hint="eastAsia"/>
              </w:rPr>
              <w:t>区</w:t>
            </w:r>
            <w:r>
              <w:t>）</w:t>
            </w:r>
          </w:p>
        </w:tc>
        <w:tc>
          <w:tcPr>
            <w:tcW w:w="1513" w:type="dxa"/>
            <w:tcBorders>
              <w:bottom w:val="single" w:color="000000" w:sz="2" w:space="0"/>
            </w:tcBorders>
            <w:vAlign w:val="center"/>
          </w:tcPr>
          <w:p>
            <w:pPr>
              <w:pStyle w:val="37"/>
              <w:ind w:left="0" w:leftChars="0"/>
              <w:jc w:val="center"/>
              <w:rPr>
                <w:rFonts w:hint="eastAsia" w:eastAsia="宋体"/>
                <w:lang w:eastAsia="zh-CN"/>
              </w:rPr>
            </w:pPr>
            <w:r>
              <w:rPr>
                <w:rFonts w:hint="eastAsia"/>
                <w:lang w:val="en-US" w:eastAsia="zh-CN"/>
              </w:rPr>
              <w:t>挥发性有机物</w:t>
            </w:r>
          </w:p>
        </w:tc>
        <w:tc>
          <w:tcPr>
            <w:tcW w:w="1812" w:type="dxa"/>
            <w:tcBorders>
              <w:bottom w:val="single" w:color="000000" w:sz="2" w:space="0"/>
            </w:tcBorders>
            <w:vAlign w:val="center"/>
          </w:tcPr>
          <w:p>
            <w:pPr>
              <w:pStyle w:val="37"/>
              <w:wordWrap w:val="0"/>
              <w:ind w:left="0" w:leftChars="0"/>
            </w:pPr>
            <w:r>
              <w:t>加强生产工序密闭管理</w:t>
            </w:r>
          </w:p>
        </w:tc>
        <w:tc>
          <w:tcPr>
            <w:tcW w:w="3017"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textAlignment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《挥发性有机物无组织排放控制标准》（GB37822-2019）附录A表A.1排放限值</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地表水</w:t>
            </w:r>
          </w:p>
          <w:p>
            <w:pPr>
              <w:pStyle w:val="37"/>
              <w:ind w:left="0" w:leftChars="0"/>
            </w:pPr>
            <w:r>
              <w:t>环境</w:t>
            </w:r>
          </w:p>
        </w:tc>
        <w:tc>
          <w:tcPr>
            <w:tcW w:w="1699" w:type="dxa"/>
            <w:vAlign w:val="center"/>
          </w:tcPr>
          <w:p>
            <w:pPr>
              <w:pStyle w:val="37"/>
              <w:ind w:left="0" w:leftChars="0"/>
            </w:pPr>
            <w:r>
              <w:rPr>
                <w:rFonts w:hint="eastAsia"/>
                <w:lang w:val="en-US" w:eastAsia="zh-CN"/>
              </w:rPr>
              <w:t>综合废水</w:t>
            </w:r>
            <w:r>
              <w:t>排放口/DW001</w:t>
            </w:r>
          </w:p>
        </w:tc>
        <w:tc>
          <w:tcPr>
            <w:tcW w:w="1513" w:type="dxa"/>
            <w:vAlign w:val="center"/>
          </w:tcPr>
          <w:p>
            <w:pPr>
              <w:pStyle w:val="37"/>
              <w:ind w:left="0" w:leftChars="0"/>
            </w:pPr>
            <w:r>
              <w:t>pH、SS、</w:t>
            </w:r>
          </w:p>
          <w:p>
            <w:pPr>
              <w:pStyle w:val="37"/>
              <w:ind w:left="0" w:leftChars="0"/>
            </w:pPr>
            <w:r>
              <w:t>CODcr、BOD</w:t>
            </w:r>
            <w:r>
              <w:rPr>
                <w:vertAlign w:val="subscript"/>
              </w:rPr>
              <w:t>5</w:t>
            </w:r>
            <w:r>
              <w:t>、NH</w:t>
            </w:r>
            <w:r>
              <w:rPr>
                <w:vertAlign w:val="subscript"/>
              </w:rPr>
              <w:t>3</w:t>
            </w:r>
            <w:r>
              <w:t>-N</w:t>
            </w:r>
          </w:p>
        </w:tc>
        <w:tc>
          <w:tcPr>
            <w:tcW w:w="1812" w:type="dxa"/>
            <w:vAlign w:val="center"/>
          </w:tcPr>
          <w:p>
            <w:pPr>
              <w:pStyle w:val="37"/>
              <w:ind w:left="0" w:leftChars="0"/>
            </w:pPr>
            <w:r>
              <w:t>化粪池</w:t>
            </w:r>
          </w:p>
        </w:tc>
        <w:tc>
          <w:tcPr>
            <w:tcW w:w="3017" w:type="dxa"/>
            <w:vAlign w:val="center"/>
          </w:tcPr>
          <w:p>
            <w:pPr>
              <w:pStyle w:val="37"/>
              <w:keepNext w:val="0"/>
              <w:keepLines w:val="0"/>
              <w:pageBreakBefore w:val="0"/>
              <w:kinsoku/>
              <w:wordWrap w:val="0"/>
              <w:overflowPunct/>
              <w:topLinePunct w:val="0"/>
              <w:autoSpaceDE/>
              <w:autoSpaceDN/>
              <w:bidi w:val="0"/>
              <w:adjustRightInd/>
              <w:snapToGrid/>
              <w:ind w:left="0" w:leftChars="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《污水综合排放标准》（GB8978-1996）及修改单三级标准及湘阴县第二污水处理厂进水水质标准</w:t>
            </w:r>
            <w:r>
              <w:rPr>
                <w:rFonts w:hint="eastAsia"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声环境</w:t>
            </w:r>
          </w:p>
        </w:tc>
        <w:tc>
          <w:tcPr>
            <w:tcW w:w="1699" w:type="dxa"/>
            <w:vAlign w:val="center"/>
          </w:tcPr>
          <w:p>
            <w:pPr>
              <w:pStyle w:val="37"/>
              <w:ind w:left="0" w:leftChars="0"/>
            </w:pPr>
            <w:r>
              <w:t>设备噪声</w:t>
            </w:r>
          </w:p>
        </w:tc>
        <w:tc>
          <w:tcPr>
            <w:tcW w:w="1513" w:type="dxa"/>
            <w:vAlign w:val="center"/>
          </w:tcPr>
          <w:p>
            <w:pPr>
              <w:pStyle w:val="37"/>
              <w:ind w:left="0" w:leftChars="0"/>
            </w:pPr>
            <w:r>
              <w:t>等效连续A声级</w:t>
            </w:r>
          </w:p>
        </w:tc>
        <w:tc>
          <w:tcPr>
            <w:tcW w:w="1812" w:type="dxa"/>
            <w:vAlign w:val="center"/>
          </w:tcPr>
          <w:p>
            <w:pPr>
              <w:pStyle w:val="37"/>
              <w:ind w:left="0" w:leftChars="0"/>
              <w:jc w:val="both"/>
            </w:pPr>
            <w:r>
              <w:t>基础减振、合理布置、合理安排作业时间、设备基础安装减震软垫</w:t>
            </w:r>
          </w:p>
        </w:tc>
        <w:tc>
          <w:tcPr>
            <w:tcW w:w="3017" w:type="dxa"/>
            <w:vAlign w:val="center"/>
          </w:tcPr>
          <w:p>
            <w:pPr>
              <w:pStyle w:val="37"/>
              <w:ind w:left="0" w:leftChars="0"/>
              <w:jc w:val="left"/>
              <w:rPr>
                <w:rFonts w:hint="eastAsia" w:eastAsia="宋体"/>
                <w:lang w:eastAsia="zh-CN"/>
              </w:rPr>
            </w:pPr>
            <w:r>
              <w:t>《工业企业厂界环境噪声排放标准》（GB12348-2008）</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电磁辐射</w:t>
            </w:r>
          </w:p>
        </w:tc>
        <w:tc>
          <w:tcPr>
            <w:tcW w:w="1699" w:type="dxa"/>
            <w:vAlign w:val="center"/>
          </w:tcPr>
          <w:p>
            <w:pPr>
              <w:pStyle w:val="37"/>
              <w:ind w:left="0" w:leftChars="0"/>
            </w:pPr>
            <w:r>
              <w:t>/</w:t>
            </w:r>
          </w:p>
        </w:tc>
        <w:tc>
          <w:tcPr>
            <w:tcW w:w="1513" w:type="dxa"/>
            <w:vAlign w:val="center"/>
          </w:tcPr>
          <w:p>
            <w:pPr>
              <w:pStyle w:val="37"/>
              <w:ind w:left="0" w:leftChars="0"/>
            </w:pPr>
            <w:r>
              <w:t>/</w:t>
            </w:r>
          </w:p>
        </w:tc>
        <w:tc>
          <w:tcPr>
            <w:tcW w:w="1812" w:type="dxa"/>
            <w:vAlign w:val="center"/>
          </w:tcPr>
          <w:p>
            <w:pPr>
              <w:pStyle w:val="37"/>
              <w:ind w:left="0" w:leftChars="0"/>
            </w:pPr>
            <w:r>
              <w:t>/</w:t>
            </w:r>
          </w:p>
        </w:tc>
        <w:tc>
          <w:tcPr>
            <w:tcW w:w="3017" w:type="dxa"/>
            <w:vAlign w:val="center"/>
          </w:tcPr>
          <w:p>
            <w:pPr>
              <w:pStyle w:val="37"/>
              <w:ind w:left="0" w:leftChars="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固体废物</w:t>
            </w:r>
          </w:p>
        </w:tc>
        <w:tc>
          <w:tcPr>
            <w:tcW w:w="8041" w:type="dxa"/>
            <w:gridSpan w:val="4"/>
            <w:vAlign w:val="center"/>
          </w:tcPr>
          <w:p>
            <w:pPr>
              <w:spacing w:line="240" w:lineRule="auto"/>
              <w:ind w:firstLine="0" w:firstLineChars="0"/>
              <w:rPr>
                <w:sz w:val="21"/>
                <w:szCs w:val="21"/>
              </w:rPr>
            </w:pPr>
            <w:r>
              <w:rPr>
                <w:rFonts w:hint="default" w:ascii="Times New Roman" w:hAnsi="Times New Roman" w:cs="Times New Roman"/>
                <w:color w:val="auto"/>
                <w:sz w:val="21"/>
                <w:szCs w:val="21"/>
                <w:u w:val="none" w:color="auto"/>
              </w:rPr>
              <w:t>项目固废分类收集。生活垃圾集中收集后，交由环卫部门清运，不会对周围环境产生影响。</w:t>
            </w:r>
            <w:r>
              <w:rPr>
                <w:rFonts w:hint="eastAsia" w:ascii="Times New Roman" w:hAnsi="Times New Roman" w:cs="Times New Roman"/>
                <w:color w:val="auto"/>
                <w:sz w:val="21"/>
                <w:szCs w:val="21"/>
                <w:u w:val="none" w:color="auto"/>
                <w:lang w:val="en-US" w:eastAsia="zh-CN"/>
              </w:rPr>
              <w:t>废</w:t>
            </w:r>
            <w:r>
              <w:rPr>
                <w:rFonts w:hint="default" w:ascii="Times New Roman" w:hAnsi="Times New Roman" w:cs="Times New Roman"/>
                <w:color w:val="auto"/>
                <w:sz w:val="21"/>
                <w:szCs w:val="21"/>
                <w:highlight w:val="none"/>
                <w:u w:val="none" w:color="auto"/>
              </w:rPr>
              <w:t>边角料</w:t>
            </w:r>
            <w:r>
              <w:rPr>
                <w:rFonts w:hint="eastAsia" w:ascii="Times New Roman" w:hAnsi="Times New Roman" w:cs="Times New Roman"/>
                <w:color w:val="auto"/>
                <w:sz w:val="21"/>
                <w:szCs w:val="21"/>
                <w:highlight w:val="none"/>
                <w:u w:val="none" w:color="auto"/>
                <w:lang w:val="en-US" w:eastAsia="zh-CN"/>
              </w:rPr>
              <w:t>及不合格产</w:t>
            </w:r>
            <w:r>
              <w:rPr>
                <w:rFonts w:hint="default" w:ascii="Times New Roman" w:hAnsi="Times New Roman" w:cs="Times New Roman"/>
                <w:color w:val="auto"/>
                <w:sz w:val="21"/>
                <w:szCs w:val="21"/>
                <w:highlight w:val="none"/>
                <w:u w:val="none" w:color="auto"/>
              </w:rPr>
              <w:t>品、</w:t>
            </w:r>
            <w:r>
              <w:rPr>
                <w:rFonts w:hint="eastAsia" w:ascii="Times New Roman" w:hAnsi="Times New Roman" w:cs="Times New Roman"/>
                <w:color w:val="auto"/>
                <w:sz w:val="21"/>
                <w:szCs w:val="21"/>
                <w:highlight w:val="none"/>
                <w:u w:val="none" w:color="auto"/>
                <w:lang w:val="en-US" w:eastAsia="zh-CN"/>
              </w:rPr>
              <w:t>废包装材料收集后交由资源回收公司回收处理；</w:t>
            </w:r>
            <w:r>
              <w:rPr>
                <w:rFonts w:hint="eastAsia" w:cs="Times New Roman"/>
                <w:color w:val="auto"/>
                <w:sz w:val="21"/>
                <w:szCs w:val="21"/>
                <w:highlight w:val="none"/>
                <w:u w:val="none" w:color="auto"/>
                <w:lang w:val="en-US" w:eastAsia="zh-CN"/>
              </w:rPr>
              <w:t>废水性涂料桶、废水性涂料、废抹布手套、废活性炭、废机油、废机油桶、含油抹布及手套等收集后暂存危险废物暂存间，</w:t>
            </w:r>
            <w:r>
              <w:rPr>
                <w:rFonts w:hint="eastAsia" w:ascii="Times New Roman" w:hAnsi="Times New Roman" w:cs="Times New Roman"/>
                <w:color w:val="auto"/>
                <w:sz w:val="21"/>
                <w:szCs w:val="21"/>
                <w:highlight w:val="none"/>
                <w:u w:val="none" w:color="auto"/>
                <w:lang w:val="en-US" w:eastAsia="zh-CN"/>
              </w:rPr>
              <w:t>定期委托有资质的单位处理。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土壤及地下水污染防治措施</w:t>
            </w:r>
          </w:p>
        </w:tc>
        <w:tc>
          <w:tcPr>
            <w:tcW w:w="8041" w:type="dxa"/>
            <w:gridSpan w:val="4"/>
            <w:vAlign w:val="center"/>
          </w:tcPr>
          <w:p>
            <w:pPr>
              <w:spacing w:line="240" w:lineRule="auto"/>
              <w:ind w:firstLine="0" w:firstLineChars="0"/>
              <w:rPr>
                <w:sz w:val="21"/>
                <w:szCs w:val="21"/>
              </w:rPr>
            </w:pPr>
            <w:r>
              <w:rPr>
                <w:sz w:val="21"/>
                <w:szCs w:val="21"/>
              </w:rPr>
              <w:t>厂区地面、道路硬化、</w:t>
            </w:r>
            <w:r>
              <w:rPr>
                <w:rFonts w:hint="eastAsia"/>
                <w:sz w:val="21"/>
                <w:szCs w:val="21"/>
              </w:rPr>
              <w:t>分区</w:t>
            </w:r>
            <w:r>
              <w:rPr>
                <w:sz w:val="21"/>
                <w:szCs w:val="21"/>
              </w:rPr>
              <w:t>防渗。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生态保护措施</w:t>
            </w:r>
          </w:p>
        </w:tc>
        <w:tc>
          <w:tcPr>
            <w:tcW w:w="8041" w:type="dxa"/>
            <w:gridSpan w:val="4"/>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环境风险防范措施</w:t>
            </w:r>
          </w:p>
        </w:tc>
        <w:tc>
          <w:tcPr>
            <w:tcW w:w="8041" w:type="dxa"/>
            <w:gridSpan w:val="4"/>
            <w:vAlign w:val="center"/>
          </w:tcPr>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1、液态物料泄漏防范措施：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①液态物料贮存于仓库且远离火种、热源，保证堆放区阴凉、通风，同时采用防爆型照明、通风设施，仓库应备有泄漏应急处理设备和合适的收容材料，涂料桶设置托盘；在贮存期定期检查，发现其品质变化、包装破损、渗漏等，应及时处理。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2、火灾、爆炸及次生环境风险事故的防范措施：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①严格按照防火规范进行平面布置。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②设置有手提式干粉灭火器、消防砂、消防栓及其配套设施，设置有专门的环境风险应急物资储存区；</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②严禁吸烟和带入火柴、打火机等火种；禁火区应设置明显的标识，并标出警戒线，设置永久性“严禁烟火”、“禁止吸烟”等警告牌。</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③设置明显的警示标志，并建立严格的值班保卫制度，防止人为蓄意破坏；对重要 的仪器设备有完善的检查和维护记录；对操作人员定期进行防火安全教育或应急演习，提高职工的安全意识，提高识别异常状态的能力。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④采取相应的火灾事故的预防措施，加强员工的事故安全知识教育，要求全体人员了解事故处理的程序，事故处理器材的使用方法，一旦出现事故可以立即停产，控制事 故的危害范围和程度。</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⑤</w:t>
            </w:r>
            <w:r>
              <w:rPr>
                <w:rFonts w:hint="default" w:ascii="Times New Roman" w:hAnsi="Times New Roman" w:eastAsia="宋体" w:cs="Times New Roman"/>
                <w:i w:val="0"/>
                <w:iCs w:val="0"/>
                <w:color w:val="000000"/>
                <w:kern w:val="0"/>
                <w:sz w:val="21"/>
                <w:szCs w:val="21"/>
                <w:u w:val="none"/>
                <w:lang w:val="en-US" w:eastAsia="zh-CN" w:bidi="ar"/>
              </w:rPr>
              <w:t xml:space="preserve">产生消防废水时，立即关闭雨水口，将消防废水导入园区污水管网，进入园区污 水处理厂处理，防止消防废水进入外环境。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3、危险废物泄漏的防范措施：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①应按照《危险废物贮存污染控制标准》（GB 18597-2023）中相关要求进行建设，库房应封闭，应做好防雨、防风、防渗漏、防扬散措施。废水性涂料桶、废抹布手套、废活性炭、废机油桶、含油抹布及手套废活性炭等分类整齐摆放于危废暂存间，不得混贮，严禁不相容物质混贮；废水性涂料、废机油等液体危险废物需设置托盘，在危废暂存间存放抹布、应急空桶等应急物资，采取上述措施后可有效防止危废泄漏到外环境。</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②为防止意外伤害，危险废物暂存库周边应设置危险废物图形标志，注明严禁无关人员进入。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③加强日常监控，组织专人负责危废暂存间的安全，以杜绝安全隐患。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4、废气超标排放的防范措施 </w:t>
            </w:r>
          </w:p>
          <w:p>
            <w:pPr>
              <w:spacing w:line="240" w:lineRule="auto"/>
              <w:ind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①建立健全的环保机构，配置必要的监测仪器；对管理人员和技术人员进行岗位培训，对废气处理实行全过程跟踪控制。 </w:t>
            </w:r>
          </w:p>
          <w:p>
            <w:pPr>
              <w:spacing w:line="240" w:lineRule="auto"/>
              <w:ind w:firstLine="0" w:firstLineChars="0"/>
              <w:rPr>
                <w:sz w:val="21"/>
                <w:szCs w:val="21"/>
              </w:rPr>
            </w:pPr>
            <w:r>
              <w:rPr>
                <w:rFonts w:hint="default" w:ascii="Times New Roman" w:hAnsi="Times New Roman" w:eastAsia="宋体" w:cs="Times New Roman"/>
                <w:i w:val="0"/>
                <w:iCs w:val="0"/>
                <w:color w:val="000000"/>
                <w:kern w:val="0"/>
                <w:sz w:val="21"/>
                <w:szCs w:val="21"/>
                <w:u w:val="none"/>
                <w:lang w:val="en-US" w:eastAsia="zh-CN" w:bidi="ar"/>
              </w:rPr>
              <w:t>②平时加强废气处理设施的维护保养，及时发现处理设备的隐患，并及时进行维修，确保废气处理系统正常运行。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其他环境管理要求</w:t>
            </w:r>
          </w:p>
        </w:tc>
        <w:tc>
          <w:tcPr>
            <w:tcW w:w="8041" w:type="dxa"/>
            <w:gridSpan w:val="4"/>
            <w:vAlign w:val="center"/>
          </w:tcPr>
          <w:p>
            <w:pPr>
              <w:spacing w:line="240" w:lineRule="auto"/>
              <w:ind w:firstLine="0" w:firstLineChars="0"/>
              <w:rPr>
                <w:rFonts w:hint="eastAsia"/>
                <w:sz w:val="21"/>
                <w:szCs w:val="21"/>
              </w:rPr>
            </w:pPr>
            <w:r>
              <w:rPr>
                <w:rFonts w:hint="eastAsia"/>
                <w:sz w:val="21"/>
                <w:szCs w:val="21"/>
              </w:rPr>
              <w:t>1、加强环境管理，明确环境管理台账记录、保存要求，落实责任部门和责任人，明确工作职责，包括台账的记录、整理、维护和管理等，台账记录频次和内容应当满足排污许可证管理要求，并且对台账记录的真实性、完整性和规范性负责。建设单位严格按照标准要求排气筒、危废间等位置贴好标识标牌。</w:t>
            </w:r>
          </w:p>
          <w:p>
            <w:pPr>
              <w:spacing w:line="240" w:lineRule="auto"/>
              <w:ind w:firstLine="0" w:firstLineChars="0"/>
              <w:rPr>
                <w:rFonts w:hint="eastAsia"/>
                <w:sz w:val="21"/>
                <w:szCs w:val="21"/>
              </w:rPr>
            </w:pPr>
            <w:r>
              <w:rPr>
                <w:rFonts w:hint="eastAsia"/>
                <w:sz w:val="21"/>
                <w:szCs w:val="21"/>
              </w:rPr>
              <w:t>2、应当严格按照本环评开展自行监测；</w:t>
            </w:r>
          </w:p>
          <w:p>
            <w:pPr>
              <w:spacing w:line="240" w:lineRule="auto"/>
              <w:ind w:firstLine="0" w:firstLineChars="0"/>
              <w:rPr>
                <w:rFonts w:hint="eastAsia"/>
                <w:sz w:val="21"/>
                <w:szCs w:val="21"/>
              </w:rPr>
            </w:pPr>
            <w:r>
              <w:rPr>
                <w:rFonts w:hint="eastAsia"/>
                <w:sz w:val="21"/>
                <w:szCs w:val="21"/>
              </w:rPr>
              <w:t>3、建设单位是建设项目竣工环境保护验收的责任主体，应当严格按照《建设项目竣工环境保护验收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spacing w:line="240" w:lineRule="auto"/>
              <w:ind w:firstLine="0" w:firstLineChars="0"/>
              <w:rPr>
                <w:sz w:val="21"/>
                <w:szCs w:val="21"/>
              </w:rPr>
            </w:pPr>
            <w:r>
              <w:rPr>
                <w:rFonts w:hint="eastAsia"/>
                <w:sz w:val="21"/>
                <w:szCs w:val="21"/>
              </w:rPr>
              <w:t>4、根据《固定污染源排污许可分类管理名录(2019年版)》，本项目属于“十八、印刷和记录媒介复制业 23；5印刷 231</w:t>
            </w:r>
            <w:r>
              <w:rPr>
                <w:rFonts w:hint="eastAsia"/>
                <w:sz w:val="21"/>
                <w:szCs w:val="21"/>
                <w:lang w:eastAsia="zh-CN"/>
              </w:rPr>
              <w:t>；</w:t>
            </w:r>
            <w:r>
              <w:rPr>
                <w:rFonts w:hint="eastAsia"/>
                <w:sz w:val="21"/>
                <w:szCs w:val="21"/>
                <w:lang w:val="en-US" w:eastAsia="zh-CN"/>
              </w:rPr>
              <w:t>其他</w:t>
            </w:r>
            <w:r>
              <w:rPr>
                <w:rFonts w:hint="eastAsia"/>
                <w:sz w:val="21"/>
                <w:szCs w:val="21"/>
              </w:rPr>
              <w:t>”，可纳入排污许可分类管理名录实施</w:t>
            </w:r>
            <w:r>
              <w:rPr>
                <w:rFonts w:hint="eastAsia"/>
                <w:sz w:val="21"/>
                <w:szCs w:val="21"/>
                <w:lang w:val="en-US" w:eastAsia="zh-CN"/>
              </w:rPr>
              <w:t>登记</w:t>
            </w:r>
            <w:r>
              <w:rPr>
                <w:rFonts w:hint="eastAsia"/>
                <w:sz w:val="21"/>
                <w:szCs w:val="21"/>
              </w:rPr>
              <w:t>管理，企业应当按照本名录的规定，在本项目发生实际排污行为之前完成固定污染源排污许可</w:t>
            </w:r>
            <w:r>
              <w:rPr>
                <w:rFonts w:hint="eastAsia"/>
                <w:sz w:val="21"/>
                <w:szCs w:val="21"/>
                <w:lang w:val="en-US" w:eastAsia="zh-CN"/>
              </w:rPr>
              <w:t>登记</w:t>
            </w:r>
            <w:r>
              <w:rPr>
                <w:rFonts w:hint="eastAsia"/>
                <w:sz w:val="21"/>
                <w:szCs w:val="21"/>
              </w:rPr>
              <w:t>。</w:t>
            </w:r>
          </w:p>
        </w:tc>
      </w:tr>
    </w:tbl>
    <w:p>
      <w:pPr>
        <w:ind w:firstLine="0" w:firstLineChars="0"/>
        <w:sectPr>
          <w:pgSz w:w="11906" w:h="16838"/>
          <w:pgMar w:top="1440" w:right="1417" w:bottom="1440" w:left="1417" w:header="851" w:footer="992" w:gutter="0"/>
          <w:cols w:space="425" w:num="1"/>
          <w:docGrid w:type="lines" w:linePitch="312" w:charSpace="0"/>
        </w:sectPr>
      </w:pPr>
    </w:p>
    <w:p>
      <w:pPr>
        <w:pStyle w:val="8"/>
        <w:jc w:val="center"/>
        <w:rPr>
          <w:rFonts w:hint="default"/>
        </w:rPr>
      </w:pPr>
      <w:bookmarkStart w:id="37" w:name="_Toc8983"/>
      <w:bookmarkStart w:id="38" w:name="_Toc2283"/>
      <w:r>
        <w:t>六、结论</w:t>
      </w:r>
      <w:bookmarkEnd w:id="37"/>
      <w:bookmarkEnd w:id="38"/>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8" w:type="dxa"/>
          </w:tcPr>
          <w:p>
            <w:pPr>
              <w:ind w:firstLine="480"/>
            </w:pPr>
            <w:r>
              <w:rPr>
                <w:rFonts w:hint="eastAsia"/>
                <w:lang w:eastAsia="zh-CN"/>
              </w:rPr>
              <w:t>湖南巨洋科技有限公司</w:t>
            </w:r>
            <w:r>
              <w:rPr>
                <w:rFonts w:hint="eastAsia"/>
              </w:rPr>
              <w:t>位于</w:t>
            </w:r>
            <w:r>
              <w:rPr>
                <w:rFonts w:hint="eastAsia"/>
                <w:lang w:eastAsia="zh-CN"/>
              </w:rPr>
              <w:t>湖南省岳阳市湘阴县洋沙湖镇高新区洋沙湖片区新华路东侧新华标厂1栋101室</w:t>
            </w:r>
            <w:r>
              <w:rPr>
                <w:rFonts w:hint="eastAsia"/>
              </w:rPr>
              <w:t>，符合国家产业政策，其厂址选择符合《湖南省生态环境分区管控总体管控要求暨省级以上产业园区生态环境准入清单》、《湖南湘阴高新技术产业开发区调区扩区规划环境影响报告书》动态更新后的环境准入清单、厂区布局合理。采用的污染防治措施技术可行，可确保废水、废气、噪声达标排放，固废妥善处置。项目投产后具有良好的经济效益和一定的社会效益。只要在工程建设中，严格执行建设项目环境保护“三同时”管理制度，使各项环保治理措施得以落实，在工程运行过程中加强生产安全管理，从环境保护角度论证，本项目的建设是可行的。</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tc>
      </w:tr>
    </w:tbl>
    <w:p>
      <w:pPr>
        <w:ind w:firstLine="0" w:firstLineChars="0"/>
      </w:pPr>
      <w:r>
        <w:br w:type="page"/>
      </w:r>
    </w:p>
    <w:p>
      <w:pPr>
        <w:widowControl/>
        <w:adjustRightInd w:val="0"/>
        <w:snapToGrid w:val="0"/>
        <w:spacing w:line="240" w:lineRule="auto"/>
        <w:ind w:firstLine="0" w:firstLineChars="0"/>
        <w:jc w:val="center"/>
        <w:outlineLvl w:val="1"/>
        <w:rPr>
          <w:rFonts w:hint="eastAsia" w:ascii="方正小标宋_GBK" w:hAnsi="黑体" w:eastAsia="方正小标宋_GBK"/>
          <w:snapToGrid w:val="0"/>
          <w:kern w:val="21"/>
          <w:sz w:val="28"/>
          <w:szCs w:val="28"/>
        </w:rPr>
        <w:sectPr>
          <w:pgSz w:w="11906" w:h="16838"/>
          <w:pgMar w:top="1440" w:right="1417" w:bottom="1440" w:left="1417" w:header="851" w:footer="992" w:gutter="0"/>
          <w:cols w:space="425" w:num="1"/>
          <w:docGrid w:type="lines" w:linePitch="312" w:charSpace="0"/>
        </w:sectPr>
      </w:pPr>
      <w:bookmarkStart w:id="39" w:name="_Toc10270"/>
      <w:bookmarkStart w:id="40" w:name="_Toc6014"/>
      <w:bookmarkStart w:id="41" w:name="_Toc24786"/>
      <w:bookmarkStart w:id="42" w:name="_Toc21707"/>
      <w:bookmarkStart w:id="43" w:name="_Toc22953"/>
      <w:bookmarkStart w:id="44" w:name="_Toc26502"/>
      <w:bookmarkStart w:id="45" w:name="_Toc10778"/>
      <w:bookmarkStart w:id="46" w:name="_Toc24751"/>
      <w:bookmarkStart w:id="47" w:name="_Toc9978"/>
      <w:bookmarkStart w:id="48" w:name="_Toc27784"/>
      <w:bookmarkStart w:id="49" w:name="_Toc1292"/>
      <w:bookmarkStart w:id="50" w:name="_Toc26653"/>
      <w:bookmarkStart w:id="51" w:name="_Toc6083"/>
    </w:p>
    <w:p>
      <w:pPr>
        <w:widowControl/>
        <w:adjustRightInd w:val="0"/>
        <w:snapToGrid w:val="0"/>
        <w:spacing w:line="240" w:lineRule="auto"/>
        <w:ind w:firstLine="0" w:firstLineChars="0"/>
        <w:jc w:val="center"/>
        <w:outlineLvl w:val="1"/>
        <w:rPr>
          <w:rFonts w:hint="eastAsia" w:ascii="方正小标宋_GBK" w:hAnsi="黑体" w:eastAsia="方正小标宋_GBK"/>
          <w:snapToGrid w:val="0"/>
          <w:kern w:val="21"/>
          <w:sz w:val="28"/>
          <w:szCs w:val="28"/>
        </w:rPr>
      </w:pPr>
      <w:r>
        <w:rPr>
          <w:rFonts w:hint="eastAsia" w:ascii="方正小标宋_GBK" w:hAnsi="黑体" w:eastAsia="方正小标宋_GBK"/>
          <w:snapToGrid w:val="0"/>
          <w:kern w:val="21"/>
          <w:sz w:val="28"/>
          <w:szCs w:val="28"/>
        </w:rPr>
        <w:t>建设项目污染物排放量汇总表</w:t>
      </w:r>
      <w:bookmarkEnd w:id="39"/>
      <w:bookmarkEnd w:id="40"/>
      <w:bookmarkEnd w:id="41"/>
      <w:bookmarkEnd w:id="42"/>
      <w:bookmarkEnd w:id="43"/>
      <w:bookmarkEnd w:id="44"/>
      <w:bookmarkEnd w:id="45"/>
      <w:bookmarkEnd w:id="46"/>
      <w:bookmarkEnd w:id="47"/>
      <w:bookmarkEnd w:id="48"/>
      <w:bookmarkEnd w:id="49"/>
      <w:bookmarkEnd w:id="50"/>
      <w:bookmarkEnd w:id="51"/>
    </w:p>
    <w:tbl>
      <w:tblPr>
        <w:tblStyle w:val="23"/>
        <w:tblW w:w="48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45"/>
        <w:gridCol w:w="1021"/>
        <w:gridCol w:w="844"/>
        <w:gridCol w:w="1133"/>
        <w:gridCol w:w="1039"/>
        <w:gridCol w:w="1175"/>
        <w:gridCol w:w="1222"/>
        <w:gridCol w:w="8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 w:hRule="atLeast"/>
          <w:tblHeader/>
          <w:jc w:val="center"/>
        </w:trPr>
        <w:tc>
          <w:tcPr>
            <w:tcW w:w="257" w:type="pct"/>
            <w:tcBorders>
              <w:tl2br w:val="single" w:color="auto" w:sz="4" w:space="0"/>
            </w:tcBorders>
            <w:tcMar>
              <w:left w:w="28" w:type="dxa"/>
              <w:right w:w="28" w:type="dxa"/>
            </w:tcMar>
            <w:vAlign w:val="center"/>
          </w:tcPr>
          <w:p>
            <w:pPr>
              <w:spacing w:line="240" w:lineRule="auto"/>
              <w:ind w:firstLine="0" w:firstLineChars="0"/>
              <w:rPr>
                <w:sz w:val="21"/>
                <w:szCs w:val="21"/>
              </w:rPr>
            </w:pPr>
            <w:r>
              <w:rPr>
                <w:rFonts w:hint="eastAsia"/>
                <w:sz w:val="21"/>
                <w:szCs w:val="21"/>
              </w:rPr>
              <w:t>项目</w:t>
            </w:r>
          </w:p>
          <w:p>
            <w:pPr>
              <w:pStyle w:val="37"/>
              <w:ind w:left="0" w:leftChars="0"/>
              <w:jc w:val="left"/>
            </w:pPr>
            <w:r>
              <w:rPr>
                <w:rFonts w:hint="eastAsia"/>
              </w:rPr>
              <w:t>类别</w:t>
            </w:r>
          </w:p>
        </w:tc>
        <w:tc>
          <w:tcPr>
            <w:tcW w:w="646" w:type="pct"/>
            <w:tcMar>
              <w:left w:w="28" w:type="dxa"/>
              <w:right w:w="28" w:type="dxa"/>
            </w:tcMar>
            <w:vAlign w:val="center"/>
          </w:tcPr>
          <w:p>
            <w:pPr>
              <w:pStyle w:val="37"/>
              <w:ind w:left="0" w:leftChars="0"/>
            </w:pPr>
            <w:r>
              <w:rPr>
                <w:rFonts w:hint="eastAsia"/>
              </w:rPr>
              <w:t>污染物名称</w:t>
            </w:r>
          </w:p>
        </w:tc>
        <w:tc>
          <w:tcPr>
            <w:tcW w:w="576" w:type="pct"/>
            <w:tcMar>
              <w:left w:w="28" w:type="dxa"/>
              <w:right w:w="28" w:type="dxa"/>
            </w:tcMar>
            <w:vAlign w:val="center"/>
          </w:tcPr>
          <w:p>
            <w:pPr>
              <w:pStyle w:val="37"/>
              <w:ind w:left="0" w:leftChars="0"/>
            </w:pPr>
            <w:r>
              <w:t>现有工程</w:t>
            </w:r>
          </w:p>
          <w:p>
            <w:pPr>
              <w:pStyle w:val="37"/>
              <w:ind w:left="0" w:leftChars="0"/>
            </w:pPr>
            <w:r>
              <w:t>排放量（固</w:t>
            </w:r>
            <w:r>
              <w:rPr>
                <w:rFonts w:hint="eastAsia"/>
              </w:rPr>
              <w:t>体</w:t>
            </w:r>
            <w:r>
              <w:t>废</w:t>
            </w:r>
            <w:r>
              <w:rPr>
                <w:rFonts w:hint="eastAsia"/>
              </w:rPr>
              <w:t>物</w:t>
            </w:r>
            <w:r>
              <w:t>产生量）</w:t>
            </w:r>
            <w:r>
              <w:fldChar w:fldCharType="begin"/>
            </w:r>
            <w:r>
              <w:instrText xml:space="preserve"> = 1 \* GB3 \* MERGEFORMAT </w:instrText>
            </w:r>
            <w:r>
              <w:fldChar w:fldCharType="separate"/>
            </w:r>
            <w:r>
              <w:rPr>
                <w:rFonts w:hint="eastAsia"/>
              </w:rPr>
              <w:t>①</w:t>
            </w:r>
            <w:r>
              <w:fldChar w:fldCharType="end"/>
            </w:r>
          </w:p>
        </w:tc>
        <w:tc>
          <w:tcPr>
            <w:tcW w:w="476" w:type="pct"/>
            <w:tcMar>
              <w:left w:w="28" w:type="dxa"/>
              <w:right w:w="28" w:type="dxa"/>
            </w:tcMar>
            <w:vAlign w:val="center"/>
          </w:tcPr>
          <w:p>
            <w:pPr>
              <w:pStyle w:val="37"/>
              <w:ind w:left="0" w:leftChars="0"/>
            </w:pPr>
            <w:r>
              <w:t>现有工程</w:t>
            </w:r>
          </w:p>
          <w:p>
            <w:pPr>
              <w:pStyle w:val="37"/>
              <w:ind w:left="0" w:leftChars="0"/>
            </w:pPr>
            <w:r>
              <w:t>许可排放量</w:t>
            </w:r>
          </w:p>
          <w:p>
            <w:pPr>
              <w:pStyle w:val="37"/>
              <w:ind w:left="0" w:leftChars="0"/>
            </w:pPr>
            <w:r>
              <w:fldChar w:fldCharType="begin"/>
            </w:r>
            <w:r>
              <w:instrText xml:space="preserve"> = 2 \* GB3 \* MERGEFORMAT </w:instrText>
            </w:r>
            <w:r>
              <w:fldChar w:fldCharType="separate"/>
            </w:r>
            <w:r>
              <w:rPr>
                <w:rFonts w:hint="eastAsia"/>
              </w:rPr>
              <w:t>②</w:t>
            </w:r>
            <w:r>
              <w:fldChar w:fldCharType="end"/>
            </w:r>
          </w:p>
        </w:tc>
        <w:tc>
          <w:tcPr>
            <w:tcW w:w="639" w:type="pct"/>
            <w:tcMar>
              <w:left w:w="28" w:type="dxa"/>
              <w:right w:w="28" w:type="dxa"/>
            </w:tcMar>
            <w:vAlign w:val="center"/>
          </w:tcPr>
          <w:p>
            <w:pPr>
              <w:pStyle w:val="37"/>
              <w:ind w:left="0" w:leftChars="0"/>
            </w:pPr>
            <w:r>
              <w:t>在建工程</w:t>
            </w:r>
          </w:p>
          <w:p>
            <w:pPr>
              <w:pStyle w:val="37"/>
              <w:ind w:left="0" w:leftChars="0"/>
            </w:pPr>
            <w:r>
              <w:t>排放量（固</w:t>
            </w:r>
            <w:r>
              <w:rPr>
                <w:rFonts w:hint="eastAsia"/>
              </w:rPr>
              <w:t>体</w:t>
            </w:r>
            <w:r>
              <w:t>废</w:t>
            </w:r>
            <w:r>
              <w:rPr>
                <w:rFonts w:hint="eastAsia"/>
              </w:rPr>
              <w:t>物</w:t>
            </w:r>
            <w:r>
              <w:t>产生量）</w:t>
            </w:r>
            <w:r>
              <w:fldChar w:fldCharType="begin"/>
            </w:r>
            <w:r>
              <w:instrText xml:space="preserve"> = 3 \* GB3 \* MERGEFORMAT </w:instrText>
            </w:r>
            <w:r>
              <w:fldChar w:fldCharType="separate"/>
            </w:r>
            <w:r>
              <w:rPr>
                <w:rFonts w:hint="eastAsia"/>
              </w:rPr>
              <w:t>③</w:t>
            </w:r>
            <w:r>
              <w:fldChar w:fldCharType="end"/>
            </w:r>
          </w:p>
        </w:tc>
        <w:tc>
          <w:tcPr>
            <w:tcW w:w="586" w:type="pct"/>
            <w:tcMar>
              <w:left w:w="28" w:type="dxa"/>
              <w:right w:w="28" w:type="dxa"/>
            </w:tcMar>
            <w:vAlign w:val="center"/>
          </w:tcPr>
          <w:p>
            <w:pPr>
              <w:pStyle w:val="37"/>
              <w:ind w:left="0" w:leftChars="0"/>
            </w:pPr>
            <w:r>
              <w:t>本项目</w:t>
            </w:r>
          </w:p>
          <w:p>
            <w:pPr>
              <w:pStyle w:val="37"/>
              <w:ind w:left="0" w:leftChars="0"/>
            </w:pPr>
            <w:r>
              <w:t>排放量（固</w:t>
            </w:r>
            <w:r>
              <w:rPr>
                <w:rFonts w:hint="eastAsia"/>
              </w:rPr>
              <w:t>体</w:t>
            </w:r>
            <w:r>
              <w:t>废</w:t>
            </w:r>
            <w:r>
              <w:rPr>
                <w:rFonts w:hint="eastAsia"/>
              </w:rPr>
              <w:t>物</w:t>
            </w:r>
            <w:r>
              <w:t>产生量）</w:t>
            </w:r>
            <w:r>
              <w:fldChar w:fldCharType="begin"/>
            </w:r>
            <w:r>
              <w:instrText xml:space="preserve"> = 4 \* GB3 \* MERGEFORMAT </w:instrText>
            </w:r>
            <w:r>
              <w:fldChar w:fldCharType="separate"/>
            </w:r>
            <w:r>
              <w:rPr>
                <w:rFonts w:hint="eastAsia"/>
              </w:rPr>
              <w:t>④</w:t>
            </w:r>
            <w:r>
              <w:fldChar w:fldCharType="end"/>
            </w:r>
          </w:p>
        </w:tc>
        <w:tc>
          <w:tcPr>
            <w:tcW w:w="663" w:type="pct"/>
            <w:tcMar>
              <w:left w:w="28" w:type="dxa"/>
              <w:right w:w="28" w:type="dxa"/>
            </w:tcMar>
            <w:vAlign w:val="center"/>
          </w:tcPr>
          <w:p>
            <w:pPr>
              <w:pStyle w:val="37"/>
              <w:ind w:left="0" w:leftChars="0"/>
            </w:pPr>
            <w:r>
              <w:t>以新带老削减量</w:t>
            </w:r>
          </w:p>
          <w:p>
            <w:pPr>
              <w:pStyle w:val="37"/>
              <w:ind w:left="0" w:leftChars="0"/>
            </w:pPr>
            <w:r>
              <w:t>（新建项目不填）</w:t>
            </w:r>
            <w:r>
              <w:fldChar w:fldCharType="begin"/>
            </w:r>
            <w:r>
              <w:instrText xml:space="preserve"> = 5 \* GB3 \* MERGEFORMAT </w:instrText>
            </w:r>
            <w:r>
              <w:fldChar w:fldCharType="separate"/>
            </w:r>
            <w:r>
              <w:rPr>
                <w:rFonts w:hint="eastAsia"/>
              </w:rPr>
              <w:t>⑤</w:t>
            </w:r>
            <w:r>
              <w:fldChar w:fldCharType="end"/>
            </w:r>
          </w:p>
        </w:tc>
        <w:tc>
          <w:tcPr>
            <w:tcW w:w="690" w:type="pct"/>
            <w:tcMar>
              <w:left w:w="28" w:type="dxa"/>
              <w:right w:w="28" w:type="dxa"/>
            </w:tcMar>
            <w:vAlign w:val="center"/>
          </w:tcPr>
          <w:p>
            <w:pPr>
              <w:pStyle w:val="37"/>
              <w:ind w:left="0" w:leftChars="0"/>
            </w:pPr>
            <w:r>
              <w:t>本项目建成后</w:t>
            </w:r>
          </w:p>
          <w:p>
            <w:pPr>
              <w:pStyle w:val="37"/>
              <w:ind w:left="0" w:leftChars="0"/>
            </w:pPr>
            <w:r>
              <w:rPr>
                <w:rFonts w:hint="eastAsia"/>
              </w:rPr>
              <w:t>全厂</w:t>
            </w:r>
            <w:r>
              <w:t>排放量（固</w:t>
            </w:r>
            <w:r>
              <w:rPr>
                <w:rFonts w:hint="eastAsia"/>
              </w:rPr>
              <w:t>体</w:t>
            </w:r>
            <w:r>
              <w:t>废</w:t>
            </w:r>
            <w:r>
              <w:rPr>
                <w:rFonts w:hint="eastAsia"/>
              </w:rPr>
              <w:t>物</w:t>
            </w:r>
            <w:r>
              <w:t>产生量）</w:t>
            </w:r>
            <w:r>
              <w:fldChar w:fldCharType="begin"/>
            </w:r>
            <w:r>
              <w:instrText xml:space="preserve"> = 6 \* GB3 \* MERGEFORMAT </w:instrText>
            </w:r>
            <w:r>
              <w:fldChar w:fldCharType="separate"/>
            </w:r>
            <w:r>
              <w:rPr>
                <w:rFonts w:hint="eastAsia"/>
              </w:rPr>
              <w:t>⑥</w:t>
            </w:r>
            <w:r>
              <w:fldChar w:fldCharType="end"/>
            </w:r>
          </w:p>
        </w:tc>
        <w:tc>
          <w:tcPr>
            <w:tcW w:w="462" w:type="pct"/>
            <w:tcMar>
              <w:left w:w="28" w:type="dxa"/>
              <w:right w:w="28" w:type="dxa"/>
            </w:tcMar>
            <w:vAlign w:val="center"/>
          </w:tcPr>
          <w:p>
            <w:pPr>
              <w:pStyle w:val="37"/>
              <w:ind w:left="0" w:leftChars="0"/>
            </w:pPr>
            <w:r>
              <w:t>变化量</w:t>
            </w:r>
          </w:p>
          <w:p>
            <w:pPr>
              <w:pStyle w:val="37"/>
              <w:ind w:left="0" w:leftChars="0"/>
            </w:pPr>
            <w:r>
              <w:fldChar w:fldCharType="begin"/>
            </w:r>
            <w:r>
              <w:instrText xml:space="preserve"> = 7 \* GB3 \* MERGEFORMAT </w:instrText>
            </w:r>
            <w:r>
              <w:fldChar w:fldCharType="separate"/>
            </w:r>
            <w:r>
              <w:rPr>
                <w:rFonts w:hint="eastAsia"/>
              </w:rPr>
              <w:t>⑦</w:t>
            </w:r>
            <w: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64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废水量</w:t>
            </w:r>
          </w:p>
        </w:tc>
        <w:tc>
          <w:tcPr>
            <w:tcW w:w="5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4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39"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586" w:type="pct"/>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564.8</w:t>
            </w:r>
          </w:p>
        </w:tc>
        <w:tc>
          <w:tcPr>
            <w:tcW w:w="663"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564.8</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+564.8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rPr>
                <w:color w:val="000000" w:themeColor="text1"/>
                <w14:textFill>
                  <w14:solidFill>
                    <w14:schemeClr w14:val="tx1"/>
                  </w14:solidFill>
                </w14:textFill>
              </w:rPr>
            </w:pPr>
          </w:p>
        </w:tc>
        <w:tc>
          <w:tcPr>
            <w:tcW w:w="1758" w:type="dxa"/>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CODcr</w:t>
            </w:r>
          </w:p>
        </w:tc>
        <w:tc>
          <w:tcPr>
            <w:tcW w:w="5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4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39"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1595" w:type="dxa"/>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0.114 </w:t>
            </w:r>
          </w:p>
        </w:tc>
        <w:tc>
          <w:tcPr>
            <w:tcW w:w="663"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0.114 </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+0.114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rPr>
                <w:color w:val="000000" w:themeColor="text1"/>
                <w14:textFill>
                  <w14:solidFill>
                    <w14:schemeClr w14:val="tx1"/>
                  </w14:solidFill>
                </w14:textFill>
              </w:rPr>
            </w:pPr>
          </w:p>
        </w:tc>
        <w:tc>
          <w:tcPr>
            <w:tcW w:w="1758" w:type="dxa"/>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BOD</w:t>
            </w:r>
            <w:r>
              <w:rPr>
                <w:rFonts w:hint="default" w:ascii="Times New Roman" w:hAnsi="Times New Roman" w:eastAsia="宋体" w:cs="Times New Roman"/>
                <w:sz w:val="21"/>
                <w:szCs w:val="21"/>
                <w:u w:val="none"/>
                <w:vertAlign w:val="subscript"/>
                <w:lang w:val="en-US" w:eastAsia="zh-CN"/>
              </w:rPr>
              <w:t>5</w:t>
            </w:r>
          </w:p>
        </w:tc>
        <w:tc>
          <w:tcPr>
            <w:tcW w:w="5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4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39"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1595" w:type="dxa"/>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0.073 </w:t>
            </w:r>
          </w:p>
        </w:tc>
        <w:tc>
          <w:tcPr>
            <w:tcW w:w="663"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0.073 </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+0.073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rPr>
                <w:color w:val="000000" w:themeColor="text1"/>
                <w14:textFill>
                  <w14:solidFill>
                    <w14:schemeClr w14:val="tx1"/>
                  </w14:solidFill>
                </w14:textFill>
              </w:rPr>
            </w:pPr>
          </w:p>
        </w:tc>
        <w:tc>
          <w:tcPr>
            <w:tcW w:w="1758" w:type="dxa"/>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NH</w:t>
            </w:r>
            <w:r>
              <w:rPr>
                <w:rFonts w:hint="default" w:ascii="Times New Roman" w:hAnsi="Times New Roman" w:eastAsia="宋体" w:cs="Times New Roman"/>
                <w:sz w:val="21"/>
                <w:szCs w:val="21"/>
                <w:u w:val="none"/>
                <w:vertAlign w:val="subscript"/>
                <w:lang w:val="en-US" w:eastAsia="zh-CN"/>
              </w:rPr>
              <w:t>3</w:t>
            </w:r>
            <w:r>
              <w:rPr>
                <w:rFonts w:hint="default" w:ascii="Times New Roman" w:hAnsi="Times New Roman" w:eastAsia="宋体" w:cs="Times New Roman"/>
                <w:sz w:val="21"/>
                <w:szCs w:val="21"/>
                <w:u w:val="none"/>
                <w:lang w:val="en-US" w:eastAsia="zh-CN"/>
              </w:rPr>
              <w:t>-N</w:t>
            </w:r>
          </w:p>
        </w:tc>
        <w:tc>
          <w:tcPr>
            <w:tcW w:w="5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4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39"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1595" w:type="dxa"/>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0.009 </w:t>
            </w:r>
          </w:p>
        </w:tc>
        <w:tc>
          <w:tcPr>
            <w:tcW w:w="663"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0.009 </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+0.009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rPr>
                <w:color w:val="000000" w:themeColor="text1"/>
                <w14:textFill>
                  <w14:solidFill>
                    <w14:schemeClr w14:val="tx1"/>
                  </w14:solidFill>
                </w14:textFill>
              </w:rPr>
            </w:pPr>
          </w:p>
        </w:tc>
        <w:tc>
          <w:tcPr>
            <w:tcW w:w="1758" w:type="dxa"/>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SS</w:t>
            </w:r>
          </w:p>
        </w:tc>
        <w:tc>
          <w:tcPr>
            <w:tcW w:w="5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4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39"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1595" w:type="dxa"/>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0.057 </w:t>
            </w:r>
          </w:p>
        </w:tc>
        <w:tc>
          <w:tcPr>
            <w:tcW w:w="663"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0.057 </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+0.057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646" w:type="pct"/>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VOCs</w:t>
            </w:r>
          </w:p>
        </w:tc>
        <w:tc>
          <w:tcPr>
            <w:tcW w:w="5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4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39"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586" w:type="pct"/>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0.975</w:t>
            </w:r>
          </w:p>
        </w:tc>
        <w:tc>
          <w:tcPr>
            <w:tcW w:w="663"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90" w:type="pct"/>
            <w:shd w:val="clear" w:color="auto" w:fill="auto"/>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0.975</w:t>
            </w:r>
          </w:p>
        </w:tc>
        <w:tc>
          <w:tcPr>
            <w:tcW w:w="462" w:type="pct"/>
            <w:shd w:val="clear" w:color="auto" w:fill="auto"/>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+0.975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57" w:type="pct"/>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w:t>
            </w:r>
          </w:p>
        </w:tc>
        <w:tc>
          <w:tcPr>
            <w:tcW w:w="64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生活垃圾</w:t>
            </w:r>
          </w:p>
        </w:tc>
        <w:tc>
          <w:tcPr>
            <w:tcW w:w="5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4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39"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586" w:type="pct"/>
            <w:shd w:val="clear" w:color="auto" w:fill="auto"/>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2.55</w:t>
            </w:r>
          </w:p>
        </w:tc>
        <w:tc>
          <w:tcPr>
            <w:tcW w:w="663"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90" w:type="pct"/>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2.55</w:t>
            </w:r>
          </w:p>
        </w:tc>
        <w:tc>
          <w:tcPr>
            <w:tcW w:w="462" w:type="pct"/>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+2.55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rPr>
                <w:color w:val="000000" w:themeColor="text1"/>
                <w14:textFill>
                  <w14:solidFill>
                    <w14:schemeClr w14:val="tx1"/>
                  </w14:solidFill>
                </w14:textFill>
              </w:rPr>
            </w:pPr>
          </w:p>
        </w:tc>
        <w:tc>
          <w:tcPr>
            <w:tcW w:w="646" w:type="pct"/>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废包装材料</w:t>
            </w:r>
          </w:p>
        </w:tc>
        <w:tc>
          <w:tcPr>
            <w:tcW w:w="5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4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39"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586" w:type="pct"/>
            <w:shd w:val="clear" w:color="auto" w:fill="auto"/>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0.8</w:t>
            </w:r>
          </w:p>
        </w:tc>
        <w:tc>
          <w:tcPr>
            <w:tcW w:w="663"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90" w:type="pct"/>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0.8</w:t>
            </w:r>
          </w:p>
        </w:tc>
        <w:tc>
          <w:tcPr>
            <w:tcW w:w="462" w:type="pct"/>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rPr>
                <w:color w:val="000000" w:themeColor="text1"/>
                <w14:textFill>
                  <w14:solidFill>
                    <w14:schemeClr w14:val="tx1"/>
                  </w14:solidFill>
                </w14:textFill>
              </w:rPr>
            </w:pPr>
          </w:p>
        </w:tc>
        <w:tc>
          <w:tcPr>
            <w:tcW w:w="646" w:type="pct"/>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废边角料及不合格产品</w:t>
            </w:r>
          </w:p>
        </w:tc>
        <w:tc>
          <w:tcPr>
            <w:tcW w:w="5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476"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39"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586" w:type="pct"/>
            <w:shd w:val="clear" w:color="auto" w:fill="auto"/>
            <w:vAlign w:val="center"/>
          </w:tcPr>
          <w:p>
            <w:pPr>
              <w:pStyle w:val="37"/>
              <w:spacing w:line="240" w:lineRule="auto"/>
              <w:ind w:left="0" w:leftChars="0" w:firstLine="0" w:firstLineChars="0"/>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1.8</w:t>
            </w:r>
          </w:p>
        </w:tc>
        <w:tc>
          <w:tcPr>
            <w:tcW w:w="663" w:type="pct"/>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w:t>
            </w:r>
          </w:p>
        </w:tc>
        <w:tc>
          <w:tcPr>
            <w:tcW w:w="690" w:type="pct"/>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1.8</w:t>
            </w:r>
          </w:p>
        </w:tc>
        <w:tc>
          <w:tcPr>
            <w:tcW w:w="462" w:type="pct"/>
            <w:shd w:val="clear" w:color="auto" w:fill="auto"/>
            <w:vAlign w:val="center"/>
          </w:tcPr>
          <w:p>
            <w:pPr>
              <w:pStyle w:val="37"/>
              <w:spacing w:line="240" w:lineRule="auto"/>
              <w:ind w:left="0" w:leftChars="0" w:firstLine="0" w:firstLineChars="0"/>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restart"/>
            <w:vAlign w:val="center"/>
          </w:tcPr>
          <w:p>
            <w:pPr>
              <w:pStyle w:val="37"/>
              <w:ind w:left="0" w:leftChars="0"/>
            </w:pPr>
            <w:r>
              <w:rPr>
                <w:rFonts w:hint="eastAsia"/>
              </w:rPr>
              <w:t>危险废物</w:t>
            </w:r>
          </w:p>
        </w:tc>
        <w:tc>
          <w:tcPr>
            <w:tcW w:w="646" w:type="pct"/>
            <w:vAlign w:val="center"/>
          </w:tcPr>
          <w:p>
            <w:pPr>
              <w:pStyle w:val="37"/>
              <w:spacing w:line="240" w:lineRule="auto"/>
              <w:ind w:left="0" w:leftChars="0" w:firstLine="0" w:firstLineChars="0"/>
              <w:rPr>
                <w:rFonts w:hint="default" w:eastAsia="宋体"/>
                <w:lang w:val="en-US" w:eastAsia="zh-CN"/>
              </w:rPr>
            </w:pPr>
            <w:r>
              <w:rPr>
                <w:rFonts w:hint="eastAsia"/>
                <w:sz w:val="21"/>
                <w:szCs w:val="21"/>
                <w:u w:val="none"/>
              </w:rPr>
              <w:t>废水性涂料</w:t>
            </w:r>
          </w:p>
        </w:tc>
        <w:tc>
          <w:tcPr>
            <w:tcW w:w="1567" w:type="dxa"/>
            <w:vAlign w:val="center"/>
          </w:tcPr>
          <w:p>
            <w:pPr>
              <w:pStyle w:val="37"/>
              <w:ind w:left="0" w:leftChars="0" w:firstLine="0" w:firstLineChars="0"/>
            </w:pPr>
            <w:r>
              <w:rPr>
                <w:rFonts w:hint="eastAsia"/>
                <w:color w:val="000000" w:themeColor="text1"/>
                <w14:textFill>
                  <w14:solidFill>
                    <w14:schemeClr w14:val="tx1"/>
                  </w14:solidFill>
                </w14:textFill>
              </w:rPr>
              <w:t>/</w:t>
            </w:r>
          </w:p>
        </w:tc>
        <w:tc>
          <w:tcPr>
            <w:tcW w:w="476" w:type="pct"/>
            <w:vAlign w:val="center"/>
          </w:tcPr>
          <w:p>
            <w:pPr>
              <w:pStyle w:val="37"/>
              <w:ind w:left="0" w:leftChars="0"/>
            </w:pPr>
            <w:r>
              <w:rPr>
                <w:rFonts w:hint="eastAsia"/>
              </w:rPr>
              <w:t>/</w:t>
            </w:r>
          </w:p>
        </w:tc>
        <w:tc>
          <w:tcPr>
            <w:tcW w:w="639" w:type="pct"/>
            <w:vAlign w:val="center"/>
          </w:tcPr>
          <w:p>
            <w:pPr>
              <w:pStyle w:val="37"/>
              <w:ind w:left="0" w:leftChars="0"/>
            </w:pPr>
            <w:r>
              <w:rPr>
                <w:rFonts w:hint="eastAsia"/>
              </w:rPr>
              <w:t>/</w:t>
            </w:r>
          </w:p>
        </w:tc>
        <w:tc>
          <w:tcPr>
            <w:tcW w:w="1595" w:type="dxa"/>
            <w:shd w:val="clear" w:color="auto" w:fill="auto"/>
            <w:vAlign w:val="center"/>
          </w:tcPr>
          <w:p>
            <w:pPr>
              <w:pStyle w:val="37"/>
              <w:spacing w:line="240" w:lineRule="auto"/>
              <w:ind w:left="0" w:leftChars="0" w:firstLine="0" w:firstLineChars="0"/>
              <w:rPr>
                <w:rFonts w:hint="default" w:ascii="Times New Roman" w:hAnsi="Times New Roman" w:eastAsia="宋体" w:cs="Times New Roman"/>
                <w:color w:val="000000"/>
                <w:kern w:val="0"/>
                <w:sz w:val="21"/>
                <w:szCs w:val="21"/>
                <w:lang w:val="en-US" w:eastAsia="zh-CN" w:bidi="ar"/>
              </w:rPr>
            </w:pPr>
            <w:r>
              <w:rPr>
                <w:rFonts w:hint="eastAsia"/>
                <w:sz w:val="21"/>
                <w:szCs w:val="21"/>
                <w:u w:val="none"/>
              </w:rPr>
              <w:t>0.</w:t>
            </w:r>
            <w:r>
              <w:rPr>
                <w:rFonts w:hint="eastAsia"/>
                <w:sz w:val="21"/>
                <w:szCs w:val="21"/>
                <w:u w:val="none"/>
                <w:lang w:val="en-US" w:eastAsia="zh-CN"/>
              </w:rPr>
              <w:t>1</w:t>
            </w:r>
          </w:p>
        </w:tc>
        <w:tc>
          <w:tcPr>
            <w:tcW w:w="1804" w:type="dxa"/>
            <w:vAlign w:val="center"/>
          </w:tcPr>
          <w:p>
            <w:pPr>
              <w:pStyle w:val="37"/>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color w:val="000000" w:themeColor="text1"/>
                <w14:textFill>
                  <w14:solidFill>
                    <w14:schemeClr w14:val="tx1"/>
                  </w14:solidFill>
                </w14:textFill>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rPr>
              <w:t>0.</w:t>
            </w:r>
            <w:r>
              <w:rPr>
                <w:rFonts w:hint="eastAsia"/>
                <w:sz w:val="21"/>
                <w:szCs w:val="21"/>
                <w:u w:val="none"/>
                <w:lang w:val="en-US" w:eastAsia="zh-CN"/>
              </w:rPr>
              <w:t>1</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w:t>
            </w:r>
            <w:r>
              <w:rPr>
                <w:rFonts w:hint="eastAsia"/>
                <w:sz w:val="21"/>
                <w:szCs w:val="21"/>
                <w:u w:val="none"/>
              </w:rPr>
              <w:t>0.</w:t>
            </w:r>
            <w:r>
              <w:rPr>
                <w:rFonts w:hint="eastAsia"/>
                <w:sz w:val="21"/>
                <w:szCs w:val="21"/>
                <w:u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pPr>
          </w:p>
        </w:tc>
        <w:tc>
          <w:tcPr>
            <w:tcW w:w="646" w:type="pct"/>
            <w:vAlign w:val="center"/>
          </w:tcPr>
          <w:p>
            <w:pPr>
              <w:pStyle w:val="37"/>
              <w:spacing w:line="240" w:lineRule="auto"/>
              <w:ind w:left="0" w:leftChars="0" w:firstLine="0" w:firstLineChars="0"/>
              <w:rPr>
                <w:rFonts w:hint="eastAsia"/>
                <w:lang w:val="en-US" w:eastAsia="zh-CN"/>
              </w:rPr>
            </w:pPr>
            <w:r>
              <w:rPr>
                <w:rFonts w:hint="eastAsia"/>
                <w:sz w:val="21"/>
                <w:szCs w:val="21"/>
                <w:u w:val="none"/>
              </w:rPr>
              <w:t>废水性涂料桶、废抹布手套</w:t>
            </w:r>
          </w:p>
        </w:tc>
        <w:tc>
          <w:tcPr>
            <w:tcW w:w="1567" w:type="dxa"/>
            <w:vAlign w:val="center"/>
          </w:tcPr>
          <w:p>
            <w:pPr>
              <w:pStyle w:val="37"/>
              <w:ind w:left="0" w:leftChars="0" w:firstLine="0" w:firstLineChars="0"/>
              <w:rPr>
                <w:rFonts w:hint="eastAsia"/>
              </w:rPr>
            </w:pPr>
            <w:r>
              <w:rPr>
                <w:rFonts w:hint="eastAsia"/>
                <w:color w:val="000000" w:themeColor="text1"/>
                <w14:textFill>
                  <w14:solidFill>
                    <w14:schemeClr w14:val="tx1"/>
                  </w14:solidFill>
                </w14:textFill>
              </w:rPr>
              <w:t>/</w:t>
            </w:r>
          </w:p>
        </w:tc>
        <w:tc>
          <w:tcPr>
            <w:tcW w:w="476" w:type="pct"/>
            <w:vAlign w:val="center"/>
          </w:tcPr>
          <w:p>
            <w:pPr>
              <w:pStyle w:val="37"/>
              <w:ind w:left="0" w:leftChars="0" w:firstLine="0" w:firstLineChars="0"/>
              <w:rPr>
                <w:rFonts w:hint="eastAsia"/>
              </w:rPr>
            </w:pPr>
            <w:r>
              <w:rPr>
                <w:rFonts w:hint="eastAsia"/>
              </w:rPr>
              <w:t>/</w:t>
            </w:r>
          </w:p>
        </w:tc>
        <w:tc>
          <w:tcPr>
            <w:tcW w:w="639" w:type="pct"/>
            <w:vAlign w:val="center"/>
          </w:tcPr>
          <w:p>
            <w:pPr>
              <w:pStyle w:val="37"/>
              <w:ind w:left="0" w:leftChars="0" w:firstLine="0" w:firstLineChars="0"/>
              <w:rPr>
                <w:rFonts w:hint="eastAsia"/>
              </w:rPr>
            </w:pPr>
            <w:r>
              <w:rPr>
                <w:rFonts w:hint="eastAsia"/>
              </w:rPr>
              <w:t>/</w:t>
            </w:r>
          </w:p>
        </w:tc>
        <w:tc>
          <w:tcPr>
            <w:tcW w:w="1595"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0.11</w:t>
            </w:r>
          </w:p>
        </w:tc>
        <w:tc>
          <w:tcPr>
            <w:tcW w:w="1804" w:type="dxa"/>
            <w:vAlign w:val="center"/>
          </w:tcPr>
          <w:p>
            <w:pPr>
              <w:pStyle w:val="37"/>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color w:val="000000" w:themeColor="text1"/>
                <w14:textFill>
                  <w14:solidFill>
                    <w14:schemeClr w14:val="tx1"/>
                  </w14:solidFill>
                </w14:textFill>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0.11</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pPr>
          </w:p>
        </w:tc>
        <w:tc>
          <w:tcPr>
            <w:tcW w:w="646" w:type="pct"/>
            <w:vAlign w:val="center"/>
          </w:tcPr>
          <w:p>
            <w:pPr>
              <w:pStyle w:val="37"/>
              <w:spacing w:line="240" w:lineRule="auto"/>
              <w:ind w:left="0" w:leftChars="0" w:firstLine="0" w:firstLineChars="0"/>
              <w:rPr>
                <w:rFonts w:hint="eastAsia"/>
                <w:lang w:val="en-US" w:eastAsia="zh-CN"/>
              </w:rPr>
            </w:pPr>
            <w:r>
              <w:rPr>
                <w:rFonts w:hint="default" w:ascii="Times New Roman" w:hAnsi="Times New Roman" w:eastAsia="宋体" w:cs="Times New Roman"/>
                <w:bCs/>
                <w:color w:val="000000"/>
                <w:sz w:val="21"/>
                <w:szCs w:val="21"/>
                <w:lang w:val="en-US" w:eastAsia="zh-CN"/>
              </w:rPr>
              <w:t>废</w:t>
            </w:r>
            <w:r>
              <w:rPr>
                <w:rFonts w:hint="eastAsia" w:cs="Times New Roman"/>
                <w:bCs/>
                <w:color w:val="000000"/>
                <w:sz w:val="21"/>
                <w:szCs w:val="21"/>
                <w:lang w:val="en-US" w:eastAsia="zh-CN"/>
              </w:rPr>
              <w:t>机</w:t>
            </w:r>
            <w:r>
              <w:rPr>
                <w:rFonts w:hint="eastAsia" w:ascii="Times New Roman" w:hAnsi="Times New Roman" w:eastAsia="宋体" w:cs="Times New Roman"/>
                <w:bCs/>
                <w:color w:val="000000"/>
                <w:sz w:val="21"/>
                <w:szCs w:val="21"/>
                <w:lang w:val="en-US" w:eastAsia="zh-CN"/>
              </w:rPr>
              <w:t>油</w:t>
            </w:r>
          </w:p>
        </w:tc>
        <w:tc>
          <w:tcPr>
            <w:tcW w:w="1567" w:type="dxa"/>
            <w:vAlign w:val="center"/>
          </w:tcPr>
          <w:p>
            <w:pPr>
              <w:pStyle w:val="37"/>
              <w:ind w:left="0" w:leftChars="0" w:firstLine="0" w:firstLineChars="0"/>
              <w:rPr>
                <w:rFonts w:hint="eastAsia"/>
              </w:rPr>
            </w:pPr>
            <w:r>
              <w:rPr>
                <w:rFonts w:hint="eastAsia"/>
                <w:color w:val="000000" w:themeColor="text1"/>
                <w14:textFill>
                  <w14:solidFill>
                    <w14:schemeClr w14:val="tx1"/>
                  </w14:solidFill>
                </w14:textFill>
              </w:rPr>
              <w:t>/</w:t>
            </w:r>
          </w:p>
        </w:tc>
        <w:tc>
          <w:tcPr>
            <w:tcW w:w="476" w:type="pct"/>
            <w:vAlign w:val="center"/>
          </w:tcPr>
          <w:p>
            <w:pPr>
              <w:pStyle w:val="37"/>
              <w:ind w:left="0" w:leftChars="0" w:firstLine="0" w:firstLineChars="0"/>
              <w:rPr>
                <w:rFonts w:hint="eastAsia"/>
              </w:rPr>
            </w:pPr>
            <w:r>
              <w:rPr>
                <w:rFonts w:hint="eastAsia"/>
              </w:rPr>
              <w:t>/</w:t>
            </w:r>
          </w:p>
        </w:tc>
        <w:tc>
          <w:tcPr>
            <w:tcW w:w="639" w:type="pct"/>
            <w:vAlign w:val="center"/>
          </w:tcPr>
          <w:p>
            <w:pPr>
              <w:pStyle w:val="37"/>
              <w:ind w:left="0" w:leftChars="0" w:firstLine="0" w:firstLineChars="0"/>
              <w:rPr>
                <w:rFonts w:hint="eastAsia"/>
              </w:rPr>
            </w:pPr>
            <w:r>
              <w:rPr>
                <w:rFonts w:hint="eastAsia"/>
              </w:rPr>
              <w:t>/</w:t>
            </w:r>
          </w:p>
        </w:tc>
        <w:tc>
          <w:tcPr>
            <w:tcW w:w="1595"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0.01</w:t>
            </w:r>
          </w:p>
        </w:tc>
        <w:tc>
          <w:tcPr>
            <w:tcW w:w="1804" w:type="dxa"/>
            <w:vAlign w:val="center"/>
          </w:tcPr>
          <w:p>
            <w:pPr>
              <w:pStyle w:val="37"/>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color w:val="000000" w:themeColor="text1"/>
                <w14:textFill>
                  <w14:solidFill>
                    <w14:schemeClr w14:val="tx1"/>
                  </w14:solidFill>
                </w14:textFill>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0.01</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pPr>
          </w:p>
        </w:tc>
        <w:tc>
          <w:tcPr>
            <w:tcW w:w="646" w:type="pct"/>
            <w:vAlign w:val="center"/>
          </w:tcPr>
          <w:p>
            <w:pPr>
              <w:pStyle w:val="37"/>
              <w:spacing w:line="240" w:lineRule="auto"/>
              <w:ind w:left="0" w:leftChars="0" w:firstLine="0" w:firstLineChars="0"/>
              <w:rPr>
                <w:rFonts w:hint="eastAsia"/>
                <w:lang w:val="en-US" w:eastAsia="zh-CN"/>
              </w:rPr>
            </w:pPr>
            <w:r>
              <w:rPr>
                <w:rFonts w:hint="default" w:ascii="Times New Roman" w:hAnsi="Times New Roman" w:eastAsia="宋体" w:cs="Times New Roman"/>
                <w:bCs/>
                <w:color w:val="000000"/>
                <w:sz w:val="21"/>
                <w:szCs w:val="21"/>
                <w:lang w:val="en-US" w:eastAsia="zh-CN"/>
              </w:rPr>
              <w:t>废</w:t>
            </w:r>
            <w:r>
              <w:rPr>
                <w:rFonts w:hint="eastAsia" w:cs="Times New Roman"/>
                <w:bCs/>
                <w:color w:val="000000"/>
                <w:sz w:val="21"/>
                <w:szCs w:val="21"/>
                <w:lang w:val="en-US" w:eastAsia="zh-CN"/>
              </w:rPr>
              <w:t>机</w:t>
            </w:r>
            <w:r>
              <w:rPr>
                <w:rFonts w:hint="eastAsia" w:ascii="Times New Roman" w:hAnsi="Times New Roman" w:eastAsia="宋体" w:cs="Times New Roman"/>
                <w:bCs/>
                <w:color w:val="000000"/>
                <w:sz w:val="21"/>
                <w:szCs w:val="21"/>
                <w:lang w:val="en-US" w:eastAsia="zh-CN"/>
              </w:rPr>
              <w:t>油桶</w:t>
            </w:r>
          </w:p>
        </w:tc>
        <w:tc>
          <w:tcPr>
            <w:tcW w:w="1567" w:type="dxa"/>
            <w:vAlign w:val="center"/>
          </w:tcPr>
          <w:p>
            <w:pPr>
              <w:spacing w:line="240" w:lineRule="auto"/>
              <w:ind w:firstLine="0" w:firstLineChars="0"/>
              <w:jc w:val="center"/>
              <w:rPr>
                <w:rFonts w:hint="eastAsia"/>
              </w:rPr>
            </w:pPr>
            <w:r>
              <w:rPr>
                <w:rFonts w:hint="eastAsia"/>
                <w:color w:val="000000" w:themeColor="text1"/>
                <w:sz w:val="21"/>
                <w:szCs w:val="21"/>
                <w14:textFill>
                  <w14:solidFill>
                    <w14:schemeClr w14:val="tx1"/>
                  </w14:solidFill>
                </w14:textFill>
              </w:rPr>
              <w:t>/</w:t>
            </w:r>
          </w:p>
        </w:tc>
        <w:tc>
          <w:tcPr>
            <w:tcW w:w="476" w:type="pct"/>
            <w:vAlign w:val="center"/>
          </w:tcPr>
          <w:p>
            <w:pPr>
              <w:pStyle w:val="37"/>
              <w:ind w:left="0" w:leftChars="0" w:firstLine="0" w:firstLineChars="0"/>
              <w:rPr>
                <w:rFonts w:hint="eastAsia"/>
              </w:rPr>
            </w:pPr>
            <w:r>
              <w:rPr>
                <w:rFonts w:hint="eastAsia"/>
              </w:rPr>
              <w:t>/</w:t>
            </w:r>
          </w:p>
        </w:tc>
        <w:tc>
          <w:tcPr>
            <w:tcW w:w="639" w:type="pct"/>
            <w:vAlign w:val="center"/>
          </w:tcPr>
          <w:p>
            <w:pPr>
              <w:pStyle w:val="37"/>
              <w:ind w:left="0" w:leftChars="0" w:firstLine="0" w:firstLineChars="0"/>
              <w:rPr>
                <w:rFonts w:hint="eastAsia"/>
              </w:rPr>
            </w:pPr>
            <w:r>
              <w:rPr>
                <w:rFonts w:hint="eastAsia"/>
              </w:rPr>
              <w:t>/</w:t>
            </w:r>
          </w:p>
        </w:tc>
        <w:tc>
          <w:tcPr>
            <w:tcW w:w="1595"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0.01</w:t>
            </w:r>
          </w:p>
        </w:tc>
        <w:tc>
          <w:tcPr>
            <w:tcW w:w="1804" w:type="dxa"/>
            <w:vAlign w:val="center"/>
          </w:tcPr>
          <w:p>
            <w:pPr>
              <w:spacing w:line="240" w:lineRule="auto"/>
              <w:ind w:firstLine="0" w:firstLineChars="0"/>
              <w:jc w:val="center"/>
              <w:rPr>
                <w:rFonts w:hint="eastAsia" w:ascii="Times New Roman" w:hAnsi="Times New Roman" w:eastAsia="宋体" w:cs="Times New Roman"/>
                <w:color w:val="000000"/>
                <w:kern w:val="0"/>
                <w:sz w:val="21"/>
                <w:szCs w:val="21"/>
                <w:lang w:val="en-US" w:eastAsia="zh-CN" w:bidi="ar"/>
              </w:rPr>
            </w:pPr>
            <w:r>
              <w:rPr>
                <w:rFonts w:hint="eastAsia"/>
                <w:color w:val="000000" w:themeColor="text1"/>
                <w:sz w:val="21"/>
                <w:szCs w:val="21"/>
                <w14:textFill>
                  <w14:solidFill>
                    <w14:schemeClr w14:val="tx1"/>
                  </w14:solidFill>
                </w14:textFill>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0.01</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pPr>
          </w:p>
        </w:tc>
        <w:tc>
          <w:tcPr>
            <w:tcW w:w="646" w:type="pct"/>
            <w:vAlign w:val="center"/>
          </w:tcPr>
          <w:p>
            <w:pPr>
              <w:pStyle w:val="37"/>
              <w:spacing w:line="240" w:lineRule="auto"/>
              <w:ind w:left="0" w:leftChars="0" w:firstLine="0" w:firstLineChars="0"/>
              <w:rPr>
                <w:rFonts w:hint="eastAsia"/>
                <w:lang w:val="en-US" w:eastAsia="zh-CN"/>
              </w:rPr>
            </w:pPr>
            <w:r>
              <w:rPr>
                <w:rFonts w:hint="eastAsia"/>
                <w:color w:val="auto"/>
                <w:sz w:val="21"/>
                <w:szCs w:val="21"/>
                <w:highlight w:val="none"/>
                <w:u w:val="none"/>
                <w:vertAlign w:val="baseline"/>
                <w:lang w:val="en-US" w:eastAsia="zh-CN"/>
              </w:rPr>
              <w:t>含油抹布及手套</w:t>
            </w:r>
          </w:p>
        </w:tc>
        <w:tc>
          <w:tcPr>
            <w:tcW w:w="1567" w:type="dxa"/>
            <w:vAlign w:val="center"/>
          </w:tcPr>
          <w:p>
            <w:pPr>
              <w:spacing w:line="240" w:lineRule="auto"/>
              <w:ind w:firstLine="0" w:firstLineChars="0"/>
              <w:jc w:val="center"/>
              <w:rPr>
                <w:rFonts w:hint="eastAsia"/>
              </w:rPr>
            </w:pPr>
            <w:r>
              <w:rPr>
                <w:rFonts w:hint="eastAsia"/>
                <w:color w:val="000000" w:themeColor="text1"/>
                <w:sz w:val="21"/>
                <w:szCs w:val="21"/>
                <w14:textFill>
                  <w14:solidFill>
                    <w14:schemeClr w14:val="tx1"/>
                  </w14:solidFill>
                </w14:textFill>
              </w:rPr>
              <w:t>/</w:t>
            </w:r>
          </w:p>
        </w:tc>
        <w:tc>
          <w:tcPr>
            <w:tcW w:w="476" w:type="pct"/>
            <w:vAlign w:val="center"/>
          </w:tcPr>
          <w:p>
            <w:pPr>
              <w:pStyle w:val="37"/>
              <w:ind w:left="0" w:leftChars="0" w:firstLine="0" w:firstLineChars="0"/>
              <w:rPr>
                <w:rFonts w:hint="eastAsia"/>
              </w:rPr>
            </w:pPr>
            <w:r>
              <w:rPr>
                <w:rFonts w:hint="eastAsia"/>
              </w:rPr>
              <w:t>/</w:t>
            </w:r>
          </w:p>
        </w:tc>
        <w:tc>
          <w:tcPr>
            <w:tcW w:w="639" w:type="pct"/>
            <w:vAlign w:val="center"/>
          </w:tcPr>
          <w:p>
            <w:pPr>
              <w:pStyle w:val="37"/>
              <w:ind w:left="0" w:leftChars="0" w:firstLine="0" w:firstLineChars="0"/>
              <w:rPr>
                <w:rFonts w:hint="eastAsia"/>
              </w:rPr>
            </w:pPr>
            <w:r>
              <w:rPr>
                <w:rFonts w:hint="eastAsia"/>
              </w:rPr>
              <w:t>/</w:t>
            </w:r>
          </w:p>
        </w:tc>
        <w:tc>
          <w:tcPr>
            <w:tcW w:w="1595"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0.005</w:t>
            </w:r>
          </w:p>
        </w:tc>
        <w:tc>
          <w:tcPr>
            <w:tcW w:w="1804" w:type="dxa"/>
            <w:vAlign w:val="center"/>
          </w:tcPr>
          <w:p>
            <w:pPr>
              <w:spacing w:line="240" w:lineRule="auto"/>
              <w:ind w:firstLine="0" w:firstLineChars="0"/>
              <w:jc w:val="center"/>
              <w:rPr>
                <w:rFonts w:hint="eastAsia" w:ascii="Times New Roman" w:hAnsi="Times New Roman" w:eastAsia="宋体" w:cs="Times New Roman"/>
                <w:color w:val="000000"/>
                <w:kern w:val="0"/>
                <w:sz w:val="21"/>
                <w:szCs w:val="21"/>
                <w:lang w:val="en-US" w:eastAsia="zh-CN" w:bidi="ar"/>
              </w:rPr>
            </w:pPr>
            <w:r>
              <w:rPr>
                <w:rFonts w:hint="eastAsia"/>
                <w:color w:val="000000" w:themeColor="text1"/>
                <w:sz w:val="21"/>
                <w:szCs w:val="21"/>
                <w14:textFill>
                  <w14:solidFill>
                    <w14:schemeClr w14:val="tx1"/>
                  </w14:solidFill>
                </w14:textFill>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0.005</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7" w:type="pct"/>
            <w:vMerge w:val="continue"/>
            <w:vAlign w:val="center"/>
          </w:tcPr>
          <w:p>
            <w:pPr>
              <w:pStyle w:val="37"/>
              <w:ind w:left="0" w:leftChars="0"/>
            </w:pPr>
          </w:p>
        </w:tc>
        <w:tc>
          <w:tcPr>
            <w:tcW w:w="646" w:type="pct"/>
            <w:vAlign w:val="center"/>
          </w:tcPr>
          <w:p>
            <w:pPr>
              <w:pStyle w:val="37"/>
              <w:spacing w:line="240" w:lineRule="auto"/>
              <w:ind w:left="0" w:leftChars="0" w:firstLine="0" w:firstLineChars="0"/>
              <w:rPr>
                <w:rFonts w:hint="eastAsia"/>
                <w:lang w:val="en-US" w:eastAsia="zh-CN"/>
              </w:rPr>
            </w:pPr>
            <w:r>
              <w:rPr>
                <w:rFonts w:hint="eastAsia"/>
                <w:sz w:val="21"/>
                <w:szCs w:val="21"/>
                <w:u w:val="none"/>
              </w:rPr>
              <w:t>废活性炭</w:t>
            </w:r>
          </w:p>
        </w:tc>
        <w:tc>
          <w:tcPr>
            <w:tcW w:w="1567" w:type="dxa"/>
            <w:vAlign w:val="center"/>
          </w:tcPr>
          <w:p>
            <w:pPr>
              <w:pStyle w:val="37"/>
              <w:ind w:left="0" w:leftChars="0" w:firstLine="0" w:firstLineChars="0"/>
              <w:rPr>
                <w:rFonts w:hint="eastAsia"/>
              </w:rPr>
            </w:pPr>
            <w:r>
              <w:rPr>
                <w:rFonts w:hint="eastAsia"/>
                <w:color w:val="000000" w:themeColor="text1"/>
                <w14:textFill>
                  <w14:solidFill>
                    <w14:schemeClr w14:val="tx1"/>
                  </w14:solidFill>
                </w14:textFill>
              </w:rPr>
              <w:t>/</w:t>
            </w:r>
          </w:p>
        </w:tc>
        <w:tc>
          <w:tcPr>
            <w:tcW w:w="476" w:type="pct"/>
            <w:vAlign w:val="center"/>
          </w:tcPr>
          <w:p>
            <w:pPr>
              <w:pStyle w:val="37"/>
              <w:ind w:left="0" w:leftChars="0" w:firstLine="0" w:firstLineChars="0"/>
              <w:rPr>
                <w:rFonts w:hint="eastAsia"/>
              </w:rPr>
            </w:pPr>
            <w:r>
              <w:rPr>
                <w:rFonts w:hint="eastAsia"/>
              </w:rPr>
              <w:t>/</w:t>
            </w:r>
          </w:p>
        </w:tc>
        <w:tc>
          <w:tcPr>
            <w:tcW w:w="639" w:type="pct"/>
            <w:vAlign w:val="center"/>
          </w:tcPr>
          <w:p>
            <w:pPr>
              <w:pStyle w:val="37"/>
              <w:ind w:left="0" w:leftChars="0" w:firstLine="0" w:firstLineChars="0"/>
              <w:rPr>
                <w:rFonts w:hint="eastAsia"/>
              </w:rPr>
            </w:pPr>
            <w:r>
              <w:rPr>
                <w:rFonts w:hint="eastAsia"/>
              </w:rPr>
              <w:t>/</w:t>
            </w:r>
          </w:p>
        </w:tc>
        <w:tc>
          <w:tcPr>
            <w:tcW w:w="1595"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2.767</w:t>
            </w:r>
          </w:p>
        </w:tc>
        <w:tc>
          <w:tcPr>
            <w:tcW w:w="1804" w:type="dxa"/>
            <w:vAlign w:val="center"/>
          </w:tcPr>
          <w:p>
            <w:pPr>
              <w:pStyle w:val="37"/>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color w:val="000000" w:themeColor="text1"/>
                <w14:textFill>
                  <w14:solidFill>
                    <w14:schemeClr w14:val="tx1"/>
                  </w14:solidFill>
                </w14:textFill>
              </w:rPr>
              <w:t>/</w:t>
            </w:r>
          </w:p>
        </w:tc>
        <w:tc>
          <w:tcPr>
            <w:tcW w:w="187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2.767</w:t>
            </w:r>
          </w:p>
        </w:tc>
        <w:tc>
          <w:tcPr>
            <w:tcW w:w="1256" w:type="dxa"/>
            <w:shd w:val="clear" w:color="auto" w:fill="auto"/>
            <w:vAlign w:val="center"/>
          </w:tcPr>
          <w:p>
            <w:pPr>
              <w:pStyle w:val="37"/>
              <w:spacing w:line="240" w:lineRule="auto"/>
              <w:ind w:left="0" w:leftChars="0" w:firstLine="0" w:firstLineChars="0"/>
              <w:rPr>
                <w:rFonts w:hint="eastAsia" w:ascii="Times New Roman" w:hAnsi="Times New Roman" w:eastAsia="宋体" w:cs="Times New Roman"/>
                <w:color w:val="000000"/>
                <w:kern w:val="0"/>
                <w:sz w:val="21"/>
                <w:szCs w:val="21"/>
                <w:lang w:val="en-US" w:eastAsia="zh-CN" w:bidi="ar"/>
              </w:rPr>
            </w:pPr>
            <w:r>
              <w:rPr>
                <w:rFonts w:hint="eastAsia"/>
                <w:sz w:val="21"/>
                <w:szCs w:val="21"/>
                <w:u w:val="none"/>
                <w:lang w:val="en-US" w:eastAsia="zh-CN"/>
              </w:rPr>
              <w:t>+2.767</w:t>
            </w:r>
          </w:p>
        </w:tc>
      </w:tr>
    </w:tbl>
    <w:p>
      <w:pPr>
        <w:spacing w:line="360" w:lineRule="auto"/>
        <w:ind w:firstLine="0" w:firstLineChars="0"/>
        <w:rPr>
          <w:sz w:val="18"/>
          <w:szCs w:val="18"/>
        </w:rPr>
      </w:pPr>
      <w:r>
        <w:rPr>
          <w:sz w:val="18"/>
          <w:szCs w:val="18"/>
        </w:rPr>
        <w:t>注：⑥=①+③+④-⑤；⑦=⑥-①</w:t>
      </w:r>
    </w:p>
    <w:p>
      <w:pPr>
        <w:spacing w:line="360" w:lineRule="auto"/>
        <w:ind w:firstLine="0" w:firstLineChars="0"/>
        <w:rPr>
          <w:sz w:val="18"/>
          <w:szCs w:val="18"/>
        </w:rPr>
      </w:pPr>
      <w:r>
        <w:rPr>
          <w:sz w:val="18"/>
          <w:szCs w:val="18"/>
        </w:rPr>
        <w:t>（注：填写建设项目污染物排放量汇总表，其中现有工程污染物排放情况根据排污许可证执行报告填写，无排污许可证执行报告或执行报告中无相关内容的，通过监测数据核算现有工程污染物排放情况。）</w:t>
      </w:r>
    </w:p>
    <w:p>
      <w:pPr>
        <w:ind w:firstLine="0" w:firstLineChars="0"/>
      </w:pPr>
      <w:bookmarkStart w:id="52" w:name="_GoBack"/>
      <w:bookmarkEnd w:id="52"/>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微软雅黑"/>
    <w:panose1 w:val="00000000000000000000"/>
    <w:charset w:val="86"/>
    <w:family w:val="auto"/>
    <w:pitch w:val="default"/>
    <w:sig w:usb0="00000000" w:usb1="00000000" w:usb2="000A005E"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59264" behindDoc="0" locked="0" layoutInCell="1" allowOverlap="1">
              <wp:simplePos x="0" y="0"/>
              <wp:positionH relativeFrom="margin">
                <wp:posOffset>2734310</wp:posOffset>
              </wp:positionH>
              <wp:positionV relativeFrom="paragraph">
                <wp:posOffset>1905</wp:posOffset>
              </wp:positionV>
              <wp:extent cx="422275" cy="1828800"/>
              <wp:effectExtent l="0" t="0" r="0" b="6350"/>
              <wp:wrapNone/>
              <wp:docPr id="160" name="文本框 160"/>
              <wp:cNvGraphicFramePr/>
              <a:graphic xmlns:a="http://schemas.openxmlformats.org/drawingml/2006/main">
                <a:graphicData uri="http://schemas.microsoft.com/office/word/2010/wordprocessingShape">
                  <wps:wsp>
                    <wps:cNvSpPr txBox="1"/>
                    <wps:spPr>
                      <a:xfrm>
                        <a:off x="0" y="0"/>
                        <a:ext cx="422476"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3pt;margin-top:0.15pt;height:144pt;width:33.25pt;mso-position-horizontal-relative:margin;z-index:251659264;mso-width-relative:page;mso-height-relative:page;" filled="f" stroked="f" coordsize="21600,21600" o:gfxdata="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BiCktgAAAAIAQAADwAAAAAAAAABACAAAAAiAAAAZHJzL2Rvd25yZXYu&#10;eG1sUEsBAhQAFAAAAAgAh07iQKWu0Qg0AgAAWgQAAA4AAAAAAAAAAQAgAAAAJwEAAGRycy9lMm9E&#10;b2MueG1sUEsFBgAAAAAGAAYAWQEAAM0FA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FAE97"/>
    <w:multiLevelType w:val="singleLevel"/>
    <w:tmpl w:val="2EEFAE97"/>
    <w:lvl w:ilvl="0" w:tentative="0">
      <w:start w:val="6"/>
      <w:numFmt w:val="decimal"/>
      <w:suff w:val="nothing"/>
      <w:lvlText w:val="%1、"/>
      <w:lvlJc w:val="left"/>
    </w:lvl>
  </w:abstractNum>
  <w:abstractNum w:abstractNumId="1">
    <w:nsid w:val="36970A70"/>
    <w:multiLevelType w:val="multilevel"/>
    <w:tmpl w:val="36970A70"/>
    <w:lvl w:ilvl="0" w:tentative="0">
      <w:start w:val="1"/>
      <w:numFmt w:val="decimal"/>
      <w:pStyle w:val="55"/>
      <w:lvlText w:val="表%1 "/>
      <w:lvlJc w:val="left"/>
      <w:pPr>
        <w:ind w:left="4105" w:hanging="420"/>
      </w:pPr>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814A3C"/>
    <w:multiLevelType w:val="singleLevel"/>
    <w:tmpl w:val="7B814A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ZDA5MDBiMTI5M2Q1N2Y1NWU1Y2JlNmViOTE2YjcifQ=="/>
  </w:docVars>
  <w:rsids>
    <w:rsidRoot w:val="00172A27"/>
    <w:rsid w:val="000118A6"/>
    <w:rsid w:val="00043144"/>
    <w:rsid w:val="000E3FC3"/>
    <w:rsid w:val="000E7B1F"/>
    <w:rsid w:val="0011760F"/>
    <w:rsid w:val="00125520"/>
    <w:rsid w:val="001352D7"/>
    <w:rsid w:val="00140826"/>
    <w:rsid w:val="001669D4"/>
    <w:rsid w:val="00172A27"/>
    <w:rsid w:val="001A64C4"/>
    <w:rsid w:val="001D7D62"/>
    <w:rsid w:val="001E79C3"/>
    <w:rsid w:val="002526E2"/>
    <w:rsid w:val="002819B1"/>
    <w:rsid w:val="00285085"/>
    <w:rsid w:val="00294331"/>
    <w:rsid w:val="002A757A"/>
    <w:rsid w:val="002B6923"/>
    <w:rsid w:val="00302C9E"/>
    <w:rsid w:val="00336EDE"/>
    <w:rsid w:val="00337586"/>
    <w:rsid w:val="003532FE"/>
    <w:rsid w:val="00396E08"/>
    <w:rsid w:val="003A15BE"/>
    <w:rsid w:val="003D6656"/>
    <w:rsid w:val="003F5F2A"/>
    <w:rsid w:val="00416146"/>
    <w:rsid w:val="00445655"/>
    <w:rsid w:val="00492A05"/>
    <w:rsid w:val="004E6854"/>
    <w:rsid w:val="00522102"/>
    <w:rsid w:val="005539A0"/>
    <w:rsid w:val="00566344"/>
    <w:rsid w:val="005917D3"/>
    <w:rsid w:val="005B53DA"/>
    <w:rsid w:val="005C065C"/>
    <w:rsid w:val="005D63ED"/>
    <w:rsid w:val="005E50BB"/>
    <w:rsid w:val="00614313"/>
    <w:rsid w:val="00627E6B"/>
    <w:rsid w:val="006569E3"/>
    <w:rsid w:val="006D33CB"/>
    <w:rsid w:val="006E0802"/>
    <w:rsid w:val="00701214"/>
    <w:rsid w:val="00702588"/>
    <w:rsid w:val="00733E26"/>
    <w:rsid w:val="007663FE"/>
    <w:rsid w:val="007C0F2D"/>
    <w:rsid w:val="00814795"/>
    <w:rsid w:val="00832610"/>
    <w:rsid w:val="00841C55"/>
    <w:rsid w:val="00863B59"/>
    <w:rsid w:val="00894D71"/>
    <w:rsid w:val="008A2706"/>
    <w:rsid w:val="008D4EE8"/>
    <w:rsid w:val="00951FEE"/>
    <w:rsid w:val="00953872"/>
    <w:rsid w:val="00995616"/>
    <w:rsid w:val="00997D30"/>
    <w:rsid w:val="009C15CF"/>
    <w:rsid w:val="009C512B"/>
    <w:rsid w:val="00A6244D"/>
    <w:rsid w:val="00A70440"/>
    <w:rsid w:val="00A73A0B"/>
    <w:rsid w:val="00A81D22"/>
    <w:rsid w:val="00A87EE3"/>
    <w:rsid w:val="00AB1812"/>
    <w:rsid w:val="00AB7A64"/>
    <w:rsid w:val="00B20DF2"/>
    <w:rsid w:val="00B46918"/>
    <w:rsid w:val="00B52690"/>
    <w:rsid w:val="00B6246E"/>
    <w:rsid w:val="00B64302"/>
    <w:rsid w:val="00BB1D75"/>
    <w:rsid w:val="00C07CAF"/>
    <w:rsid w:val="00C17240"/>
    <w:rsid w:val="00C20CF0"/>
    <w:rsid w:val="00C55B02"/>
    <w:rsid w:val="00C85F20"/>
    <w:rsid w:val="00CE72AE"/>
    <w:rsid w:val="00D17D1C"/>
    <w:rsid w:val="00D23242"/>
    <w:rsid w:val="00D50D6E"/>
    <w:rsid w:val="00DC5E6F"/>
    <w:rsid w:val="00DE1BE7"/>
    <w:rsid w:val="00DE53C5"/>
    <w:rsid w:val="00DF3269"/>
    <w:rsid w:val="00E31729"/>
    <w:rsid w:val="00E80370"/>
    <w:rsid w:val="00EA233A"/>
    <w:rsid w:val="00EA40E8"/>
    <w:rsid w:val="00EF16FF"/>
    <w:rsid w:val="00F85DEC"/>
    <w:rsid w:val="00FA16CA"/>
    <w:rsid w:val="00FB3A57"/>
    <w:rsid w:val="00FC7DB9"/>
    <w:rsid w:val="010019A2"/>
    <w:rsid w:val="01057F1E"/>
    <w:rsid w:val="010B74B3"/>
    <w:rsid w:val="010D6029"/>
    <w:rsid w:val="011415BC"/>
    <w:rsid w:val="011802E2"/>
    <w:rsid w:val="011A24F4"/>
    <w:rsid w:val="011C44BE"/>
    <w:rsid w:val="011D266F"/>
    <w:rsid w:val="011E3D92"/>
    <w:rsid w:val="0127086D"/>
    <w:rsid w:val="012D66CB"/>
    <w:rsid w:val="012F2443"/>
    <w:rsid w:val="012F5F9F"/>
    <w:rsid w:val="01314040"/>
    <w:rsid w:val="01325A8F"/>
    <w:rsid w:val="01341807"/>
    <w:rsid w:val="013B2B96"/>
    <w:rsid w:val="013B4944"/>
    <w:rsid w:val="01401F5A"/>
    <w:rsid w:val="01415CD2"/>
    <w:rsid w:val="01456F36"/>
    <w:rsid w:val="0148550F"/>
    <w:rsid w:val="01487061"/>
    <w:rsid w:val="01514167"/>
    <w:rsid w:val="0152006E"/>
    <w:rsid w:val="01542746"/>
    <w:rsid w:val="0156177E"/>
    <w:rsid w:val="01591402"/>
    <w:rsid w:val="01593653"/>
    <w:rsid w:val="015E0632"/>
    <w:rsid w:val="015E6884"/>
    <w:rsid w:val="01635C49"/>
    <w:rsid w:val="0167398B"/>
    <w:rsid w:val="016A5229"/>
    <w:rsid w:val="016C0FA1"/>
    <w:rsid w:val="016E2F6B"/>
    <w:rsid w:val="016F45ED"/>
    <w:rsid w:val="01700B27"/>
    <w:rsid w:val="017240DE"/>
    <w:rsid w:val="017460A8"/>
    <w:rsid w:val="0176597C"/>
    <w:rsid w:val="017B11E4"/>
    <w:rsid w:val="017E0CD4"/>
    <w:rsid w:val="017E2281"/>
    <w:rsid w:val="017E2A82"/>
    <w:rsid w:val="018502B5"/>
    <w:rsid w:val="01897C71"/>
    <w:rsid w:val="01910A08"/>
    <w:rsid w:val="01984230"/>
    <w:rsid w:val="01995B0E"/>
    <w:rsid w:val="01A249C3"/>
    <w:rsid w:val="01AD5116"/>
    <w:rsid w:val="01BB5A85"/>
    <w:rsid w:val="01BF5575"/>
    <w:rsid w:val="01C20BC1"/>
    <w:rsid w:val="01C74429"/>
    <w:rsid w:val="01CF1530"/>
    <w:rsid w:val="01D112C8"/>
    <w:rsid w:val="01D859CB"/>
    <w:rsid w:val="01D9415D"/>
    <w:rsid w:val="01E46D89"/>
    <w:rsid w:val="01E65B80"/>
    <w:rsid w:val="01EA636A"/>
    <w:rsid w:val="01EE2BD1"/>
    <w:rsid w:val="01F758EA"/>
    <w:rsid w:val="01F86293"/>
    <w:rsid w:val="01FA47FF"/>
    <w:rsid w:val="02092C94"/>
    <w:rsid w:val="02094A42"/>
    <w:rsid w:val="020A2568"/>
    <w:rsid w:val="020F444B"/>
    <w:rsid w:val="02104022"/>
    <w:rsid w:val="02117D9A"/>
    <w:rsid w:val="02186A33"/>
    <w:rsid w:val="021D229B"/>
    <w:rsid w:val="021E3140"/>
    <w:rsid w:val="02217FDE"/>
    <w:rsid w:val="02223D56"/>
    <w:rsid w:val="02263013"/>
    <w:rsid w:val="022C6982"/>
    <w:rsid w:val="02301FCF"/>
    <w:rsid w:val="02310CBD"/>
    <w:rsid w:val="023575E5"/>
    <w:rsid w:val="023D0B8F"/>
    <w:rsid w:val="023F66B6"/>
    <w:rsid w:val="024261A6"/>
    <w:rsid w:val="025007BF"/>
    <w:rsid w:val="02510197"/>
    <w:rsid w:val="02535CBD"/>
    <w:rsid w:val="0255239B"/>
    <w:rsid w:val="025A0035"/>
    <w:rsid w:val="025D6B3C"/>
    <w:rsid w:val="026152F8"/>
    <w:rsid w:val="02647ECA"/>
    <w:rsid w:val="026E0D49"/>
    <w:rsid w:val="02703797"/>
    <w:rsid w:val="02725307"/>
    <w:rsid w:val="027345B1"/>
    <w:rsid w:val="02775E4F"/>
    <w:rsid w:val="02785724"/>
    <w:rsid w:val="027A149C"/>
    <w:rsid w:val="027D2D3A"/>
    <w:rsid w:val="027F6AB2"/>
    <w:rsid w:val="0284231A"/>
    <w:rsid w:val="028E3199"/>
    <w:rsid w:val="029C3B08"/>
    <w:rsid w:val="02A14EBF"/>
    <w:rsid w:val="02A824AD"/>
    <w:rsid w:val="02AB3644"/>
    <w:rsid w:val="02AD361F"/>
    <w:rsid w:val="02B0310F"/>
    <w:rsid w:val="02B23EDB"/>
    <w:rsid w:val="02B32C00"/>
    <w:rsid w:val="02B349AE"/>
    <w:rsid w:val="02B82105"/>
    <w:rsid w:val="02B924A5"/>
    <w:rsid w:val="02BC1AB4"/>
    <w:rsid w:val="02BE3A7E"/>
    <w:rsid w:val="02C10E79"/>
    <w:rsid w:val="02C40969"/>
    <w:rsid w:val="02D0730E"/>
    <w:rsid w:val="02D2242F"/>
    <w:rsid w:val="02DA4630"/>
    <w:rsid w:val="02DC2D63"/>
    <w:rsid w:val="02DC5CB3"/>
    <w:rsid w:val="02DD1A2B"/>
    <w:rsid w:val="02E1151B"/>
    <w:rsid w:val="02E32D09"/>
    <w:rsid w:val="02EB239A"/>
    <w:rsid w:val="02EF1E8A"/>
    <w:rsid w:val="02F474A0"/>
    <w:rsid w:val="02F56D74"/>
    <w:rsid w:val="02F96864"/>
    <w:rsid w:val="03004097"/>
    <w:rsid w:val="030342BE"/>
    <w:rsid w:val="03082F4B"/>
    <w:rsid w:val="030D0562"/>
    <w:rsid w:val="03103BAE"/>
    <w:rsid w:val="031511C4"/>
    <w:rsid w:val="03156361"/>
    <w:rsid w:val="03170E59"/>
    <w:rsid w:val="0317318F"/>
    <w:rsid w:val="03192A63"/>
    <w:rsid w:val="0321413B"/>
    <w:rsid w:val="032D315A"/>
    <w:rsid w:val="032F672A"/>
    <w:rsid w:val="0331092D"/>
    <w:rsid w:val="033243BE"/>
    <w:rsid w:val="033433CD"/>
    <w:rsid w:val="03353615"/>
    <w:rsid w:val="0337738D"/>
    <w:rsid w:val="03391357"/>
    <w:rsid w:val="033A0C2B"/>
    <w:rsid w:val="0341645D"/>
    <w:rsid w:val="03436045"/>
    <w:rsid w:val="03495DAB"/>
    <w:rsid w:val="034B4BE6"/>
    <w:rsid w:val="035C032D"/>
    <w:rsid w:val="035C5045"/>
    <w:rsid w:val="035E0DBD"/>
    <w:rsid w:val="035E2B6B"/>
    <w:rsid w:val="035F5516"/>
    <w:rsid w:val="036B5288"/>
    <w:rsid w:val="036D2DAF"/>
    <w:rsid w:val="036F2FCB"/>
    <w:rsid w:val="036F4D79"/>
    <w:rsid w:val="037203C5"/>
    <w:rsid w:val="03770F24"/>
    <w:rsid w:val="037B54CB"/>
    <w:rsid w:val="037E320E"/>
    <w:rsid w:val="03882E57"/>
    <w:rsid w:val="038A3960"/>
    <w:rsid w:val="038A7E04"/>
    <w:rsid w:val="038B1487"/>
    <w:rsid w:val="038F0DD1"/>
    <w:rsid w:val="038F0F77"/>
    <w:rsid w:val="038F6958"/>
    <w:rsid w:val="03936CB9"/>
    <w:rsid w:val="03996E3F"/>
    <w:rsid w:val="03A04F32"/>
    <w:rsid w:val="03A5079A"/>
    <w:rsid w:val="03A85C46"/>
    <w:rsid w:val="03B050C6"/>
    <w:rsid w:val="03B44E81"/>
    <w:rsid w:val="03B67FCA"/>
    <w:rsid w:val="03BB7FBE"/>
    <w:rsid w:val="03BC4A9D"/>
    <w:rsid w:val="03C31AFA"/>
    <w:rsid w:val="03D472D2"/>
    <w:rsid w:val="03DA48E8"/>
    <w:rsid w:val="03DE5A5A"/>
    <w:rsid w:val="03DF6104"/>
    <w:rsid w:val="03E5328D"/>
    <w:rsid w:val="03E70181"/>
    <w:rsid w:val="03E92D6E"/>
    <w:rsid w:val="03E94B2B"/>
    <w:rsid w:val="03EA214D"/>
    <w:rsid w:val="03F10FDA"/>
    <w:rsid w:val="04021749"/>
    <w:rsid w:val="04071455"/>
    <w:rsid w:val="04073203"/>
    <w:rsid w:val="04096736"/>
    <w:rsid w:val="04114082"/>
    <w:rsid w:val="04131BA8"/>
    <w:rsid w:val="04161698"/>
    <w:rsid w:val="041651F4"/>
    <w:rsid w:val="041A21CD"/>
    <w:rsid w:val="041B6CAE"/>
    <w:rsid w:val="041F679F"/>
    <w:rsid w:val="04212517"/>
    <w:rsid w:val="04293179"/>
    <w:rsid w:val="04294F27"/>
    <w:rsid w:val="042E0790"/>
    <w:rsid w:val="042E69E2"/>
    <w:rsid w:val="043164D2"/>
    <w:rsid w:val="0437338B"/>
    <w:rsid w:val="043D3E9E"/>
    <w:rsid w:val="0442248D"/>
    <w:rsid w:val="04467D92"/>
    <w:rsid w:val="04477B9D"/>
    <w:rsid w:val="04494535"/>
    <w:rsid w:val="044955CA"/>
    <w:rsid w:val="044C330C"/>
    <w:rsid w:val="045126D0"/>
    <w:rsid w:val="04561A95"/>
    <w:rsid w:val="045714B2"/>
    <w:rsid w:val="045802E6"/>
    <w:rsid w:val="0458388A"/>
    <w:rsid w:val="045F303F"/>
    <w:rsid w:val="045F4DED"/>
    <w:rsid w:val="04620439"/>
    <w:rsid w:val="04642403"/>
    <w:rsid w:val="04671EF4"/>
    <w:rsid w:val="04673CA2"/>
    <w:rsid w:val="04676213"/>
    <w:rsid w:val="046B3792"/>
    <w:rsid w:val="046D6E4D"/>
    <w:rsid w:val="047168CE"/>
    <w:rsid w:val="04730898"/>
    <w:rsid w:val="047C774D"/>
    <w:rsid w:val="047D5273"/>
    <w:rsid w:val="047F723D"/>
    <w:rsid w:val="04806B11"/>
    <w:rsid w:val="048D6CFA"/>
    <w:rsid w:val="048E7480"/>
    <w:rsid w:val="048F44A4"/>
    <w:rsid w:val="049251C3"/>
    <w:rsid w:val="0493386E"/>
    <w:rsid w:val="049525BD"/>
    <w:rsid w:val="049D3B67"/>
    <w:rsid w:val="049F168E"/>
    <w:rsid w:val="049F51EA"/>
    <w:rsid w:val="04A365CC"/>
    <w:rsid w:val="04B14F1D"/>
    <w:rsid w:val="04B50EB1"/>
    <w:rsid w:val="04B54A0D"/>
    <w:rsid w:val="04BF3ADE"/>
    <w:rsid w:val="04C133B2"/>
    <w:rsid w:val="04C44C50"/>
    <w:rsid w:val="04C80BE4"/>
    <w:rsid w:val="04C864CE"/>
    <w:rsid w:val="04CB5FDF"/>
    <w:rsid w:val="04CD7FA9"/>
    <w:rsid w:val="04CE3D21"/>
    <w:rsid w:val="04D8694E"/>
    <w:rsid w:val="04DE21B6"/>
    <w:rsid w:val="04DF5F2E"/>
    <w:rsid w:val="04E30FB7"/>
    <w:rsid w:val="04E83035"/>
    <w:rsid w:val="04EB042F"/>
    <w:rsid w:val="04F05A45"/>
    <w:rsid w:val="04FA0856"/>
    <w:rsid w:val="04FC31B0"/>
    <w:rsid w:val="04FC6AE0"/>
    <w:rsid w:val="05026FE8"/>
    <w:rsid w:val="05184F9C"/>
    <w:rsid w:val="051A3661"/>
    <w:rsid w:val="051C2CDE"/>
    <w:rsid w:val="0527116F"/>
    <w:rsid w:val="053C3704"/>
    <w:rsid w:val="053F716F"/>
    <w:rsid w:val="054304DC"/>
    <w:rsid w:val="05452235"/>
    <w:rsid w:val="05502988"/>
    <w:rsid w:val="055511AF"/>
    <w:rsid w:val="05571F68"/>
    <w:rsid w:val="0559183C"/>
    <w:rsid w:val="055B4494"/>
    <w:rsid w:val="05600E1D"/>
    <w:rsid w:val="05616943"/>
    <w:rsid w:val="056D274C"/>
    <w:rsid w:val="056F1060"/>
    <w:rsid w:val="057129D3"/>
    <w:rsid w:val="0573194F"/>
    <w:rsid w:val="057502DC"/>
    <w:rsid w:val="05755BC8"/>
    <w:rsid w:val="05760640"/>
    <w:rsid w:val="057721FB"/>
    <w:rsid w:val="05777F14"/>
    <w:rsid w:val="057818D3"/>
    <w:rsid w:val="058014BF"/>
    <w:rsid w:val="058645FB"/>
    <w:rsid w:val="0591547A"/>
    <w:rsid w:val="05926AFC"/>
    <w:rsid w:val="05956565"/>
    <w:rsid w:val="05972365"/>
    <w:rsid w:val="05A51E8D"/>
    <w:rsid w:val="05A72FF8"/>
    <w:rsid w:val="05A84572"/>
    <w:rsid w:val="05A86320"/>
    <w:rsid w:val="05AF5900"/>
    <w:rsid w:val="05B22EA2"/>
    <w:rsid w:val="05B56BCD"/>
    <w:rsid w:val="05B9052D"/>
    <w:rsid w:val="05B930DE"/>
    <w:rsid w:val="05B9677F"/>
    <w:rsid w:val="05BF6CDE"/>
    <w:rsid w:val="05C72C4A"/>
    <w:rsid w:val="05D435B9"/>
    <w:rsid w:val="05DE1521"/>
    <w:rsid w:val="05DE61E6"/>
    <w:rsid w:val="05DF5D8A"/>
    <w:rsid w:val="05E25CD6"/>
    <w:rsid w:val="05E355AA"/>
    <w:rsid w:val="05E55B16"/>
    <w:rsid w:val="05E76E48"/>
    <w:rsid w:val="05EE467B"/>
    <w:rsid w:val="05EF03F3"/>
    <w:rsid w:val="05F467EB"/>
    <w:rsid w:val="05FE4AA1"/>
    <w:rsid w:val="06021ED4"/>
    <w:rsid w:val="060914B4"/>
    <w:rsid w:val="06093262"/>
    <w:rsid w:val="060A2B37"/>
    <w:rsid w:val="060F639F"/>
    <w:rsid w:val="0612468B"/>
    <w:rsid w:val="06191E5D"/>
    <w:rsid w:val="06231E4A"/>
    <w:rsid w:val="0624009C"/>
    <w:rsid w:val="062416F2"/>
    <w:rsid w:val="062A142B"/>
    <w:rsid w:val="06304C93"/>
    <w:rsid w:val="06361B7E"/>
    <w:rsid w:val="063E0A32"/>
    <w:rsid w:val="063F6C84"/>
    <w:rsid w:val="064E5119"/>
    <w:rsid w:val="06523CF8"/>
    <w:rsid w:val="0659586C"/>
    <w:rsid w:val="066867DC"/>
    <w:rsid w:val="066B1D62"/>
    <w:rsid w:val="066B7191"/>
    <w:rsid w:val="066C1A43"/>
    <w:rsid w:val="066F6E3E"/>
    <w:rsid w:val="067E2971"/>
    <w:rsid w:val="067F52D3"/>
    <w:rsid w:val="0680729D"/>
    <w:rsid w:val="06877DFA"/>
    <w:rsid w:val="06897EFF"/>
    <w:rsid w:val="068A3836"/>
    <w:rsid w:val="068C3E93"/>
    <w:rsid w:val="068E3768"/>
    <w:rsid w:val="0696086E"/>
    <w:rsid w:val="069A3EBB"/>
    <w:rsid w:val="069A65B0"/>
    <w:rsid w:val="069F5975"/>
    <w:rsid w:val="06A116ED"/>
    <w:rsid w:val="06A27213"/>
    <w:rsid w:val="06A66D03"/>
    <w:rsid w:val="06AB431A"/>
    <w:rsid w:val="06B55198"/>
    <w:rsid w:val="06B807E5"/>
    <w:rsid w:val="06BD0B3A"/>
    <w:rsid w:val="06BD229F"/>
    <w:rsid w:val="06BE15D3"/>
    <w:rsid w:val="06C632A9"/>
    <w:rsid w:val="06C76C7A"/>
    <w:rsid w:val="06C77593"/>
    <w:rsid w:val="06C929F2"/>
    <w:rsid w:val="06C947A0"/>
    <w:rsid w:val="06CA5920"/>
    <w:rsid w:val="06CD24E2"/>
    <w:rsid w:val="06D118A6"/>
    <w:rsid w:val="06D53145"/>
    <w:rsid w:val="06D67D46"/>
    <w:rsid w:val="06D73A89"/>
    <w:rsid w:val="06DC2725"/>
    <w:rsid w:val="06DF3FC3"/>
    <w:rsid w:val="06E65352"/>
    <w:rsid w:val="06E70564"/>
    <w:rsid w:val="06EC66E0"/>
    <w:rsid w:val="06F04422"/>
    <w:rsid w:val="06F07F7E"/>
    <w:rsid w:val="06F339AF"/>
    <w:rsid w:val="06F70059"/>
    <w:rsid w:val="06F757B1"/>
    <w:rsid w:val="06F76B69"/>
    <w:rsid w:val="06FA2BAB"/>
    <w:rsid w:val="0705522E"/>
    <w:rsid w:val="07097292"/>
    <w:rsid w:val="070D6D82"/>
    <w:rsid w:val="07100621"/>
    <w:rsid w:val="07106873"/>
    <w:rsid w:val="071360F1"/>
    <w:rsid w:val="071579E5"/>
    <w:rsid w:val="071874D5"/>
    <w:rsid w:val="071A4FFB"/>
    <w:rsid w:val="071C171D"/>
    <w:rsid w:val="071C6FC5"/>
    <w:rsid w:val="071E0F8F"/>
    <w:rsid w:val="07235607"/>
    <w:rsid w:val="072440CC"/>
    <w:rsid w:val="07247C28"/>
    <w:rsid w:val="07267E44"/>
    <w:rsid w:val="07277341"/>
    <w:rsid w:val="07283BBC"/>
    <w:rsid w:val="0728596A"/>
    <w:rsid w:val="07373DFF"/>
    <w:rsid w:val="07375BAD"/>
    <w:rsid w:val="073A744C"/>
    <w:rsid w:val="073C31C4"/>
    <w:rsid w:val="07414C7E"/>
    <w:rsid w:val="0748600C"/>
    <w:rsid w:val="0748606E"/>
    <w:rsid w:val="075C3866"/>
    <w:rsid w:val="07610E7C"/>
    <w:rsid w:val="0764573B"/>
    <w:rsid w:val="0766313B"/>
    <w:rsid w:val="0767768E"/>
    <w:rsid w:val="07697D31"/>
    <w:rsid w:val="076B1CFB"/>
    <w:rsid w:val="076B3AA9"/>
    <w:rsid w:val="07726BE5"/>
    <w:rsid w:val="077961C6"/>
    <w:rsid w:val="078132CC"/>
    <w:rsid w:val="0781445E"/>
    <w:rsid w:val="078225B0"/>
    <w:rsid w:val="07842E97"/>
    <w:rsid w:val="078801B7"/>
    <w:rsid w:val="078B163D"/>
    <w:rsid w:val="078B5CF1"/>
    <w:rsid w:val="07903526"/>
    <w:rsid w:val="07940808"/>
    <w:rsid w:val="079C1EB4"/>
    <w:rsid w:val="07A0301B"/>
    <w:rsid w:val="07A174CB"/>
    <w:rsid w:val="07A62D33"/>
    <w:rsid w:val="07A94E12"/>
    <w:rsid w:val="07AB0349"/>
    <w:rsid w:val="07AD40C1"/>
    <w:rsid w:val="07B13BB2"/>
    <w:rsid w:val="07B23486"/>
    <w:rsid w:val="07B25430"/>
    <w:rsid w:val="07B44BDD"/>
    <w:rsid w:val="07B45450"/>
    <w:rsid w:val="07B62F76"/>
    <w:rsid w:val="07B70A9C"/>
    <w:rsid w:val="07C16D91"/>
    <w:rsid w:val="07C531B9"/>
    <w:rsid w:val="07C95AF2"/>
    <w:rsid w:val="07CA09F7"/>
    <w:rsid w:val="07D35EAA"/>
    <w:rsid w:val="07DA3D25"/>
    <w:rsid w:val="07DA4C5F"/>
    <w:rsid w:val="07DB0C2F"/>
    <w:rsid w:val="07E92063"/>
    <w:rsid w:val="07EE2AB2"/>
    <w:rsid w:val="07EE3419"/>
    <w:rsid w:val="07EF3F42"/>
    <w:rsid w:val="07F10452"/>
    <w:rsid w:val="07F30E0E"/>
    <w:rsid w:val="07F7358F"/>
    <w:rsid w:val="07F9499B"/>
    <w:rsid w:val="080F2686"/>
    <w:rsid w:val="081E6D6D"/>
    <w:rsid w:val="0822097E"/>
    <w:rsid w:val="08234384"/>
    <w:rsid w:val="08273E74"/>
    <w:rsid w:val="082C4FE6"/>
    <w:rsid w:val="0831371C"/>
    <w:rsid w:val="083206B8"/>
    <w:rsid w:val="0834033F"/>
    <w:rsid w:val="08386081"/>
    <w:rsid w:val="083D3697"/>
    <w:rsid w:val="083D71F3"/>
    <w:rsid w:val="08406CE4"/>
    <w:rsid w:val="08470072"/>
    <w:rsid w:val="084762C4"/>
    <w:rsid w:val="084B2885"/>
    <w:rsid w:val="08501053"/>
    <w:rsid w:val="085409E1"/>
    <w:rsid w:val="085B1D6F"/>
    <w:rsid w:val="085F360E"/>
    <w:rsid w:val="0865499C"/>
    <w:rsid w:val="0865674A"/>
    <w:rsid w:val="086863E8"/>
    <w:rsid w:val="086C6E18"/>
    <w:rsid w:val="08757E93"/>
    <w:rsid w:val="08762705"/>
    <w:rsid w:val="08771644"/>
    <w:rsid w:val="08795696"/>
    <w:rsid w:val="087B7D1C"/>
    <w:rsid w:val="087F4D23"/>
    <w:rsid w:val="08803584"/>
    <w:rsid w:val="08805332"/>
    <w:rsid w:val="08833D2C"/>
    <w:rsid w:val="088968DD"/>
    <w:rsid w:val="08940DDD"/>
    <w:rsid w:val="08962DA7"/>
    <w:rsid w:val="089E617E"/>
    <w:rsid w:val="089F7EAE"/>
    <w:rsid w:val="08A94889"/>
    <w:rsid w:val="08AD688E"/>
    <w:rsid w:val="08B82D1E"/>
    <w:rsid w:val="08B85681"/>
    <w:rsid w:val="08BB636A"/>
    <w:rsid w:val="08BD0334"/>
    <w:rsid w:val="08C23D5A"/>
    <w:rsid w:val="08C2594B"/>
    <w:rsid w:val="08CB2A51"/>
    <w:rsid w:val="08D166E1"/>
    <w:rsid w:val="08D31906"/>
    <w:rsid w:val="08D37B58"/>
    <w:rsid w:val="08D51B22"/>
    <w:rsid w:val="08D613F6"/>
    <w:rsid w:val="08D631A4"/>
    <w:rsid w:val="08D833C0"/>
    <w:rsid w:val="08D84396"/>
    <w:rsid w:val="08DA2C94"/>
    <w:rsid w:val="08DC4C5E"/>
    <w:rsid w:val="08DD4532"/>
    <w:rsid w:val="08E12275"/>
    <w:rsid w:val="08E21B49"/>
    <w:rsid w:val="08E91129"/>
    <w:rsid w:val="08E92ED7"/>
    <w:rsid w:val="08EB4EA1"/>
    <w:rsid w:val="08EC0C19"/>
    <w:rsid w:val="08F24482"/>
    <w:rsid w:val="08F301FA"/>
    <w:rsid w:val="08F55D20"/>
    <w:rsid w:val="08F83980"/>
    <w:rsid w:val="08FE27C4"/>
    <w:rsid w:val="08FF26FB"/>
    <w:rsid w:val="09012917"/>
    <w:rsid w:val="09016473"/>
    <w:rsid w:val="090221EB"/>
    <w:rsid w:val="090349DF"/>
    <w:rsid w:val="09077801"/>
    <w:rsid w:val="09083475"/>
    <w:rsid w:val="09093579"/>
    <w:rsid w:val="090B5543"/>
    <w:rsid w:val="090C3F9D"/>
    <w:rsid w:val="090D12BC"/>
    <w:rsid w:val="090E3015"/>
    <w:rsid w:val="0911565D"/>
    <w:rsid w:val="09152EA8"/>
    <w:rsid w:val="09167A44"/>
    <w:rsid w:val="091A5787"/>
    <w:rsid w:val="0928122A"/>
    <w:rsid w:val="092B7994"/>
    <w:rsid w:val="092D54BA"/>
    <w:rsid w:val="09336431"/>
    <w:rsid w:val="093525C0"/>
    <w:rsid w:val="09366C1C"/>
    <w:rsid w:val="09376339"/>
    <w:rsid w:val="093F0D77"/>
    <w:rsid w:val="093F6F9B"/>
    <w:rsid w:val="09412D13"/>
    <w:rsid w:val="09442803"/>
    <w:rsid w:val="094445B2"/>
    <w:rsid w:val="094735B5"/>
    <w:rsid w:val="09491D98"/>
    <w:rsid w:val="094D74AF"/>
    <w:rsid w:val="09664528"/>
    <w:rsid w:val="096F5AD2"/>
    <w:rsid w:val="097479AD"/>
    <w:rsid w:val="09774987"/>
    <w:rsid w:val="09837DBD"/>
    <w:rsid w:val="09840E52"/>
    <w:rsid w:val="098F3022"/>
    <w:rsid w:val="098F57B6"/>
    <w:rsid w:val="09923ABF"/>
    <w:rsid w:val="0992531D"/>
    <w:rsid w:val="099512B1"/>
    <w:rsid w:val="09975029"/>
    <w:rsid w:val="099939EC"/>
    <w:rsid w:val="09994831"/>
    <w:rsid w:val="099E253A"/>
    <w:rsid w:val="099E3CC2"/>
    <w:rsid w:val="09A03EDE"/>
    <w:rsid w:val="09B01C47"/>
    <w:rsid w:val="09B554AF"/>
    <w:rsid w:val="09BF760C"/>
    <w:rsid w:val="09C0632E"/>
    <w:rsid w:val="09C53944"/>
    <w:rsid w:val="09C556F2"/>
    <w:rsid w:val="09C86F91"/>
    <w:rsid w:val="09CF031F"/>
    <w:rsid w:val="09CF6571"/>
    <w:rsid w:val="09D04097"/>
    <w:rsid w:val="09D52C60"/>
    <w:rsid w:val="09D75426"/>
    <w:rsid w:val="09D90C3C"/>
    <w:rsid w:val="09D9119E"/>
    <w:rsid w:val="09E162A4"/>
    <w:rsid w:val="09E244F6"/>
    <w:rsid w:val="09E3413B"/>
    <w:rsid w:val="09E412C5"/>
    <w:rsid w:val="09E828BD"/>
    <w:rsid w:val="09EF09C1"/>
    <w:rsid w:val="09F558AC"/>
    <w:rsid w:val="0A00497C"/>
    <w:rsid w:val="0A03310D"/>
    <w:rsid w:val="0A03752B"/>
    <w:rsid w:val="0A0855DF"/>
    <w:rsid w:val="0A171CC6"/>
    <w:rsid w:val="0A193C90"/>
    <w:rsid w:val="0A1E5CFB"/>
    <w:rsid w:val="0A200B7B"/>
    <w:rsid w:val="0A20501F"/>
    <w:rsid w:val="0A2166A1"/>
    <w:rsid w:val="0A223494"/>
    <w:rsid w:val="0A2262F9"/>
    <w:rsid w:val="0A2D3298"/>
    <w:rsid w:val="0A2F0DBE"/>
    <w:rsid w:val="0A3208AE"/>
    <w:rsid w:val="0A334D52"/>
    <w:rsid w:val="0A374116"/>
    <w:rsid w:val="0A3925DE"/>
    <w:rsid w:val="0A3960E0"/>
    <w:rsid w:val="0A3D26A0"/>
    <w:rsid w:val="0A3F30FE"/>
    <w:rsid w:val="0A426D43"/>
    <w:rsid w:val="0A4D56E8"/>
    <w:rsid w:val="0A51342A"/>
    <w:rsid w:val="0A544CC8"/>
    <w:rsid w:val="0A546A76"/>
    <w:rsid w:val="0A59408D"/>
    <w:rsid w:val="0A5C1147"/>
    <w:rsid w:val="0A5C592B"/>
    <w:rsid w:val="0A5E78F5"/>
    <w:rsid w:val="0A6058C3"/>
    <w:rsid w:val="0A636CB9"/>
    <w:rsid w:val="0A6A2374"/>
    <w:rsid w:val="0A7333A0"/>
    <w:rsid w:val="0A766000"/>
    <w:rsid w:val="0A7809B7"/>
    <w:rsid w:val="0A786C09"/>
    <w:rsid w:val="0A79472F"/>
    <w:rsid w:val="0A7C3C8A"/>
    <w:rsid w:val="0A7D5FCD"/>
    <w:rsid w:val="0A7E3AF3"/>
    <w:rsid w:val="0A7F7F97"/>
    <w:rsid w:val="0A835A33"/>
    <w:rsid w:val="0A884497"/>
    <w:rsid w:val="0A8A2498"/>
    <w:rsid w:val="0A8B6BDA"/>
    <w:rsid w:val="0A8C7FBE"/>
    <w:rsid w:val="0A911A78"/>
    <w:rsid w:val="0A9C5F85"/>
    <w:rsid w:val="0A9D666F"/>
    <w:rsid w:val="0AA03A6A"/>
    <w:rsid w:val="0AA21BF1"/>
    <w:rsid w:val="0AA25A34"/>
    <w:rsid w:val="0AA95014"/>
    <w:rsid w:val="0AAE43D8"/>
    <w:rsid w:val="0AB1211B"/>
    <w:rsid w:val="0AB45767"/>
    <w:rsid w:val="0ABB6AF5"/>
    <w:rsid w:val="0ABB7ED1"/>
    <w:rsid w:val="0ABF618A"/>
    <w:rsid w:val="0AC21C32"/>
    <w:rsid w:val="0ACC0D02"/>
    <w:rsid w:val="0ACF434F"/>
    <w:rsid w:val="0ADB0F46"/>
    <w:rsid w:val="0ADB7197"/>
    <w:rsid w:val="0AE20526"/>
    <w:rsid w:val="0AE26690"/>
    <w:rsid w:val="0AE4604C"/>
    <w:rsid w:val="0AE946AF"/>
    <w:rsid w:val="0AEA2F37"/>
    <w:rsid w:val="0AEC7C8D"/>
    <w:rsid w:val="0AF142C5"/>
    <w:rsid w:val="0B047D8E"/>
    <w:rsid w:val="0B07423B"/>
    <w:rsid w:val="0B095AB3"/>
    <w:rsid w:val="0B095C1D"/>
    <w:rsid w:val="0B0B182B"/>
    <w:rsid w:val="0B0E4E77"/>
    <w:rsid w:val="0B100D93"/>
    <w:rsid w:val="0B116715"/>
    <w:rsid w:val="0B136931"/>
    <w:rsid w:val="0B1A381C"/>
    <w:rsid w:val="0B1D155E"/>
    <w:rsid w:val="0B21104E"/>
    <w:rsid w:val="0B220922"/>
    <w:rsid w:val="0B275F39"/>
    <w:rsid w:val="0B2B4495"/>
    <w:rsid w:val="0B2C354F"/>
    <w:rsid w:val="0B352404"/>
    <w:rsid w:val="0B36445D"/>
    <w:rsid w:val="0B3B3792"/>
    <w:rsid w:val="0B3F7726"/>
    <w:rsid w:val="0B4765DB"/>
    <w:rsid w:val="0B4A0913"/>
    <w:rsid w:val="0B4C07CC"/>
    <w:rsid w:val="0B4D1E43"/>
    <w:rsid w:val="0B4E1717"/>
    <w:rsid w:val="0B4E7969"/>
    <w:rsid w:val="0B5036E2"/>
    <w:rsid w:val="0B512FB6"/>
    <w:rsid w:val="0B5A28ED"/>
    <w:rsid w:val="0B5F56D3"/>
    <w:rsid w:val="0B642CE9"/>
    <w:rsid w:val="0B691F51"/>
    <w:rsid w:val="0B6C7DF0"/>
    <w:rsid w:val="0B6E182E"/>
    <w:rsid w:val="0B705C98"/>
    <w:rsid w:val="0B770C6E"/>
    <w:rsid w:val="0B811AED"/>
    <w:rsid w:val="0B865355"/>
    <w:rsid w:val="0B8E420A"/>
    <w:rsid w:val="0B903ADE"/>
    <w:rsid w:val="0B923CFA"/>
    <w:rsid w:val="0B996E37"/>
    <w:rsid w:val="0B9A2BAF"/>
    <w:rsid w:val="0B9C2483"/>
    <w:rsid w:val="0BA47589"/>
    <w:rsid w:val="0BA650B0"/>
    <w:rsid w:val="0BA74F00"/>
    <w:rsid w:val="0BA8707A"/>
    <w:rsid w:val="0BAB6B6A"/>
    <w:rsid w:val="0BAF665A"/>
    <w:rsid w:val="0BBD3117"/>
    <w:rsid w:val="0BBE4AEF"/>
    <w:rsid w:val="0BBE572F"/>
    <w:rsid w:val="0BBF6171"/>
    <w:rsid w:val="0BC32105"/>
    <w:rsid w:val="0BC55E7E"/>
    <w:rsid w:val="0BC85764"/>
    <w:rsid w:val="0BD065D0"/>
    <w:rsid w:val="0BD07596"/>
    <w:rsid w:val="0BD22349"/>
    <w:rsid w:val="0BD460C1"/>
    <w:rsid w:val="0BD7170D"/>
    <w:rsid w:val="0BDA2FAB"/>
    <w:rsid w:val="0BE36B3F"/>
    <w:rsid w:val="0BE45BD8"/>
    <w:rsid w:val="0BE55429"/>
    <w:rsid w:val="0BE81B6C"/>
    <w:rsid w:val="0BEA2A4D"/>
    <w:rsid w:val="0BEB51B8"/>
    <w:rsid w:val="0BEC6947"/>
    <w:rsid w:val="0BF4406D"/>
    <w:rsid w:val="0BF64289"/>
    <w:rsid w:val="0BFA53FB"/>
    <w:rsid w:val="0BFA721E"/>
    <w:rsid w:val="0BFE4EEC"/>
    <w:rsid w:val="0C0D15D3"/>
    <w:rsid w:val="0C0F534B"/>
    <w:rsid w:val="0C1069CD"/>
    <w:rsid w:val="0C197F77"/>
    <w:rsid w:val="0C1E10EA"/>
    <w:rsid w:val="0C201306"/>
    <w:rsid w:val="0C210BDA"/>
    <w:rsid w:val="0C25691C"/>
    <w:rsid w:val="0C26223E"/>
    <w:rsid w:val="0C274F30"/>
    <w:rsid w:val="0C2B3807"/>
    <w:rsid w:val="0C2F32F7"/>
    <w:rsid w:val="0C351880"/>
    <w:rsid w:val="0C3628D7"/>
    <w:rsid w:val="0C37664F"/>
    <w:rsid w:val="0C380BD6"/>
    <w:rsid w:val="0C3923C8"/>
    <w:rsid w:val="0C3E12C4"/>
    <w:rsid w:val="0C4548C9"/>
    <w:rsid w:val="0C4940C2"/>
    <w:rsid w:val="0C4A01D3"/>
    <w:rsid w:val="0C4C20FB"/>
    <w:rsid w:val="0C540FAF"/>
    <w:rsid w:val="0C580AA0"/>
    <w:rsid w:val="0C5B0590"/>
    <w:rsid w:val="0C5B469B"/>
    <w:rsid w:val="0C61547A"/>
    <w:rsid w:val="0C6531BD"/>
    <w:rsid w:val="0C690D99"/>
    <w:rsid w:val="0C6A5094"/>
    <w:rsid w:val="0C6C62F9"/>
    <w:rsid w:val="0C7B29E0"/>
    <w:rsid w:val="0C7E602C"/>
    <w:rsid w:val="0C7E7DDA"/>
    <w:rsid w:val="0C807FF6"/>
    <w:rsid w:val="0C8353F1"/>
    <w:rsid w:val="0C9151CB"/>
    <w:rsid w:val="0C9910B8"/>
    <w:rsid w:val="0C9F66CF"/>
    <w:rsid w:val="0CAB2DC4"/>
    <w:rsid w:val="0CAF61E6"/>
    <w:rsid w:val="0CB10B0C"/>
    <w:rsid w:val="0CB63A18"/>
    <w:rsid w:val="0CC04897"/>
    <w:rsid w:val="0CC25F19"/>
    <w:rsid w:val="0CC9374C"/>
    <w:rsid w:val="0CDD4C69"/>
    <w:rsid w:val="0CEA1BC0"/>
    <w:rsid w:val="0CEC2F96"/>
    <w:rsid w:val="0CEC568C"/>
    <w:rsid w:val="0CEE6D0E"/>
    <w:rsid w:val="0CF62067"/>
    <w:rsid w:val="0CF84031"/>
    <w:rsid w:val="0CFB142B"/>
    <w:rsid w:val="0CFB58CF"/>
    <w:rsid w:val="0CFF716D"/>
    <w:rsid w:val="0D002EE5"/>
    <w:rsid w:val="0D033E8C"/>
    <w:rsid w:val="0D044784"/>
    <w:rsid w:val="0D046532"/>
    <w:rsid w:val="0D077DD0"/>
    <w:rsid w:val="0D0C188A"/>
    <w:rsid w:val="0D0E115E"/>
    <w:rsid w:val="0D103128"/>
    <w:rsid w:val="0D186481"/>
    <w:rsid w:val="0D1D75F3"/>
    <w:rsid w:val="0D1E1017"/>
    <w:rsid w:val="0D1F336B"/>
    <w:rsid w:val="0D1F511A"/>
    <w:rsid w:val="0D222E5C"/>
    <w:rsid w:val="0D26294C"/>
    <w:rsid w:val="0D2E6168"/>
    <w:rsid w:val="0D305579"/>
    <w:rsid w:val="0D307327"/>
    <w:rsid w:val="0D3861DB"/>
    <w:rsid w:val="0D3D30EB"/>
    <w:rsid w:val="0D3E30D8"/>
    <w:rsid w:val="0D4234FE"/>
    <w:rsid w:val="0D423C21"/>
    <w:rsid w:val="0D4728C2"/>
    <w:rsid w:val="0D4C612B"/>
    <w:rsid w:val="0D51729D"/>
    <w:rsid w:val="0D5374B9"/>
    <w:rsid w:val="0D5B0259"/>
    <w:rsid w:val="0D5C636E"/>
    <w:rsid w:val="0D605732"/>
    <w:rsid w:val="0D643474"/>
    <w:rsid w:val="0D6B65B1"/>
    <w:rsid w:val="0D703BC7"/>
    <w:rsid w:val="0D71793F"/>
    <w:rsid w:val="0D7511DD"/>
    <w:rsid w:val="0D755681"/>
    <w:rsid w:val="0D7731A8"/>
    <w:rsid w:val="0D786450"/>
    <w:rsid w:val="0D7D0092"/>
    <w:rsid w:val="0D7D4536"/>
    <w:rsid w:val="0D821B4C"/>
    <w:rsid w:val="0D870F11"/>
    <w:rsid w:val="0D8853B5"/>
    <w:rsid w:val="0D8A245E"/>
    <w:rsid w:val="0D8B27AF"/>
    <w:rsid w:val="0D8E229F"/>
    <w:rsid w:val="0D957AD2"/>
    <w:rsid w:val="0D964F24"/>
    <w:rsid w:val="0D9C41E9"/>
    <w:rsid w:val="0D9F625A"/>
    <w:rsid w:val="0D9F6EB0"/>
    <w:rsid w:val="0DA02EFC"/>
    <w:rsid w:val="0DA52D0D"/>
    <w:rsid w:val="0DA90E87"/>
    <w:rsid w:val="0DAE00D1"/>
    <w:rsid w:val="0DB02216"/>
    <w:rsid w:val="0DB241E0"/>
    <w:rsid w:val="0DB84BA2"/>
    <w:rsid w:val="0DBE0DD6"/>
    <w:rsid w:val="0DC14423"/>
    <w:rsid w:val="0DC3019B"/>
    <w:rsid w:val="0DC932D7"/>
    <w:rsid w:val="0DD34156"/>
    <w:rsid w:val="0DD358E2"/>
    <w:rsid w:val="0DD423A8"/>
    <w:rsid w:val="0DD8702C"/>
    <w:rsid w:val="0DDA4E8E"/>
    <w:rsid w:val="0DDF432E"/>
    <w:rsid w:val="0DDF6413"/>
    <w:rsid w:val="0DE14AC5"/>
    <w:rsid w:val="0DE3413F"/>
    <w:rsid w:val="0DED346A"/>
    <w:rsid w:val="0DEE1888"/>
    <w:rsid w:val="0DF30354"/>
    <w:rsid w:val="0DF645D6"/>
    <w:rsid w:val="0DF91E0E"/>
    <w:rsid w:val="0E097B78"/>
    <w:rsid w:val="0E0B323F"/>
    <w:rsid w:val="0E0C77F3"/>
    <w:rsid w:val="0E0E518E"/>
    <w:rsid w:val="0E1327A4"/>
    <w:rsid w:val="0E1329E6"/>
    <w:rsid w:val="0E15651D"/>
    <w:rsid w:val="0E161B9F"/>
    <w:rsid w:val="0E1705D6"/>
    <w:rsid w:val="0E19425F"/>
    <w:rsid w:val="0E1B004D"/>
    <w:rsid w:val="0E1E1875"/>
    <w:rsid w:val="0E2449B2"/>
    <w:rsid w:val="0E252C04"/>
    <w:rsid w:val="0E2826F4"/>
    <w:rsid w:val="0E2D1AB8"/>
    <w:rsid w:val="0E3177FA"/>
    <w:rsid w:val="0E325320"/>
    <w:rsid w:val="0E35096D"/>
    <w:rsid w:val="0E356BBF"/>
    <w:rsid w:val="0E3C619F"/>
    <w:rsid w:val="0E407A3D"/>
    <w:rsid w:val="0E430D66"/>
    <w:rsid w:val="0E4632BC"/>
    <w:rsid w:val="0E4806A0"/>
    <w:rsid w:val="0E4D3F08"/>
    <w:rsid w:val="0E4D5C21"/>
    <w:rsid w:val="0E4E740F"/>
    <w:rsid w:val="0E52283C"/>
    <w:rsid w:val="0E576B35"/>
    <w:rsid w:val="0E5B4877"/>
    <w:rsid w:val="0E651252"/>
    <w:rsid w:val="0E653000"/>
    <w:rsid w:val="0E67321C"/>
    <w:rsid w:val="0E6F0323"/>
    <w:rsid w:val="0E6F3E7F"/>
    <w:rsid w:val="0E6F401F"/>
    <w:rsid w:val="0E72396F"/>
    <w:rsid w:val="0E72571D"/>
    <w:rsid w:val="0E780F3B"/>
    <w:rsid w:val="0E7B6CC7"/>
    <w:rsid w:val="0E820056"/>
    <w:rsid w:val="0E855450"/>
    <w:rsid w:val="0E861DFE"/>
    <w:rsid w:val="0E87566C"/>
    <w:rsid w:val="0E8A2A67"/>
    <w:rsid w:val="0E8F62CF"/>
    <w:rsid w:val="0E963B01"/>
    <w:rsid w:val="0E9B4C74"/>
    <w:rsid w:val="0E9D6C3E"/>
    <w:rsid w:val="0E9E29B6"/>
    <w:rsid w:val="0EA2194C"/>
    <w:rsid w:val="0EA231CE"/>
    <w:rsid w:val="0EA53D44"/>
    <w:rsid w:val="0EA63619"/>
    <w:rsid w:val="0EAA3109"/>
    <w:rsid w:val="0EAC6E81"/>
    <w:rsid w:val="0EAF071F"/>
    <w:rsid w:val="0EB60EDD"/>
    <w:rsid w:val="0EB775D4"/>
    <w:rsid w:val="0EBE0962"/>
    <w:rsid w:val="0EBE2240"/>
    <w:rsid w:val="0EC341CA"/>
    <w:rsid w:val="0EC51CF1"/>
    <w:rsid w:val="0EC87A33"/>
    <w:rsid w:val="0ED174EF"/>
    <w:rsid w:val="0ED805F3"/>
    <w:rsid w:val="0ED85EC8"/>
    <w:rsid w:val="0EDB1514"/>
    <w:rsid w:val="0EDB32C2"/>
    <w:rsid w:val="0EE02FCE"/>
    <w:rsid w:val="0EE20AF5"/>
    <w:rsid w:val="0EE3138A"/>
    <w:rsid w:val="0EE54141"/>
    <w:rsid w:val="0EE71CB8"/>
    <w:rsid w:val="0EE774C5"/>
    <w:rsid w:val="0EEC3721"/>
    <w:rsid w:val="0EF10D38"/>
    <w:rsid w:val="0EF56A7A"/>
    <w:rsid w:val="0EF60FA5"/>
    <w:rsid w:val="0EFB5712"/>
    <w:rsid w:val="0EFD592E"/>
    <w:rsid w:val="0EFE5203"/>
    <w:rsid w:val="0F0547E3"/>
    <w:rsid w:val="0F056591"/>
    <w:rsid w:val="0F0740B7"/>
    <w:rsid w:val="0F113188"/>
    <w:rsid w:val="0F1B7B63"/>
    <w:rsid w:val="0F20161D"/>
    <w:rsid w:val="0F234C69"/>
    <w:rsid w:val="0F274759"/>
    <w:rsid w:val="0F2B249C"/>
    <w:rsid w:val="0F2C043B"/>
    <w:rsid w:val="0F2F5DD8"/>
    <w:rsid w:val="0F31382A"/>
    <w:rsid w:val="0F34460C"/>
    <w:rsid w:val="0F381984"/>
    <w:rsid w:val="0F39623B"/>
    <w:rsid w:val="0F3A448D"/>
    <w:rsid w:val="0F3D3F7D"/>
    <w:rsid w:val="0F3E3425"/>
    <w:rsid w:val="0F3F7CF5"/>
    <w:rsid w:val="0F403A6D"/>
    <w:rsid w:val="0F423341"/>
    <w:rsid w:val="0F4277E5"/>
    <w:rsid w:val="0F44355D"/>
    <w:rsid w:val="0F451083"/>
    <w:rsid w:val="0F4C5F6E"/>
    <w:rsid w:val="0F501F02"/>
    <w:rsid w:val="0F517A28"/>
    <w:rsid w:val="0F5C08A7"/>
    <w:rsid w:val="0F5D461F"/>
    <w:rsid w:val="0F601A19"/>
    <w:rsid w:val="0F696B20"/>
    <w:rsid w:val="0F704352"/>
    <w:rsid w:val="0F751969"/>
    <w:rsid w:val="0F7554C5"/>
    <w:rsid w:val="0F777F66"/>
    <w:rsid w:val="0F7D25CB"/>
    <w:rsid w:val="0F87344A"/>
    <w:rsid w:val="0F8C280E"/>
    <w:rsid w:val="0F8E6586"/>
    <w:rsid w:val="0F9067A2"/>
    <w:rsid w:val="0F930041"/>
    <w:rsid w:val="0F9673BA"/>
    <w:rsid w:val="0F977B31"/>
    <w:rsid w:val="0F9A317D"/>
    <w:rsid w:val="0F9B0CA3"/>
    <w:rsid w:val="0F9D2C6D"/>
    <w:rsid w:val="0FA83AEC"/>
    <w:rsid w:val="0FA91612"/>
    <w:rsid w:val="0FAA73A1"/>
    <w:rsid w:val="0FAB0EE6"/>
    <w:rsid w:val="0FAE09D7"/>
    <w:rsid w:val="0FAF0209"/>
    <w:rsid w:val="0FB00ACE"/>
    <w:rsid w:val="0FB3423F"/>
    <w:rsid w:val="0FBC3147"/>
    <w:rsid w:val="0FC41FA8"/>
    <w:rsid w:val="0FC4644C"/>
    <w:rsid w:val="0FCD3553"/>
    <w:rsid w:val="0FCE1079"/>
    <w:rsid w:val="0FCE2BD0"/>
    <w:rsid w:val="0FCE2E27"/>
    <w:rsid w:val="0FD25BA3"/>
    <w:rsid w:val="0FD32311"/>
    <w:rsid w:val="0FD7617F"/>
    <w:rsid w:val="0FDA49FB"/>
    <w:rsid w:val="0FDE1960"/>
    <w:rsid w:val="0FE10DAC"/>
    <w:rsid w:val="0FE268DE"/>
    <w:rsid w:val="0FE32D76"/>
    <w:rsid w:val="0FE443F8"/>
    <w:rsid w:val="0FE95EB3"/>
    <w:rsid w:val="0FEA384E"/>
    <w:rsid w:val="0FF3288D"/>
    <w:rsid w:val="0FF61215"/>
    <w:rsid w:val="0FF705D0"/>
    <w:rsid w:val="0FFA00C0"/>
    <w:rsid w:val="0FFC1742"/>
    <w:rsid w:val="0FFD7C8E"/>
    <w:rsid w:val="100131FC"/>
    <w:rsid w:val="100823C5"/>
    <w:rsid w:val="10090303"/>
    <w:rsid w:val="10176536"/>
    <w:rsid w:val="10196798"/>
    <w:rsid w:val="101A2510"/>
    <w:rsid w:val="101B6E73"/>
    <w:rsid w:val="102B0279"/>
    <w:rsid w:val="10305890"/>
    <w:rsid w:val="103C2486"/>
    <w:rsid w:val="103D7E98"/>
    <w:rsid w:val="1045758D"/>
    <w:rsid w:val="104650B3"/>
    <w:rsid w:val="10466E61"/>
    <w:rsid w:val="104B091B"/>
    <w:rsid w:val="104E745A"/>
    <w:rsid w:val="10501A8E"/>
    <w:rsid w:val="105F05EB"/>
    <w:rsid w:val="106F641B"/>
    <w:rsid w:val="10710382"/>
    <w:rsid w:val="1077526D"/>
    <w:rsid w:val="1078597C"/>
    <w:rsid w:val="107C6D27"/>
    <w:rsid w:val="10833C11"/>
    <w:rsid w:val="1084133C"/>
    <w:rsid w:val="10855BDB"/>
    <w:rsid w:val="1088747A"/>
    <w:rsid w:val="10897BD2"/>
    <w:rsid w:val="108A4FA0"/>
    <w:rsid w:val="108B2E51"/>
    <w:rsid w:val="108F25B6"/>
    <w:rsid w:val="1090632E"/>
    <w:rsid w:val="10915F18"/>
    <w:rsid w:val="1092038E"/>
    <w:rsid w:val="10973B61"/>
    <w:rsid w:val="109B53FF"/>
    <w:rsid w:val="10A2678D"/>
    <w:rsid w:val="10A818CA"/>
    <w:rsid w:val="10A83678"/>
    <w:rsid w:val="10A84A5E"/>
    <w:rsid w:val="10AA2DFB"/>
    <w:rsid w:val="10B44A07"/>
    <w:rsid w:val="10B84498"/>
    <w:rsid w:val="10BD6F35"/>
    <w:rsid w:val="10C04E65"/>
    <w:rsid w:val="10C20BDE"/>
    <w:rsid w:val="10C62E11"/>
    <w:rsid w:val="10D1490E"/>
    <w:rsid w:val="10D73F5D"/>
    <w:rsid w:val="10D80401"/>
    <w:rsid w:val="10D821AF"/>
    <w:rsid w:val="10DB3A4D"/>
    <w:rsid w:val="10E072B6"/>
    <w:rsid w:val="10E54ECE"/>
    <w:rsid w:val="10E70441"/>
    <w:rsid w:val="10FA45D5"/>
    <w:rsid w:val="110411F6"/>
    <w:rsid w:val="11072A94"/>
    <w:rsid w:val="111807FE"/>
    <w:rsid w:val="111F3845"/>
    <w:rsid w:val="11230EC2"/>
    <w:rsid w:val="1127610F"/>
    <w:rsid w:val="1127659F"/>
    <w:rsid w:val="112B39E1"/>
    <w:rsid w:val="112E0021"/>
    <w:rsid w:val="1131366D"/>
    <w:rsid w:val="11346F8C"/>
    <w:rsid w:val="11352FE1"/>
    <w:rsid w:val="1141166B"/>
    <w:rsid w:val="11457119"/>
    <w:rsid w:val="114A175E"/>
    <w:rsid w:val="114E421F"/>
    <w:rsid w:val="11513D10"/>
    <w:rsid w:val="11515ABE"/>
    <w:rsid w:val="115455AE"/>
    <w:rsid w:val="11561326"/>
    <w:rsid w:val="1158509E"/>
    <w:rsid w:val="115A5225"/>
    <w:rsid w:val="115F7721"/>
    <w:rsid w:val="11630E1A"/>
    <w:rsid w:val="11641C95"/>
    <w:rsid w:val="11651569"/>
    <w:rsid w:val="11657F33"/>
    <w:rsid w:val="11673BE2"/>
    <w:rsid w:val="11697B20"/>
    <w:rsid w:val="11716160"/>
    <w:rsid w:val="11785740"/>
    <w:rsid w:val="117A5014"/>
    <w:rsid w:val="11812847"/>
    <w:rsid w:val="1183141E"/>
    <w:rsid w:val="118659F4"/>
    <w:rsid w:val="118851E5"/>
    <w:rsid w:val="118934A9"/>
    <w:rsid w:val="119321D1"/>
    <w:rsid w:val="119360D6"/>
    <w:rsid w:val="11943BFC"/>
    <w:rsid w:val="119A7465"/>
    <w:rsid w:val="11A007F3"/>
    <w:rsid w:val="11A22E3A"/>
    <w:rsid w:val="11A4040E"/>
    <w:rsid w:val="11A80819"/>
    <w:rsid w:val="11AC0F46"/>
    <w:rsid w:val="11B00A36"/>
    <w:rsid w:val="11B10BD6"/>
    <w:rsid w:val="11B61DC5"/>
    <w:rsid w:val="11B62D5B"/>
    <w:rsid w:val="11B72303"/>
    <w:rsid w:val="11B92399"/>
    <w:rsid w:val="11C444E1"/>
    <w:rsid w:val="11C72224"/>
    <w:rsid w:val="11C95BAD"/>
    <w:rsid w:val="11CE533C"/>
    <w:rsid w:val="11D20D5A"/>
    <w:rsid w:val="11D97647"/>
    <w:rsid w:val="11DA333F"/>
    <w:rsid w:val="11DA3D05"/>
    <w:rsid w:val="11E701D0"/>
    <w:rsid w:val="11E9219A"/>
    <w:rsid w:val="11EB7CC0"/>
    <w:rsid w:val="11F61740"/>
    <w:rsid w:val="11F823DD"/>
    <w:rsid w:val="11F949F3"/>
    <w:rsid w:val="11FC1ECD"/>
    <w:rsid w:val="11FF376C"/>
    <w:rsid w:val="120668A8"/>
    <w:rsid w:val="120C06C7"/>
    <w:rsid w:val="120D52C6"/>
    <w:rsid w:val="121015B2"/>
    <w:rsid w:val="1211524D"/>
    <w:rsid w:val="12130FC5"/>
    <w:rsid w:val="12174F59"/>
    <w:rsid w:val="12194ADA"/>
    <w:rsid w:val="121A426B"/>
    <w:rsid w:val="121F0689"/>
    <w:rsid w:val="12211934"/>
    <w:rsid w:val="122D652B"/>
    <w:rsid w:val="12301B77"/>
    <w:rsid w:val="123478B9"/>
    <w:rsid w:val="123C43E8"/>
    <w:rsid w:val="12435D4E"/>
    <w:rsid w:val="12445622"/>
    <w:rsid w:val="1246139A"/>
    <w:rsid w:val="12482B82"/>
    <w:rsid w:val="12483364"/>
    <w:rsid w:val="12485112"/>
    <w:rsid w:val="124B4C03"/>
    <w:rsid w:val="124C1CDC"/>
    <w:rsid w:val="12502219"/>
    <w:rsid w:val="125579AE"/>
    <w:rsid w:val="1257411B"/>
    <w:rsid w:val="12647C70"/>
    <w:rsid w:val="12655CC4"/>
    <w:rsid w:val="12692EF2"/>
    <w:rsid w:val="126A32DB"/>
    <w:rsid w:val="126B2BAF"/>
    <w:rsid w:val="126C2A6B"/>
    <w:rsid w:val="126F6B43"/>
    <w:rsid w:val="12706417"/>
    <w:rsid w:val="127203E1"/>
    <w:rsid w:val="12747CB6"/>
    <w:rsid w:val="12753A2E"/>
    <w:rsid w:val="127777A6"/>
    <w:rsid w:val="127B435C"/>
    <w:rsid w:val="127E6D86"/>
    <w:rsid w:val="12850115"/>
    <w:rsid w:val="12851EC3"/>
    <w:rsid w:val="1290609D"/>
    <w:rsid w:val="12910929"/>
    <w:rsid w:val="129B16E6"/>
    <w:rsid w:val="129E2F84"/>
    <w:rsid w:val="12A040D4"/>
    <w:rsid w:val="12A04F4F"/>
    <w:rsid w:val="12A33082"/>
    <w:rsid w:val="12A66E32"/>
    <w:rsid w:val="12A83E03"/>
    <w:rsid w:val="12B5207C"/>
    <w:rsid w:val="12B91B6C"/>
    <w:rsid w:val="12BB3B36"/>
    <w:rsid w:val="12BB58E4"/>
    <w:rsid w:val="12BD50B9"/>
    <w:rsid w:val="12BE3627"/>
    <w:rsid w:val="12C312C4"/>
    <w:rsid w:val="12C86253"/>
    <w:rsid w:val="12CB18A0"/>
    <w:rsid w:val="12D04739"/>
    <w:rsid w:val="12D31205"/>
    <w:rsid w:val="12D40754"/>
    <w:rsid w:val="12DD1696"/>
    <w:rsid w:val="12E12E71"/>
    <w:rsid w:val="12E4180D"/>
    <w:rsid w:val="12E54456"/>
    <w:rsid w:val="12E61A49"/>
    <w:rsid w:val="12E666D9"/>
    <w:rsid w:val="12E7492B"/>
    <w:rsid w:val="12EB53B3"/>
    <w:rsid w:val="12EF1A32"/>
    <w:rsid w:val="12F42BA4"/>
    <w:rsid w:val="12F749B7"/>
    <w:rsid w:val="12F928B1"/>
    <w:rsid w:val="12F9465F"/>
    <w:rsid w:val="130152C1"/>
    <w:rsid w:val="13023513"/>
    <w:rsid w:val="13054DB2"/>
    <w:rsid w:val="130627D3"/>
    <w:rsid w:val="13076D7C"/>
    <w:rsid w:val="130848A2"/>
    <w:rsid w:val="130A6291"/>
    <w:rsid w:val="13113756"/>
    <w:rsid w:val="13193464"/>
    <w:rsid w:val="13196AAF"/>
    <w:rsid w:val="132248F2"/>
    <w:rsid w:val="132711CC"/>
    <w:rsid w:val="13272F7A"/>
    <w:rsid w:val="13294F44"/>
    <w:rsid w:val="132D60B6"/>
    <w:rsid w:val="132E1098"/>
    <w:rsid w:val="1336140F"/>
    <w:rsid w:val="13367661"/>
    <w:rsid w:val="13386F35"/>
    <w:rsid w:val="13491142"/>
    <w:rsid w:val="1349141A"/>
    <w:rsid w:val="134A0A16"/>
    <w:rsid w:val="13516DDF"/>
    <w:rsid w:val="13531204"/>
    <w:rsid w:val="13557A16"/>
    <w:rsid w:val="135875D7"/>
    <w:rsid w:val="1362026A"/>
    <w:rsid w:val="13637D2A"/>
    <w:rsid w:val="136C6BDF"/>
    <w:rsid w:val="136D3EEE"/>
    <w:rsid w:val="136F4921"/>
    <w:rsid w:val="13730106"/>
    <w:rsid w:val="1376180B"/>
    <w:rsid w:val="13763F01"/>
    <w:rsid w:val="13781A27"/>
    <w:rsid w:val="137A57A0"/>
    <w:rsid w:val="137B32C6"/>
    <w:rsid w:val="138C102F"/>
    <w:rsid w:val="138F1ABA"/>
    <w:rsid w:val="13906D71"/>
    <w:rsid w:val="13946135"/>
    <w:rsid w:val="139525D9"/>
    <w:rsid w:val="139E2E9A"/>
    <w:rsid w:val="139E6802"/>
    <w:rsid w:val="139F5206"/>
    <w:rsid w:val="13A04ADA"/>
    <w:rsid w:val="13A2785E"/>
    <w:rsid w:val="13A445CA"/>
    <w:rsid w:val="13A520F1"/>
    <w:rsid w:val="13AC0C0D"/>
    <w:rsid w:val="13B00541"/>
    <w:rsid w:val="13B011C1"/>
    <w:rsid w:val="13B22AFD"/>
    <w:rsid w:val="13B642FE"/>
    <w:rsid w:val="13BB000E"/>
    <w:rsid w:val="13BD2407"/>
    <w:rsid w:val="13BD38DE"/>
    <w:rsid w:val="13BE3769"/>
    <w:rsid w:val="13BE434A"/>
    <w:rsid w:val="13BF042A"/>
    <w:rsid w:val="13C54541"/>
    <w:rsid w:val="13CC3B21"/>
    <w:rsid w:val="13CE5AEB"/>
    <w:rsid w:val="13D529D6"/>
    <w:rsid w:val="13D726E3"/>
    <w:rsid w:val="13DD188A"/>
    <w:rsid w:val="13DF5603"/>
    <w:rsid w:val="13E62E35"/>
    <w:rsid w:val="13E6604D"/>
    <w:rsid w:val="13EB5139"/>
    <w:rsid w:val="13ED41C3"/>
    <w:rsid w:val="13ED7CA3"/>
    <w:rsid w:val="13F13588"/>
    <w:rsid w:val="13F217DA"/>
    <w:rsid w:val="13F51B73"/>
    <w:rsid w:val="13F912AF"/>
    <w:rsid w:val="13FB7F63"/>
    <w:rsid w:val="13FC61B5"/>
    <w:rsid w:val="14065285"/>
    <w:rsid w:val="14092680"/>
    <w:rsid w:val="140B464A"/>
    <w:rsid w:val="140C2170"/>
    <w:rsid w:val="14121C6E"/>
    <w:rsid w:val="141352AC"/>
    <w:rsid w:val="14180B15"/>
    <w:rsid w:val="141F6BD7"/>
    <w:rsid w:val="14294AD0"/>
    <w:rsid w:val="142B4CEC"/>
    <w:rsid w:val="142D2812"/>
    <w:rsid w:val="14321BD6"/>
    <w:rsid w:val="143516C6"/>
    <w:rsid w:val="1437543F"/>
    <w:rsid w:val="143D67CD"/>
    <w:rsid w:val="143F2545"/>
    <w:rsid w:val="144705DE"/>
    <w:rsid w:val="144731A8"/>
    <w:rsid w:val="144933C4"/>
    <w:rsid w:val="14495172"/>
    <w:rsid w:val="144B713C"/>
    <w:rsid w:val="144E4536"/>
    <w:rsid w:val="145130A0"/>
    <w:rsid w:val="14535FF1"/>
    <w:rsid w:val="14553B17"/>
    <w:rsid w:val="145853B5"/>
    <w:rsid w:val="145C4EA5"/>
    <w:rsid w:val="145D29CB"/>
    <w:rsid w:val="145E4D9D"/>
    <w:rsid w:val="145F04F1"/>
    <w:rsid w:val="146401FE"/>
    <w:rsid w:val="14681A9C"/>
    <w:rsid w:val="146A5814"/>
    <w:rsid w:val="14706BA3"/>
    <w:rsid w:val="14710C76"/>
    <w:rsid w:val="14733F9D"/>
    <w:rsid w:val="147E4E1C"/>
    <w:rsid w:val="147F6DE6"/>
    <w:rsid w:val="14863CD0"/>
    <w:rsid w:val="148748B0"/>
    <w:rsid w:val="148B7538"/>
    <w:rsid w:val="148D505F"/>
    <w:rsid w:val="14946449"/>
    <w:rsid w:val="14972381"/>
    <w:rsid w:val="149731AD"/>
    <w:rsid w:val="1497412F"/>
    <w:rsid w:val="149C7998"/>
    <w:rsid w:val="149E517F"/>
    <w:rsid w:val="149E54BE"/>
    <w:rsid w:val="14A12657"/>
    <w:rsid w:val="14A14FAE"/>
    <w:rsid w:val="14A405FA"/>
    <w:rsid w:val="14AC7225"/>
    <w:rsid w:val="14B922F8"/>
    <w:rsid w:val="14B940A6"/>
    <w:rsid w:val="14BB7AA2"/>
    <w:rsid w:val="14C81165"/>
    <w:rsid w:val="14CB1AD4"/>
    <w:rsid w:val="14CB3DD9"/>
    <w:rsid w:val="14CD125C"/>
    <w:rsid w:val="14CF1965"/>
    <w:rsid w:val="14D62FA0"/>
    <w:rsid w:val="14DA78C1"/>
    <w:rsid w:val="14DB226E"/>
    <w:rsid w:val="14DE3B0C"/>
    <w:rsid w:val="14E01E8F"/>
    <w:rsid w:val="14E629C1"/>
    <w:rsid w:val="14E8107C"/>
    <w:rsid w:val="14E86F37"/>
    <w:rsid w:val="14EC0958"/>
    <w:rsid w:val="14ED662C"/>
    <w:rsid w:val="14ED79F6"/>
    <w:rsid w:val="15053175"/>
    <w:rsid w:val="150A062C"/>
    <w:rsid w:val="150F1F7D"/>
    <w:rsid w:val="15175270"/>
    <w:rsid w:val="152359C3"/>
    <w:rsid w:val="15325D8B"/>
    <w:rsid w:val="1533351E"/>
    <w:rsid w:val="154C4F1A"/>
    <w:rsid w:val="15520056"/>
    <w:rsid w:val="15545B7C"/>
    <w:rsid w:val="15565D98"/>
    <w:rsid w:val="1557566D"/>
    <w:rsid w:val="155951B1"/>
    <w:rsid w:val="155E4C4D"/>
    <w:rsid w:val="15604521"/>
    <w:rsid w:val="15634011"/>
    <w:rsid w:val="156342FD"/>
    <w:rsid w:val="15655021"/>
    <w:rsid w:val="1573515B"/>
    <w:rsid w:val="15763D45"/>
    <w:rsid w:val="15783F61"/>
    <w:rsid w:val="15785D0F"/>
    <w:rsid w:val="157B34A2"/>
    <w:rsid w:val="157F52EF"/>
    <w:rsid w:val="15897F1C"/>
    <w:rsid w:val="15932B49"/>
    <w:rsid w:val="15981F0D"/>
    <w:rsid w:val="15992A73"/>
    <w:rsid w:val="159E329B"/>
    <w:rsid w:val="15A00DC2"/>
    <w:rsid w:val="15A07D67"/>
    <w:rsid w:val="15A5287C"/>
    <w:rsid w:val="15A72150"/>
    <w:rsid w:val="15AB60E4"/>
    <w:rsid w:val="15AC6074"/>
    <w:rsid w:val="15AE7982"/>
    <w:rsid w:val="15B900D5"/>
    <w:rsid w:val="15BB5BFB"/>
    <w:rsid w:val="15C50828"/>
    <w:rsid w:val="15CC7E09"/>
    <w:rsid w:val="15D373E9"/>
    <w:rsid w:val="15D7563B"/>
    <w:rsid w:val="15D867AD"/>
    <w:rsid w:val="15DD5B72"/>
    <w:rsid w:val="15E213DA"/>
    <w:rsid w:val="15E21563"/>
    <w:rsid w:val="15E51B78"/>
    <w:rsid w:val="15EB4733"/>
    <w:rsid w:val="15EE4223"/>
    <w:rsid w:val="15EE7D7F"/>
    <w:rsid w:val="15EF1E88"/>
    <w:rsid w:val="15F46F18"/>
    <w:rsid w:val="15FF1F8C"/>
    <w:rsid w:val="160269DF"/>
    <w:rsid w:val="160307E7"/>
    <w:rsid w:val="160F6ACA"/>
    <w:rsid w:val="1618304E"/>
    <w:rsid w:val="161A0B74"/>
    <w:rsid w:val="161C0D90"/>
    <w:rsid w:val="161E145D"/>
    <w:rsid w:val="1626228F"/>
    <w:rsid w:val="16291A2B"/>
    <w:rsid w:val="1632283F"/>
    <w:rsid w:val="163C4F8E"/>
    <w:rsid w:val="164200CB"/>
    <w:rsid w:val="16442095"/>
    <w:rsid w:val="16443E43"/>
    <w:rsid w:val="16481B85"/>
    <w:rsid w:val="164D0F49"/>
    <w:rsid w:val="16503AF2"/>
    <w:rsid w:val="1651030E"/>
    <w:rsid w:val="16557DFE"/>
    <w:rsid w:val="16565924"/>
    <w:rsid w:val="165A5414"/>
    <w:rsid w:val="165F0C7D"/>
    <w:rsid w:val="166444E5"/>
    <w:rsid w:val="166938A9"/>
    <w:rsid w:val="166A350D"/>
    <w:rsid w:val="166D4447"/>
    <w:rsid w:val="16704C38"/>
    <w:rsid w:val="167504A0"/>
    <w:rsid w:val="167D7355"/>
    <w:rsid w:val="167F131F"/>
    <w:rsid w:val="167F4E7B"/>
    <w:rsid w:val="16810BF3"/>
    <w:rsid w:val="168340B4"/>
    <w:rsid w:val="1683496B"/>
    <w:rsid w:val="168626AD"/>
    <w:rsid w:val="168D7598"/>
    <w:rsid w:val="16924BAE"/>
    <w:rsid w:val="169564C9"/>
    <w:rsid w:val="169A3A63"/>
    <w:rsid w:val="16A42B33"/>
    <w:rsid w:val="16A668AC"/>
    <w:rsid w:val="16A7071E"/>
    <w:rsid w:val="16A91EF8"/>
    <w:rsid w:val="16AC3DF4"/>
    <w:rsid w:val="16AD19E8"/>
    <w:rsid w:val="16AE5760"/>
    <w:rsid w:val="16B234A2"/>
    <w:rsid w:val="16B32D77"/>
    <w:rsid w:val="16B5089D"/>
    <w:rsid w:val="16BA5EB3"/>
    <w:rsid w:val="16BC7E7D"/>
    <w:rsid w:val="16BE3BF5"/>
    <w:rsid w:val="16BF796D"/>
    <w:rsid w:val="16C531D6"/>
    <w:rsid w:val="16CA07EC"/>
    <w:rsid w:val="16CE51CA"/>
    <w:rsid w:val="16CE64D4"/>
    <w:rsid w:val="16DE7DF3"/>
    <w:rsid w:val="16E11692"/>
    <w:rsid w:val="16E15B36"/>
    <w:rsid w:val="16E3540A"/>
    <w:rsid w:val="16EA49EA"/>
    <w:rsid w:val="16F13FCB"/>
    <w:rsid w:val="16F41AB6"/>
    <w:rsid w:val="16F45869"/>
    <w:rsid w:val="16F83DDF"/>
    <w:rsid w:val="16FC471D"/>
    <w:rsid w:val="16FC5218"/>
    <w:rsid w:val="1704307D"/>
    <w:rsid w:val="1704706B"/>
    <w:rsid w:val="17057BF5"/>
    <w:rsid w:val="170A0BE8"/>
    <w:rsid w:val="17123F41"/>
    <w:rsid w:val="17125CEF"/>
    <w:rsid w:val="17141A67"/>
    <w:rsid w:val="17173A55"/>
    <w:rsid w:val="171A2C2A"/>
    <w:rsid w:val="171A4BA4"/>
    <w:rsid w:val="171E28E6"/>
    <w:rsid w:val="171F21BA"/>
    <w:rsid w:val="17227344"/>
    <w:rsid w:val="17233A58"/>
    <w:rsid w:val="172779EC"/>
    <w:rsid w:val="172F2734"/>
    <w:rsid w:val="173363A9"/>
    <w:rsid w:val="173512E7"/>
    <w:rsid w:val="17377504"/>
    <w:rsid w:val="1739327C"/>
    <w:rsid w:val="173B5246"/>
    <w:rsid w:val="174100BC"/>
    <w:rsid w:val="17463BEB"/>
    <w:rsid w:val="17465999"/>
    <w:rsid w:val="175005C5"/>
    <w:rsid w:val="17567AA7"/>
    <w:rsid w:val="1758223C"/>
    <w:rsid w:val="175B58E8"/>
    <w:rsid w:val="175C281F"/>
    <w:rsid w:val="17680005"/>
    <w:rsid w:val="17681DB3"/>
    <w:rsid w:val="176B26F1"/>
    <w:rsid w:val="176C53FF"/>
    <w:rsid w:val="176D4508"/>
    <w:rsid w:val="1772678E"/>
    <w:rsid w:val="17793FC0"/>
    <w:rsid w:val="177B5642"/>
    <w:rsid w:val="177C760C"/>
    <w:rsid w:val="177D3FCD"/>
    <w:rsid w:val="17800EAB"/>
    <w:rsid w:val="1783099B"/>
    <w:rsid w:val="17832749"/>
    <w:rsid w:val="17854713"/>
    <w:rsid w:val="178C784F"/>
    <w:rsid w:val="1791130A"/>
    <w:rsid w:val="17942BA8"/>
    <w:rsid w:val="17966920"/>
    <w:rsid w:val="17994C66"/>
    <w:rsid w:val="17996410"/>
    <w:rsid w:val="179B5CE4"/>
    <w:rsid w:val="17A10E21"/>
    <w:rsid w:val="17A511FB"/>
    <w:rsid w:val="17A74689"/>
    <w:rsid w:val="17AA5F28"/>
    <w:rsid w:val="17AC7EF2"/>
    <w:rsid w:val="17B14EDF"/>
    <w:rsid w:val="17B2302E"/>
    <w:rsid w:val="17B40B54"/>
    <w:rsid w:val="17B943BD"/>
    <w:rsid w:val="17BD5C5B"/>
    <w:rsid w:val="17BE19D3"/>
    <w:rsid w:val="17BF5E77"/>
    <w:rsid w:val="17C50FB3"/>
    <w:rsid w:val="17C6515B"/>
    <w:rsid w:val="17C84600"/>
    <w:rsid w:val="17C90AA4"/>
    <w:rsid w:val="17CC2956"/>
    <w:rsid w:val="17D11706"/>
    <w:rsid w:val="17D411F6"/>
    <w:rsid w:val="17D50542"/>
    <w:rsid w:val="17D82B4B"/>
    <w:rsid w:val="17DA3589"/>
    <w:rsid w:val="17E10869"/>
    <w:rsid w:val="17E23913"/>
    <w:rsid w:val="17E458DD"/>
    <w:rsid w:val="17E72CD8"/>
    <w:rsid w:val="17EA0A1A"/>
    <w:rsid w:val="17EA27C8"/>
    <w:rsid w:val="17F51899"/>
    <w:rsid w:val="17F65611"/>
    <w:rsid w:val="17F74355"/>
    <w:rsid w:val="17FB49D5"/>
    <w:rsid w:val="18025D64"/>
    <w:rsid w:val="180513B0"/>
    <w:rsid w:val="18055854"/>
    <w:rsid w:val="180A2E6A"/>
    <w:rsid w:val="180E295A"/>
    <w:rsid w:val="181141F9"/>
    <w:rsid w:val="18155A97"/>
    <w:rsid w:val="181635BD"/>
    <w:rsid w:val="18185587"/>
    <w:rsid w:val="1820443C"/>
    <w:rsid w:val="18225583"/>
    <w:rsid w:val="182C5DE6"/>
    <w:rsid w:val="182E0907"/>
    <w:rsid w:val="18301ACB"/>
    <w:rsid w:val="183028D1"/>
    <w:rsid w:val="18316649"/>
    <w:rsid w:val="183471DC"/>
    <w:rsid w:val="183D4FEE"/>
    <w:rsid w:val="18414ADE"/>
    <w:rsid w:val="184A7122"/>
    <w:rsid w:val="18567E5D"/>
    <w:rsid w:val="185A16FC"/>
    <w:rsid w:val="185F31B6"/>
    <w:rsid w:val="186407CC"/>
    <w:rsid w:val="1864257A"/>
    <w:rsid w:val="186C7681"/>
    <w:rsid w:val="186C7D92"/>
    <w:rsid w:val="18770500"/>
    <w:rsid w:val="187D188E"/>
    <w:rsid w:val="187D363C"/>
    <w:rsid w:val="187D53EA"/>
    <w:rsid w:val="187F5606"/>
    <w:rsid w:val="18822A00"/>
    <w:rsid w:val="18876269"/>
    <w:rsid w:val="188803F0"/>
    <w:rsid w:val="18890233"/>
    <w:rsid w:val="188977EB"/>
    <w:rsid w:val="188B3FAB"/>
    <w:rsid w:val="188C616C"/>
    <w:rsid w:val="189015C1"/>
    <w:rsid w:val="18972950"/>
    <w:rsid w:val="189866C8"/>
    <w:rsid w:val="189A41EE"/>
    <w:rsid w:val="189E3CDE"/>
    <w:rsid w:val="189F36EA"/>
    <w:rsid w:val="18A24E51"/>
    <w:rsid w:val="18A312F5"/>
    <w:rsid w:val="18A46E1B"/>
    <w:rsid w:val="18A935B2"/>
    <w:rsid w:val="18AF7A2D"/>
    <w:rsid w:val="18B03A11"/>
    <w:rsid w:val="18B84674"/>
    <w:rsid w:val="18BA4890"/>
    <w:rsid w:val="18BC23B6"/>
    <w:rsid w:val="18BC4164"/>
    <w:rsid w:val="18BF1EA7"/>
    <w:rsid w:val="18C474BD"/>
    <w:rsid w:val="18C63235"/>
    <w:rsid w:val="18CA46ED"/>
    <w:rsid w:val="18D06E9B"/>
    <w:rsid w:val="18D25736"/>
    <w:rsid w:val="18D314AE"/>
    <w:rsid w:val="18D86AC4"/>
    <w:rsid w:val="18DA672E"/>
    <w:rsid w:val="18DF42F7"/>
    <w:rsid w:val="18DF60A5"/>
    <w:rsid w:val="18DF7E53"/>
    <w:rsid w:val="18E00334"/>
    <w:rsid w:val="18E15979"/>
    <w:rsid w:val="18E4181A"/>
    <w:rsid w:val="18E63730"/>
    <w:rsid w:val="18E87DE5"/>
    <w:rsid w:val="18ED07C2"/>
    <w:rsid w:val="18F338FE"/>
    <w:rsid w:val="18FF04F5"/>
    <w:rsid w:val="19037FE5"/>
    <w:rsid w:val="19053D5D"/>
    <w:rsid w:val="190B0C48"/>
    <w:rsid w:val="190B50EC"/>
    <w:rsid w:val="190F6BAC"/>
    <w:rsid w:val="191161A3"/>
    <w:rsid w:val="192048F7"/>
    <w:rsid w:val="192D6E10"/>
    <w:rsid w:val="192F3001"/>
    <w:rsid w:val="19306900"/>
    <w:rsid w:val="19371A3D"/>
    <w:rsid w:val="193C2553"/>
    <w:rsid w:val="194052D2"/>
    <w:rsid w:val="194303E2"/>
    <w:rsid w:val="194A0A34"/>
    <w:rsid w:val="194A1770"/>
    <w:rsid w:val="194C482C"/>
    <w:rsid w:val="194D1260"/>
    <w:rsid w:val="194F6EB7"/>
    <w:rsid w:val="19526877"/>
    <w:rsid w:val="195B488E"/>
    <w:rsid w:val="195C14A3"/>
    <w:rsid w:val="19600F94"/>
    <w:rsid w:val="19632832"/>
    <w:rsid w:val="196333D9"/>
    <w:rsid w:val="19645239"/>
    <w:rsid w:val="19670574"/>
    <w:rsid w:val="196A01F1"/>
    <w:rsid w:val="196C69C2"/>
    <w:rsid w:val="196D140B"/>
    <w:rsid w:val="196D545F"/>
    <w:rsid w:val="197113F3"/>
    <w:rsid w:val="19742C91"/>
    <w:rsid w:val="1977452F"/>
    <w:rsid w:val="197C1B46"/>
    <w:rsid w:val="197C38F4"/>
    <w:rsid w:val="197D56A5"/>
    <w:rsid w:val="19801636"/>
    <w:rsid w:val="198033E4"/>
    <w:rsid w:val="19830EE9"/>
    <w:rsid w:val="19834C82"/>
    <w:rsid w:val="19847484"/>
    <w:rsid w:val="198C1D89"/>
    <w:rsid w:val="198E5044"/>
    <w:rsid w:val="19940C3D"/>
    <w:rsid w:val="199450E1"/>
    <w:rsid w:val="19967B08"/>
    <w:rsid w:val="199724DC"/>
    <w:rsid w:val="1998697F"/>
    <w:rsid w:val="199B021E"/>
    <w:rsid w:val="199D21E8"/>
    <w:rsid w:val="19A1335A"/>
    <w:rsid w:val="19A355DE"/>
    <w:rsid w:val="19AD1CFF"/>
    <w:rsid w:val="19B0616D"/>
    <w:rsid w:val="19B117EF"/>
    <w:rsid w:val="19B25567"/>
    <w:rsid w:val="19B27315"/>
    <w:rsid w:val="19B47531"/>
    <w:rsid w:val="19BA0C94"/>
    <w:rsid w:val="19BB266E"/>
    <w:rsid w:val="19BE3F0C"/>
    <w:rsid w:val="19BE5CBA"/>
    <w:rsid w:val="19C15150"/>
    <w:rsid w:val="19C239FC"/>
    <w:rsid w:val="19C34AE0"/>
    <w:rsid w:val="19C374C4"/>
    <w:rsid w:val="19C534ED"/>
    <w:rsid w:val="19C63549"/>
    <w:rsid w:val="19C71013"/>
    <w:rsid w:val="19C749D9"/>
    <w:rsid w:val="19C84D8B"/>
    <w:rsid w:val="19CD414F"/>
    <w:rsid w:val="19DD2B4C"/>
    <w:rsid w:val="19E00326"/>
    <w:rsid w:val="19E020D4"/>
    <w:rsid w:val="19E101E0"/>
    <w:rsid w:val="19E219A9"/>
    <w:rsid w:val="19E35721"/>
    <w:rsid w:val="19E41BC5"/>
    <w:rsid w:val="19E5593D"/>
    <w:rsid w:val="19E67FC5"/>
    <w:rsid w:val="19EA2F53"/>
    <w:rsid w:val="19EB3DD4"/>
    <w:rsid w:val="19ED356A"/>
    <w:rsid w:val="19EE4158"/>
    <w:rsid w:val="19F14C69"/>
    <w:rsid w:val="19F618F8"/>
    <w:rsid w:val="19F8741E"/>
    <w:rsid w:val="19FB0CBC"/>
    <w:rsid w:val="19FB6F0E"/>
    <w:rsid w:val="19FC63B9"/>
    <w:rsid w:val="19FD67E3"/>
    <w:rsid w:val="1A004525"/>
    <w:rsid w:val="1A082EDA"/>
    <w:rsid w:val="1A0C2EC9"/>
    <w:rsid w:val="1A0E50CF"/>
    <w:rsid w:val="1A0F19C1"/>
    <w:rsid w:val="1A126F7E"/>
    <w:rsid w:val="1A1B4EBB"/>
    <w:rsid w:val="1A1D0C33"/>
    <w:rsid w:val="1A25729D"/>
    <w:rsid w:val="1A3221DF"/>
    <w:rsid w:val="1A322407"/>
    <w:rsid w:val="1A345F7C"/>
    <w:rsid w:val="1A3A17E5"/>
    <w:rsid w:val="1A491A28"/>
    <w:rsid w:val="1A497C7A"/>
    <w:rsid w:val="1A4A39F2"/>
    <w:rsid w:val="1A4C59BC"/>
    <w:rsid w:val="1A516B2E"/>
    <w:rsid w:val="1A592BA3"/>
    <w:rsid w:val="1A5A2039"/>
    <w:rsid w:val="1A613215"/>
    <w:rsid w:val="1A646862"/>
    <w:rsid w:val="1A6E7AB7"/>
    <w:rsid w:val="1A7867B1"/>
    <w:rsid w:val="1A8011C2"/>
    <w:rsid w:val="1A807414"/>
    <w:rsid w:val="1A815666"/>
    <w:rsid w:val="1A841B5E"/>
    <w:rsid w:val="1A8C60A2"/>
    <w:rsid w:val="1A9A6727"/>
    <w:rsid w:val="1AA2382E"/>
    <w:rsid w:val="1AA43102"/>
    <w:rsid w:val="1AAE21D3"/>
    <w:rsid w:val="1AB30BDD"/>
    <w:rsid w:val="1AB5530F"/>
    <w:rsid w:val="1AB62E35"/>
    <w:rsid w:val="1AC77717"/>
    <w:rsid w:val="1ACE4623"/>
    <w:rsid w:val="1AD27C6F"/>
    <w:rsid w:val="1AD31C39"/>
    <w:rsid w:val="1AD339E7"/>
    <w:rsid w:val="1AD82DAC"/>
    <w:rsid w:val="1ADF413A"/>
    <w:rsid w:val="1AE17EB2"/>
    <w:rsid w:val="1AE452E6"/>
    <w:rsid w:val="1AE92047"/>
    <w:rsid w:val="1AF23E6D"/>
    <w:rsid w:val="1AF52E7F"/>
    <w:rsid w:val="1AF776D6"/>
    <w:rsid w:val="1AFC2A8C"/>
    <w:rsid w:val="1AFF590A"/>
    <w:rsid w:val="1B0353F5"/>
    <w:rsid w:val="1B041DF3"/>
    <w:rsid w:val="1B097409"/>
    <w:rsid w:val="1B1464DA"/>
    <w:rsid w:val="1B19589E"/>
    <w:rsid w:val="1B222279"/>
    <w:rsid w:val="1B283D33"/>
    <w:rsid w:val="1B285478"/>
    <w:rsid w:val="1B285AE1"/>
    <w:rsid w:val="1B326960"/>
    <w:rsid w:val="1B356450"/>
    <w:rsid w:val="1B3721C8"/>
    <w:rsid w:val="1B373F76"/>
    <w:rsid w:val="1B397CEE"/>
    <w:rsid w:val="1B3A3A66"/>
    <w:rsid w:val="1B3C158C"/>
    <w:rsid w:val="1B507759"/>
    <w:rsid w:val="1B522B5E"/>
    <w:rsid w:val="1B527002"/>
    <w:rsid w:val="1B5543FC"/>
    <w:rsid w:val="1B574618"/>
    <w:rsid w:val="1B5865B3"/>
    <w:rsid w:val="1B5F2658"/>
    <w:rsid w:val="1B610FF3"/>
    <w:rsid w:val="1B634D6B"/>
    <w:rsid w:val="1B66161C"/>
    <w:rsid w:val="1B66485B"/>
    <w:rsid w:val="1B666609"/>
    <w:rsid w:val="1B6805D3"/>
    <w:rsid w:val="1B682381"/>
    <w:rsid w:val="1B6A2607"/>
    <w:rsid w:val="1B6D3662"/>
    <w:rsid w:val="1B6F1962"/>
    <w:rsid w:val="1B707488"/>
    <w:rsid w:val="1B7A37EC"/>
    <w:rsid w:val="1B7F7846"/>
    <w:rsid w:val="1B803B6F"/>
    <w:rsid w:val="1B8340A7"/>
    <w:rsid w:val="1B844081"/>
    <w:rsid w:val="1B886580"/>
    <w:rsid w:val="1B8C6CA7"/>
    <w:rsid w:val="1B937A0D"/>
    <w:rsid w:val="1B9C772F"/>
    <w:rsid w:val="1B9E3FF5"/>
    <w:rsid w:val="1BA01DA5"/>
    <w:rsid w:val="1BA033DB"/>
    <w:rsid w:val="1BB11F7A"/>
    <w:rsid w:val="1BB13D28"/>
    <w:rsid w:val="1BB47800"/>
    <w:rsid w:val="1BB824B6"/>
    <w:rsid w:val="1BB90E2F"/>
    <w:rsid w:val="1BC17CE4"/>
    <w:rsid w:val="1BC577D4"/>
    <w:rsid w:val="1BC61C6C"/>
    <w:rsid w:val="1BCA303C"/>
    <w:rsid w:val="1BCD6688"/>
    <w:rsid w:val="1BD143CB"/>
    <w:rsid w:val="1BDC6730"/>
    <w:rsid w:val="1BE35EAC"/>
    <w:rsid w:val="1BE55780"/>
    <w:rsid w:val="1BE67576"/>
    <w:rsid w:val="1BE7599C"/>
    <w:rsid w:val="1BE872E2"/>
    <w:rsid w:val="1BEA548C"/>
    <w:rsid w:val="1BF400B9"/>
    <w:rsid w:val="1BF81957"/>
    <w:rsid w:val="1C00080C"/>
    <w:rsid w:val="1C033E58"/>
    <w:rsid w:val="1C055E22"/>
    <w:rsid w:val="1C197B20"/>
    <w:rsid w:val="1C204A0A"/>
    <w:rsid w:val="1C2362A8"/>
    <w:rsid w:val="1C297D63"/>
    <w:rsid w:val="1C2A7637"/>
    <w:rsid w:val="1C312A88"/>
    <w:rsid w:val="1C33298F"/>
    <w:rsid w:val="1C3D31D9"/>
    <w:rsid w:val="1C3F526D"/>
    <w:rsid w:val="1C4912E1"/>
    <w:rsid w:val="1C4A5F2B"/>
    <w:rsid w:val="1C5446B4"/>
    <w:rsid w:val="1C554999"/>
    <w:rsid w:val="1C556DAA"/>
    <w:rsid w:val="1C5823F6"/>
    <w:rsid w:val="1C5841A4"/>
    <w:rsid w:val="1C597F1C"/>
    <w:rsid w:val="1C5B3C94"/>
    <w:rsid w:val="1C654B13"/>
    <w:rsid w:val="1C6A3ED7"/>
    <w:rsid w:val="1C6C40F3"/>
    <w:rsid w:val="1C6D261E"/>
    <w:rsid w:val="1C712CE7"/>
    <w:rsid w:val="1C7D00AF"/>
    <w:rsid w:val="1C821675"/>
    <w:rsid w:val="1C827473"/>
    <w:rsid w:val="1C850D11"/>
    <w:rsid w:val="1C874A89"/>
    <w:rsid w:val="1C9176B6"/>
    <w:rsid w:val="1C9571A6"/>
    <w:rsid w:val="1C961170"/>
    <w:rsid w:val="1C9C4066"/>
    <w:rsid w:val="1C9C6787"/>
    <w:rsid w:val="1C9D301D"/>
    <w:rsid w:val="1CA23671"/>
    <w:rsid w:val="1CA42186"/>
    <w:rsid w:val="1CA4563B"/>
    <w:rsid w:val="1CA7512B"/>
    <w:rsid w:val="1CAC44F0"/>
    <w:rsid w:val="1CAE0268"/>
    <w:rsid w:val="1CAE1467"/>
    <w:rsid w:val="1CB3587E"/>
    <w:rsid w:val="1CB57848"/>
    <w:rsid w:val="1CBA6C0D"/>
    <w:rsid w:val="1CBF4223"/>
    <w:rsid w:val="1CBF5FD1"/>
    <w:rsid w:val="1CC651D8"/>
    <w:rsid w:val="1CC7132A"/>
    <w:rsid w:val="1CC950A2"/>
    <w:rsid w:val="1CD04987"/>
    <w:rsid w:val="1CD75A11"/>
    <w:rsid w:val="1CDC4DD5"/>
    <w:rsid w:val="1CDD28FB"/>
    <w:rsid w:val="1CDD29AD"/>
    <w:rsid w:val="1CE1063D"/>
    <w:rsid w:val="1CE11B43"/>
    <w:rsid w:val="1CE13520"/>
    <w:rsid w:val="1CE43C8A"/>
    <w:rsid w:val="1CE44F73"/>
    <w:rsid w:val="1CEB10E1"/>
    <w:rsid w:val="1CF0262F"/>
    <w:rsid w:val="1CF163A7"/>
    <w:rsid w:val="1CFB5557"/>
    <w:rsid w:val="1CFC27F4"/>
    <w:rsid w:val="1CFD2DEB"/>
    <w:rsid w:val="1D097B94"/>
    <w:rsid w:val="1D0B56BA"/>
    <w:rsid w:val="1D17405F"/>
    <w:rsid w:val="1D1A58FD"/>
    <w:rsid w:val="1D1D0C59"/>
    <w:rsid w:val="1D217EF0"/>
    <w:rsid w:val="1D232A04"/>
    <w:rsid w:val="1D254DE8"/>
    <w:rsid w:val="1D26096A"/>
    <w:rsid w:val="1D293D92"/>
    <w:rsid w:val="1D2B18B9"/>
    <w:rsid w:val="1D2D73DF"/>
    <w:rsid w:val="1D300C7D"/>
    <w:rsid w:val="1D306ECF"/>
    <w:rsid w:val="1D322C47"/>
    <w:rsid w:val="1D33076D"/>
    <w:rsid w:val="1D37025D"/>
    <w:rsid w:val="1D374689"/>
    <w:rsid w:val="1D383571"/>
    <w:rsid w:val="1D3E15EC"/>
    <w:rsid w:val="1D412E8A"/>
    <w:rsid w:val="1D445EF1"/>
    <w:rsid w:val="1D491D3F"/>
    <w:rsid w:val="1D50131F"/>
    <w:rsid w:val="1D5022F0"/>
    <w:rsid w:val="1D540E0F"/>
    <w:rsid w:val="1D547061"/>
    <w:rsid w:val="1D572956"/>
    <w:rsid w:val="1D57445C"/>
    <w:rsid w:val="1D5F77B4"/>
    <w:rsid w:val="1D646B79"/>
    <w:rsid w:val="1D6628F1"/>
    <w:rsid w:val="1D686669"/>
    <w:rsid w:val="1D6F5C49"/>
    <w:rsid w:val="1D705BF3"/>
    <w:rsid w:val="1D725739"/>
    <w:rsid w:val="1D7414B2"/>
    <w:rsid w:val="1D813BCE"/>
    <w:rsid w:val="1D840FC9"/>
    <w:rsid w:val="1D8611E5"/>
    <w:rsid w:val="1D882867"/>
    <w:rsid w:val="1D8B67FB"/>
    <w:rsid w:val="1D8B7972"/>
    <w:rsid w:val="1D8D4321"/>
    <w:rsid w:val="1D9317D5"/>
    <w:rsid w:val="1D9535F5"/>
    <w:rsid w:val="1D980AE6"/>
    <w:rsid w:val="1D990F18"/>
    <w:rsid w:val="1D9D4AC7"/>
    <w:rsid w:val="1DA07278"/>
    <w:rsid w:val="1DA33B45"/>
    <w:rsid w:val="1DA5166B"/>
    <w:rsid w:val="1DA578BD"/>
    <w:rsid w:val="1DA653E3"/>
    <w:rsid w:val="1DAA4ED3"/>
    <w:rsid w:val="1DAB760F"/>
    <w:rsid w:val="1DB23D88"/>
    <w:rsid w:val="1DB26E14"/>
    <w:rsid w:val="1DB418AE"/>
    <w:rsid w:val="1DB51F9E"/>
    <w:rsid w:val="1DB7314C"/>
    <w:rsid w:val="1DBA022B"/>
    <w:rsid w:val="1DC87107"/>
    <w:rsid w:val="1DD51824"/>
    <w:rsid w:val="1DD71A40"/>
    <w:rsid w:val="1DDC3FB1"/>
    <w:rsid w:val="1DDE1728"/>
    <w:rsid w:val="1DE06B47"/>
    <w:rsid w:val="1DE2466D"/>
    <w:rsid w:val="1DE27955"/>
    <w:rsid w:val="1DE44B16"/>
    <w:rsid w:val="1DE55F0B"/>
    <w:rsid w:val="1DE657E0"/>
    <w:rsid w:val="1DE86515"/>
    <w:rsid w:val="1DEA3522"/>
    <w:rsid w:val="1DFB74DD"/>
    <w:rsid w:val="1DFE0C99"/>
    <w:rsid w:val="1DFE0D7B"/>
    <w:rsid w:val="1E067C30"/>
    <w:rsid w:val="1E0C793C"/>
    <w:rsid w:val="1E0F4D36"/>
    <w:rsid w:val="1E110AAE"/>
    <w:rsid w:val="1E124827"/>
    <w:rsid w:val="1E18008F"/>
    <w:rsid w:val="1E200A3C"/>
    <w:rsid w:val="1E20106E"/>
    <w:rsid w:val="1E2118ED"/>
    <w:rsid w:val="1E253381"/>
    <w:rsid w:val="1E25455A"/>
    <w:rsid w:val="1E29229C"/>
    <w:rsid w:val="1E2D2246"/>
    <w:rsid w:val="1E2F53D8"/>
    <w:rsid w:val="1E360515"/>
    <w:rsid w:val="1E3649B9"/>
    <w:rsid w:val="1E3D5D47"/>
    <w:rsid w:val="1E3E386E"/>
    <w:rsid w:val="1E3E73CA"/>
    <w:rsid w:val="1E422B8B"/>
    <w:rsid w:val="1E4557B9"/>
    <w:rsid w:val="1E4A3FC0"/>
    <w:rsid w:val="1E544EE0"/>
    <w:rsid w:val="1E5D1F46"/>
    <w:rsid w:val="1E5E5B8F"/>
    <w:rsid w:val="1E6029D2"/>
    <w:rsid w:val="1E641526"/>
    <w:rsid w:val="1E673ED5"/>
    <w:rsid w:val="1E6A4663"/>
    <w:rsid w:val="1E731769"/>
    <w:rsid w:val="1E761256"/>
    <w:rsid w:val="1E7828DC"/>
    <w:rsid w:val="1E7A2AF8"/>
    <w:rsid w:val="1E7B6870"/>
    <w:rsid w:val="1E7D6144"/>
    <w:rsid w:val="1E7E1EBC"/>
    <w:rsid w:val="1E854FF8"/>
    <w:rsid w:val="1E870B51"/>
    <w:rsid w:val="1E89425F"/>
    <w:rsid w:val="1E905423"/>
    <w:rsid w:val="1E911BEF"/>
    <w:rsid w:val="1E937715"/>
    <w:rsid w:val="1E965458"/>
    <w:rsid w:val="1E9811D0"/>
    <w:rsid w:val="1E9D0594"/>
    <w:rsid w:val="1E9F255E"/>
    <w:rsid w:val="1EA15438"/>
    <w:rsid w:val="1EA27958"/>
    <w:rsid w:val="1EA55764"/>
    <w:rsid w:val="1EB06519"/>
    <w:rsid w:val="1EB14FED"/>
    <w:rsid w:val="1EB31B66"/>
    <w:rsid w:val="1EB4768C"/>
    <w:rsid w:val="1EBB798A"/>
    <w:rsid w:val="1EC66531"/>
    <w:rsid w:val="1EC83421"/>
    <w:rsid w:val="1ECC70CB"/>
    <w:rsid w:val="1ED33FB6"/>
    <w:rsid w:val="1EDD3086"/>
    <w:rsid w:val="1EDF0BAD"/>
    <w:rsid w:val="1EE03162"/>
    <w:rsid w:val="1EE24276"/>
    <w:rsid w:val="1EE4017B"/>
    <w:rsid w:val="1EE53CE9"/>
    <w:rsid w:val="1EE73F05"/>
    <w:rsid w:val="1EEB5328"/>
    <w:rsid w:val="1EEC32CA"/>
    <w:rsid w:val="1EED151B"/>
    <w:rsid w:val="1EEE2B9E"/>
    <w:rsid w:val="1EEF13C0"/>
    <w:rsid w:val="1EF74148"/>
    <w:rsid w:val="1EF83A1C"/>
    <w:rsid w:val="1EFA3C38"/>
    <w:rsid w:val="1EFA416B"/>
    <w:rsid w:val="1EFA7794"/>
    <w:rsid w:val="1F0625DD"/>
    <w:rsid w:val="1F066139"/>
    <w:rsid w:val="1F0E4FEE"/>
    <w:rsid w:val="1F136AA8"/>
    <w:rsid w:val="1F234F3D"/>
    <w:rsid w:val="1F260691"/>
    <w:rsid w:val="1F2760B0"/>
    <w:rsid w:val="1F2B3DF2"/>
    <w:rsid w:val="1F2B5BA0"/>
    <w:rsid w:val="1F330EF8"/>
    <w:rsid w:val="1F341124"/>
    <w:rsid w:val="1F3507CD"/>
    <w:rsid w:val="1F374545"/>
    <w:rsid w:val="1F3802BD"/>
    <w:rsid w:val="1F390158"/>
    <w:rsid w:val="1F3D58D3"/>
    <w:rsid w:val="1F4153C3"/>
    <w:rsid w:val="1F45071E"/>
    <w:rsid w:val="1F4858E1"/>
    <w:rsid w:val="1F4B7AAA"/>
    <w:rsid w:val="1F4C5B16"/>
    <w:rsid w:val="1F50594B"/>
    <w:rsid w:val="1F5B07A3"/>
    <w:rsid w:val="1F5C044F"/>
    <w:rsid w:val="1F5C3FAB"/>
    <w:rsid w:val="1F5F584A"/>
    <w:rsid w:val="1F664E2A"/>
    <w:rsid w:val="1F6B0692"/>
    <w:rsid w:val="1F6C281F"/>
    <w:rsid w:val="1F6F5AB9"/>
    <w:rsid w:val="1F724F50"/>
    <w:rsid w:val="1F7532BF"/>
    <w:rsid w:val="1F7664A2"/>
    <w:rsid w:val="1F775289"/>
    <w:rsid w:val="1F7C289F"/>
    <w:rsid w:val="1F7C63FB"/>
    <w:rsid w:val="1F7E7A0A"/>
    <w:rsid w:val="1F7F5EEC"/>
    <w:rsid w:val="1F7F6AB2"/>
    <w:rsid w:val="1F8A5DA8"/>
    <w:rsid w:val="1F8B7238"/>
    <w:rsid w:val="1F911969"/>
    <w:rsid w:val="1F925C1F"/>
    <w:rsid w:val="1F953961"/>
    <w:rsid w:val="1F96177A"/>
    <w:rsid w:val="1F9900FB"/>
    <w:rsid w:val="1F9A0F77"/>
    <w:rsid w:val="1F9D6372"/>
    <w:rsid w:val="1FA225FE"/>
    <w:rsid w:val="1FA2456E"/>
    <w:rsid w:val="1FA37E2C"/>
    <w:rsid w:val="1FB02549"/>
    <w:rsid w:val="1FB0678C"/>
    <w:rsid w:val="1FB5190D"/>
    <w:rsid w:val="1FB72576"/>
    <w:rsid w:val="1FB738D7"/>
    <w:rsid w:val="1FBE07C2"/>
    <w:rsid w:val="1FBE0986"/>
    <w:rsid w:val="1FC16504"/>
    <w:rsid w:val="1FC17307"/>
    <w:rsid w:val="1FC3227C"/>
    <w:rsid w:val="1FCB1131"/>
    <w:rsid w:val="1FD3789B"/>
    <w:rsid w:val="1FD75D28"/>
    <w:rsid w:val="1FDA1374"/>
    <w:rsid w:val="1FDB75C6"/>
    <w:rsid w:val="1FE355A3"/>
    <w:rsid w:val="1FE43DE1"/>
    <w:rsid w:val="1FF42436"/>
    <w:rsid w:val="1FF54D66"/>
    <w:rsid w:val="1FFB7C68"/>
    <w:rsid w:val="1FFE1506"/>
    <w:rsid w:val="1FFE5062"/>
    <w:rsid w:val="20014B53"/>
    <w:rsid w:val="2004637B"/>
    <w:rsid w:val="20062169"/>
    <w:rsid w:val="2007660D"/>
    <w:rsid w:val="20083FA6"/>
    <w:rsid w:val="20087C8F"/>
    <w:rsid w:val="200A5AFC"/>
    <w:rsid w:val="200D34F7"/>
    <w:rsid w:val="20124FB2"/>
    <w:rsid w:val="20146634"/>
    <w:rsid w:val="201C373B"/>
    <w:rsid w:val="201E74B3"/>
    <w:rsid w:val="2020147D"/>
    <w:rsid w:val="20286583"/>
    <w:rsid w:val="202A22FB"/>
    <w:rsid w:val="202F346E"/>
    <w:rsid w:val="203023E8"/>
    <w:rsid w:val="2031368A"/>
    <w:rsid w:val="20370574"/>
    <w:rsid w:val="203776EA"/>
    <w:rsid w:val="203F6914"/>
    <w:rsid w:val="20472ECD"/>
    <w:rsid w:val="204C2272"/>
    <w:rsid w:val="204D5FEA"/>
    <w:rsid w:val="20515ADA"/>
    <w:rsid w:val="205630F0"/>
    <w:rsid w:val="2056595D"/>
    <w:rsid w:val="20586E69"/>
    <w:rsid w:val="205D447F"/>
    <w:rsid w:val="20692E24"/>
    <w:rsid w:val="206D3F96"/>
    <w:rsid w:val="20713A86"/>
    <w:rsid w:val="2079293B"/>
    <w:rsid w:val="207F2647"/>
    <w:rsid w:val="20823EE5"/>
    <w:rsid w:val="208A2D9A"/>
    <w:rsid w:val="208E129B"/>
    <w:rsid w:val="209155CF"/>
    <w:rsid w:val="209239FD"/>
    <w:rsid w:val="209314D4"/>
    <w:rsid w:val="209D487B"/>
    <w:rsid w:val="20A5502A"/>
    <w:rsid w:val="20AC0BEB"/>
    <w:rsid w:val="20AF2801"/>
    <w:rsid w:val="20B10327"/>
    <w:rsid w:val="20B147CB"/>
    <w:rsid w:val="20B16579"/>
    <w:rsid w:val="20B3409F"/>
    <w:rsid w:val="20B70C76"/>
    <w:rsid w:val="20B8113C"/>
    <w:rsid w:val="20B834A0"/>
    <w:rsid w:val="20BA379C"/>
    <w:rsid w:val="20BB73F7"/>
    <w:rsid w:val="20C462AC"/>
    <w:rsid w:val="20C55B80"/>
    <w:rsid w:val="20C718F8"/>
    <w:rsid w:val="20CB38AA"/>
    <w:rsid w:val="20CE3F85"/>
    <w:rsid w:val="20D61B3B"/>
    <w:rsid w:val="20E1467F"/>
    <w:rsid w:val="20E57FD0"/>
    <w:rsid w:val="20EA55E7"/>
    <w:rsid w:val="20EE3329"/>
    <w:rsid w:val="20F12E19"/>
    <w:rsid w:val="20F546B7"/>
    <w:rsid w:val="20F87D04"/>
    <w:rsid w:val="20FA3A7C"/>
    <w:rsid w:val="20FB5A46"/>
    <w:rsid w:val="20FC21BE"/>
    <w:rsid w:val="20FD2D5C"/>
    <w:rsid w:val="20FF5536"/>
    <w:rsid w:val="2100305C"/>
    <w:rsid w:val="21052421"/>
    <w:rsid w:val="210E5779"/>
    <w:rsid w:val="21117017"/>
    <w:rsid w:val="21132D8F"/>
    <w:rsid w:val="211A5ECC"/>
    <w:rsid w:val="211B33DF"/>
    <w:rsid w:val="211B39F2"/>
    <w:rsid w:val="211D59BC"/>
    <w:rsid w:val="212154AC"/>
    <w:rsid w:val="2129610F"/>
    <w:rsid w:val="21303941"/>
    <w:rsid w:val="21322057"/>
    <w:rsid w:val="21372515"/>
    <w:rsid w:val="2139141A"/>
    <w:rsid w:val="213A656E"/>
    <w:rsid w:val="214142A7"/>
    <w:rsid w:val="214178FD"/>
    <w:rsid w:val="21425423"/>
    <w:rsid w:val="21432ED9"/>
    <w:rsid w:val="214473ED"/>
    <w:rsid w:val="2149055F"/>
    <w:rsid w:val="214967B1"/>
    <w:rsid w:val="214C0DE1"/>
    <w:rsid w:val="214C62A1"/>
    <w:rsid w:val="21505D92"/>
    <w:rsid w:val="2153128C"/>
    <w:rsid w:val="215313DE"/>
    <w:rsid w:val="215533A8"/>
    <w:rsid w:val="21570ECE"/>
    <w:rsid w:val="21582FF0"/>
    <w:rsid w:val="215A09BE"/>
    <w:rsid w:val="215C4618"/>
    <w:rsid w:val="215D76CB"/>
    <w:rsid w:val="2164183D"/>
    <w:rsid w:val="216929AF"/>
    <w:rsid w:val="216B6728"/>
    <w:rsid w:val="216E6218"/>
    <w:rsid w:val="21701F90"/>
    <w:rsid w:val="21710CAD"/>
    <w:rsid w:val="21730876"/>
    <w:rsid w:val="21787096"/>
    <w:rsid w:val="217911FA"/>
    <w:rsid w:val="218B6DCA"/>
    <w:rsid w:val="218D2447"/>
    <w:rsid w:val="218D48F0"/>
    <w:rsid w:val="218F70C9"/>
    <w:rsid w:val="21933ED0"/>
    <w:rsid w:val="219519F6"/>
    <w:rsid w:val="219A3485"/>
    <w:rsid w:val="219B6CB5"/>
    <w:rsid w:val="21A36214"/>
    <w:rsid w:val="21A67760"/>
    <w:rsid w:val="21AB3214"/>
    <w:rsid w:val="21AD6D40"/>
    <w:rsid w:val="21AF5D06"/>
    <w:rsid w:val="21B005DE"/>
    <w:rsid w:val="21B17E1E"/>
    <w:rsid w:val="21B225A8"/>
    <w:rsid w:val="21BA76AF"/>
    <w:rsid w:val="21BE2E1C"/>
    <w:rsid w:val="21BE5ADD"/>
    <w:rsid w:val="21C4408A"/>
    <w:rsid w:val="21CB366A"/>
    <w:rsid w:val="21CE2245"/>
    <w:rsid w:val="21D267A7"/>
    <w:rsid w:val="21D818E3"/>
    <w:rsid w:val="21DF0EC4"/>
    <w:rsid w:val="21DF2C72"/>
    <w:rsid w:val="21E169EA"/>
    <w:rsid w:val="21E64000"/>
    <w:rsid w:val="21EB0021"/>
    <w:rsid w:val="21EE5BE9"/>
    <w:rsid w:val="21F52495"/>
    <w:rsid w:val="21FA7AAB"/>
    <w:rsid w:val="21FF50C2"/>
    <w:rsid w:val="22001566"/>
    <w:rsid w:val="220426D8"/>
    <w:rsid w:val="22097CEF"/>
    <w:rsid w:val="220A5F40"/>
    <w:rsid w:val="220B3A67"/>
    <w:rsid w:val="221B28B1"/>
    <w:rsid w:val="22204E78"/>
    <w:rsid w:val="222141AB"/>
    <w:rsid w:val="22250889"/>
    <w:rsid w:val="22280ABD"/>
    <w:rsid w:val="222F1E4B"/>
    <w:rsid w:val="222F59A7"/>
    <w:rsid w:val="22325497"/>
    <w:rsid w:val="22327245"/>
    <w:rsid w:val="223E5BEA"/>
    <w:rsid w:val="224007C3"/>
    <w:rsid w:val="224D407F"/>
    <w:rsid w:val="225418B2"/>
    <w:rsid w:val="22576CAC"/>
    <w:rsid w:val="225B49EE"/>
    <w:rsid w:val="226513C9"/>
    <w:rsid w:val="22673393"/>
    <w:rsid w:val="22680EB9"/>
    <w:rsid w:val="22725EDB"/>
    <w:rsid w:val="22733DDC"/>
    <w:rsid w:val="22743D02"/>
    <w:rsid w:val="22761828"/>
    <w:rsid w:val="227B299A"/>
    <w:rsid w:val="227D5AD8"/>
    <w:rsid w:val="227E248B"/>
    <w:rsid w:val="228850B7"/>
    <w:rsid w:val="22894163"/>
    <w:rsid w:val="228E4DC3"/>
    <w:rsid w:val="22934188"/>
    <w:rsid w:val="229D5007"/>
    <w:rsid w:val="229E2B2D"/>
    <w:rsid w:val="229E48DB"/>
    <w:rsid w:val="22A00653"/>
    <w:rsid w:val="22A939AB"/>
    <w:rsid w:val="22AB3909"/>
    <w:rsid w:val="22AC524A"/>
    <w:rsid w:val="22AF0896"/>
    <w:rsid w:val="22B1460E"/>
    <w:rsid w:val="22B20386"/>
    <w:rsid w:val="22B934C3"/>
    <w:rsid w:val="22C132AB"/>
    <w:rsid w:val="22C20B70"/>
    <w:rsid w:val="22C72083"/>
    <w:rsid w:val="22CE584C"/>
    <w:rsid w:val="22D30A28"/>
    <w:rsid w:val="22D8603F"/>
    <w:rsid w:val="22DB2ECB"/>
    <w:rsid w:val="22DE117B"/>
    <w:rsid w:val="22E20C6B"/>
    <w:rsid w:val="22E42C35"/>
    <w:rsid w:val="22E5250A"/>
    <w:rsid w:val="22E76282"/>
    <w:rsid w:val="22EC475E"/>
    <w:rsid w:val="22FB0B31"/>
    <w:rsid w:val="22FC68C8"/>
    <w:rsid w:val="22FD5AA5"/>
    <w:rsid w:val="230010F2"/>
    <w:rsid w:val="23024E6A"/>
    <w:rsid w:val="23076924"/>
    <w:rsid w:val="230D298A"/>
    <w:rsid w:val="230D6253"/>
    <w:rsid w:val="23103A2A"/>
    <w:rsid w:val="231057D9"/>
    <w:rsid w:val="231B17A8"/>
    <w:rsid w:val="231B5F2B"/>
    <w:rsid w:val="231D1CA3"/>
    <w:rsid w:val="231D7EF5"/>
    <w:rsid w:val="231F3C6E"/>
    <w:rsid w:val="23203542"/>
    <w:rsid w:val="232050A1"/>
    <w:rsid w:val="232079E6"/>
    <w:rsid w:val="2329689A"/>
    <w:rsid w:val="232C54A8"/>
    <w:rsid w:val="23304019"/>
    <w:rsid w:val="23311CBD"/>
    <w:rsid w:val="23324671"/>
    <w:rsid w:val="23366A59"/>
    <w:rsid w:val="233D0598"/>
    <w:rsid w:val="234579E7"/>
    <w:rsid w:val="23476D20"/>
    <w:rsid w:val="234848D4"/>
    <w:rsid w:val="23494A98"/>
    <w:rsid w:val="234C3FAD"/>
    <w:rsid w:val="234F5BD5"/>
    <w:rsid w:val="235002CB"/>
    <w:rsid w:val="23502079"/>
    <w:rsid w:val="23505A86"/>
    <w:rsid w:val="23582CDC"/>
    <w:rsid w:val="235949C4"/>
    <w:rsid w:val="235B27CC"/>
    <w:rsid w:val="23615928"/>
    <w:rsid w:val="23671171"/>
    <w:rsid w:val="2369138D"/>
    <w:rsid w:val="236C58E0"/>
    <w:rsid w:val="23782EB8"/>
    <w:rsid w:val="237A0EA4"/>
    <w:rsid w:val="237C10C0"/>
    <w:rsid w:val="237C3DA7"/>
    <w:rsid w:val="237D0699"/>
    <w:rsid w:val="237F295E"/>
    <w:rsid w:val="23841D23"/>
    <w:rsid w:val="23843AD1"/>
    <w:rsid w:val="238910E7"/>
    <w:rsid w:val="238D4D72"/>
    <w:rsid w:val="238D507B"/>
    <w:rsid w:val="239161EE"/>
    <w:rsid w:val="2392443F"/>
    <w:rsid w:val="2393640A"/>
    <w:rsid w:val="23947310"/>
    <w:rsid w:val="23957A8C"/>
    <w:rsid w:val="2398757C"/>
    <w:rsid w:val="239C3492"/>
    <w:rsid w:val="23A14683"/>
    <w:rsid w:val="23A81EB5"/>
    <w:rsid w:val="23AB2B2B"/>
    <w:rsid w:val="23AB3753"/>
    <w:rsid w:val="23AD1279"/>
    <w:rsid w:val="23AF1307"/>
    <w:rsid w:val="23B1063E"/>
    <w:rsid w:val="23B32608"/>
    <w:rsid w:val="23B4085A"/>
    <w:rsid w:val="23B720F8"/>
    <w:rsid w:val="23BA3996"/>
    <w:rsid w:val="23BC326A"/>
    <w:rsid w:val="23BE4B53"/>
    <w:rsid w:val="23C30DB2"/>
    <w:rsid w:val="23C5553B"/>
    <w:rsid w:val="23CB7951"/>
    <w:rsid w:val="23CC34AF"/>
    <w:rsid w:val="23CD5478"/>
    <w:rsid w:val="23D305B4"/>
    <w:rsid w:val="23EC5768"/>
    <w:rsid w:val="23ED78C8"/>
    <w:rsid w:val="23EE0C3A"/>
    <w:rsid w:val="23EE3640"/>
    <w:rsid w:val="23F46EA8"/>
    <w:rsid w:val="23F8626D"/>
    <w:rsid w:val="23FC5D5D"/>
    <w:rsid w:val="240510B5"/>
    <w:rsid w:val="240864B0"/>
    <w:rsid w:val="24092228"/>
    <w:rsid w:val="240B2444"/>
    <w:rsid w:val="240B41F2"/>
    <w:rsid w:val="240D3609"/>
    <w:rsid w:val="240E1F29"/>
    <w:rsid w:val="24101808"/>
    <w:rsid w:val="24134E54"/>
    <w:rsid w:val="2418246B"/>
    <w:rsid w:val="241E2177"/>
    <w:rsid w:val="24207C9D"/>
    <w:rsid w:val="24213A15"/>
    <w:rsid w:val="24253506"/>
    <w:rsid w:val="2426102C"/>
    <w:rsid w:val="24274E22"/>
    <w:rsid w:val="242B6642"/>
    <w:rsid w:val="242E1489"/>
    <w:rsid w:val="24343749"/>
    <w:rsid w:val="24417C14"/>
    <w:rsid w:val="24466FD8"/>
    <w:rsid w:val="244A09D9"/>
    <w:rsid w:val="244B0A92"/>
    <w:rsid w:val="244D164C"/>
    <w:rsid w:val="245142FB"/>
    <w:rsid w:val="24545C48"/>
    <w:rsid w:val="24547947"/>
    <w:rsid w:val="24561911"/>
    <w:rsid w:val="24613E12"/>
    <w:rsid w:val="246430B6"/>
    <w:rsid w:val="24672AD2"/>
    <w:rsid w:val="24677510"/>
    <w:rsid w:val="247104F9"/>
    <w:rsid w:val="2472601F"/>
    <w:rsid w:val="24757506"/>
    <w:rsid w:val="247C6E9E"/>
    <w:rsid w:val="24833D88"/>
    <w:rsid w:val="24877D1C"/>
    <w:rsid w:val="24883A94"/>
    <w:rsid w:val="248A15BB"/>
    <w:rsid w:val="248A5117"/>
    <w:rsid w:val="248C728E"/>
    <w:rsid w:val="248D6176"/>
    <w:rsid w:val="24913406"/>
    <w:rsid w:val="24975A86"/>
    <w:rsid w:val="24977834"/>
    <w:rsid w:val="249B5576"/>
    <w:rsid w:val="249E485B"/>
    <w:rsid w:val="249F1243"/>
    <w:rsid w:val="24A06A19"/>
    <w:rsid w:val="24A30154"/>
    <w:rsid w:val="24A33184"/>
    <w:rsid w:val="24A33A07"/>
    <w:rsid w:val="24B410D9"/>
    <w:rsid w:val="24B46637"/>
    <w:rsid w:val="24B71C84"/>
    <w:rsid w:val="24BC729A"/>
    <w:rsid w:val="24C50F61"/>
    <w:rsid w:val="24CF3471"/>
    <w:rsid w:val="24CF521F"/>
    <w:rsid w:val="24D64800"/>
    <w:rsid w:val="24D665AE"/>
    <w:rsid w:val="24D855E8"/>
    <w:rsid w:val="24D942F0"/>
    <w:rsid w:val="24D9609E"/>
    <w:rsid w:val="24DB5972"/>
    <w:rsid w:val="24DC16EA"/>
    <w:rsid w:val="24E11586"/>
    <w:rsid w:val="24E46C1F"/>
    <w:rsid w:val="24E72569"/>
    <w:rsid w:val="24F133E8"/>
    <w:rsid w:val="250550E5"/>
    <w:rsid w:val="250749E2"/>
    <w:rsid w:val="25096983"/>
    <w:rsid w:val="250C1FD0"/>
    <w:rsid w:val="250C58E6"/>
    <w:rsid w:val="250E4BA7"/>
    <w:rsid w:val="250F386E"/>
    <w:rsid w:val="251203F9"/>
    <w:rsid w:val="25180A16"/>
    <w:rsid w:val="251A0287"/>
    <w:rsid w:val="25214A8C"/>
    <w:rsid w:val="25290DD3"/>
    <w:rsid w:val="252B4B4C"/>
    <w:rsid w:val="252C6FF6"/>
    <w:rsid w:val="25311A36"/>
    <w:rsid w:val="25331C52"/>
    <w:rsid w:val="253634F0"/>
    <w:rsid w:val="253908EB"/>
    <w:rsid w:val="253B5A69"/>
    <w:rsid w:val="2540611D"/>
    <w:rsid w:val="25441769"/>
    <w:rsid w:val="254B6F9C"/>
    <w:rsid w:val="256040C9"/>
    <w:rsid w:val="2564005E"/>
    <w:rsid w:val="25697422"/>
    <w:rsid w:val="25883532"/>
    <w:rsid w:val="258C3110"/>
    <w:rsid w:val="258C4EBE"/>
    <w:rsid w:val="259258A4"/>
    <w:rsid w:val="25973F8F"/>
    <w:rsid w:val="25A22934"/>
    <w:rsid w:val="25A34B14"/>
    <w:rsid w:val="25AB17E9"/>
    <w:rsid w:val="25AC3881"/>
    <w:rsid w:val="25AE3087"/>
    <w:rsid w:val="25AE752B"/>
    <w:rsid w:val="25B061BA"/>
    <w:rsid w:val="25B06EFA"/>
    <w:rsid w:val="25B50AD7"/>
    <w:rsid w:val="25B819DC"/>
    <w:rsid w:val="25B8272D"/>
    <w:rsid w:val="25BC39F6"/>
    <w:rsid w:val="25C7239A"/>
    <w:rsid w:val="25D43E56"/>
    <w:rsid w:val="25D82389"/>
    <w:rsid w:val="25DC4098"/>
    <w:rsid w:val="25E1520A"/>
    <w:rsid w:val="25E50791"/>
    <w:rsid w:val="25EB0744"/>
    <w:rsid w:val="25EB42DB"/>
    <w:rsid w:val="25ED7C6D"/>
    <w:rsid w:val="25EE794E"/>
    <w:rsid w:val="25F807A6"/>
    <w:rsid w:val="25FC3DF2"/>
    <w:rsid w:val="26014233"/>
    <w:rsid w:val="2608583E"/>
    <w:rsid w:val="26103D41"/>
    <w:rsid w:val="261455E0"/>
    <w:rsid w:val="2615531D"/>
    <w:rsid w:val="261A4BC0"/>
    <w:rsid w:val="261C6242"/>
    <w:rsid w:val="261F5D33"/>
    <w:rsid w:val="26215F4F"/>
    <w:rsid w:val="26296BB1"/>
    <w:rsid w:val="262A4E03"/>
    <w:rsid w:val="262B2929"/>
    <w:rsid w:val="263133EF"/>
    <w:rsid w:val="26355556"/>
    <w:rsid w:val="263907AA"/>
    <w:rsid w:val="26393298"/>
    <w:rsid w:val="26395046"/>
    <w:rsid w:val="263A5E5B"/>
    <w:rsid w:val="263C68E5"/>
    <w:rsid w:val="263C73D4"/>
    <w:rsid w:val="26451C3D"/>
    <w:rsid w:val="264834DB"/>
    <w:rsid w:val="26487037"/>
    <w:rsid w:val="26490E0B"/>
    <w:rsid w:val="264D464E"/>
    <w:rsid w:val="264E2B7D"/>
    <w:rsid w:val="2650413E"/>
    <w:rsid w:val="265A4FBD"/>
    <w:rsid w:val="2661459D"/>
    <w:rsid w:val="26647BE9"/>
    <w:rsid w:val="26671F9A"/>
    <w:rsid w:val="266B71CA"/>
    <w:rsid w:val="266F373E"/>
    <w:rsid w:val="26720558"/>
    <w:rsid w:val="267E6EFD"/>
    <w:rsid w:val="267F67D1"/>
    <w:rsid w:val="2681079B"/>
    <w:rsid w:val="26812549"/>
    <w:rsid w:val="268362C1"/>
    <w:rsid w:val="26855921"/>
    <w:rsid w:val="2694227D"/>
    <w:rsid w:val="26955117"/>
    <w:rsid w:val="269B7AAF"/>
    <w:rsid w:val="269E30FB"/>
    <w:rsid w:val="26A06E73"/>
    <w:rsid w:val="26A30A62"/>
    <w:rsid w:val="26A526DC"/>
    <w:rsid w:val="26AA1AA0"/>
    <w:rsid w:val="26AD1590"/>
    <w:rsid w:val="26B440BC"/>
    <w:rsid w:val="26B47BB7"/>
    <w:rsid w:val="26B648E9"/>
    <w:rsid w:val="26B653B2"/>
    <w:rsid w:val="26B7240F"/>
    <w:rsid w:val="26B80661"/>
    <w:rsid w:val="26BB5A5B"/>
    <w:rsid w:val="26C2328E"/>
    <w:rsid w:val="26C30DB4"/>
    <w:rsid w:val="26D0702D"/>
    <w:rsid w:val="26D62895"/>
    <w:rsid w:val="26D7660D"/>
    <w:rsid w:val="26DB434F"/>
    <w:rsid w:val="26DC3C24"/>
    <w:rsid w:val="26E7203A"/>
    <w:rsid w:val="26E722E3"/>
    <w:rsid w:val="26E86A6C"/>
    <w:rsid w:val="26EB094E"/>
    <w:rsid w:val="26EB56B1"/>
    <w:rsid w:val="26F45411"/>
    <w:rsid w:val="26F7280B"/>
    <w:rsid w:val="26FB054E"/>
    <w:rsid w:val="27005B64"/>
    <w:rsid w:val="27017F84"/>
    <w:rsid w:val="27035654"/>
    <w:rsid w:val="27075144"/>
    <w:rsid w:val="27111B1F"/>
    <w:rsid w:val="2714160F"/>
    <w:rsid w:val="27147861"/>
    <w:rsid w:val="27174C5C"/>
    <w:rsid w:val="27196C26"/>
    <w:rsid w:val="271D6716"/>
    <w:rsid w:val="27214B9E"/>
    <w:rsid w:val="27260CC1"/>
    <w:rsid w:val="27280C17"/>
    <w:rsid w:val="272A0E33"/>
    <w:rsid w:val="27303202"/>
    <w:rsid w:val="273852FE"/>
    <w:rsid w:val="273E043A"/>
    <w:rsid w:val="27427F2B"/>
    <w:rsid w:val="27433CA3"/>
    <w:rsid w:val="274F2647"/>
    <w:rsid w:val="2751016E"/>
    <w:rsid w:val="27533BBA"/>
    <w:rsid w:val="2753659C"/>
    <w:rsid w:val="27545EB0"/>
    <w:rsid w:val="27565784"/>
    <w:rsid w:val="275859A0"/>
    <w:rsid w:val="276023A4"/>
    <w:rsid w:val="27605F57"/>
    <w:rsid w:val="27644345"/>
    <w:rsid w:val="27653C19"/>
    <w:rsid w:val="27693709"/>
    <w:rsid w:val="276E51C4"/>
    <w:rsid w:val="27710810"/>
    <w:rsid w:val="277125BE"/>
    <w:rsid w:val="27787DF0"/>
    <w:rsid w:val="2786250D"/>
    <w:rsid w:val="27906EE8"/>
    <w:rsid w:val="27914A0E"/>
    <w:rsid w:val="27934C2A"/>
    <w:rsid w:val="279369D8"/>
    <w:rsid w:val="27962024"/>
    <w:rsid w:val="27985D9D"/>
    <w:rsid w:val="279A1B15"/>
    <w:rsid w:val="279A2A09"/>
    <w:rsid w:val="279D33B3"/>
    <w:rsid w:val="27A110F5"/>
    <w:rsid w:val="27A75F8C"/>
    <w:rsid w:val="27AD3C28"/>
    <w:rsid w:val="27B0758A"/>
    <w:rsid w:val="27BB1A8B"/>
    <w:rsid w:val="27BD1CA7"/>
    <w:rsid w:val="27C40159"/>
    <w:rsid w:val="27C46795"/>
    <w:rsid w:val="27C568F3"/>
    <w:rsid w:val="27CB6172"/>
    <w:rsid w:val="27CC1EEA"/>
    <w:rsid w:val="27D05536"/>
    <w:rsid w:val="27D17500"/>
    <w:rsid w:val="27D362FB"/>
    <w:rsid w:val="27D54F23"/>
    <w:rsid w:val="27D668C5"/>
    <w:rsid w:val="27DD40F7"/>
    <w:rsid w:val="27E17743"/>
    <w:rsid w:val="27E535C9"/>
    <w:rsid w:val="27E56B08"/>
    <w:rsid w:val="27E70AD2"/>
    <w:rsid w:val="27E90638"/>
    <w:rsid w:val="27F136FF"/>
    <w:rsid w:val="27F154AD"/>
    <w:rsid w:val="27F4193C"/>
    <w:rsid w:val="27F54F9D"/>
    <w:rsid w:val="27FC457D"/>
    <w:rsid w:val="27FE0FEF"/>
    <w:rsid w:val="280B0761"/>
    <w:rsid w:val="280B2A12"/>
    <w:rsid w:val="28133675"/>
    <w:rsid w:val="28153891"/>
    <w:rsid w:val="281713B7"/>
    <w:rsid w:val="281D62A2"/>
    <w:rsid w:val="28213FE4"/>
    <w:rsid w:val="282B6C11"/>
    <w:rsid w:val="28304227"/>
    <w:rsid w:val="2835183D"/>
    <w:rsid w:val="283C37B7"/>
    <w:rsid w:val="2842070F"/>
    <w:rsid w:val="28435434"/>
    <w:rsid w:val="284578FC"/>
    <w:rsid w:val="28481571"/>
    <w:rsid w:val="284952E9"/>
    <w:rsid w:val="284B1061"/>
    <w:rsid w:val="284F39D7"/>
    <w:rsid w:val="28500425"/>
    <w:rsid w:val="285919D0"/>
    <w:rsid w:val="28593B9C"/>
    <w:rsid w:val="285A74F6"/>
    <w:rsid w:val="285C14C0"/>
    <w:rsid w:val="285D696E"/>
    <w:rsid w:val="2862422F"/>
    <w:rsid w:val="28665E9B"/>
    <w:rsid w:val="286C2EFF"/>
    <w:rsid w:val="286D7229"/>
    <w:rsid w:val="286E6AFD"/>
    <w:rsid w:val="286F11F3"/>
    <w:rsid w:val="28732366"/>
    <w:rsid w:val="28770012"/>
    <w:rsid w:val="28771E56"/>
    <w:rsid w:val="28795BCE"/>
    <w:rsid w:val="287E4F92"/>
    <w:rsid w:val="28844573"/>
    <w:rsid w:val="288454E8"/>
    <w:rsid w:val="288B3B02"/>
    <w:rsid w:val="288D3427"/>
    <w:rsid w:val="28926C90"/>
    <w:rsid w:val="28941555"/>
    <w:rsid w:val="28942A08"/>
    <w:rsid w:val="289A78F2"/>
    <w:rsid w:val="289B3D96"/>
    <w:rsid w:val="289C18BC"/>
    <w:rsid w:val="289E5635"/>
    <w:rsid w:val="289E73E3"/>
    <w:rsid w:val="28A10C81"/>
    <w:rsid w:val="28A11602"/>
    <w:rsid w:val="28A238AF"/>
    <w:rsid w:val="28AA222B"/>
    <w:rsid w:val="28AB41A0"/>
    <w:rsid w:val="28AC5FA3"/>
    <w:rsid w:val="28AD5878"/>
    <w:rsid w:val="28B210E0"/>
    <w:rsid w:val="28B430AA"/>
    <w:rsid w:val="28B7285C"/>
    <w:rsid w:val="28B9246E"/>
    <w:rsid w:val="28B9421C"/>
    <w:rsid w:val="28BA1D43"/>
    <w:rsid w:val="28BE1833"/>
    <w:rsid w:val="28BE7A85"/>
    <w:rsid w:val="28C64B8B"/>
    <w:rsid w:val="28C748FC"/>
    <w:rsid w:val="28C8445F"/>
    <w:rsid w:val="28CB3F50"/>
    <w:rsid w:val="28D24C7D"/>
    <w:rsid w:val="28D41056"/>
    <w:rsid w:val="28D63020"/>
    <w:rsid w:val="28D92B11"/>
    <w:rsid w:val="28DC7F0B"/>
    <w:rsid w:val="28DE083C"/>
    <w:rsid w:val="28E31299"/>
    <w:rsid w:val="28ED2118"/>
    <w:rsid w:val="28EF297F"/>
    <w:rsid w:val="28F079B5"/>
    <w:rsid w:val="28F434A6"/>
    <w:rsid w:val="28F50017"/>
    <w:rsid w:val="28F6715F"/>
    <w:rsid w:val="28F72F97"/>
    <w:rsid w:val="29015C1F"/>
    <w:rsid w:val="29057462"/>
    <w:rsid w:val="2907142C"/>
    <w:rsid w:val="290A2CCA"/>
    <w:rsid w:val="290D4568"/>
    <w:rsid w:val="29104A9E"/>
    <w:rsid w:val="29121B7F"/>
    <w:rsid w:val="291572CF"/>
    <w:rsid w:val="29192F0D"/>
    <w:rsid w:val="291D6204"/>
    <w:rsid w:val="29312005"/>
    <w:rsid w:val="29345F99"/>
    <w:rsid w:val="293B10D5"/>
    <w:rsid w:val="29453D02"/>
    <w:rsid w:val="294A756A"/>
    <w:rsid w:val="294F2DD3"/>
    <w:rsid w:val="294F4B81"/>
    <w:rsid w:val="296028EA"/>
    <w:rsid w:val="29616F9E"/>
    <w:rsid w:val="296543A4"/>
    <w:rsid w:val="29671ECA"/>
    <w:rsid w:val="296A3769"/>
    <w:rsid w:val="296C5733"/>
    <w:rsid w:val="29736AC1"/>
    <w:rsid w:val="29737029"/>
    <w:rsid w:val="29785E86"/>
    <w:rsid w:val="29787C34"/>
    <w:rsid w:val="297B5976"/>
    <w:rsid w:val="297D388F"/>
    <w:rsid w:val="29883BEF"/>
    <w:rsid w:val="29910CF5"/>
    <w:rsid w:val="299865D8"/>
    <w:rsid w:val="299B0794"/>
    <w:rsid w:val="299C4F7A"/>
    <w:rsid w:val="29A66414"/>
    <w:rsid w:val="29A70519"/>
    <w:rsid w:val="29A7676B"/>
    <w:rsid w:val="29AC3D81"/>
    <w:rsid w:val="29AE7AF9"/>
    <w:rsid w:val="29B50E88"/>
    <w:rsid w:val="29BA46F0"/>
    <w:rsid w:val="29BC45B1"/>
    <w:rsid w:val="29C015DB"/>
    <w:rsid w:val="29C25353"/>
    <w:rsid w:val="29C4731D"/>
    <w:rsid w:val="29C9048F"/>
    <w:rsid w:val="29C94933"/>
    <w:rsid w:val="29CA2459"/>
    <w:rsid w:val="29CC2523"/>
    <w:rsid w:val="29D137E8"/>
    <w:rsid w:val="29D84B76"/>
    <w:rsid w:val="29DB4666"/>
    <w:rsid w:val="29E01A82"/>
    <w:rsid w:val="29E03A2B"/>
    <w:rsid w:val="29E2214C"/>
    <w:rsid w:val="29ED3F00"/>
    <w:rsid w:val="29F07CB0"/>
    <w:rsid w:val="29F23E8A"/>
    <w:rsid w:val="29F517B4"/>
    <w:rsid w:val="29F574D6"/>
    <w:rsid w:val="29F85218"/>
    <w:rsid w:val="29F86FC6"/>
    <w:rsid w:val="29FB0EEE"/>
    <w:rsid w:val="2A007C29"/>
    <w:rsid w:val="2A0C2A72"/>
    <w:rsid w:val="2A1060BE"/>
    <w:rsid w:val="2A135BAE"/>
    <w:rsid w:val="2A1404E4"/>
    <w:rsid w:val="2A1738F0"/>
    <w:rsid w:val="2A181417"/>
    <w:rsid w:val="2A241B69"/>
    <w:rsid w:val="2A282BFE"/>
    <w:rsid w:val="2A2B5331"/>
    <w:rsid w:val="2A3049B2"/>
    <w:rsid w:val="2A306760"/>
    <w:rsid w:val="2A334B51"/>
    <w:rsid w:val="2A353D77"/>
    <w:rsid w:val="2A4E6BE6"/>
    <w:rsid w:val="2A506E02"/>
    <w:rsid w:val="2A522B7B"/>
    <w:rsid w:val="2A54453D"/>
    <w:rsid w:val="2A5A1A2F"/>
    <w:rsid w:val="2A6308E4"/>
    <w:rsid w:val="2A6331B2"/>
    <w:rsid w:val="2A636B36"/>
    <w:rsid w:val="2A64465C"/>
    <w:rsid w:val="2A662182"/>
    <w:rsid w:val="2A677CA8"/>
    <w:rsid w:val="2A685EFA"/>
    <w:rsid w:val="2A745211"/>
    <w:rsid w:val="2A7523C5"/>
    <w:rsid w:val="2A7A5C2D"/>
    <w:rsid w:val="2A7B76E8"/>
    <w:rsid w:val="2A7D127A"/>
    <w:rsid w:val="2A7E3970"/>
    <w:rsid w:val="2A8820F8"/>
    <w:rsid w:val="2A8A5D4D"/>
    <w:rsid w:val="2A8E7F1B"/>
    <w:rsid w:val="2A9036A3"/>
    <w:rsid w:val="2A954815"/>
    <w:rsid w:val="2A97058D"/>
    <w:rsid w:val="2A97233B"/>
    <w:rsid w:val="2A9A007E"/>
    <w:rsid w:val="2AA131BA"/>
    <w:rsid w:val="2AA902C1"/>
    <w:rsid w:val="2AAF1D7B"/>
    <w:rsid w:val="2AB033FD"/>
    <w:rsid w:val="2AB078A1"/>
    <w:rsid w:val="2AB63109"/>
    <w:rsid w:val="2ABB774C"/>
    <w:rsid w:val="2ACA0963"/>
    <w:rsid w:val="2ACE4D86"/>
    <w:rsid w:val="2AD01C74"/>
    <w:rsid w:val="2AD03A9F"/>
    <w:rsid w:val="2AD215C5"/>
    <w:rsid w:val="2AD417E1"/>
    <w:rsid w:val="2AD4533E"/>
    <w:rsid w:val="2AD57308"/>
    <w:rsid w:val="2AE5754B"/>
    <w:rsid w:val="2AEA1678"/>
    <w:rsid w:val="2AF459E0"/>
    <w:rsid w:val="2AF53506"/>
    <w:rsid w:val="2AFB5A2D"/>
    <w:rsid w:val="2AFE23BA"/>
    <w:rsid w:val="2B0B5448"/>
    <w:rsid w:val="2B14220F"/>
    <w:rsid w:val="2B145E61"/>
    <w:rsid w:val="2B163BA8"/>
    <w:rsid w:val="2B1C4F36"/>
    <w:rsid w:val="2B200583"/>
    <w:rsid w:val="2B250618"/>
    <w:rsid w:val="2B2A31B0"/>
    <w:rsid w:val="2B2E764D"/>
    <w:rsid w:val="2B3107D0"/>
    <w:rsid w:val="2B381D70"/>
    <w:rsid w:val="2B3C1135"/>
    <w:rsid w:val="2B3E30FF"/>
    <w:rsid w:val="2B404781"/>
    <w:rsid w:val="2B457FE9"/>
    <w:rsid w:val="2B4C2FF7"/>
    <w:rsid w:val="2B4C75CA"/>
    <w:rsid w:val="2B4E3E18"/>
    <w:rsid w:val="2B4F2C16"/>
    <w:rsid w:val="2B4F70BA"/>
    <w:rsid w:val="2B514BE0"/>
    <w:rsid w:val="2B5D3F7C"/>
    <w:rsid w:val="2B654977"/>
    <w:rsid w:val="2B6F32B8"/>
    <w:rsid w:val="2B74267D"/>
    <w:rsid w:val="2B7908D3"/>
    <w:rsid w:val="2B856638"/>
    <w:rsid w:val="2B886128"/>
    <w:rsid w:val="2B8A1EA0"/>
    <w:rsid w:val="2B8C79C6"/>
    <w:rsid w:val="2B8E7BE2"/>
    <w:rsid w:val="2B944ACD"/>
    <w:rsid w:val="2B966A97"/>
    <w:rsid w:val="2B97636B"/>
    <w:rsid w:val="2BA07916"/>
    <w:rsid w:val="2BB37649"/>
    <w:rsid w:val="2BB46F1D"/>
    <w:rsid w:val="2BBE79D8"/>
    <w:rsid w:val="2BCA32EA"/>
    <w:rsid w:val="2BCA4992"/>
    <w:rsid w:val="2BD3716A"/>
    <w:rsid w:val="2BD61FB5"/>
    <w:rsid w:val="2BD80E5D"/>
    <w:rsid w:val="2BD870AF"/>
    <w:rsid w:val="2BDF21EC"/>
    <w:rsid w:val="2BDF399C"/>
    <w:rsid w:val="2BE05F64"/>
    <w:rsid w:val="2BE5357A"/>
    <w:rsid w:val="2BE84159"/>
    <w:rsid w:val="2BE92D5D"/>
    <w:rsid w:val="2BEE68D3"/>
    <w:rsid w:val="2BF612E4"/>
    <w:rsid w:val="2BF67536"/>
    <w:rsid w:val="2BFA5DC9"/>
    <w:rsid w:val="2C030A85"/>
    <w:rsid w:val="2C060A3E"/>
    <w:rsid w:val="2C063C1D"/>
    <w:rsid w:val="2C071743"/>
    <w:rsid w:val="2C0A2E19"/>
    <w:rsid w:val="2C0B2FE1"/>
    <w:rsid w:val="2C143EC1"/>
    <w:rsid w:val="2C150D97"/>
    <w:rsid w:val="2C1D0F66"/>
    <w:rsid w:val="2C2422F5"/>
    <w:rsid w:val="2C293467"/>
    <w:rsid w:val="2C2E4F21"/>
    <w:rsid w:val="2C31056E"/>
    <w:rsid w:val="2C3342E6"/>
    <w:rsid w:val="2C351E0C"/>
    <w:rsid w:val="2C3B319A"/>
    <w:rsid w:val="2C4604BD"/>
    <w:rsid w:val="2C4744A1"/>
    <w:rsid w:val="2C4B58FF"/>
    <w:rsid w:val="2C545BC7"/>
    <w:rsid w:val="2C550700"/>
    <w:rsid w:val="2C5612F4"/>
    <w:rsid w:val="2C595217"/>
    <w:rsid w:val="2C5E0324"/>
    <w:rsid w:val="2C5F50DB"/>
    <w:rsid w:val="2C624BCB"/>
    <w:rsid w:val="2C6721E1"/>
    <w:rsid w:val="2C7212B2"/>
    <w:rsid w:val="2C723060"/>
    <w:rsid w:val="2C736DD8"/>
    <w:rsid w:val="2C755D0D"/>
    <w:rsid w:val="2C7A3CC3"/>
    <w:rsid w:val="2C7C7A8C"/>
    <w:rsid w:val="2C8608B9"/>
    <w:rsid w:val="2C8763E0"/>
    <w:rsid w:val="2C8B4122"/>
    <w:rsid w:val="2C8D7E9A"/>
    <w:rsid w:val="2C8E3C12"/>
    <w:rsid w:val="2C916801"/>
    <w:rsid w:val="2C923702"/>
    <w:rsid w:val="2CA1389A"/>
    <w:rsid w:val="2CA46E76"/>
    <w:rsid w:val="2CA71B53"/>
    <w:rsid w:val="2CA84CD4"/>
    <w:rsid w:val="2CAD5E46"/>
    <w:rsid w:val="2CB4713F"/>
    <w:rsid w:val="2CB82A3D"/>
    <w:rsid w:val="2CBD2F7F"/>
    <w:rsid w:val="2CBE44F7"/>
    <w:rsid w:val="2CC66F08"/>
    <w:rsid w:val="2CC973D5"/>
    <w:rsid w:val="2CCB09C2"/>
    <w:rsid w:val="2CD71115"/>
    <w:rsid w:val="2CD723C8"/>
    <w:rsid w:val="2CDC672B"/>
    <w:rsid w:val="2CDD41AB"/>
    <w:rsid w:val="2CDD4252"/>
    <w:rsid w:val="2CDD57AD"/>
    <w:rsid w:val="2CE461DD"/>
    <w:rsid w:val="2CE87EAA"/>
    <w:rsid w:val="2CE90E48"/>
    <w:rsid w:val="2CED0939"/>
    <w:rsid w:val="2CF00429"/>
    <w:rsid w:val="2CF577ED"/>
    <w:rsid w:val="2CF73565"/>
    <w:rsid w:val="2CFA0444"/>
    <w:rsid w:val="2CFA4E04"/>
    <w:rsid w:val="2CFB18D4"/>
    <w:rsid w:val="2D0068BE"/>
    <w:rsid w:val="2D0839C4"/>
    <w:rsid w:val="2D0D0FDB"/>
    <w:rsid w:val="2D1063D5"/>
    <w:rsid w:val="2D12039F"/>
    <w:rsid w:val="2D142369"/>
    <w:rsid w:val="2D1C121E"/>
    <w:rsid w:val="2D1D70C8"/>
    <w:rsid w:val="2D1F6963"/>
    <w:rsid w:val="2D202ABC"/>
    <w:rsid w:val="2D215C76"/>
    <w:rsid w:val="2D27751E"/>
    <w:rsid w:val="2D285E15"/>
    <w:rsid w:val="2D2C76B3"/>
    <w:rsid w:val="2D2F2CFF"/>
    <w:rsid w:val="2D2F71A3"/>
    <w:rsid w:val="2D35408E"/>
    <w:rsid w:val="2D430559"/>
    <w:rsid w:val="2D450775"/>
    <w:rsid w:val="2D482013"/>
    <w:rsid w:val="2D483DC1"/>
    <w:rsid w:val="2D4F15F3"/>
    <w:rsid w:val="2D502C75"/>
    <w:rsid w:val="2D5409B8"/>
    <w:rsid w:val="2D5704A8"/>
    <w:rsid w:val="2D594220"/>
    <w:rsid w:val="2D595FCE"/>
    <w:rsid w:val="2D5B1E69"/>
    <w:rsid w:val="2D5B3AF4"/>
    <w:rsid w:val="2D5D2DF3"/>
    <w:rsid w:val="2D614C14"/>
    <w:rsid w:val="2D652BC5"/>
    <w:rsid w:val="2D684463"/>
    <w:rsid w:val="2D686211"/>
    <w:rsid w:val="2D6D1A79"/>
    <w:rsid w:val="2D6D7CCB"/>
    <w:rsid w:val="2D727090"/>
    <w:rsid w:val="2D766B80"/>
    <w:rsid w:val="2D782F8C"/>
    <w:rsid w:val="2D7C1CBC"/>
    <w:rsid w:val="2D834DF9"/>
    <w:rsid w:val="2D8C63A3"/>
    <w:rsid w:val="2D8D7A26"/>
    <w:rsid w:val="2D8F379E"/>
    <w:rsid w:val="2D9179BF"/>
    <w:rsid w:val="2D9B65E7"/>
    <w:rsid w:val="2DA02BB4"/>
    <w:rsid w:val="2DA21723"/>
    <w:rsid w:val="2DA21F75"/>
    <w:rsid w:val="2DA336ED"/>
    <w:rsid w:val="2DA671B5"/>
    <w:rsid w:val="2DB3570E"/>
    <w:rsid w:val="2DB87198"/>
    <w:rsid w:val="2DBD030B"/>
    <w:rsid w:val="2DC25742"/>
    <w:rsid w:val="2DC25921"/>
    <w:rsid w:val="2DC518B5"/>
    <w:rsid w:val="2DD90EBD"/>
    <w:rsid w:val="2DDB69E3"/>
    <w:rsid w:val="2DDE64D3"/>
    <w:rsid w:val="2DE2455B"/>
    <w:rsid w:val="2DE44BD6"/>
    <w:rsid w:val="2DE53D06"/>
    <w:rsid w:val="2DE75388"/>
    <w:rsid w:val="2DE906F4"/>
    <w:rsid w:val="2DE95C61"/>
    <w:rsid w:val="2DEE4968"/>
    <w:rsid w:val="2DF67CC1"/>
    <w:rsid w:val="2DFD2DFD"/>
    <w:rsid w:val="2E0221C2"/>
    <w:rsid w:val="2E060473"/>
    <w:rsid w:val="2E0833ED"/>
    <w:rsid w:val="2E0C4DEE"/>
    <w:rsid w:val="2E1168A9"/>
    <w:rsid w:val="2E1343CF"/>
    <w:rsid w:val="2E175BCA"/>
    <w:rsid w:val="2E183793"/>
    <w:rsid w:val="2E1B14D5"/>
    <w:rsid w:val="2E255EB0"/>
    <w:rsid w:val="2E262354"/>
    <w:rsid w:val="2E2C723F"/>
    <w:rsid w:val="2E2E18F0"/>
    <w:rsid w:val="2E334A71"/>
    <w:rsid w:val="2E33681F"/>
    <w:rsid w:val="2E3736C6"/>
    <w:rsid w:val="2E3F306B"/>
    <w:rsid w:val="2E41718E"/>
    <w:rsid w:val="2E434920"/>
    <w:rsid w:val="2E4E5407"/>
    <w:rsid w:val="2E500215"/>
    <w:rsid w:val="2E514EF7"/>
    <w:rsid w:val="2E530AF8"/>
    <w:rsid w:val="2E5549E7"/>
    <w:rsid w:val="2E5A3CBA"/>
    <w:rsid w:val="2E5F7614"/>
    <w:rsid w:val="2E6966E5"/>
    <w:rsid w:val="2E6D4943"/>
    <w:rsid w:val="2E76495E"/>
    <w:rsid w:val="2E807D7E"/>
    <w:rsid w:val="2E823302"/>
    <w:rsid w:val="2E833E60"/>
    <w:rsid w:val="2E8452CD"/>
    <w:rsid w:val="2E861045"/>
    <w:rsid w:val="2E876B6B"/>
    <w:rsid w:val="2E8C1CE8"/>
    <w:rsid w:val="2E8E3B5D"/>
    <w:rsid w:val="2E945144"/>
    <w:rsid w:val="2E953036"/>
    <w:rsid w:val="2EA17C2D"/>
    <w:rsid w:val="2EAA4B45"/>
    <w:rsid w:val="2EAC6C78"/>
    <w:rsid w:val="2EB3170E"/>
    <w:rsid w:val="2EB711FE"/>
    <w:rsid w:val="2EBA6F40"/>
    <w:rsid w:val="2EBB1AE8"/>
    <w:rsid w:val="2EBF3AB7"/>
    <w:rsid w:val="2EC044AC"/>
    <w:rsid w:val="2EC13E2B"/>
    <w:rsid w:val="2EC1468C"/>
    <w:rsid w:val="2EC21951"/>
    <w:rsid w:val="2EC8340B"/>
    <w:rsid w:val="2ED2428A"/>
    <w:rsid w:val="2ED26038"/>
    <w:rsid w:val="2ED753FC"/>
    <w:rsid w:val="2ED81174"/>
    <w:rsid w:val="2EDA6C9B"/>
    <w:rsid w:val="2EDC6EB7"/>
    <w:rsid w:val="2EDD69C9"/>
    <w:rsid w:val="2EDF69A7"/>
    <w:rsid w:val="2EE31FF3"/>
    <w:rsid w:val="2EE54755"/>
    <w:rsid w:val="2EE63891"/>
    <w:rsid w:val="2EE809CD"/>
    <w:rsid w:val="2EE8585B"/>
    <w:rsid w:val="2EEB0D05"/>
    <w:rsid w:val="2EED69CE"/>
    <w:rsid w:val="2EF17758"/>
    <w:rsid w:val="2EF57F78"/>
    <w:rsid w:val="2EFF2BA5"/>
    <w:rsid w:val="2EFF6701"/>
    <w:rsid w:val="2F05640D"/>
    <w:rsid w:val="2F063F34"/>
    <w:rsid w:val="2F0E5351"/>
    <w:rsid w:val="2F0F103A"/>
    <w:rsid w:val="2F177EEF"/>
    <w:rsid w:val="2F1819BF"/>
    <w:rsid w:val="2F1A353B"/>
    <w:rsid w:val="2F1C72B3"/>
    <w:rsid w:val="2F1E15A0"/>
    <w:rsid w:val="2F1E66AB"/>
    <w:rsid w:val="2F1E74CF"/>
    <w:rsid w:val="2F2443BA"/>
    <w:rsid w:val="2F25085E"/>
    <w:rsid w:val="2F2B5B20"/>
    <w:rsid w:val="2F307202"/>
    <w:rsid w:val="2F364819"/>
    <w:rsid w:val="2F3960B7"/>
    <w:rsid w:val="2F3B1E2F"/>
    <w:rsid w:val="2F432A92"/>
    <w:rsid w:val="2F464330"/>
    <w:rsid w:val="2F4A02C4"/>
    <w:rsid w:val="2F4B1946"/>
    <w:rsid w:val="2F4B1F78"/>
    <w:rsid w:val="2F5702EB"/>
    <w:rsid w:val="2F5729E1"/>
    <w:rsid w:val="2F590507"/>
    <w:rsid w:val="2F5C0536"/>
    <w:rsid w:val="2F61059D"/>
    <w:rsid w:val="2F6173BC"/>
    <w:rsid w:val="2F6D7B0F"/>
    <w:rsid w:val="2F6E6EEE"/>
    <w:rsid w:val="2F6F3887"/>
    <w:rsid w:val="2F715851"/>
    <w:rsid w:val="2F770F82"/>
    <w:rsid w:val="2F822456"/>
    <w:rsid w:val="2F87678A"/>
    <w:rsid w:val="2F884949"/>
    <w:rsid w:val="2F8A06C1"/>
    <w:rsid w:val="2F8D01B1"/>
    <w:rsid w:val="2F923A19"/>
    <w:rsid w:val="2F9257C7"/>
    <w:rsid w:val="2F961B57"/>
    <w:rsid w:val="2FA15A0A"/>
    <w:rsid w:val="2FA23C5C"/>
    <w:rsid w:val="2FA31782"/>
    <w:rsid w:val="2FA774C5"/>
    <w:rsid w:val="2FAF4472"/>
    <w:rsid w:val="2FB13E9F"/>
    <w:rsid w:val="2FB4250F"/>
    <w:rsid w:val="2FBD0A96"/>
    <w:rsid w:val="2FC02334"/>
    <w:rsid w:val="2FC41AD2"/>
    <w:rsid w:val="2FC8743B"/>
    <w:rsid w:val="2FCA235C"/>
    <w:rsid w:val="2FD1009E"/>
    <w:rsid w:val="2FDA5341"/>
    <w:rsid w:val="2FDB53C0"/>
    <w:rsid w:val="2FE14059"/>
    <w:rsid w:val="2FE222AB"/>
    <w:rsid w:val="2FE24F87"/>
    <w:rsid w:val="2FE33F1F"/>
    <w:rsid w:val="2FE37DD1"/>
    <w:rsid w:val="2FEA73B1"/>
    <w:rsid w:val="2FED2197"/>
    <w:rsid w:val="2FF10740"/>
    <w:rsid w:val="2FF4615F"/>
    <w:rsid w:val="2FFB15BE"/>
    <w:rsid w:val="2FFC6134"/>
    <w:rsid w:val="2FFE4C0B"/>
    <w:rsid w:val="30071D11"/>
    <w:rsid w:val="300761B5"/>
    <w:rsid w:val="30136908"/>
    <w:rsid w:val="3025663B"/>
    <w:rsid w:val="302723B3"/>
    <w:rsid w:val="30304270"/>
    <w:rsid w:val="303228CC"/>
    <w:rsid w:val="30330D58"/>
    <w:rsid w:val="303870F0"/>
    <w:rsid w:val="303C5AC3"/>
    <w:rsid w:val="30430C11"/>
    <w:rsid w:val="304A60A2"/>
    <w:rsid w:val="30503E51"/>
    <w:rsid w:val="30514298"/>
    <w:rsid w:val="30515682"/>
    <w:rsid w:val="30536809"/>
    <w:rsid w:val="30542A7D"/>
    <w:rsid w:val="30562C99"/>
    <w:rsid w:val="3057573E"/>
    <w:rsid w:val="30650786"/>
    <w:rsid w:val="306C1CE1"/>
    <w:rsid w:val="306C7DC6"/>
    <w:rsid w:val="30762425"/>
    <w:rsid w:val="30790135"/>
    <w:rsid w:val="307B625B"/>
    <w:rsid w:val="307F73DA"/>
    <w:rsid w:val="3082583C"/>
    <w:rsid w:val="3088073D"/>
    <w:rsid w:val="308A44ED"/>
    <w:rsid w:val="308B3270"/>
    <w:rsid w:val="309061AB"/>
    <w:rsid w:val="30907F59"/>
    <w:rsid w:val="3098505F"/>
    <w:rsid w:val="309A0DD7"/>
    <w:rsid w:val="30A21A3A"/>
    <w:rsid w:val="30B023A9"/>
    <w:rsid w:val="30B359F5"/>
    <w:rsid w:val="30B874AF"/>
    <w:rsid w:val="30BA4FD6"/>
    <w:rsid w:val="30BD4AC6"/>
    <w:rsid w:val="30BF0024"/>
    <w:rsid w:val="30C16364"/>
    <w:rsid w:val="30C4467E"/>
    <w:rsid w:val="30C65728"/>
    <w:rsid w:val="30D36097"/>
    <w:rsid w:val="30D81900"/>
    <w:rsid w:val="30DB6CFA"/>
    <w:rsid w:val="30DC13F0"/>
    <w:rsid w:val="30DC4F4C"/>
    <w:rsid w:val="30DF67EA"/>
    <w:rsid w:val="30E61159"/>
    <w:rsid w:val="30E738F1"/>
    <w:rsid w:val="30EB33E1"/>
    <w:rsid w:val="30F21A0F"/>
    <w:rsid w:val="30FD3114"/>
    <w:rsid w:val="31085D41"/>
    <w:rsid w:val="310A0A37"/>
    <w:rsid w:val="310A6E13"/>
    <w:rsid w:val="310C2E74"/>
    <w:rsid w:val="310D3357"/>
    <w:rsid w:val="31101099"/>
    <w:rsid w:val="31104BF6"/>
    <w:rsid w:val="31126BC0"/>
    <w:rsid w:val="311A3CC6"/>
    <w:rsid w:val="311C17EC"/>
    <w:rsid w:val="312A63FD"/>
    <w:rsid w:val="312B1A2F"/>
    <w:rsid w:val="312B7C81"/>
    <w:rsid w:val="312D39F9"/>
    <w:rsid w:val="312E32CE"/>
    <w:rsid w:val="31342FDA"/>
    <w:rsid w:val="313703D4"/>
    <w:rsid w:val="313F372D"/>
    <w:rsid w:val="31401D64"/>
    <w:rsid w:val="31434FCB"/>
    <w:rsid w:val="31436D79"/>
    <w:rsid w:val="31456F95"/>
    <w:rsid w:val="314804F6"/>
    <w:rsid w:val="31481E02"/>
    <w:rsid w:val="31487073"/>
    <w:rsid w:val="314E571E"/>
    <w:rsid w:val="315270DD"/>
    <w:rsid w:val="31576325"/>
    <w:rsid w:val="315A0567"/>
    <w:rsid w:val="315C608D"/>
    <w:rsid w:val="315E0057"/>
    <w:rsid w:val="315E1E05"/>
    <w:rsid w:val="31603DCF"/>
    <w:rsid w:val="316311C9"/>
    <w:rsid w:val="31647852"/>
    <w:rsid w:val="3166515D"/>
    <w:rsid w:val="31666F0B"/>
    <w:rsid w:val="31682C84"/>
    <w:rsid w:val="316E2211"/>
    <w:rsid w:val="316F4012"/>
    <w:rsid w:val="31717451"/>
    <w:rsid w:val="31741628"/>
    <w:rsid w:val="317826B5"/>
    <w:rsid w:val="317909ED"/>
    <w:rsid w:val="317E4255"/>
    <w:rsid w:val="317E6003"/>
    <w:rsid w:val="31815AF3"/>
    <w:rsid w:val="318178A1"/>
    <w:rsid w:val="31821FA8"/>
    <w:rsid w:val="318555E4"/>
    <w:rsid w:val="318850D4"/>
    <w:rsid w:val="318A53E6"/>
    <w:rsid w:val="318E3D87"/>
    <w:rsid w:val="31973569"/>
    <w:rsid w:val="319770C5"/>
    <w:rsid w:val="319B23D0"/>
    <w:rsid w:val="31A33CBC"/>
    <w:rsid w:val="31A812D2"/>
    <w:rsid w:val="31A87524"/>
    <w:rsid w:val="31AA504A"/>
    <w:rsid w:val="31AC0DC2"/>
    <w:rsid w:val="31AF3AA2"/>
    <w:rsid w:val="31B163D9"/>
    <w:rsid w:val="31B77767"/>
    <w:rsid w:val="31C003CA"/>
    <w:rsid w:val="31CC4FC0"/>
    <w:rsid w:val="31CE04BB"/>
    <w:rsid w:val="31D2634F"/>
    <w:rsid w:val="31E367AE"/>
    <w:rsid w:val="31EB11BF"/>
    <w:rsid w:val="31EC5663"/>
    <w:rsid w:val="31F12C79"/>
    <w:rsid w:val="31F167D5"/>
    <w:rsid w:val="31F41E38"/>
    <w:rsid w:val="31F807B9"/>
    <w:rsid w:val="31F97D80"/>
    <w:rsid w:val="31FB3AF8"/>
    <w:rsid w:val="32024E86"/>
    <w:rsid w:val="32070BD8"/>
    <w:rsid w:val="32086B6D"/>
    <w:rsid w:val="320F1351"/>
    <w:rsid w:val="321204E6"/>
    <w:rsid w:val="32180206"/>
    <w:rsid w:val="3218485E"/>
    <w:rsid w:val="32226614"/>
    <w:rsid w:val="32273093"/>
    <w:rsid w:val="322C1F03"/>
    <w:rsid w:val="3236068C"/>
    <w:rsid w:val="323808A8"/>
    <w:rsid w:val="32384DB3"/>
    <w:rsid w:val="323970DC"/>
    <w:rsid w:val="323B3EF4"/>
    <w:rsid w:val="323D7C6C"/>
    <w:rsid w:val="32411A3E"/>
    <w:rsid w:val="324C037B"/>
    <w:rsid w:val="32513718"/>
    <w:rsid w:val="325154C6"/>
    <w:rsid w:val="32553E94"/>
    <w:rsid w:val="32566F80"/>
    <w:rsid w:val="325F4087"/>
    <w:rsid w:val="32607DFF"/>
    <w:rsid w:val="3264169D"/>
    <w:rsid w:val="326C0551"/>
    <w:rsid w:val="3271734E"/>
    <w:rsid w:val="3276317E"/>
    <w:rsid w:val="327C4C82"/>
    <w:rsid w:val="328171BB"/>
    <w:rsid w:val="32821B23"/>
    <w:rsid w:val="32836641"/>
    <w:rsid w:val="32877139"/>
    <w:rsid w:val="32892EB1"/>
    <w:rsid w:val="328A09D8"/>
    <w:rsid w:val="328B4E7C"/>
    <w:rsid w:val="328C72C2"/>
    <w:rsid w:val="328D1BE6"/>
    <w:rsid w:val="328E671A"/>
    <w:rsid w:val="329365A6"/>
    <w:rsid w:val="3294590A"/>
    <w:rsid w:val="32AD4EF5"/>
    <w:rsid w:val="32AE46C6"/>
    <w:rsid w:val="32B048E2"/>
    <w:rsid w:val="32B12408"/>
    <w:rsid w:val="32B141B6"/>
    <w:rsid w:val="32B51EF8"/>
    <w:rsid w:val="32B647D2"/>
    <w:rsid w:val="32BB5035"/>
    <w:rsid w:val="32BD2B5B"/>
    <w:rsid w:val="32C0264B"/>
    <w:rsid w:val="32C600DD"/>
    <w:rsid w:val="32C861D4"/>
    <w:rsid w:val="32CB5278"/>
    <w:rsid w:val="32D63C1D"/>
    <w:rsid w:val="32D81743"/>
    <w:rsid w:val="32DD31FD"/>
    <w:rsid w:val="32DF0D23"/>
    <w:rsid w:val="32DF12A9"/>
    <w:rsid w:val="32DF2AD1"/>
    <w:rsid w:val="32E12CEE"/>
    <w:rsid w:val="32E77BD8"/>
    <w:rsid w:val="32E94C5C"/>
    <w:rsid w:val="32EB2FB9"/>
    <w:rsid w:val="32F56799"/>
    <w:rsid w:val="32F742BF"/>
    <w:rsid w:val="32FA3DAF"/>
    <w:rsid w:val="32FC18D5"/>
    <w:rsid w:val="32FE5BD7"/>
    <w:rsid w:val="32FF7B3A"/>
    <w:rsid w:val="33010C9A"/>
    <w:rsid w:val="3301513E"/>
    <w:rsid w:val="33095DA0"/>
    <w:rsid w:val="33096CA6"/>
    <w:rsid w:val="330B7D6A"/>
    <w:rsid w:val="330C5891"/>
    <w:rsid w:val="330E7C2A"/>
    <w:rsid w:val="331210F9"/>
    <w:rsid w:val="331A1D5C"/>
    <w:rsid w:val="331D056C"/>
    <w:rsid w:val="331F7372"/>
    <w:rsid w:val="3321133C"/>
    <w:rsid w:val="33226E62"/>
    <w:rsid w:val="33233306"/>
    <w:rsid w:val="332901F1"/>
    <w:rsid w:val="332C05E2"/>
    <w:rsid w:val="332C1A8F"/>
    <w:rsid w:val="333A23FE"/>
    <w:rsid w:val="33411D32"/>
    <w:rsid w:val="3341378C"/>
    <w:rsid w:val="33480F8C"/>
    <w:rsid w:val="334E7C57"/>
    <w:rsid w:val="33512240"/>
    <w:rsid w:val="335D7E9A"/>
    <w:rsid w:val="335F3C12"/>
    <w:rsid w:val="33613E2E"/>
    <w:rsid w:val="336254B1"/>
    <w:rsid w:val="336851BD"/>
    <w:rsid w:val="336E4E18"/>
    <w:rsid w:val="336F654B"/>
    <w:rsid w:val="337169A2"/>
    <w:rsid w:val="33727DEA"/>
    <w:rsid w:val="33744207"/>
    <w:rsid w:val="33745910"/>
    <w:rsid w:val="33775400"/>
    <w:rsid w:val="337771AE"/>
    <w:rsid w:val="337F42B4"/>
    <w:rsid w:val="337F6063"/>
    <w:rsid w:val="338813BB"/>
    <w:rsid w:val="338D3BB2"/>
    <w:rsid w:val="338E62A6"/>
    <w:rsid w:val="339064C2"/>
    <w:rsid w:val="33925BD9"/>
    <w:rsid w:val="33925D96"/>
    <w:rsid w:val="33980069"/>
    <w:rsid w:val="33983AC4"/>
    <w:rsid w:val="339F04B3"/>
    <w:rsid w:val="33A15FD9"/>
    <w:rsid w:val="33AF1889"/>
    <w:rsid w:val="33B72DF3"/>
    <w:rsid w:val="33B757FC"/>
    <w:rsid w:val="33C5616B"/>
    <w:rsid w:val="33CB12A8"/>
    <w:rsid w:val="33CE06EB"/>
    <w:rsid w:val="33D42114"/>
    <w:rsid w:val="33DC34B5"/>
    <w:rsid w:val="33E02FA5"/>
    <w:rsid w:val="33E81E5A"/>
    <w:rsid w:val="33E9051D"/>
    <w:rsid w:val="33EA5BD2"/>
    <w:rsid w:val="33EA7980"/>
    <w:rsid w:val="33F0514C"/>
    <w:rsid w:val="33F56325"/>
    <w:rsid w:val="33F702EF"/>
    <w:rsid w:val="33FB4AD5"/>
    <w:rsid w:val="33FC76B3"/>
    <w:rsid w:val="34050C5E"/>
    <w:rsid w:val="34052A0C"/>
    <w:rsid w:val="340B78F6"/>
    <w:rsid w:val="340C3D9A"/>
    <w:rsid w:val="340E19B7"/>
    <w:rsid w:val="340F388A"/>
    <w:rsid w:val="34126ED7"/>
    <w:rsid w:val="34160775"/>
    <w:rsid w:val="3417273F"/>
    <w:rsid w:val="34177D7D"/>
    <w:rsid w:val="34197163"/>
    <w:rsid w:val="341D5FA7"/>
    <w:rsid w:val="341E5004"/>
    <w:rsid w:val="341F0C05"/>
    <w:rsid w:val="34207846"/>
    <w:rsid w:val="34254E5C"/>
    <w:rsid w:val="342B1D46"/>
    <w:rsid w:val="342C61EA"/>
    <w:rsid w:val="342E1F62"/>
    <w:rsid w:val="34360E17"/>
    <w:rsid w:val="34393DB7"/>
    <w:rsid w:val="343969A2"/>
    <w:rsid w:val="343C3BE2"/>
    <w:rsid w:val="343D4327"/>
    <w:rsid w:val="344352E2"/>
    <w:rsid w:val="344572AC"/>
    <w:rsid w:val="344828F8"/>
    <w:rsid w:val="345319C9"/>
    <w:rsid w:val="3456735A"/>
    <w:rsid w:val="345B2549"/>
    <w:rsid w:val="345B262C"/>
    <w:rsid w:val="345E0617"/>
    <w:rsid w:val="346314E0"/>
    <w:rsid w:val="34645984"/>
    <w:rsid w:val="346C65E7"/>
    <w:rsid w:val="346F257B"/>
    <w:rsid w:val="34711E4F"/>
    <w:rsid w:val="34735BC7"/>
    <w:rsid w:val="347436ED"/>
    <w:rsid w:val="34763909"/>
    <w:rsid w:val="347A51A8"/>
    <w:rsid w:val="348222AE"/>
    <w:rsid w:val="348953EB"/>
    <w:rsid w:val="348A1163"/>
    <w:rsid w:val="348C0A37"/>
    <w:rsid w:val="34936269"/>
    <w:rsid w:val="349618B6"/>
    <w:rsid w:val="34A02734"/>
    <w:rsid w:val="34A264AC"/>
    <w:rsid w:val="34BD32E6"/>
    <w:rsid w:val="34C5786A"/>
    <w:rsid w:val="34C62B7F"/>
    <w:rsid w:val="34C96380"/>
    <w:rsid w:val="34CA77B1"/>
    <w:rsid w:val="34CC177B"/>
    <w:rsid w:val="34CF6B76"/>
    <w:rsid w:val="34D128EE"/>
    <w:rsid w:val="34D36666"/>
    <w:rsid w:val="34D643A8"/>
    <w:rsid w:val="34D66156"/>
    <w:rsid w:val="34D80120"/>
    <w:rsid w:val="34D967D5"/>
    <w:rsid w:val="34DF14AF"/>
    <w:rsid w:val="34DF325D"/>
    <w:rsid w:val="34E2375A"/>
    <w:rsid w:val="34E56C09"/>
    <w:rsid w:val="34EE3B98"/>
    <w:rsid w:val="34EE7F06"/>
    <w:rsid w:val="34EF0FC6"/>
    <w:rsid w:val="34F34F5A"/>
    <w:rsid w:val="34F52A80"/>
    <w:rsid w:val="34F777B5"/>
    <w:rsid w:val="34FA0097"/>
    <w:rsid w:val="34FC6EBF"/>
    <w:rsid w:val="34FD422F"/>
    <w:rsid w:val="35026F4B"/>
    <w:rsid w:val="35027E93"/>
    <w:rsid w:val="35076310"/>
    <w:rsid w:val="35085916"/>
    <w:rsid w:val="3509448B"/>
    <w:rsid w:val="3509652C"/>
    <w:rsid w:val="350C5A51"/>
    <w:rsid w:val="350F6AC3"/>
    <w:rsid w:val="3518688A"/>
    <w:rsid w:val="351C0125"/>
    <w:rsid w:val="35211654"/>
    <w:rsid w:val="352234F4"/>
    <w:rsid w:val="352549E8"/>
    <w:rsid w:val="352769B2"/>
    <w:rsid w:val="3529272A"/>
    <w:rsid w:val="352A15DC"/>
    <w:rsid w:val="352B122A"/>
    <w:rsid w:val="35386E11"/>
    <w:rsid w:val="354779F6"/>
    <w:rsid w:val="354B1CDC"/>
    <w:rsid w:val="354E3F3E"/>
    <w:rsid w:val="35571045"/>
    <w:rsid w:val="355C665B"/>
    <w:rsid w:val="35600938"/>
    <w:rsid w:val="35644890"/>
    <w:rsid w:val="356701CA"/>
    <w:rsid w:val="35683252"/>
    <w:rsid w:val="356C3BFA"/>
    <w:rsid w:val="35727C2D"/>
    <w:rsid w:val="357C4F4F"/>
    <w:rsid w:val="357C6CFE"/>
    <w:rsid w:val="357E0CC8"/>
    <w:rsid w:val="35843E04"/>
    <w:rsid w:val="35845BB2"/>
    <w:rsid w:val="35884C95"/>
    <w:rsid w:val="3589141A"/>
    <w:rsid w:val="358D0F0B"/>
    <w:rsid w:val="358D4A67"/>
    <w:rsid w:val="35935DF5"/>
    <w:rsid w:val="35944047"/>
    <w:rsid w:val="35957DBF"/>
    <w:rsid w:val="35973B37"/>
    <w:rsid w:val="359758E5"/>
    <w:rsid w:val="359C114E"/>
    <w:rsid w:val="35A65B28"/>
    <w:rsid w:val="35A77929"/>
    <w:rsid w:val="35A818A1"/>
    <w:rsid w:val="35AA386B"/>
    <w:rsid w:val="35AB1391"/>
    <w:rsid w:val="35B04BF9"/>
    <w:rsid w:val="35B2271F"/>
    <w:rsid w:val="35B75774"/>
    <w:rsid w:val="35B87A08"/>
    <w:rsid w:val="35BA7826"/>
    <w:rsid w:val="35BB5A78"/>
    <w:rsid w:val="35C12962"/>
    <w:rsid w:val="35C36951"/>
    <w:rsid w:val="35C42453"/>
    <w:rsid w:val="35C53375"/>
    <w:rsid w:val="35CC4B52"/>
    <w:rsid w:val="35CF1523"/>
    <w:rsid w:val="35D244E9"/>
    <w:rsid w:val="35D54660"/>
    <w:rsid w:val="35DE52C2"/>
    <w:rsid w:val="35E07F7D"/>
    <w:rsid w:val="35E548A3"/>
    <w:rsid w:val="35E825E5"/>
    <w:rsid w:val="35E93C67"/>
    <w:rsid w:val="35ED4704"/>
    <w:rsid w:val="35F327BE"/>
    <w:rsid w:val="35F66AB0"/>
    <w:rsid w:val="3600792F"/>
    <w:rsid w:val="36010FB1"/>
    <w:rsid w:val="36022580"/>
    <w:rsid w:val="360867E3"/>
    <w:rsid w:val="360A60B7"/>
    <w:rsid w:val="360E19A9"/>
    <w:rsid w:val="36121410"/>
    <w:rsid w:val="361707D4"/>
    <w:rsid w:val="3619279E"/>
    <w:rsid w:val="362058DB"/>
    <w:rsid w:val="36223679"/>
    <w:rsid w:val="3624433A"/>
    <w:rsid w:val="36266C69"/>
    <w:rsid w:val="362829E1"/>
    <w:rsid w:val="36301896"/>
    <w:rsid w:val="36343134"/>
    <w:rsid w:val="363475D8"/>
    <w:rsid w:val="36380E61"/>
    <w:rsid w:val="364059F8"/>
    <w:rsid w:val="36422E07"/>
    <w:rsid w:val="36453593"/>
    <w:rsid w:val="36472D8F"/>
    <w:rsid w:val="36495FFD"/>
    <w:rsid w:val="364A6F3B"/>
    <w:rsid w:val="36533F02"/>
    <w:rsid w:val="36651094"/>
    <w:rsid w:val="3667350A"/>
    <w:rsid w:val="36683EE3"/>
    <w:rsid w:val="36695095"/>
    <w:rsid w:val="366A124C"/>
    <w:rsid w:val="3672363D"/>
    <w:rsid w:val="36743E79"/>
    <w:rsid w:val="367F5432"/>
    <w:rsid w:val="36820344"/>
    <w:rsid w:val="36883480"/>
    <w:rsid w:val="368D6CE8"/>
    <w:rsid w:val="368F2A60"/>
    <w:rsid w:val="369167D9"/>
    <w:rsid w:val="369342FF"/>
    <w:rsid w:val="369D33CF"/>
    <w:rsid w:val="369D517D"/>
    <w:rsid w:val="36A007CA"/>
    <w:rsid w:val="36AC53C0"/>
    <w:rsid w:val="36AD0447"/>
    <w:rsid w:val="36AE1139"/>
    <w:rsid w:val="36B204FD"/>
    <w:rsid w:val="36B33CD5"/>
    <w:rsid w:val="36B44417"/>
    <w:rsid w:val="36B64491"/>
    <w:rsid w:val="36B67FED"/>
    <w:rsid w:val="36BB3856"/>
    <w:rsid w:val="36BD312A"/>
    <w:rsid w:val="36C26992"/>
    <w:rsid w:val="36C3270A"/>
    <w:rsid w:val="36C344B8"/>
    <w:rsid w:val="36D6243D"/>
    <w:rsid w:val="36D93CDC"/>
    <w:rsid w:val="36DE12F2"/>
    <w:rsid w:val="36DF5796"/>
    <w:rsid w:val="36E20DE2"/>
    <w:rsid w:val="36E36539"/>
    <w:rsid w:val="36E5754D"/>
    <w:rsid w:val="36E7464B"/>
    <w:rsid w:val="36E97F1C"/>
    <w:rsid w:val="36ED7149"/>
    <w:rsid w:val="36EF52AD"/>
    <w:rsid w:val="36F1460D"/>
    <w:rsid w:val="36F62AE0"/>
    <w:rsid w:val="36FF1994"/>
    <w:rsid w:val="370313A7"/>
    <w:rsid w:val="37070849"/>
    <w:rsid w:val="37074CED"/>
    <w:rsid w:val="37092813"/>
    <w:rsid w:val="370F76FD"/>
    <w:rsid w:val="37163E07"/>
    <w:rsid w:val="37217B5C"/>
    <w:rsid w:val="37225683"/>
    <w:rsid w:val="372431A9"/>
    <w:rsid w:val="372C4753"/>
    <w:rsid w:val="372C6501"/>
    <w:rsid w:val="37310D12"/>
    <w:rsid w:val="37340C21"/>
    <w:rsid w:val="37362C95"/>
    <w:rsid w:val="373D6FB2"/>
    <w:rsid w:val="374101FF"/>
    <w:rsid w:val="3747333B"/>
    <w:rsid w:val="374A15B6"/>
    <w:rsid w:val="375021F0"/>
    <w:rsid w:val="37503F9E"/>
    <w:rsid w:val="375717D0"/>
    <w:rsid w:val="37583BBA"/>
    <w:rsid w:val="37585548"/>
    <w:rsid w:val="375A4E1C"/>
    <w:rsid w:val="375A6BCB"/>
    <w:rsid w:val="375F0685"/>
    <w:rsid w:val="3768351A"/>
    <w:rsid w:val="3768578B"/>
    <w:rsid w:val="376932B2"/>
    <w:rsid w:val="37704D82"/>
    <w:rsid w:val="377063EE"/>
    <w:rsid w:val="37734130"/>
    <w:rsid w:val="377C1E26"/>
    <w:rsid w:val="379426EC"/>
    <w:rsid w:val="37955E55"/>
    <w:rsid w:val="3796672C"/>
    <w:rsid w:val="379C2F54"/>
    <w:rsid w:val="379C71E3"/>
    <w:rsid w:val="379F4F25"/>
    <w:rsid w:val="37A60062"/>
    <w:rsid w:val="37AB6929"/>
    <w:rsid w:val="37AD13F0"/>
    <w:rsid w:val="37B2058C"/>
    <w:rsid w:val="37BA1119"/>
    <w:rsid w:val="37BD138E"/>
    <w:rsid w:val="37BE184F"/>
    <w:rsid w:val="37C87FD8"/>
    <w:rsid w:val="37CA01F4"/>
    <w:rsid w:val="37CE3CEC"/>
    <w:rsid w:val="37D20E57"/>
    <w:rsid w:val="37D3697D"/>
    <w:rsid w:val="37D526F5"/>
    <w:rsid w:val="37E1109A"/>
    <w:rsid w:val="37E26909"/>
    <w:rsid w:val="37E34E12"/>
    <w:rsid w:val="37E42938"/>
    <w:rsid w:val="37E719AA"/>
    <w:rsid w:val="37F300FB"/>
    <w:rsid w:val="37F331A8"/>
    <w:rsid w:val="37FB65FF"/>
    <w:rsid w:val="37FF59C4"/>
    <w:rsid w:val="380E7CEF"/>
    <w:rsid w:val="381551E7"/>
    <w:rsid w:val="38174ABC"/>
    <w:rsid w:val="38185EAC"/>
    <w:rsid w:val="38193C21"/>
    <w:rsid w:val="381B0A50"/>
    <w:rsid w:val="381C0324"/>
    <w:rsid w:val="381C20D2"/>
    <w:rsid w:val="381E081F"/>
    <w:rsid w:val="381E5756"/>
    <w:rsid w:val="381E5E4A"/>
    <w:rsid w:val="381F5604"/>
    <w:rsid w:val="382A2A41"/>
    <w:rsid w:val="382A607F"/>
    <w:rsid w:val="382B67B9"/>
    <w:rsid w:val="38341B11"/>
    <w:rsid w:val="38376F0C"/>
    <w:rsid w:val="38393973"/>
    <w:rsid w:val="383C09C6"/>
    <w:rsid w:val="38431D54"/>
    <w:rsid w:val="3845286A"/>
    <w:rsid w:val="38455ACD"/>
    <w:rsid w:val="38473142"/>
    <w:rsid w:val="38523D46"/>
    <w:rsid w:val="38547C0B"/>
    <w:rsid w:val="3857135C"/>
    <w:rsid w:val="385A3428"/>
    <w:rsid w:val="38606463"/>
    <w:rsid w:val="38635F53"/>
    <w:rsid w:val="38673C95"/>
    <w:rsid w:val="38683569"/>
    <w:rsid w:val="386A1004"/>
    <w:rsid w:val="38726196"/>
    <w:rsid w:val="38763ED8"/>
    <w:rsid w:val="38795776"/>
    <w:rsid w:val="387A1542"/>
    <w:rsid w:val="387B14EE"/>
    <w:rsid w:val="387E2D8D"/>
    <w:rsid w:val="388023DC"/>
    <w:rsid w:val="3885236D"/>
    <w:rsid w:val="388C7957"/>
    <w:rsid w:val="389B749B"/>
    <w:rsid w:val="389F3B5B"/>
    <w:rsid w:val="389F78EA"/>
    <w:rsid w:val="38A04AB1"/>
    <w:rsid w:val="38A547BD"/>
    <w:rsid w:val="38A94FE7"/>
    <w:rsid w:val="38AA3B82"/>
    <w:rsid w:val="38AF1198"/>
    <w:rsid w:val="38B17FB7"/>
    <w:rsid w:val="38B20BB3"/>
    <w:rsid w:val="38B642D4"/>
    <w:rsid w:val="38B92017"/>
    <w:rsid w:val="38C34C43"/>
    <w:rsid w:val="38C369F1"/>
    <w:rsid w:val="38C42E95"/>
    <w:rsid w:val="38C8225A"/>
    <w:rsid w:val="38D40BFF"/>
    <w:rsid w:val="38D64977"/>
    <w:rsid w:val="38D66725"/>
    <w:rsid w:val="38E26314"/>
    <w:rsid w:val="38E2747C"/>
    <w:rsid w:val="38E325E1"/>
    <w:rsid w:val="38E946AA"/>
    <w:rsid w:val="38EA0422"/>
    <w:rsid w:val="38EA6674"/>
    <w:rsid w:val="38F372D7"/>
    <w:rsid w:val="38FB5558"/>
    <w:rsid w:val="39070FD4"/>
    <w:rsid w:val="390E5EBF"/>
    <w:rsid w:val="39137979"/>
    <w:rsid w:val="39184F8F"/>
    <w:rsid w:val="391A5826"/>
    <w:rsid w:val="391E1E7A"/>
    <w:rsid w:val="39203E44"/>
    <w:rsid w:val="3929250D"/>
    <w:rsid w:val="3929719C"/>
    <w:rsid w:val="392A6A70"/>
    <w:rsid w:val="39331DC9"/>
    <w:rsid w:val="393618B9"/>
    <w:rsid w:val="39363667"/>
    <w:rsid w:val="39382F3B"/>
    <w:rsid w:val="393B2A2C"/>
    <w:rsid w:val="393B6A77"/>
    <w:rsid w:val="394226E9"/>
    <w:rsid w:val="39455658"/>
    <w:rsid w:val="39495149"/>
    <w:rsid w:val="394A0EC1"/>
    <w:rsid w:val="394B4EDC"/>
    <w:rsid w:val="394E275F"/>
    <w:rsid w:val="39513FFD"/>
    <w:rsid w:val="395B30CE"/>
    <w:rsid w:val="395B4E7C"/>
    <w:rsid w:val="39681D4A"/>
    <w:rsid w:val="39694BFB"/>
    <w:rsid w:val="396957EB"/>
    <w:rsid w:val="3971469F"/>
    <w:rsid w:val="39777F08"/>
    <w:rsid w:val="39785343"/>
    <w:rsid w:val="39785A2E"/>
    <w:rsid w:val="397C5423"/>
    <w:rsid w:val="397C551E"/>
    <w:rsid w:val="397E7D6B"/>
    <w:rsid w:val="39842625"/>
    <w:rsid w:val="39867B0D"/>
    <w:rsid w:val="39882115"/>
    <w:rsid w:val="39972358"/>
    <w:rsid w:val="399F0C48"/>
    <w:rsid w:val="39A14F85"/>
    <w:rsid w:val="39A20CFD"/>
    <w:rsid w:val="39A24859"/>
    <w:rsid w:val="39A46823"/>
    <w:rsid w:val="39A6259B"/>
    <w:rsid w:val="39A65FDC"/>
    <w:rsid w:val="39A76C50"/>
    <w:rsid w:val="39AB488A"/>
    <w:rsid w:val="39AC56D7"/>
    <w:rsid w:val="39AE76A2"/>
    <w:rsid w:val="39B0345D"/>
    <w:rsid w:val="39B03B51"/>
    <w:rsid w:val="39B06F76"/>
    <w:rsid w:val="39B60304"/>
    <w:rsid w:val="39BC591B"/>
    <w:rsid w:val="39BD78E5"/>
    <w:rsid w:val="39BF18AF"/>
    <w:rsid w:val="39C374BB"/>
    <w:rsid w:val="39C66799"/>
    <w:rsid w:val="39D013C6"/>
    <w:rsid w:val="39D0586A"/>
    <w:rsid w:val="39D23390"/>
    <w:rsid w:val="39D318E6"/>
    <w:rsid w:val="39D32E05"/>
    <w:rsid w:val="39D4535A"/>
    <w:rsid w:val="39DA3FF3"/>
    <w:rsid w:val="39DC7D6B"/>
    <w:rsid w:val="39E9692C"/>
    <w:rsid w:val="39EB4452"/>
    <w:rsid w:val="39F03816"/>
    <w:rsid w:val="39F257E0"/>
    <w:rsid w:val="39F41558"/>
    <w:rsid w:val="39F50E2C"/>
    <w:rsid w:val="39F6132E"/>
    <w:rsid w:val="39FA6443"/>
    <w:rsid w:val="39FC21BB"/>
    <w:rsid w:val="39FD3703"/>
    <w:rsid w:val="39FE23D7"/>
    <w:rsid w:val="3A0948D8"/>
    <w:rsid w:val="3A0A0D7C"/>
    <w:rsid w:val="3A0B0650"/>
    <w:rsid w:val="3A0F6392"/>
    <w:rsid w:val="3A1273C6"/>
    <w:rsid w:val="3A137505"/>
    <w:rsid w:val="3A1439A9"/>
    <w:rsid w:val="3A1B221A"/>
    <w:rsid w:val="3A1D70AA"/>
    <w:rsid w:val="3A1D7F28"/>
    <w:rsid w:val="3A1E0383"/>
    <w:rsid w:val="3A2160C5"/>
    <w:rsid w:val="3A216EBB"/>
    <w:rsid w:val="3A217E73"/>
    <w:rsid w:val="3A233BEC"/>
    <w:rsid w:val="3A23599A"/>
    <w:rsid w:val="3A253286"/>
    <w:rsid w:val="3A282FB0"/>
    <w:rsid w:val="3A2A4F7A"/>
    <w:rsid w:val="3A2D4A6A"/>
    <w:rsid w:val="3A2D6818"/>
    <w:rsid w:val="3A30455A"/>
    <w:rsid w:val="3A3B0B97"/>
    <w:rsid w:val="3A3B7187"/>
    <w:rsid w:val="3A3C6A5B"/>
    <w:rsid w:val="3A4837A7"/>
    <w:rsid w:val="3A4D1E76"/>
    <w:rsid w:val="3A543DA5"/>
    <w:rsid w:val="3A571AE7"/>
    <w:rsid w:val="3A5A5133"/>
    <w:rsid w:val="3A5C70FE"/>
    <w:rsid w:val="3A5E022F"/>
    <w:rsid w:val="3A5E69D2"/>
    <w:rsid w:val="3A6F0BDF"/>
    <w:rsid w:val="3A7461F5"/>
    <w:rsid w:val="3A761B04"/>
    <w:rsid w:val="3A766411"/>
    <w:rsid w:val="3A766838"/>
    <w:rsid w:val="3A777A93"/>
    <w:rsid w:val="3A791A5E"/>
    <w:rsid w:val="3A79517B"/>
    <w:rsid w:val="3A7C46B2"/>
    <w:rsid w:val="3A7E3A14"/>
    <w:rsid w:val="3A7E52C6"/>
    <w:rsid w:val="3A804B9A"/>
    <w:rsid w:val="3A83468A"/>
    <w:rsid w:val="3A842CC8"/>
    <w:rsid w:val="3A940645"/>
    <w:rsid w:val="3A946897"/>
    <w:rsid w:val="3A992100"/>
    <w:rsid w:val="3A9F3504"/>
    <w:rsid w:val="3AA0348E"/>
    <w:rsid w:val="3AA12D62"/>
    <w:rsid w:val="3AA36C63"/>
    <w:rsid w:val="3AA840F1"/>
    <w:rsid w:val="3AA97F72"/>
    <w:rsid w:val="3AB27B94"/>
    <w:rsid w:val="3AB94550"/>
    <w:rsid w:val="3ABB3E24"/>
    <w:rsid w:val="3ABD274E"/>
    <w:rsid w:val="3ACC7DDF"/>
    <w:rsid w:val="3ADB2718"/>
    <w:rsid w:val="3ADB44C6"/>
    <w:rsid w:val="3ADB5B41"/>
    <w:rsid w:val="3ADE7B13"/>
    <w:rsid w:val="3AF75099"/>
    <w:rsid w:val="3AF85078"/>
    <w:rsid w:val="3AFA0DF0"/>
    <w:rsid w:val="3AFE1F63"/>
    <w:rsid w:val="3B07350D"/>
    <w:rsid w:val="3B0752BB"/>
    <w:rsid w:val="3B0A6B5A"/>
    <w:rsid w:val="3B0B5F92"/>
    <w:rsid w:val="3B0C28D2"/>
    <w:rsid w:val="3B0D178F"/>
    <w:rsid w:val="3B0F23C2"/>
    <w:rsid w:val="3B0F4170"/>
    <w:rsid w:val="3B133C60"/>
    <w:rsid w:val="3B15401A"/>
    <w:rsid w:val="3B1777A4"/>
    <w:rsid w:val="3B1F2605"/>
    <w:rsid w:val="3B20012B"/>
    <w:rsid w:val="3B2220F5"/>
    <w:rsid w:val="3B27770B"/>
    <w:rsid w:val="3B2A1AA2"/>
    <w:rsid w:val="3B33508B"/>
    <w:rsid w:val="3B3A0C4C"/>
    <w:rsid w:val="3B3B6D13"/>
    <w:rsid w:val="3B47390A"/>
    <w:rsid w:val="3B554279"/>
    <w:rsid w:val="3B5B5607"/>
    <w:rsid w:val="3B5D4EDB"/>
    <w:rsid w:val="3B604361"/>
    <w:rsid w:val="3B616481"/>
    <w:rsid w:val="3B675D5A"/>
    <w:rsid w:val="3B6B584A"/>
    <w:rsid w:val="3B6C3370"/>
    <w:rsid w:val="3B6E70E8"/>
    <w:rsid w:val="3B714E2B"/>
    <w:rsid w:val="3B742225"/>
    <w:rsid w:val="3B750477"/>
    <w:rsid w:val="3B7566C9"/>
    <w:rsid w:val="3B7C7A57"/>
    <w:rsid w:val="3B7E761F"/>
    <w:rsid w:val="3B806E1C"/>
    <w:rsid w:val="3B817D70"/>
    <w:rsid w:val="3B842468"/>
    <w:rsid w:val="3B893F22"/>
    <w:rsid w:val="3B8A37F6"/>
    <w:rsid w:val="3B8E32E7"/>
    <w:rsid w:val="3B9052B1"/>
    <w:rsid w:val="3B912DD7"/>
    <w:rsid w:val="3B9203F7"/>
    <w:rsid w:val="3B9C2457"/>
    <w:rsid w:val="3B9D177C"/>
    <w:rsid w:val="3B9D25DA"/>
    <w:rsid w:val="3B9D63DC"/>
    <w:rsid w:val="3BA64AD4"/>
    <w:rsid w:val="3BA945C4"/>
    <w:rsid w:val="3BA951BE"/>
    <w:rsid w:val="3BB56AC5"/>
    <w:rsid w:val="3BBA232E"/>
    <w:rsid w:val="3BBC42F8"/>
    <w:rsid w:val="3BBD597A"/>
    <w:rsid w:val="3BBF16F2"/>
    <w:rsid w:val="3BC0217D"/>
    <w:rsid w:val="3BC11FD7"/>
    <w:rsid w:val="3BC60CD2"/>
    <w:rsid w:val="3BC86DA9"/>
    <w:rsid w:val="3BCD02B3"/>
    <w:rsid w:val="3BCE402B"/>
    <w:rsid w:val="3BD72EE0"/>
    <w:rsid w:val="3BDC12B7"/>
    <w:rsid w:val="3BDF1684"/>
    <w:rsid w:val="3BE15B0C"/>
    <w:rsid w:val="3BE63123"/>
    <w:rsid w:val="3BEB0739"/>
    <w:rsid w:val="3BF03FA1"/>
    <w:rsid w:val="3BF35840"/>
    <w:rsid w:val="3BF515B8"/>
    <w:rsid w:val="3BF5780A"/>
    <w:rsid w:val="3BF770DE"/>
    <w:rsid w:val="3BF845BC"/>
    <w:rsid w:val="3BF84C04"/>
    <w:rsid w:val="3BFA097C"/>
    <w:rsid w:val="3BFD042F"/>
    <w:rsid w:val="3BFF41E4"/>
    <w:rsid w:val="3C033CD5"/>
    <w:rsid w:val="3C073099"/>
    <w:rsid w:val="3C1947AA"/>
    <w:rsid w:val="3C1A101E"/>
    <w:rsid w:val="3C1A2DCC"/>
    <w:rsid w:val="3C1C6B44"/>
    <w:rsid w:val="3C1F03E3"/>
    <w:rsid w:val="3C2327E1"/>
    <w:rsid w:val="3C267A21"/>
    <w:rsid w:val="3C2B322B"/>
    <w:rsid w:val="3C335C3C"/>
    <w:rsid w:val="3C354BF6"/>
    <w:rsid w:val="3C37572C"/>
    <w:rsid w:val="3C383172"/>
    <w:rsid w:val="3C3A6FCB"/>
    <w:rsid w:val="3C3B2F73"/>
    <w:rsid w:val="3C3D6ABB"/>
    <w:rsid w:val="3C410B97"/>
    <w:rsid w:val="3C430575"/>
    <w:rsid w:val="3C447E49"/>
    <w:rsid w:val="3C4D13F4"/>
    <w:rsid w:val="3C504A40"/>
    <w:rsid w:val="3C522566"/>
    <w:rsid w:val="3C526A0A"/>
    <w:rsid w:val="3C5502A8"/>
    <w:rsid w:val="3C552056"/>
    <w:rsid w:val="3C575DCE"/>
    <w:rsid w:val="3C5D3843"/>
    <w:rsid w:val="3C6627A8"/>
    <w:rsid w:val="3C7626F9"/>
    <w:rsid w:val="3C7921E9"/>
    <w:rsid w:val="3C805325"/>
    <w:rsid w:val="3C82468D"/>
    <w:rsid w:val="3C834E15"/>
    <w:rsid w:val="3C8A61A4"/>
    <w:rsid w:val="3C917AAC"/>
    <w:rsid w:val="3C94492D"/>
    <w:rsid w:val="3C966372"/>
    <w:rsid w:val="3C991F43"/>
    <w:rsid w:val="3C9A4F77"/>
    <w:rsid w:val="3C9C7C85"/>
    <w:rsid w:val="3CA37266"/>
    <w:rsid w:val="3CA803D8"/>
    <w:rsid w:val="3CAA0CC8"/>
    <w:rsid w:val="3CAD59EE"/>
    <w:rsid w:val="3CB925E5"/>
    <w:rsid w:val="3CB9732D"/>
    <w:rsid w:val="3CBA07BD"/>
    <w:rsid w:val="3CBA6C6F"/>
    <w:rsid w:val="3CBD0327"/>
    <w:rsid w:val="3CC1149A"/>
    <w:rsid w:val="3CC86CCC"/>
    <w:rsid w:val="3CCA47F2"/>
    <w:rsid w:val="3CCE564F"/>
    <w:rsid w:val="3CD236A7"/>
    <w:rsid w:val="3CD411CD"/>
    <w:rsid w:val="3CD63197"/>
    <w:rsid w:val="3CD94A35"/>
    <w:rsid w:val="3CE344EE"/>
    <w:rsid w:val="3CE60F00"/>
    <w:rsid w:val="3CE84C78"/>
    <w:rsid w:val="3CEA46C5"/>
    <w:rsid w:val="3CEC4769"/>
    <w:rsid w:val="3CED4ADC"/>
    <w:rsid w:val="3CEF6007"/>
    <w:rsid w:val="3CF278A5"/>
    <w:rsid w:val="3CF7310E"/>
    <w:rsid w:val="3CF96E86"/>
    <w:rsid w:val="3CFD6976"/>
    <w:rsid w:val="3D0235CF"/>
    <w:rsid w:val="3D0B6BD5"/>
    <w:rsid w:val="3D0E1ECC"/>
    <w:rsid w:val="3D115F7D"/>
    <w:rsid w:val="3D136199"/>
    <w:rsid w:val="3D143CBF"/>
    <w:rsid w:val="3D16341B"/>
    <w:rsid w:val="3D163594"/>
    <w:rsid w:val="3D1E68EC"/>
    <w:rsid w:val="3D2008B6"/>
    <w:rsid w:val="3D22018A"/>
    <w:rsid w:val="3D2A1F57"/>
    <w:rsid w:val="3D2F28A7"/>
    <w:rsid w:val="3D324146"/>
    <w:rsid w:val="3D324951"/>
    <w:rsid w:val="3D361E88"/>
    <w:rsid w:val="3D430101"/>
    <w:rsid w:val="3D441AE9"/>
    <w:rsid w:val="3D453E79"/>
    <w:rsid w:val="3D496B53"/>
    <w:rsid w:val="3D4C16AB"/>
    <w:rsid w:val="3D4E5423"/>
    <w:rsid w:val="3D4E71D1"/>
    <w:rsid w:val="3D580050"/>
    <w:rsid w:val="3D590FD7"/>
    <w:rsid w:val="3D595B76"/>
    <w:rsid w:val="3D5F318D"/>
    <w:rsid w:val="3D65609E"/>
    <w:rsid w:val="3D6562C9"/>
    <w:rsid w:val="3D672041"/>
    <w:rsid w:val="3D6D107C"/>
    <w:rsid w:val="3D70539A"/>
    <w:rsid w:val="3D841627"/>
    <w:rsid w:val="3D8726E3"/>
    <w:rsid w:val="3D874491"/>
    <w:rsid w:val="3D8B4F1E"/>
    <w:rsid w:val="3D8C1AA8"/>
    <w:rsid w:val="3D915310"/>
    <w:rsid w:val="3D935C56"/>
    <w:rsid w:val="3D9646D4"/>
    <w:rsid w:val="3D976995"/>
    <w:rsid w:val="3D9848F1"/>
    <w:rsid w:val="3D995500"/>
    <w:rsid w:val="3D9E52DE"/>
    <w:rsid w:val="3DA0043E"/>
    <w:rsid w:val="3DA00B4F"/>
    <w:rsid w:val="3DA037A5"/>
    <w:rsid w:val="3DA07301"/>
    <w:rsid w:val="3DA60DBB"/>
    <w:rsid w:val="3DA74B34"/>
    <w:rsid w:val="3DA80A22"/>
    <w:rsid w:val="3DA908AC"/>
    <w:rsid w:val="3DAC5CA6"/>
    <w:rsid w:val="3DB53026"/>
    <w:rsid w:val="3DB92E37"/>
    <w:rsid w:val="3DBC05DF"/>
    <w:rsid w:val="3DC115C9"/>
    <w:rsid w:val="3DC15084"/>
    <w:rsid w:val="3DC70D32"/>
    <w:rsid w:val="3DC76F84"/>
    <w:rsid w:val="3DD11BB1"/>
    <w:rsid w:val="3DD53076"/>
    <w:rsid w:val="3DD60F75"/>
    <w:rsid w:val="3DDB658B"/>
    <w:rsid w:val="3DDD2303"/>
    <w:rsid w:val="3DE6740A"/>
    <w:rsid w:val="3DE73182"/>
    <w:rsid w:val="3DE77728"/>
    <w:rsid w:val="3DEB4A20"/>
    <w:rsid w:val="3DF02037"/>
    <w:rsid w:val="3DF203F7"/>
    <w:rsid w:val="3DF322CD"/>
    <w:rsid w:val="3DF504B9"/>
    <w:rsid w:val="3DF53AF1"/>
    <w:rsid w:val="3DF71617"/>
    <w:rsid w:val="3DFC57BB"/>
    <w:rsid w:val="3DFD6502"/>
    <w:rsid w:val="3E083824"/>
    <w:rsid w:val="3E0B0C1F"/>
    <w:rsid w:val="3E104487"/>
    <w:rsid w:val="3E151A9D"/>
    <w:rsid w:val="3E172F15"/>
    <w:rsid w:val="3E17629B"/>
    <w:rsid w:val="3E1A172C"/>
    <w:rsid w:val="3E1B0554"/>
    <w:rsid w:val="3E1F291C"/>
    <w:rsid w:val="3E2148E6"/>
    <w:rsid w:val="3E216694"/>
    <w:rsid w:val="3E263CAA"/>
    <w:rsid w:val="3E2717D1"/>
    <w:rsid w:val="3E2E0DB1"/>
    <w:rsid w:val="3E2E7003"/>
    <w:rsid w:val="3E350391"/>
    <w:rsid w:val="3E35213F"/>
    <w:rsid w:val="3E3C796E"/>
    <w:rsid w:val="3E4203B8"/>
    <w:rsid w:val="3E4405D4"/>
    <w:rsid w:val="3E495BEB"/>
    <w:rsid w:val="3E52684D"/>
    <w:rsid w:val="3E530817"/>
    <w:rsid w:val="3E574F0E"/>
    <w:rsid w:val="3E587BDC"/>
    <w:rsid w:val="3E5C591E"/>
    <w:rsid w:val="3E5F71BC"/>
    <w:rsid w:val="3E630A5B"/>
    <w:rsid w:val="3E6372D8"/>
    <w:rsid w:val="3E6622F9"/>
    <w:rsid w:val="3E693B97"/>
    <w:rsid w:val="3E6E73FF"/>
    <w:rsid w:val="3E7013C9"/>
    <w:rsid w:val="3E707ED2"/>
    <w:rsid w:val="3E726EF0"/>
    <w:rsid w:val="3E733781"/>
    <w:rsid w:val="3E7967B5"/>
    <w:rsid w:val="3E7D401F"/>
    <w:rsid w:val="3E80785E"/>
    <w:rsid w:val="3E810EE1"/>
    <w:rsid w:val="3E8517B1"/>
    <w:rsid w:val="3E8567C1"/>
    <w:rsid w:val="3E8B6203"/>
    <w:rsid w:val="3E8F1850"/>
    <w:rsid w:val="3E8F7AA2"/>
    <w:rsid w:val="3E921340"/>
    <w:rsid w:val="3E946E66"/>
    <w:rsid w:val="3E9643F7"/>
    <w:rsid w:val="3E972B6C"/>
    <w:rsid w:val="3E974BA8"/>
    <w:rsid w:val="3E9A01F4"/>
    <w:rsid w:val="3E9B4698"/>
    <w:rsid w:val="3EA03A5D"/>
    <w:rsid w:val="3EA42E21"/>
    <w:rsid w:val="3EA64DEB"/>
    <w:rsid w:val="3EAA3275"/>
    <w:rsid w:val="3EAD43CC"/>
    <w:rsid w:val="3EB30313"/>
    <w:rsid w:val="3EB92D70"/>
    <w:rsid w:val="3EBC1815"/>
    <w:rsid w:val="3EC60FE9"/>
    <w:rsid w:val="3ECB78C6"/>
    <w:rsid w:val="3ECF7E9E"/>
    <w:rsid w:val="3ED25BE0"/>
    <w:rsid w:val="3ED43706"/>
    <w:rsid w:val="3ED677BB"/>
    <w:rsid w:val="3ED90D1D"/>
    <w:rsid w:val="3ED951C1"/>
    <w:rsid w:val="3EDA13A7"/>
    <w:rsid w:val="3EDB2CE7"/>
    <w:rsid w:val="3EE6343A"/>
    <w:rsid w:val="3EEF6792"/>
    <w:rsid w:val="3EF50134"/>
    <w:rsid w:val="3EF53E50"/>
    <w:rsid w:val="3EF67B21"/>
    <w:rsid w:val="3EF73899"/>
    <w:rsid w:val="3F021A95"/>
    <w:rsid w:val="3F0264C5"/>
    <w:rsid w:val="3F03223E"/>
    <w:rsid w:val="3F043D71"/>
    <w:rsid w:val="3F06588A"/>
    <w:rsid w:val="3F144151"/>
    <w:rsid w:val="3F147FA7"/>
    <w:rsid w:val="3F177A97"/>
    <w:rsid w:val="3F19380F"/>
    <w:rsid w:val="3F19736B"/>
    <w:rsid w:val="3F2006FA"/>
    <w:rsid w:val="3F214472"/>
    <w:rsid w:val="3F226537"/>
    <w:rsid w:val="3F23468E"/>
    <w:rsid w:val="3F23643C"/>
    <w:rsid w:val="3F255D10"/>
    <w:rsid w:val="3F3B19D7"/>
    <w:rsid w:val="3F454604"/>
    <w:rsid w:val="3F473ED8"/>
    <w:rsid w:val="3F4845C7"/>
    <w:rsid w:val="3F485EA2"/>
    <w:rsid w:val="3F487C50"/>
    <w:rsid w:val="3F4C14EF"/>
    <w:rsid w:val="3F4E7207"/>
    <w:rsid w:val="3F566811"/>
    <w:rsid w:val="3F5C54AA"/>
    <w:rsid w:val="3F5F459D"/>
    <w:rsid w:val="3F6727CC"/>
    <w:rsid w:val="3F7153F9"/>
    <w:rsid w:val="3F79605C"/>
    <w:rsid w:val="3F7F57D0"/>
    <w:rsid w:val="3F8213B4"/>
    <w:rsid w:val="3F827606"/>
    <w:rsid w:val="3F854A01"/>
    <w:rsid w:val="3F88218E"/>
    <w:rsid w:val="3F8F3AD1"/>
    <w:rsid w:val="3F9133A5"/>
    <w:rsid w:val="3F982986"/>
    <w:rsid w:val="3F9D1D4A"/>
    <w:rsid w:val="3FA4132B"/>
    <w:rsid w:val="3FA550A3"/>
    <w:rsid w:val="3FA7706D"/>
    <w:rsid w:val="3FA96941"/>
    <w:rsid w:val="3FAC4683"/>
    <w:rsid w:val="3FB44FF5"/>
    <w:rsid w:val="3FB452E6"/>
    <w:rsid w:val="3FB928FC"/>
    <w:rsid w:val="3FBD063E"/>
    <w:rsid w:val="3FBF43B6"/>
    <w:rsid w:val="3FC10C55"/>
    <w:rsid w:val="3FC25C55"/>
    <w:rsid w:val="3FC67557"/>
    <w:rsid w:val="3FC825BE"/>
    <w:rsid w:val="3FCC0881"/>
    <w:rsid w:val="3FD634AE"/>
    <w:rsid w:val="3FDA11F0"/>
    <w:rsid w:val="3FDB6D16"/>
    <w:rsid w:val="3FE07E89"/>
    <w:rsid w:val="3FEE07F8"/>
    <w:rsid w:val="3FF5663E"/>
    <w:rsid w:val="3FFA53EF"/>
    <w:rsid w:val="3FFD4EDF"/>
    <w:rsid w:val="4004305D"/>
    <w:rsid w:val="40112738"/>
    <w:rsid w:val="401F6CDA"/>
    <w:rsid w:val="4021297B"/>
    <w:rsid w:val="402406BD"/>
    <w:rsid w:val="40257820"/>
    <w:rsid w:val="40267F92"/>
    <w:rsid w:val="402B55A8"/>
    <w:rsid w:val="4032716E"/>
    <w:rsid w:val="40352509"/>
    <w:rsid w:val="40363F4D"/>
    <w:rsid w:val="403703F1"/>
    <w:rsid w:val="403C77B5"/>
    <w:rsid w:val="403D52DB"/>
    <w:rsid w:val="403E59D6"/>
    <w:rsid w:val="403F1053"/>
    <w:rsid w:val="40436D96"/>
    <w:rsid w:val="40491ED2"/>
    <w:rsid w:val="404F1F91"/>
    <w:rsid w:val="40501DF6"/>
    <w:rsid w:val="40526FD9"/>
    <w:rsid w:val="40582115"/>
    <w:rsid w:val="405B0FC7"/>
    <w:rsid w:val="405F34A4"/>
    <w:rsid w:val="40644707"/>
    <w:rsid w:val="40664832"/>
    <w:rsid w:val="40694322"/>
    <w:rsid w:val="406C0A8D"/>
    <w:rsid w:val="40736F4F"/>
    <w:rsid w:val="40752CC7"/>
    <w:rsid w:val="4079092A"/>
    <w:rsid w:val="407927B7"/>
    <w:rsid w:val="407C4056"/>
    <w:rsid w:val="407C5E04"/>
    <w:rsid w:val="407E5CAF"/>
    <w:rsid w:val="407F5E9B"/>
    <w:rsid w:val="407F76A2"/>
    <w:rsid w:val="40890521"/>
    <w:rsid w:val="408C3438"/>
    <w:rsid w:val="408D0011"/>
    <w:rsid w:val="408E03B9"/>
    <w:rsid w:val="40964908"/>
    <w:rsid w:val="40970E8F"/>
    <w:rsid w:val="40972C3D"/>
    <w:rsid w:val="409745AE"/>
    <w:rsid w:val="40A1586A"/>
    <w:rsid w:val="40AA0BC3"/>
    <w:rsid w:val="40AE7F87"/>
    <w:rsid w:val="40B21825"/>
    <w:rsid w:val="40B27A77"/>
    <w:rsid w:val="40B3559D"/>
    <w:rsid w:val="40B808FD"/>
    <w:rsid w:val="40B82BB4"/>
    <w:rsid w:val="40BC6B48"/>
    <w:rsid w:val="40CB4805"/>
    <w:rsid w:val="40CF55A2"/>
    <w:rsid w:val="40D53766"/>
    <w:rsid w:val="40D7128C"/>
    <w:rsid w:val="40D741AF"/>
    <w:rsid w:val="40D93256"/>
    <w:rsid w:val="40D95004"/>
    <w:rsid w:val="40DA0D7C"/>
    <w:rsid w:val="40DE086C"/>
    <w:rsid w:val="40DF6392"/>
    <w:rsid w:val="40E36D97"/>
    <w:rsid w:val="40E45794"/>
    <w:rsid w:val="40E67721"/>
    <w:rsid w:val="40E85247"/>
    <w:rsid w:val="40EA339B"/>
    <w:rsid w:val="40EC736F"/>
    <w:rsid w:val="40EE65D6"/>
    <w:rsid w:val="40F2256A"/>
    <w:rsid w:val="40F40C4B"/>
    <w:rsid w:val="40F736DC"/>
    <w:rsid w:val="40FA31CC"/>
    <w:rsid w:val="40FE2CBD"/>
    <w:rsid w:val="41031E02"/>
    <w:rsid w:val="41036525"/>
    <w:rsid w:val="41087697"/>
    <w:rsid w:val="410A340F"/>
    <w:rsid w:val="411424E0"/>
    <w:rsid w:val="41155A0E"/>
    <w:rsid w:val="41164303"/>
    <w:rsid w:val="41175B2C"/>
    <w:rsid w:val="412070D7"/>
    <w:rsid w:val="41214BFD"/>
    <w:rsid w:val="412258F3"/>
    <w:rsid w:val="41250249"/>
    <w:rsid w:val="41265D6F"/>
    <w:rsid w:val="41272213"/>
    <w:rsid w:val="412D5350"/>
    <w:rsid w:val="41362456"/>
    <w:rsid w:val="413E130B"/>
    <w:rsid w:val="41401527"/>
    <w:rsid w:val="41423FDB"/>
    <w:rsid w:val="41474664"/>
    <w:rsid w:val="414C56AB"/>
    <w:rsid w:val="414F2A5B"/>
    <w:rsid w:val="4151103E"/>
    <w:rsid w:val="4153125A"/>
    <w:rsid w:val="415648A7"/>
    <w:rsid w:val="415B3C6B"/>
    <w:rsid w:val="41605725"/>
    <w:rsid w:val="4162149D"/>
    <w:rsid w:val="41630D72"/>
    <w:rsid w:val="416D1BF0"/>
    <w:rsid w:val="41711C4E"/>
    <w:rsid w:val="41717932"/>
    <w:rsid w:val="417F715C"/>
    <w:rsid w:val="41845821"/>
    <w:rsid w:val="41872CB2"/>
    <w:rsid w:val="418807D8"/>
    <w:rsid w:val="418B6F45"/>
    <w:rsid w:val="418F019B"/>
    <w:rsid w:val="41967399"/>
    <w:rsid w:val="419E624E"/>
    <w:rsid w:val="419E7FFC"/>
    <w:rsid w:val="41A0081E"/>
    <w:rsid w:val="41A24CB0"/>
    <w:rsid w:val="41A41AB6"/>
    <w:rsid w:val="41A76EB0"/>
    <w:rsid w:val="41A85A7B"/>
    <w:rsid w:val="41AD023F"/>
    <w:rsid w:val="41AF15C1"/>
    <w:rsid w:val="41AF7178"/>
    <w:rsid w:val="41B11ADD"/>
    <w:rsid w:val="41B521B1"/>
    <w:rsid w:val="41B617E9"/>
    <w:rsid w:val="41C072C4"/>
    <w:rsid w:val="41C9151C"/>
    <w:rsid w:val="41C95079"/>
    <w:rsid w:val="41CA0DF1"/>
    <w:rsid w:val="41CA2B9F"/>
    <w:rsid w:val="41CE268F"/>
    <w:rsid w:val="41CE2CE1"/>
    <w:rsid w:val="41D35EF7"/>
    <w:rsid w:val="41D37CA5"/>
    <w:rsid w:val="41D852BC"/>
    <w:rsid w:val="41DF2AEE"/>
    <w:rsid w:val="41E2613A"/>
    <w:rsid w:val="41E41072"/>
    <w:rsid w:val="41E41EB2"/>
    <w:rsid w:val="41EC6FB9"/>
    <w:rsid w:val="41EE2D31"/>
    <w:rsid w:val="41F57644"/>
    <w:rsid w:val="41F71F64"/>
    <w:rsid w:val="41FD11C6"/>
    <w:rsid w:val="41FD6B3E"/>
    <w:rsid w:val="41FF0A9A"/>
    <w:rsid w:val="42010CB6"/>
    <w:rsid w:val="42073DF3"/>
    <w:rsid w:val="42075BA1"/>
    <w:rsid w:val="42114C71"/>
    <w:rsid w:val="42116A20"/>
    <w:rsid w:val="421502BE"/>
    <w:rsid w:val="42165DE4"/>
    <w:rsid w:val="421A3B26"/>
    <w:rsid w:val="4223571D"/>
    <w:rsid w:val="42240501"/>
    <w:rsid w:val="422449A5"/>
    <w:rsid w:val="4226071D"/>
    <w:rsid w:val="422A7BDF"/>
    <w:rsid w:val="4230334A"/>
    <w:rsid w:val="42313D7C"/>
    <w:rsid w:val="423261F5"/>
    <w:rsid w:val="423F358D"/>
    <w:rsid w:val="42413E25"/>
    <w:rsid w:val="424566C9"/>
    <w:rsid w:val="42462B6D"/>
    <w:rsid w:val="42472441"/>
    <w:rsid w:val="4251506E"/>
    <w:rsid w:val="4255690C"/>
    <w:rsid w:val="42564613"/>
    <w:rsid w:val="425C6541"/>
    <w:rsid w:val="42644DA1"/>
    <w:rsid w:val="426B25D4"/>
    <w:rsid w:val="426D634C"/>
    <w:rsid w:val="42731488"/>
    <w:rsid w:val="42744B28"/>
    <w:rsid w:val="42770F78"/>
    <w:rsid w:val="42772D26"/>
    <w:rsid w:val="4278097A"/>
    <w:rsid w:val="427E2307"/>
    <w:rsid w:val="4283791D"/>
    <w:rsid w:val="428471F1"/>
    <w:rsid w:val="42862F6A"/>
    <w:rsid w:val="42897782"/>
    <w:rsid w:val="428B0580"/>
    <w:rsid w:val="428B67D2"/>
    <w:rsid w:val="428E1E1E"/>
    <w:rsid w:val="42927D51"/>
    <w:rsid w:val="42980EEF"/>
    <w:rsid w:val="429945ED"/>
    <w:rsid w:val="42A67168"/>
    <w:rsid w:val="42A87384"/>
    <w:rsid w:val="42AB29D0"/>
    <w:rsid w:val="42AF1CC4"/>
    <w:rsid w:val="42B00A30"/>
    <w:rsid w:val="42B34CA6"/>
    <w:rsid w:val="42B71375"/>
    <w:rsid w:val="42B75819"/>
    <w:rsid w:val="42BA2C13"/>
    <w:rsid w:val="42BA70B7"/>
    <w:rsid w:val="42BB4861"/>
    <w:rsid w:val="42C121F4"/>
    <w:rsid w:val="42C615B8"/>
    <w:rsid w:val="42C817D4"/>
    <w:rsid w:val="42CB6BCE"/>
    <w:rsid w:val="42CE66BF"/>
    <w:rsid w:val="42D14810"/>
    <w:rsid w:val="42D24401"/>
    <w:rsid w:val="42D50A79"/>
    <w:rsid w:val="42DE0FF8"/>
    <w:rsid w:val="42E42049"/>
    <w:rsid w:val="42E8477A"/>
    <w:rsid w:val="42E859D2"/>
    <w:rsid w:val="42ED352D"/>
    <w:rsid w:val="42F44377"/>
    <w:rsid w:val="42F941CC"/>
    <w:rsid w:val="42FA74B4"/>
    <w:rsid w:val="42FB6FC1"/>
    <w:rsid w:val="42FC7797"/>
    <w:rsid w:val="42FE6FA4"/>
    <w:rsid w:val="43063125"/>
    <w:rsid w:val="43077BF5"/>
    <w:rsid w:val="430D368B"/>
    <w:rsid w:val="430F7403"/>
    <w:rsid w:val="43116253"/>
    <w:rsid w:val="43153C01"/>
    <w:rsid w:val="431A5C94"/>
    <w:rsid w:val="431B19E5"/>
    <w:rsid w:val="431B5DA8"/>
    <w:rsid w:val="431D778A"/>
    <w:rsid w:val="431F7A6A"/>
    <w:rsid w:val="43244531"/>
    <w:rsid w:val="432A5FEB"/>
    <w:rsid w:val="432B1B02"/>
    <w:rsid w:val="432B3B11"/>
    <w:rsid w:val="432B58BF"/>
    <w:rsid w:val="432F53AF"/>
    <w:rsid w:val="43305BFF"/>
    <w:rsid w:val="43317652"/>
    <w:rsid w:val="43326C4D"/>
    <w:rsid w:val="433C5D1E"/>
    <w:rsid w:val="4343168B"/>
    <w:rsid w:val="43462F35"/>
    <w:rsid w:val="43470E11"/>
    <w:rsid w:val="4348477F"/>
    <w:rsid w:val="434A043B"/>
    <w:rsid w:val="434F77FF"/>
    <w:rsid w:val="43505326"/>
    <w:rsid w:val="4355293C"/>
    <w:rsid w:val="435624D6"/>
    <w:rsid w:val="43574906"/>
    <w:rsid w:val="43581E00"/>
    <w:rsid w:val="435E7A42"/>
    <w:rsid w:val="43650DD1"/>
    <w:rsid w:val="43655275"/>
    <w:rsid w:val="43657023"/>
    <w:rsid w:val="436A288B"/>
    <w:rsid w:val="436A4639"/>
    <w:rsid w:val="43792ACE"/>
    <w:rsid w:val="437E0267"/>
    <w:rsid w:val="43805C0B"/>
    <w:rsid w:val="4381218E"/>
    <w:rsid w:val="438869F8"/>
    <w:rsid w:val="43900179"/>
    <w:rsid w:val="439148A0"/>
    <w:rsid w:val="4392593E"/>
    <w:rsid w:val="43933448"/>
    <w:rsid w:val="439813C3"/>
    <w:rsid w:val="439D4A0F"/>
    <w:rsid w:val="43A51B15"/>
    <w:rsid w:val="43A538C3"/>
    <w:rsid w:val="43A82C10"/>
    <w:rsid w:val="43AE47EC"/>
    <w:rsid w:val="43B81849"/>
    <w:rsid w:val="43B9736F"/>
    <w:rsid w:val="43C006FD"/>
    <w:rsid w:val="43C24475"/>
    <w:rsid w:val="43C31F9B"/>
    <w:rsid w:val="43C755E8"/>
    <w:rsid w:val="43CA332A"/>
    <w:rsid w:val="43CD4BC8"/>
    <w:rsid w:val="43CD6547"/>
    <w:rsid w:val="43CD6976"/>
    <w:rsid w:val="43D16466"/>
    <w:rsid w:val="43D45F57"/>
    <w:rsid w:val="43D67F21"/>
    <w:rsid w:val="43D917BF"/>
    <w:rsid w:val="43DE0B83"/>
    <w:rsid w:val="43E333B4"/>
    <w:rsid w:val="43E350B0"/>
    <w:rsid w:val="43E50164"/>
    <w:rsid w:val="43E6024D"/>
    <w:rsid w:val="43F81C45"/>
    <w:rsid w:val="43F839F3"/>
    <w:rsid w:val="43F87E97"/>
    <w:rsid w:val="43FA33E8"/>
    <w:rsid w:val="43FD36FF"/>
    <w:rsid w:val="43FE2FD4"/>
    <w:rsid w:val="44006D4C"/>
    <w:rsid w:val="44024872"/>
    <w:rsid w:val="440524FA"/>
    <w:rsid w:val="44093E52"/>
    <w:rsid w:val="440A3726"/>
    <w:rsid w:val="440B5E1C"/>
    <w:rsid w:val="440F51E1"/>
    <w:rsid w:val="440F6F8F"/>
    <w:rsid w:val="4410721F"/>
    <w:rsid w:val="44110F59"/>
    <w:rsid w:val="441822E7"/>
    <w:rsid w:val="441A0C25"/>
    <w:rsid w:val="441D78FE"/>
    <w:rsid w:val="441E2B06"/>
    <w:rsid w:val="44240C8C"/>
    <w:rsid w:val="442548A8"/>
    <w:rsid w:val="442E4FDF"/>
    <w:rsid w:val="442E5667"/>
    <w:rsid w:val="442F13DF"/>
    <w:rsid w:val="443239D6"/>
    <w:rsid w:val="443E074E"/>
    <w:rsid w:val="443F7874"/>
    <w:rsid w:val="44406A3F"/>
    <w:rsid w:val="44427364"/>
    <w:rsid w:val="444430DC"/>
    <w:rsid w:val="44466E54"/>
    <w:rsid w:val="444C3D3F"/>
    <w:rsid w:val="444D54F0"/>
    <w:rsid w:val="444E7AB7"/>
    <w:rsid w:val="44531571"/>
    <w:rsid w:val="44540DB6"/>
    <w:rsid w:val="44557097"/>
    <w:rsid w:val="44562E10"/>
    <w:rsid w:val="44564BBE"/>
    <w:rsid w:val="44613C8E"/>
    <w:rsid w:val="446A2417"/>
    <w:rsid w:val="446B4C57"/>
    <w:rsid w:val="446B68BB"/>
    <w:rsid w:val="446B6DA9"/>
    <w:rsid w:val="446E63AB"/>
    <w:rsid w:val="44753372"/>
    <w:rsid w:val="4476157F"/>
    <w:rsid w:val="44782D86"/>
    <w:rsid w:val="44784B34"/>
    <w:rsid w:val="447A4D50"/>
    <w:rsid w:val="447A6AFE"/>
    <w:rsid w:val="44801C3A"/>
    <w:rsid w:val="44817E8C"/>
    <w:rsid w:val="448473F7"/>
    <w:rsid w:val="44854976"/>
    <w:rsid w:val="4485643D"/>
    <w:rsid w:val="44872FC9"/>
    <w:rsid w:val="44894F93"/>
    <w:rsid w:val="44915BF6"/>
    <w:rsid w:val="44935E12"/>
    <w:rsid w:val="44937BC0"/>
    <w:rsid w:val="449A71A0"/>
    <w:rsid w:val="449B0822"/>
    <w:rsid w:val="449F0313"/>
    <w:rsid w:val="44A122DD"/>
    <w:rsid w:val="44A65B45"/>
    <w:rsid w:val="44A973E3"/>
    <w:rsid w:val="44AE49FA"/>
    <w:rsid w:val="44B32010"/>
    <w:rsid w:val="44B55D88"/>
    <w:rsid w:val="44B57B36"/>
    <w:rsid w:val="44B66B8F"/>
    <w:rsid w:val="44B952CC"/>
    <w:rsid w:val="44BC0EC5"/>
    <w:rsid w:val="44C4421D"/>
    <w:rsid w:val="44C45FCB"/>
    <w:rsid w:val="44C61D43"/>
    <w:rsid w:val="44C935E1"/>
    <w:rsid w:val="44CE5BB2"/>
    <w:rsid w:val="44D53D34"/>
    <w:rsid w:val="44D574D5"/>
    <w:rsid w:val="44D81A76"/>
    <w:rsid w:val="44DC50C3"/>
    <w:rsid w:val="44E76F80"/>
    <w:rsid w:val="44EB17AA"/>
    <w:rsid w:val="44EC7E33"/>
    <w:rsid w:val="44EF05E8"/>
    <w:rsid w:val="44F05012"/>
    <w:rsid w:val="44F71432"/>
    <w:rsid w:val="44F74ACF"/>
    <w:rsid w:val="44F87A23"/>
    <w:rsid w:val="44F92119"/>
    <w:rsid w:val="44FA379B"/>
    <w:rsid w:val="45050ABD"/>
    <w:rsid w:val="45052B21"/>
    <w:rsid w:val="4508235C"/>
    <w:rsid w:val="4508410A"/>
    <w:rsid w:val="450B59A8"/>
    <w:rsid w:val="450D332F"/>
    <w:rsid w:val="45120AE5"/>
    <w:rsid w:val="45121023"/>
    <w:rsid w:val="45154A79"/>
    <w:rsid w:val="451A3E3D"/>
    <w:rsid w:val="45244CBC"/>
    <w:rsid w:val="45260A34"/>
    <w:rsid w:val="452B604A"/>
    <w:rsid w:val="452D1DC2"/>
    <w:rsid w:val="452D3B70"/>
    <w:rsid w:val="452D591E"/>
    <w:rsid w:val="453273D9"/>
    <w:rsid w:val="453A003B"/>
    <w:rsid w:val="453C186F"/>
    <w:rsid w:val="453E5D7D"/>
    <w:rsid w:val="453F5652"/>
    <w:rsid w:val="4541586E"/>
    <w:rsid w:val="45441531"/>
    <w:rsid w:val="45464C32"/>
    <w:rsid w:val="454D4212"/>
    <w:rsid w:val="455410FD"/>
    <w:rsid w:val="45543D74"/>
    <w:rsid w:val="4555317F"/>
    <w:rsid w:val="455A06DD"/>
    <w:rsid w:val="455E01CE"/>
    <w:rsid w:val="455E5972"/>
    <w:rsid w:val="456A6B72"/>
    <w:rsid w:val="456B6447"/>
    <w:rsid w:val="456C2E58"/>
    <w:rsid w:val="456F5F37"/>
    <w:rsid w:val="45703A5D"/>
    <w:rsid w:val="45725A27"/>
    <w:rsid w:val="45796DB6"/>
    <w:rsid w:val="457B0D80"/>
    <w:rsid w:val="457B2B2E"/>
    <w:rsid w:val="457E43CC"/>
    <w:rsid w:val="4580244D"/>
    <w:rsid w:val="458C4D3B"/>
    <w:rsid w:val="458F0387"/>
    <w:rsid w:val="458F482B"/>
    <w:rsid w:val="459650CE"/>
    <w:rsid w:val="459B31D0"/>
    <w:rsid w:val="45A04342"/>
    <w:rsid w:val="45A8769B"/>
    <w:rsid w:val="45AD4CB1"/>
    <w:rsid w:val="45AF4585"/>
    <w:rsid w:val="45B222C8"/>
    <w:rsid w:val="45B75FEC"/>
    <w:rsid w:val="45BB117C"/>
    <w:rsid w:val="45C145AC"/>
    <w:rsid w:val="45C75D73"/>
    <w:rsid w:val="45C81AEB"/>
    <w:rsid w:val="45D93CF8"/>
    <w:rsid w:val="45DB2EE0"/>
    <w:rsid w:val="45DD7344"/>
    <w:rsid w:val="45DE130F"/>
    <w:rsid w:val="45DE453C"/>
    <w:rsid w:val="45E2495B"/>
    <w:rsid w:val="45E26169"/>
    <w:rsid w:val="45E36925"/>
    <w:rsid w:val="45E561F9"/>
    <w:rsid w:val="45E72F77"/>
    <w:rsid w:val="45E87A97"/>
    <w:rsid w:val="45EF7078"/>
    <w:rsid w:val="45F11042"/>
    <w:rsid w:val="45F621B4"/>
    <w:rsid w:val="45FD1795"/>
    <w:rsid w:val="45FE550D"/>
    <w:rsid w:val="46081DC4"/>
    <w:rsid w:val="4609638B"/>
    <w:rsid w:val="46116FEE"/>
    <w:rsid w:val="461A0599"/>
    <w:rsid w:val="46267312"/>
    <w:rsid w:val="46284338"/>
    <w:rsid w:val="462C5BD6"/>
    <w:rsid w:val="463673DA"/>
    <w:rsid w:val="464078D3"/>
    <w:rsid w:val="46427C73"/>
    <w:rsid w:val="46492C2C"/>
    <w:rsid w:val="464B5944"/>
    <w:rsid w:val="464F5D68"/>
    <w:rsid w:val="46503FBA"/>
    <w:rsid w:val="46534369"/>
    <w:rsid w:val="4654512D"/>
    <w:rsid w:val="465835CD"/>
    <w:rsid w:val="465869CB"/>
    <w:rsid w:val="46603AD2"/>
    <w:rsid w:val="46651743"/>
    <w:rsid w:val="466A1160"/>
    <w:rsid w:val="46701873"/>
    <w:rsid w:val="46731A57"/>
    <w:rsid w:val="46733805"/>
    <w:rsid w:val="46752E4C"/>
    <w:rsid w:val="46753A21"/>
    <w:rsid w:val="467D4684"/>
    <w:rsid w:val="468071AA"/>
    <w:rsid w:val="468E4AE3"/>
    <w:rsid w:val="46916381"/>
    <w:rsid w:val="46943C3F"/>
    <w:rsid w:val="469814BD"/>
    <w:rsid w:val="46981B53"/>
    <w:rsid w:val="469C7200"/>
    <w:rsid w:val="46AF49AD"/>
    <w:rsid w:val="46B04A59"/>
    <w:rsid w:val="46B61944"/>
    <w:rsid w:val="46BA58D8"/>
    <w:rsid w:val="46BD0F24"/>
    <w:rsid w:val="46BF4C9C"/>
    <w:rsid w:val="46C5559B"/>
    <w:rsid w:val="46C9762C"/>
    <w:rsid w:val="46CF2891"/>
    <w:rsid w:val="46D002E0"/>
    <w:rsid w:val="46D87B0C"/>
    <w:rsid w:val="46E10D0F"/>
    <w:rsid w:val="46E22739"/>
    <w:rsid w:val="46E26BDC"/>
    <w:rsid w:val="46E6047B"/>
    <w:rsid w:val="46EB783F"/>
    <w:rsid w:val="46F012F9"/>
    <w:rsid w:val="46F41277"/>
    <w:rsid w:val="46F55DD0"/>
    <w:rsid w:val="46FA2178"/>
    <w:rsid w:val="46FF0A81"/>
    <w:rsid w:val="470521F0"/>
    <w:rsid w:val="4714323A"/>
    <w:rsid w:val="47150D60"/>
    <w:rsid w:val="471A1424"/>
    <w:rsid w:val="472164AC"/>
    <w:rsid w:val="47216726"/>
    <w:rsid w:val="472937CB"/>
    <w:rsid w:val="472B2331"/>
    <w:rsid w:val="47332F94"/>
    <w:rsid w:val="47354923"/>
    <w:rsid w:val="47372A84"/>
    <w:rsid w:val="473F7B8B"/>
    <w:rsid w:val="47411B55"/>
    <w:rsid w:val="47431498"/>
    <w:rsid w:val="4743767B"/>
    <w:rsid w:val="47537399"/>
    <w:rsid w:val="47541888"/>
    <w:rsid w:val="475B1488"/>
    <w:rsid w:val="47633879"/>
    <w:rsid w:val="47662297"/>
    <w:rsid w:val="4766336A"/>
    <w:rsid w:val="476E221E"/>
    <w:rsid w:val="476E61BD"/>
    <w:rsid w:val="47720726"/>
    <w:rsid w:val="47745A86"/>
    <w:rsid w:val="477517FF"/>
    <w:rsid w:val="477535AD"/>
    <w:rsid w:val="47754C00"/>
    <w:rsid w:val="47775577"/>
    <w:rsid w:val="477912EF"/>
    <w:rsid w:val="477E504F"/>
    <w:rsid w:val="4780267D"/>
    <w:rsid w:val="478461EE"/>
    <w:rsid w:val="47887784"/>
    <w:rsid w:val="478B2DD0"/>
    <w:rsid w:val="478D4D9A"/>
    <w:rsid w:val="479003E6"/>
    <w:rsid w:val="47953848"/>
    <w:rsid w:val="4799373F"/>
    <w:rsid w:val="479C6D8B"/>
    <w:rsid w:val="479C782C"/>
    <w:rsid w:val="47A143A2"/>
    <w:rsid w:val="47A30116"/>
    <w:rsid w:val="47A41B54"/>
    <w:rsid w:val="47A45C40"/>
    <w:rsid w:val="47A619B8"/>
    <w:rsid w:val="47A91A8B"/>
    <w:rsid w:val="47AD071F"/>
    <w:rsid w:val="47B916EB"/>
    <w:rsid w:val="47BA5463"/>
    <w:rsid w:val="47BE31A6"/>
    <w:rsid w:val="47C14A44"/>
    <w:rsid w:val="47C455F5"/>
    <w:rsid w:val="47C6205A"/>
    <w:rsid w:val="47C702AC"/>
    <w:rsid w:val="47C90D87"/>
    <w:rsid w:val="47C9565F"/>
    <w:rsid w:val="47CA1B4A"/>
    <w:rsid w:val="47CA7D9C"/>
    <w:rsid w:val="47CD163B"/>
    <w:rsid w:val="47CD5197"/>
    <w:rsid w:val="47CF0F0F"/>
    <w:rsid w:val="47D215BA"/>
    <w:rsid w:val="47D22D7C"/>
    <w:rsid w:val="47D4536A"/>
    <w:rsid w:val="47D74267"/>
    <w:rsid w:val="47D97FDF"/>
    <w:rsid w:val="47DC506E"/>
    <w:rsid w:val="47DE717A"/>
    <w:rsid w:val="47DF0FED"/>
    <w:rsid w:val="47E04ECA"/>
    <w:rsid w:val="47E524E0"/>
    <w:rsid w:val="47F14892"/>
    <w:rsid w:val="47F85EB3"/>
    <w:rsid w:val="47F90E49"/>
    <w:rsid w:val="47F92430"/>
    <w:rsid w:val="47FE35A2"/>
    <w:rsid w:val="47FE7A46"/>
    <w:rsid w:val="4803505C"/>
    <w:rsid w:val="48054931"/>
    <w:rsid w:val="480E149F"/>
    <w:rsid w:val="480F1C53"/>
    <w:rsid w:val="4814136D"/>
    <w:rsid w:val="48142DC6"/>
    <w:rsid w:val="481D7ECC"/>
    <w:rsid w:val="481F1051"/>
    <w:rsid w:val="48217291"/>
    <w:rsid w:val="482254E2"/>
    <w:rsid w:val="4822619B"/>
    <w:rsid w:val="48233009"/>
    <w:rsid w:val="48270D4B"/>
    <w:rsid w:val="48286871"/>
    <w:rsid w:val="482F7BFF"/>
    <w:rsid w:val="48364707"/>
    <w:rsid w:val="48396CD0"/>
    <w:rsid w:val="483C6D09"/>
    <w:rsid w:val="484216E1"/>
    <w:rsid w:val="48457423"/>
    <w:rsid w:val="4847319B"/>
    <w:rsid w:val="4848391D"/>
    <w:rsid w:val="484D62D8"/>
    <w:rsid w:val="48537D92"/>
    <w:rsid w:val="48555247"/>
    <w:rsid w:val="48582D1F"/>
    <w:rsid w:val="485E2293"/>
    <w:rsid w:val="4860600B"/>
    <w:rsid w:val="4866004B"/>
    <w:rsid w:val="48677399"/>
    <w:rsid w:val="486A214A"/>
    <w:rsid w:val="486C49B0"/>
    <w:rsid w:val="48735D3E"/>
    <w:rsid w:val="487A051B"/>
    <w:rsid w:val="487A3570"/>
    <w:rsid w:val="487B2E45"/>
    <w:rsid w:val="487D47D4"/>
    <w:rsid w:val="487F2935"/>
    <w:rsid w:val="48802209"/>
    <w:rsid w:val="48895562"/>
    <w:rsid w:val="48934632"/>
    <w:rsid w:val="489932CB"/>
    <w:rsid w:val="489B7043"/>
    <w:rsid w:val="489D725F"/>
    <w:rsid w:val="48A44149"/>
    <w:rsid w:val="48A91760"/>
    <w:rsid w:val="48A94193"/>
    <w:rsid w:val="48AB372A"/>
    <w:rsid w:val="48AE6D76"/>
    <w:rsid w:val="48AF0F60"/>
    <w:rsid w:val="48B14AB8"/>
    <w:rsid w:val="48B16866"/>
    <w:rsid w:val="48BD578B"/>
    <w:rsid w:val="48C000DF"/>
    <w:rsid w:val="48C42A3E"/>
    <w:rsid w:val="48C742DC"/>
    <w:rsid w:val="48C7608A"/>
    <w:rsid w:val="48D507A7"/>
    <w:rsid w:val="48D6451F"/>
    <w:rsid w:val="48D72E70"/>
    <w:rsid w:val="48DA3857"/>
    <w:rsid w:val="48DC7D87"/>
    <w:rsid w:val="48DD3AFF"/>
    <w:rsid w:val="48DF1625"/>
    <w:rsid w:val="48E80097"/>
    <w:rsid w:val="48E82FCB"/>
    <w:rsid w:val="48F549A5"/>
    <w:rsid w:val="48F74BC1"/>
    <w:rsid w:val="48FA020D"/>
    <w:rsid w:val="48FA1FBB"/>
    <w:rsid w:val="48FB5D34"/>
    <w:rsid w:val="48FE6299"/>
    <w:rsid w:val="49025314"/>
    <w:rsid w:val="4906569B"/>
    <w:rsid w:val="4907292A"/>
    <w:rsid w:val="49081696"/>
    <w:rsid w:val="490948F4"/>
    <w:rsid w:val="490B75D5"/>
    <w:rsid w:val="490E5A67"/>
    <w:rsid w:val="49107A31"/>
    <w:rsid w:val="49115705"/>
    <w:rsid w:val="491867F3"/>
    <w:rsid w:val="491B2156"/>
    <w:rsid w:val="491C4628"/>
    <w:rsid w:val="4925762B"/>
    <w:rsid w:val="49267254"/>
    <w:rsid w:val="49296D45"/>
    <w:rsid w:val="492A07DE"/>
    <w:rsid w:val="492B6185"/>
    <w:rsid w:val="492E435B"/>
    <w:rsid w:val="492E6109"/>
    <w:rsid w:val="49301E81"/>
    <w:rsid w:val="49325BF9"/>
    <w:rsid w:val="49331971"/>
    <w:rsid w:val="49441489"/>
    <w:rsid w:val="494476DB"/>
    <w:rsid w:val="49492B73"/>
    <w:rsid w:val="49493B26"/>
    <w:rsid w:val="494E2307"/>
    <w:rsid w:val="49543DC1"/>
    <w:rsid w:val="495B713C"/>
    <w:rsid w:val="495C67D2"/>
    <w:rsid w:val="4963096F"/>
    <w:rsid w:val="49634005"/>
    <w:rsid w:val="496549D0"/>
    <w:rsid w:val="49680B13"/>
    <w:rsid w:val="496B1FB0"/>
    <w:rsid w:val="4972249A"/>
    <w:rsid w:val="49767A4F"/>
    <w:rsid w:val="4977360C"/>
    <w:rsid w:val="497847C6"/>
    <w:rsid w:val="497C0C22"/>
    <w:rsid w:val="497D499A"/>
    <w:rsid w:val="49816239"/>
    <w:rsid w:val="49883A6B"/>
    <w:rsid w:val="4989333F"/>
    <w:rsid w:val="498B355B"/>
    <w:rsid w:val="498E23D1"/>
    <w:rsid w:val="49934B5E"/>
    <w:rsid w:val="49935F6C"/>
    <w:rsid w:val="49961E03"/>
    <w:rsid w:val="49995C78"/>
    <w:rsid w:val="499B3115"/>
    <w:rsid w:val="499F48B0"/>
    <w:rsid w:val="49A06689"/>
    <w:rsid w:val="49A34401"/>
    <w:rsid w:val="49A40179"/>
    <w:rsid w:val="49A95790"/>
    <w:rsid w:val="49AA1C33"/>
    <w:rsid w:val="49AB59AC"/>
    <w:rsid w:val="49B27143"/>
    <w:rsid w:val="49B4660E"/>
    <w:rsid w:val="49B50217"/>
    <w:rsid w:val="49B731BC"/>
    <w:rsid w:val="49B74350"/>
    <w:rsid w:val="49B8713A"/>
    <w:rsid w:val="49B93101"/>
    <w:rsid w:val="49BA1CA4"/>
    <w:rsid w:val="49C26CAD"/>
    <w:rsid w:val="49C37C11"/>
    <w:rsid w:val="49D071C0"/>
    <w:rsid w:val="49D10E80"/>
    <w:rsid w:val="49D547D7"/>
    <w:rsid w:val="49D722FD"/>
    <w:rsid w:val="49D92519"/>
    <w:rsid w:val="49DE7B2F"/>
    <w:rsid w:val="49E21E05"/>
    <w:rsid w:val="49E311DF"/>
    <w:rsid w:val="49E62540"/>
    <w:rsid w:val="49E669E4"/>
    <w:rsid w:val="49EB465A"/>
    <w:rsid w:val="49ED1B20"/>
    <w:rsid w:val="49EF5898"/>
    <w:rsid w:val="49EF7646"/>
    <w:rsid w:val="49F41101"/>
    <w:rsid w:val="49F42EAF"/>
    <w:rsid w:val="49F940D5"/>
    <w:rsid w:val="49FE3D2D"/>
    <w:rsid w:val="4A082D3D"/>
    <w:rsid w:val="4A084BAC"/>
    <w:rsid w:val="4A0F7CE8"/>
    <w:rsid w:val="4A11580F"/>
    <w:rsid w:val="4A1470AD"/>
    <w:rsid w:val="4A17094B"/>
    <w:rsid w:val="4A1A4124"/>
    <w:rsid w:val="4A1E1CDA"/>
    <w:rsid w:val="4A203CA4"/>
    <w:rsid w:val="4A2117CA"/>
    <w:rsid w:val="4A233794"/>
    <w:rsid w:val="4A2512BA"/>
    <w:rsid w:val="4A2A68D0"/>
    <w:rsid w:val="4A2D4AC9"/>
    <w:rsid w:val="4A2E583B"/>
    <w:rsid w:val="4A317C5F"/>
    <w:rsid w:val="4A3634C7"/>
    <w:rsid w:val="4A3D12CF"/>
    <w:rsid w:val="4A3E05CE"/>
    <w:rsid w:val="4A4C4A99"/>
    <w:rsid w:val="4A4D25BF"/>
    <w:rsid w:val="4A58343D"/>
    <w:rsid w:val="4A613290"/>
    <w:rsid w:val="4A66344B"/>
    <w:rsid w:val="4A69389D"/>
    <w:rsid w:val="4A6C513B"/>
    <w:rsid w:val="4A6C6EE9"/>
    <w:rsid w:val="4A722025"/>
    <w:rsid w:val="4A791C54"/>
    <w:rsid w:val="4A796C00"/>
    <w:rsid w:val="4A8204BA"/>
    <w:rsid w:val="4A857FAB"/>
    <w:rsid w:val="4A871F75"/>
    <w:rsid w:val="4A8E0ECE"/>
    <w:rsid w:val="4A981A8C"/>
    <w:rsid w:val="4A995804"/>
    <w:rsid w:val="4A9E2E1A"/>
    <w:rsid w:val="4AA06B93"/>
    <w:rsid w:val="4AA77F21"/>
    <w:rsid w:val="4AAA6C0E"/>
    <w:rsid w:val="4AAE7501"/>
    <w:rsid w:val="4AAF6DD6"/>
    <w:rsid w:val="4AB80380"/>
    <w:rsid w:val="4AB911E9"/>
    <w:rsid w:val="4ABA40F8"/>
    <w:rsid w:val="4AC07235"/>
    <w:rsid w:val="4AC72B89"/>
    <w:rsid w:val="4ACB3A3E"/>
    <w:rsid w:val="4ACE3700"/>
    <w:rsid w:val="4ACF4958"/>
    <w:rsid w:val="4AD056CA"/>
    <w:rsid w:val="4AD54A8E"/>
    <w:rsid w:val="4AD7419C"/>
    <w:rsid w:val="4ADB7BCB"/>
    <w:rsid w:val="4ADC327B"/>
    <w:rsid w:val="4ADF76BB"/>
    <w:rsid w:val="4AE118AE"/>
    <w:rsid w:val="4AE44CD1"/>
    <w:rsid w:val="4AE515FF"/>
    <w:rsid w:val="4AE747C1"/>
    <w:rsid w:val="4AE771F9"/>
    <w:rsid w:val="4AE77A37"/>
    <w:rsid w:val="4AEA0527"/>
    <w:rsid w:val="4AEB009D"/>
    <w:rsid w:val="4AEC1DD8"/>
    <w:rsid w:val="4AEC627C"/>
    <w:rsid w:val="4AEE78FE"/>
    <w:rsid w:val="4AF173EE"/>
    <w:rsid w:val="4AF33166"/>
    <w:rsid w:val="4AF46894"/>
    <w:rsid w:val="4AF56EDE"/>
    <w:rsid w:val="4AFD5D93"/>
    <w:rsid w:val="4B0233A9"/>
    <w:rsid w:val="4B0329D1"/>
    <w:rsid w:val="4B044C48"/>
    <w:rsid w:val="4B047121"/>
    <w:rsid w:val="4B0754D7"/>
    <w:rsid w:val="4B090BDC"/>
    <w:rsid w:val="4B0921FB"/>
    <w:rsid w:val="4B094738"/>
    <w:rsid w:val="4B0B4954"/>
    <w:rsid w:val="4B125CE2"/>
    <w:rsid w:val="4B1650A7"/>
    <w:rsid w:val="4B166E55"/>
    <w:rsid w:val="4B180E1F"/>
    <w:rsid w:val="4B180FBD"/>
    <w:rsid w:val="4B1B2ECF"/>
    <w:rsid w:val="4B1C60EC"/>
    <w:rsid w:val="4B1D01E3"/>
    <w:rsid w:val="4B2068DC"/>
    <w:rsid w:val="4B216D41"/>
    <w:rsid w:val="4B223AA8"/>
    <w:rsid w:val="4B271062"/>
    <w:rsid w:val="4B2E0642"/>
    <w:rsid w:val="4B2E07AC"/>
    <w:rsid w:val="4B3053A6"/>
    <w:rsid w:val="4B306168"/>
    <w:rsid w:val="4B307F16"/>
    <w:rsid w:val="4B313C8F"/>
    <w:rsid w:val="4B3C128B"/>
    <w:rsid w:val="4B3D2B27"/>
    <w:rsid w:val="4B487A0D"/>
    <w:rsid w:val="4B49547C"/>
    <w:rsid w:val="4B49722A"/>
    <w:rsid w:val="4B521983"/>
    <w:rsid w:val="4B524331"/>
    <w:rsid w:val="4B531E57"/>
    <w:rsid w:val="4B57145D"/>
    <w:rsid w:val="4B5A33AB"/>
    <w:rsid w:val="4B6127C6"/>
    <w:rsid w:val="4B6422B6"/>
    <w:rsid w:val="4B647BC0"/>
    <w:rsid w:val="4B663CCE"/>
    <w:rsid w:val="4B6776B0"/>
    <w:rsid w:val="4B693428"/>
    <w:rsid w:val="4B6978CC"/>
    <w:rsid w:val="4B760A5C"/>
    <w:rsid w:val="4B771FE9"/>
    <w:rsid w:val="4B797B0F"/>
    <w:rsid w:val="4B842010"/>
    <w:rsid w:val="4B897627"/>
    <w:rsid w:val="4B8B15F1"/>
    <w:rsid w:val="4B9C55AC"/>
    <w:rsid w:val="4BA12BDE"/>
    <w:rsid w:val="4BA9153A"/>
    <w:rsid w:val="4BA97CC9"/>
    <w:rsid w:val="4BAB3A41"/>
    <w:rsid w:val="4BAF3531"/>
    <w:rsid w:val="4BB23021"/>
    <w:rsid w:val="4BB859AC"/>
    <w:rsid w:val="4BBA0A13"/>
    <w:rsid w:val="4BBA1ED6"/>
    <w:rsid w:val="4BBA3C84"/>
    <w:rsid w:val="4BC0573E"/>
    <w:rsid w:val="4BC349BE"/>
    <w:rsid w:val="4BC55D72"/>
    <w:rsid w:val="4BCF3BD3"/>
    <w:rsid w:val="4BD42F98"/>
    <w:rsid w:val="4BD717C6"/>
    <w:rsid w:val="4BDB2578"/>
    <w:rsid w:val="4BDF36EB"/>
    <w:rsid w:val="4BE3142D"/>
    <w:rsid w:val="4BEB6533"/>
    <w:rsid w:val="4BF2341E"/>
    <w:rsid w:val="4BF47196"/>
    <w:rsid w:val="4BFC429C"/>
    <w:rsid w:val="4BFD23B0"/>
    <w:rsid w:val="4BFF129C"/>
    <w:rsid w:val="4BFF5B3B"/>
    <w:rsid w:val="4C13549C"/>
    <w:rsid w:val="4C1866D1"/>
    <w:rsid w:val="4C1D6ADD"/>
    <w:rsid w:val="4C2630C7"/>
    <w:rsid w:val="4C312198"/>
    <w:rsid w:val="4C325F10"/>
    <w:rsid w:val="4C365A00"/>
    <w:rsid w:val="4C3A6B73"/>
    <w:rsid w:val="4C40062D"/>
    <w:rsid w:val="4C404189"/>
    <w:rsid w:val="4C46376A"/>
    <w:rsid w:val="4C4874E2"/>
    <w:rsid w:val="4C4B0D80"/>
    <w:rsid w:val="4C58405B"/>
    <w:rsid w:val="4C5A4CC2"/>
    <w:rsid w:val="4C5B5467"/>
    <w:rsid w:val="4C5C4D3B"/>
    <w:rsid w:val="4C651E42"/>
    <w:rsid w:val="4C681932"/>
    <w:rsid w:val="4C6A56AA"/>
    <w:rsid w:val="4C757895"/>
    <w:rsid w:val="4C771B75"/>
    <w:rsid w:val="4C777F63"/>
    <w:rsid w:val="4C8449BE"/>
    <w:rsid w:val="4C872721"/>
    <w:rsid w:val="4C8A5D4C"/>
    <w:rsid w:val="4C8C0DCC"/>
    <w:rsid w:val="4C9B3AB5"/>
    <w:rsid w:val="4C9B46C2"/>
    <w:rsid w:val="4C9D782D"/>
    <w:rsid w:val="4C9E3154"/>
    <w:rsid w:val="4CA34BCC"/>
    <w:rsid w:val="4CA87F80"/>
    <w:rsid w:val="4CA961D2"/>
    <w:rsid w:val="4CAC7A71"/>
    <w:rsid w:val="4CAF57B3"/>
    <w:rsid w:val="4CAF7561"/>
    <w:rsid w:val="4CB3162B"/>
    <w:rsid w:val="4CB91F68"/>
    <w:rsid w:val="4CBA0B88"/>
    <w:rsid w:val="4CBB5F06"/>
    <w:rsid w:val="4CBD1C7E"/>
    <w:rsid w:val="4CBD5B50"/>
    <w:rsid w:val="4CC07196"/>
    <w:rsid w:val="4CC202EA"/>
    <w:rsid w:val="4CC254E6"/>
    <w:rsid w:val="4CC35BEB"/>
    <w:rsid w:val="4CCA7EF7"/>
    <w:rsid w:val="4CCF19B1"/>
    <w:rsid w:val="4CD13297"/>
    <w:rsid w:val="4CD314A1"/>
    <w:rsid w:val="4CD62D3F"/>
    <w:rsid w:val="4CD64AED"/>
    <w:rsid w:val="4CDA2830"/>
    <w:rsid w:val="4CDB0356"/>
    <w:rsid w:val="4CE4720A"/>
    <w:rsid w:val="4CE52F83"/>
    <w:rsid w:val="4CE76CFB"/>
    <w:rsid w:val="4CE91C3E"/>
    <w:rsid w:val="4CEB6BD1"/>
    <w:rsid w:val="4CEC4311"/>
    <w:rsid w:val="4CED0A61"/>
    <w:rsid w:val="4CF03E01"/>
    <w:rsid w:val="4CF136D5"/>
    <w:rsid w:val="4CF60CEC"/>
    <w:rsid w:val="4CFE5DF2"/>
    <w:rsid w:val="4D010981"/>
    <w:rsid w:val="4D01600E"/>
    <w:rsid w:val="4D021D86"/>
    <w:rsid w:val="4D0258E3"/>
    <w:rsid w:val="4D063625"/>
    <w:rsid w:val="4D096C71"/>
    <w:rsid w:val="4D0C408A"/>
    <w:rsid w:val="4D111FCA"/>
    <w:rsid w:val="4D182ABB"/>
    <w:rsid w:val="4D183358"/>
    <w:rsid w:val="4D1965AE"/>
    <w:rsid w:val="4D1D271C"/>
    <w:rsid w:val="4D243AAB"/>
    <w:rsid w:val="4D2717ED"/>
    <w:rsid w:val="4D287640"/>
    <w:rsid w:val="4D2B5227"/>
    <w:rsid w:val="4D2C0BB1"/>
    <w:rsid w:val="4D3245B5"/>
    <w:rsid w:val="4D331F40"/>
    <w:rsid w:val="4D355CB8"/>
    <w:rsid w:val="4D392753"/>
    <w:rsid w:val="4D3D2DBF"/>
    <w:rsid w:val="4D3D5DE0"/>
    <w:rsid w:val="4D461C73"/>
    <w:rsid w:val="4D463256"/>
    <w:rsid w:val="4D493511"/>
    <w:rsid w:val="4D583754"/>
    <w:rsid w:val="4D5B3B21"/>
    <w:rsid w:val="4D5E1526"/>
    <w:rsid w:val="4D5F0F87"/>
    <w:rsid w:val="4D616AAD"/>
    <w:rsid w:val="4D665E71"/>
    <w:rsid w:val="4D673998"/>
    <w:rsid w:val="4D6D5452"/>
    <w:rsid w:val="4D73058E"/>
    <w:rsid w:val="4D782049"/>
    <w:rsid w:val="4D7A191D"/>
    <w:rsid w:val="4D7D31BB"/>
    <w:rsid w:val="4D7F6BB4"/>
    <w:rsid w:val="4D8004CE"/>
    <w:rsid w:val="4D804879"/>
    <w:rsid w:val="4D862070"/>
    <w:rsid w:val="4D8821FE"/>
    <w:rsid w:val="4D8933DA"/>
    <w:rsid w:val="4D897DB2"/>
    <w:rsid w:val="4D8B58D8"/>
    <w:rsid w:val="4D8C1650"/>
    <w:rsid w:val="4D907392"/>
    <w:rsid w:val="4D913251"/>
    <w:rsid w:val="4D9A3D6D"/>
    <w:rsid w:val="4DA1334D"/>
    <w:rsid w:val="4DA16EA9"/>
    <w:rsid w:val="4DA22C22"/>
    <w:rsid w:val="4DA30E74"/>
    <w:rsid w:val="4DA92202"/>
    <w:rsid w:val="4DAB4ED6"/>
    <w:rsid w:val="4DB50BA7"/>
    <w:rsid w:val="4DB63E04"/>
    <w:rsid w:val="4DBF1A26"/>
    <w:rsid w:val="4DC1579E"/>
    <w:rsid w:val="4DC82688"/>
    <w:rsid w:val="4DC86080"/>
    <w:rsid w:val="4DD21759"/>
    <w:rsid w:val="4DD252B5"/>
    <w:rsid w:val="4DD54DA5"/>
    <w:rsid w:val="4DD76D6F"/>
    <w:rsid w:val="4DDB6FF8"/>
    <w:rsid w:val="4DDD70C9"/>
    <w:rsid w:val="4DE5251F"/>
    <w:rsid w:val="4DE90850"/>
    <w:rsid w:val="4DEB068A"/>
    <w:rsid w:val="4DED20EF"/>
    <w:rsid w:val="4DEF230B"/>
    <w:rsid w:val="4DF27705"/>
    <w:rsid w:val="4DF7375A"/>
    <w:rsid w:val="4DFA0CB0"/>
    <w:rsid w:val="4DFC1886"/>
    <w:rsid w:val="4DFC4A28"/>
    <w:rsid w:val="4E0538DC"/>
    <w:rsid w:val="4E166EC4"/>
    <w:rsid w:val="4E1F4272"/>
    <w:rsid w:val="4E217FEA"/>
    <w:rsid w:val="4E255D2C"/>
    <w:rsid w:val="4E2F2707"/>
    <w:rsid w:val="4E347D1E"/>
    <w:rsid w:val="4E353A96"/>
    <w:rsid w:val="4E375A60"/>
    <w:rsid w:val="4E39001B"/>
    <w:rsid w:val="4E3C4E24"/>
    <w:rsid w:val="4E3F594B"/>
    <w:rsid w:val="4E41348F"/>
    <w:rsid w:val="4E4F2DA9"/>
    <w:rsid w:val="4E4F4B57"/>
    <w:rsid w:val="4E54216E"/>
    <w:rsid w:val="4E593C28"/>
    <w:rsid w:val="4E5B4F82"/>
    <w:rsid w:val="4E5B5B21"/>
    <w:rsid w:val="4E5C1022"/>
    <w:rsid w:val="4E5C7274"/>
    <w:rsid w:val="4E5D3E38"/>
    <w:rsid w:val="4E6014DC"/>
    <w:rsid w:val="4E6275A4"/>
    <w:rsid w:val="4E6323B1"/>
    <w:rsid w:val="4E656129"/>
    <w:rsid w:val="4E6A0A71"/>
    <w:rsid w:val="4E720529"/>
    <w:rsid w:val="4E750098"/>
    <w:rsid w:val="4E7D7917"/>
    <w:rsid w:val="4E802F63"/>
    <w:rsid w:val="4E810A89"/>
    <w:rsid w:val="4E8567CB"/>
    <w:rsid w:val="4E880069"/>
    <w:rsid w:val="4E8A3DE2"/>
    <w:rsid w:val="4E9051F3"/>
    <w:rsid w:val="4E915170"/>
    <w:rsid w:val="4E9407BC"/>
    <w:rsid w:val="4E9C3B15"/>
    <w:rsid w:val="4E9E5ADF"/>
    <w:rsid w:val="4E9E788D"/>
    <w:rsid w:val="4EA07161"/>
    <w:rsid w:val="4EA43238"/>
    <w:rsid w:val="4EA577DD"/>
    <w:rsid w:val="4EAF3CB6"/>
    <w:rsid w:val="4EB33338"/>
    <w:rsid w:val="4EB86BA1"/>
    <w:rsid w:val="4EBB3F9B"/>
    <w:rsid w:val="4EBD41B7"/>
    <w:rsid w:val="4EC210D8"/>
    <w:rsid w:val="4EC70B92"/>
    <w:rsid w:val="4EC76DE4"/>
    <w:rsid w:val="4EC77E93"/>
    <w:rsid w:val="4EC8490A"/>
    <w:rsid w:val="4EC97165"/>
    <w:rsid w:val="4ECF7A46"/>
    <w:rsid w:val="4ED82D9F"/>
    <w:rsid w:val="4EDC6E53"/>
    <w:rsid w:val="4EDE7C89"/>
    <w:rsid w:val="4EE334F2"/>
    <w:rsid w:val="4EEA1AEB"/>
    <w:rsid w:val="4EED53BA"/>
    <w:rsid w:val="4EEE3337"/>
    <w:rsid w:val="4EF13605"/>
    <w:rsid w:val="4EF13E61"/>
    <w:rsid w:val="4EF23FDF"/>
    <w:rsid w:val="4EF241A3"/>
    <w:rsid w:val="4EF83441"/>
    <w:rsid w:val="4F02606E"/>
    <w:rsid w:val="4F041DE6"/>
    <w:rsid w:val="4F043B94"/>
    <w:rsid w:val="4F0A6CD0"/>
    <w:rsid w:val="4F0B065C"/>
    <w:rsid w:val="4F0E0EE6"/>
    <w:rsid w:val="4F0F2539"/>
    <w:rsid w:val="4F120F9F"/>
    <w:rsid w:val="4F13691C"/>
    <w:rsid w:val="4F1D4C56"/>
    <w:rsid w:val="4F22401A"/>
    <w:rsid w:val="4F226618"/>
    <w:rsid w:val="4F247D92"/>
    <w:rsid w:val="4F251D5C"/>
    <w:rsid w:val="4F253B0A"/>
    <w:rsid w:val="4F343D4D"/>
    <w:rsid w:val="4F365D17"/>
    <w:rsid w:val="4F4026F2"/>
    <w:rsid w:val="4F427227"/>
    <w:rsid w:val="4F440434"/>
    <w:rsid w:val="4F451824"/>
    <w:rsid w:val="4F493C9D"/>
    <w:rsid w:val="4F4C553B"/>
    <w:rsid w:val="4F4E4E0F"/>
    <w:rsid w:val="4F4F2935"/>
    <w:rsid w:val="4F4F6674"/>
    <w:rsid w:val="4F502064"/>
    <w:rsid w:val="4F604B42"/>
    <w:rsid w:val="4F644633"/>
    <w:rsid w:val="4F6E54B1"/>
    <w:rsid w:val="4F6E725F"/>
    <w:rsid w:val="4F7073A9"/>
    <w:rsid w:val="4F710AFD"/>
    <w:rsid w:val="4F74239C"/>
    <w:rsid w:val="4F7E72D3"/>
    <w:rsid w:val="4F8922EB"/>
    <w:rsid w:val="4F8B6063"/>
    <w:rsid w:val="4F960564"/>
    <w:rsid w:val="4F964D9C"/>
    <w:rsid w:val="4FA222A9"/>
    <w:rsid w:val="4FA72F23"/>
    <w:rsid w:val="4FAB0AD3"/>
    <w:rsid w:val="4FB276D6"/>
    <w:rsid w:val="4FBE01E7"/>
    <w:rsid w:val="4FBF7ABB"/>
    <w:rsid w:val="4FC151B1"/>
    <w:rsid w:val="4FC450D1"/>
    <w:rsid w:val="4FC6709B"/>
    <w:rsid w:val="4FCD667C"/>
    <w:rsid w:val="4FD01CC8"/>
    <w:rsid w:val="4FD25A40"/>
    <w:rsid w:val="4FD73056"/>
    <w:rsid w:val="4FD74E04"/>
    <w:rsid w:val="4FD8449C"/>
    <w:rsid w:val="4FE237A9"/>
    <w:rsid w:val="4FE87012"/>
    <w:rsid w:val="4FEB4D54"/>
    <w:rsid w:val="4FEE0289"/>
    <w:rsid w:val="4FF16325"/>
    <w:rsid w:val="4FF21C3E"/>
    <w:rsid w:val="4FF5172F"/>
    <w:rsid w:val="4FF534DD"/>
    <w:rsid w:val="4FF57980"/>
    <w:rsid w:val="4FF84D7B"/>
    <w:rsid w:val="4FFD05E3"/>
    <w:rsid w:val="4FFE3F69"/>
    <w:rsid w:val="50012107"/>
    <w:rsid w:val="50016325"/>
    <w:rsid w:val="5003209D"/>
    <w:rsid w:val="50034F5C"/>
    <w:rsid w:val="500656EA"/>
    <w:rsid w:val="500E459E"/>
    <w:rsid w:val="501778F7"/>
    <w:rsid w:val="501A1195"/>
    <w:rsid w:val="501C315F"/>
    <w:rsid w:val="50210776"/>
    <w:rsid w:val="5028041A"/>
    <w:rsid w:val="502A2D3A"/>
    <w:rsid w:val="502E6984"/>
    <w:rsid w:val="502F2E92"/>
    <w:rsid w:val="5032028D"/>
    <w:rsid w:val="503F0BFC"/>
    <w:rsid w:val="5043249A"/>
    <w:rsid w:val="50447FC0"/>
    <w:rsid w:val="50463D38"/>
    <w:rsid w:val="504F0E3F"/>
    <w:rsid w:val="50504BB7"/>
    <w:rsid w:val="505428F9"/>
    <w:rsid w:val="505E71AE"/>
    <w:rsid w:val="5061544F"/>
    <w:rsid w:val="50681F00"/>
    <w:rsid w:val="506A5C79"/>
    <w:rsid w:val="506C3F7C"/>
    <w:rsid w:val="506D7517"/>
    <w:rsid w:val="50720FD1"/>
    <w:rsid w:val="5077108F"/>
    <w:rsid w:val="507A1C34"/>
    <w:rsid w:val="507B60D8"/>
    <w:rsid w:val="5082112D"/>
    <w:rsid w:val="50833EF7"/>
    <w:rsid w:val="508825A3"/>
    <w:rsid w:val="508C2093"/>
    <w:rsid w:val="50914807"/>
    <w:rsid w:val="50923421"/>
    <w:rsid w:val="509B5C25"/>
    <w:rsid w:val="50A50592"/>
    <w:rsid w:val="50A62A29"/>
    <w:rsid w:val="50AD2A84"/>
    <w:rsid w:val="50B27620"/>
    <w:rsid w:val="50B909AE"/>
    <w:rsid w:val="50B9275C"/>
    <w:rsid w:val="50BD049E"/>
    <w:rsid w:val="50BE4216"/>
    <w:rsid w:val="50C11611"/>
    <w:rsid w:val="50C158D4"/>
    <w:rsid w:val="50C3182D"/>
    <w:rsid w:val="50C77758"/>
    <w:rsid w:val="50CA2BBB"/>
    <w:rsid w:val="50CE4A5A"/>
    <w:rsid w:val="50E7376D"/>
    <w:rsid w:val="50EA0B67"/>
    <w:rsid w:val="50EC2B32"/>
    <w:rsid w:val="50EC48E0"/>
    <w:rsid w:val="50F70BD7"/>
    <w:rsid w:val="50FA6453"/>
    <w:rsid w:val="5107796B"/>
    <w:rsid w:val="510C6D30"/>
    <w:rsid w:val="510D4856"/>
    <w:rsid w:val="511E6BD5"/>
    <w:rsid w:val="512322CB"/>
    <w:rsid w:val="51295B34"/>
    <w:rsid w:val="512A5408"/>
    <w:rsid w:val="512E4EF8"/>
    <w:rsid w:val="51337FC8"/>
    <w:rsid w:val="51346287"/>
    <w:rsid w:val="51380532"/>
    <w:rsid w:val="51383FC9"/>
    <w:rsid w:val="513A1AEF"/>
    <w:rsid w:val="513A375A"/>
    <w:rsid w:val="513D513B"/>
    <w:rsid w:val="51450494"/>
    <w:rsid w:val="5150055F"/>
    <w:rsid w:val="5151508A"/>
    <w:rsid w:val="5153495F"/>
    <w:rsid w:val="515371F8"/>
    <w:rsid w:val="515F3303"/>
    <w:rsid w:val="51624BA2"/>
    <w:rsid w:val="51662699"/>
    <w:rsid w:val="51712231"/>
    <w:rsid w:val="51714DE5"/>
    <w:rsid w:val="517F7502"/>
    <w:rsid w:val="51874608"/>
    <w:rsid w:val="51890340"/>
    <w:rsid w:val="518C188F"/>
    <w:rsid w:val="518C1BE9"/>
    <w:rsid w:val="518D21E0"/>
    <w:rsid w:val="518D4EE5"/>
    <w:rsid w:val="51915487"/>
    <w:rsid w:val="51916E82"/>
    <w:rsid w:val="51920E9C"/>
    <w:rsid w:val="51984A67"/>
    <w:rsid w:val="51992BBE"/>
    <w:rsid w:val="51A258E6"/>
    <w:rsid w:val="51A8134F"/>
    <w:rsid w:val="51A83C79"/>
    <w:rsid w:val="51AA02F7"/>
    <w:rsid w:val="51B11685"/>
    <w:rsid w:val="51B178D7"/>
    <w:rsid w:val="51B573C7"/>
    <w:rsid w:val="51B74A13"/>
    <w:rsid w:val="51B80C66"/>
    <w:rsid w:val="51BA49DE"/>
    <w:rsid w:val="51BB2504"/>
    <w:rsid w:val="51BD7AB9"/>
    <w:rsid w:val="51BF1FF4"/>
    <w:rsid w:val="51CB0999"/>
    <w:rsid w:val="51D05FAF"/>
    <w:rsid w:val="51D84E64"/>
    <w:rsid w:val="51DC0DF8"/>
    <w:rsid w:val="51DF2696"/>
    <w:rsid w:val="51E43C02"/>
    <w:rsid w:val="51E72274"/>
    <w:rsid w:val="51EB103B"/>
    <w:rsid w:val="51ED009E"/>
    <w:rsid w:val="51ED6B61"/>
    <w:rsid w:val="51EE0B2B"/>
    <w:rsid w:val="51EF7C55"/>
    <w:rsid w:val="51F06651"/>
    <w:rsid w:val="51F24178"/>
    <w:rsid w:val="51F83758"/>
    <w:rsid w:val="51F872B4"/>
    <w:rsid w:val="51F87FD8"/>
    <w:rsid w:val="52057C01"/>
    <w:rsid w:val="52065E75"/>
    <w:rsid w:val="520D4567"/>
    <w:rsid w:val="521045FE"/>
    <w:rsid w:val="52132340"/>
    <w:rsid w:val="521A722A"/>
    <w:rsid w:val="521D4F6D"/>
    <w:rsid w:val="521F0CE5"/>
    <w:rsid w:val="522105B9"/>
    <w:rsid w:val="52214A5D"/>
    <w:rsid w:val="5224454D"/>
    <w:rsid w:val="522B768A"/>
    <w:rsid w:val="522D3402"/>
    <w:rsid w:val="52307901"/>
    <w:rsid w:val="52317098"/>
    <w:rsid w:val="523A09B3"/>
    <w:rsid w:val="523E560F"/>
    <w:rsid w:val="5244074B"/>
    <w:rsid w:val="5245699D"/>
    <w:rsid w:val="52466271"/>
    <w:rsid w:val="524B1ADA"/>
    <w:rsid w:val="52600C5A"/>
    <w:rsid w:val="52662470"/>
    <w:rsid w:val="526861E8"/>
    <w:rsid w:val="52701540"/>
    <w:rsid w:val="527252B8"/>
    <w:rsid w:val="52734B8D"/>
    <w:rsid w:val="52742DDF"/>
    <w:rsid w:val="52742E1D"/>
    <w:rsid w:val="5275253C"/>
    <w:rsid w:val="527821A3"/>
    <w:rsid w:val="527F03E9"/>
    <w:rsid w:val="528B1ED6"/>
    <w:rsid w:val="528D161E"/>
    <w:rsid w:val="529140CD"/>
    <w:rsid w:val="52943481"/>
    <w:rsid w:val="52974D1F"/>
    <w:rsid w:val="529C2335"/>
    <w:rsid w:val="529E42FF"/>
    <w:rsid w:val="529E7E5B"/>
    <w:rsid w:val="52A116FA"/>
    <w:rsid w:val="52A631B4"/>
    <w:rsid w:val="52A95399"/>
    <w:rsid w:val="52AB07CA"/>
    <w:rsid w:val="52B07B8F"/>
    <w:rsid w:val="52B458D1"/>
    <w:rsid w:val="52B7608C"/>
    <w:rsid w:val="52B94C95"/>
    <w:rsid w:val="52BD4826"/>
    <w:rsid w:val="52C45CEE"/>
    <w:rsid w:val="52CC6B7E"/>
    <w:rsid w:val="52CF6267"/>
    <w:rsid w:val="52D90E94"/>
    <w:rsid w:val="52DD1244"/>
    <w:rsid w:val="52E57838"/>
    <w:rsid w:val="52E77A54"/>
    <w:rsid w:val="52E8557B"/>
    <w:rsid w:val="52EB0BC7"/>
    <w:rsid w:val="52ED535B"/>
    <w:rsid w:val="52F061DD"/>
    <w:rsid w:val="52F51698"/>
    <w:rsid w:val="53000B16"/>
    <w:rsid w:val="530A729F"/>
    <w:rsid w:val="530C1269"/>
    <w:rsid w:val="531445C2"/>
    <w:rsid w:val="53184C4D"/>
    <w:rsid w:val="53195734"/>
    <w:rsid w:val="531A6A41"/>
    <w:rsid w:val="531B76FE"/>
    <w:rsid w:val="531C2067"/>
    <w:rsid w:val="531E2FF2"/>
    <w:rsid w:val="531F0FF7"/>
    <w:rsid w:val="532076DA"/>
    <w:rsid w:val="532760A3"/>
    <w:rsid w:val="53285977"/>
    <w:rsid w:val="532A16EF"/>
    <w:rsid w:val="532D4A8B"/>
    <w:rsid w:val="532E5683"/>
    <w:rsid w:val="53367966"/>
    <w:rsid w:val="53383330"/>
    <w:rsid w:val="533B3A5F"/>
    <w:rsid w:val="533B56AA"/>
    <w:rsid w:val="533B7DA0"/>
    <w:rsid w:val="5341311F"/>
    <w:rsid w:val="535078F5"/>
    <w:rsid w:val="535350EA"/>
    <w:rsid w:val="535844AE"/>
    <w:rsid w:val="535A6478"/>
    <w:rsid w:val="53615B94"/>
    <w:rsid w:val="53634C01"/>
    <w:rsid w:val="5367649F"/>
    <w:rsid w:val="536F35A6"/>
    <w:rsid w:val="536F483D"/>
    <w:rsid w:val="536F7A4A"/>
    <w:rsid w:val="537137C2"/>
    <w:rsid w:val="537257BC"/>
    <w:rsid w:val="537548CE"/>
    <w:rsid w:val="53762B86"/>
    <w:rsid w:val="537868DB"/>
    <w:rsid w:val="537F7C8D"/>
    <w:rsid w:val="53811C48"/>
    <w:rsid w:val="538E0895"/>
    <w:rsid w:val="53911318"/>
    <w:rsid w:val="53945411"/>
    <w:rsid w:val="539574B0"/>
    <w:rsid w:val="539B083F"/>
    <w:rsid w:val="539C7AB5"/>
    <w:rsid w:val="53AA7A2F"/>
    <w:rsid w:val="53B86CFB"/>
    <w:rsid w:val="53BA0CC5"/>
    <w:rsid w:val="53BA6F17"/>
    <w:rsid w:val="53C04396"/>
    <w:rsid w:val="53C438F2"/>
    <w:rsid w:val="53C75190"/>
    <w:rsid w:val="53C77F81"/>
    <w:rsid w:val="53CF453C"/>
    <w:rsid w:val="53D14261"/>
    <w:rsid w:val="53D31D87"/>
    <w:rsid w:val="53D33B35"/>
    <w:rsid w:val="53D8739D"/>
    <w:rsid w:val="53D94A0C"/>
    <w:rsid w:val="53DA423D"/>
    <w:rsid w:val="53E144A4"/>
    <w:rsid w:val="53E775E0"/>
    <w:rsid w:val="53EB1F23"/>
    <w:rsid w:val="53EC109A"/>
    <w:rsid w:val="53EC2E48"/>
    <w:rsid w:val="53EE6BC1"/>
    <w:rsid w:val="53F43F3C"/>
    <w:rsid w:val="53F52FD5"/>
    <w:rsid w:val="54014B46"/>
    <w:rsid w:val="5406215C"/>
    <w:rsid w:val="540B2113"/>
    <w:rsid w:val="540E3B7C"/>
    <w:rsid w:val="54136627"/>
    <w:rsid w:val="54174A2E"/>
    <w:rsid w:val="54213733"/>
    <w:rsid w:val="542E3461"/>
    <w:rsid w:val="54300F87"/>
    <w:rsid w:val="543213BA"/>
    <w:rsid w:val="54324CFF"/>
    <w:rsid w:val="543640EE"/>
    <w:rsid w:val="54384218"/>
    <w:rsid w:val="543958BD"/>
    <w:rsid w:val="543A0058"/>
    <w:rsid w:val="54444A33"/>
    <w:rsid w:val="544762D1"/>
    <w:rsid w:val="544D7D8B"/>
    <w:rsid w:val="545118F6"/>
    <w:rsid w:val="54520EFE"/>
    <w:rsid w:val="545725F6"/>
    <w:rsid w:val="545A24A8"/>
    <w:rsid w:val="545A4256"/>
    <w:rsid w:val="545C7FCE"/>
    <w:rsid w:val="545F186C"/>
    <w:rsid w:val="5463310B"/>
    <w:rsid w:val="546B0211"/>
    <w:rsid w:val="546B1FBF"/>
    <w:rsid w:val="546E1AAF"/>
    <w:rsid w:val="546F3220"/>
    <w:rsid w:val="547846DC"/>
    <w:rsid w:val="547C5F7A"/>
    <w:rsid w:val="547E15C2"/>
    <w:rsid w:val="547F47A7"/>
    <w:rsid w:val="548E5CAE"/>
    <w:rsid w:val="54901A26"/>
    <w:rsid w:val="54913993"/>
    <w:rsid w:val="54977258"/>
    <w:rsid w:val="54994D7E"/>
    <w:rsid w:val="549D1A60"/>
    <w:rsid w:val="54A0435F"/>
    <w:rsid w:val="54A11D47"/>
    <w:rsid w:val="54A379AB"/>
    <w:rsid w:val="54AE5881"/>
    <w:rsid w:val="54B27BEE"/>
    <w:rsid w:val="54B424EE"/>
    <w:rsid w:val="54B85328"/>
    <w:rsid w:val="54B90F7D"/>
    <w:rsid w:val="54BB2F47"/>
    <w:rsid w:val="54C55B73"/>
    <w:rsid w:val="54CD4A28"/>
    <w:rsid w:val="54D1276A"/>
    <w:rsid w:val="54D23DEC"/>
    <w:rsid w:val="54D44008"/>
    <w:rsid w:val="54D73AF9"/>
    <w:rsid w:val="54DA7145"/>
    <w:rsid w:val="54DB5397"/>
    <w:rsid w:val="54DC4C6B"/>
    <w:rsid w:val="54DE6C35"/>
    <w:rsid w:val="54DF6509"/>
    <w:rsid w:val="54E51D72"/>
    <w:rsid w:val="54EB1352"/>
    <w:rsid w:val="54EB4EAE"/>
    <w:rsid w:val="54F16618"/>
    <w:rsid w:val="54F226E1"/>
    <w:rsid w:val="54F232A5"/>
    <w:rsid w:val="54F32863"/>
    <w:rsid w:val="54F5777E"/>
    <w:rsid w:val="54F9581D"/>
    <w:rsid w:val="54FB77E7"/>
    <w:rsid w:val="55006BAB"/>
    <w:rsid w:val="55063511"/>
    <w:rsid w:val="55083CB2"/>
    <w:rsid w:val="550A17D8"/>
    <w:rsid w:val="550E3200"/>
    <w:rsid w:val="55102B67"/>
    <w:rsid w:val="55135992"/>
    <w:rsid w:val="551408A9"/>
    <w:rsid w:val="55154C0C"/>
    <w:rsid w:val="55173062"/>
    <w:rsid w:val="551D59AF"/>
    <w:rsid w:val="551E5284"/>
    <w:rsid w:val="551E7032"/>
    <w:rsid w:val="552A1E7A"/>
    <w:rsid w:val="552D4350"/>
    <w:rsid w:val="552D54C7"/>
    <w:rsid w:val="55320D2F"/>
    <w:rsid w:val="553625CD"/>
    <w:rsid w:val="55365402"/>
    <w:rsid w:val="553700F3"/>
    <w:rsid w:val="553D46AE"/>
    <w:rsid w:val="55434CEA"/>
    <w:rsid w:val="55472A2C"/>
    <w:rsid w:val="554859C7"/>
    <w:rsid w:val="554A6079"/>
    <w:rsid w:val="554C3B9F"/>
    <w:rsid w:val="55530C3C"/>
    <w:rsid w:val="555667CB"/>
    <w:rsid w:val="555812F1"/>
    <w:rsid w:val="55592760"/>
    <w:rsid w:val="555B64D8"/>
    <w:rsid w:val="555D2250"/>
    <w:rsid w:val="55603AEE"/>
    <w:rsid w:val="5563538C"/>
    <w:rsid w:val="55675113"/>
    <w:rsid w:val="55684751"/>
    <w:rsid w:val="55690BF5"/>
    <w:rsid w:val="55717AA9"/>
    <w:rsid w:val="557B26D6"/>
    <w:rsid w:val="557B298D"/>
    <w:rsid w:val="557D1BD1"/>
    <w:rsid w:val="557F21C6"/>
    <w:rsid w:val="55807CEC"/>
    <w:rsid w:val="55833339"/>
    <w:rsid w:val="55833A09"/>
    <w:rsid w:val="558418D5"/>
    <w:rsid w:val="558E7ED3"/>
    <w:rsid w:val="558F7F2F"/>
    <w:rsid w:val="559519EA"/>
    <w:rsid w:val="559B2D78"/>
    <w:rsid w:val="559B4B26"/>
    <w:rsid w:val="559F4616"/>
    <w:rsid w:val="55A0213D"/>
    <w:rsid w:val="55A57753"/>
    <w:rsid w:val="55A82D9F"/>
    <w:rsid w:val="55A85128"/>
    <w:rsid w:val="55AC6D33"/>
    <w:rsid w:val="55BA31FE"/>
    <w:rsid w:val="55C67DF5"/>
    <w:rsid w:val="55C7438A"/>
    <w:rsid w:val="55C93F97"/>
    <w:rsid w:val="55CA33E4"/>
    <w:rsid w:val="55D818D6"/>
    <w:rsid w:val="55D83373"/>
    <w:rsid w:val="55DA38A0"/>
    <w:rsid w:val="55DB13C7"/>
    <w:rsid w:val="55DC68AB"/>
    <w:rsid w:val="55E4027B"/>
    <w:rsid w:val="55EB785C"/>
    <w:rsid w:val="55EE06D6"/>
    <w:rsid w:val="55EF09CE"/>
    <w:rsid w:val="55F01A89"/>
    <w:rsid w:val="55F14746"/>
    <w:rsid w:val="55F67FAE"/>
    <w:rsid w:val="56024E9F"/>
    <w:rsid w:val="560E06A4"/>
    <w:rsid w:val="56130B60"/>
    <w:rsid w:val="5613290E"/>
    <w:rsid w:val="561A1EEF"/>
    <w:rsid w:val="561C5C67"/>
    <w:rsid w:val="561E56AC"/>
    <w:rsid w:val="561F5757"/>
    <w:rsid w:val="56260894"/>
    <w:rsid w:val="56293CBF"/>
    <w:rsid w:val="562E599A"/>
    <w:rsid w:val="56333CCD"/>
    <w:rsid w:val="56343E9A"/>
    <w:rsid w:val="56344425"/>
    <w:rsid w:val="56352885"/>
    <w:rsid w:val="56370A97"/>
    <w:rsid w:val="56372AA1"/>
    <w:rsid w:val="563C00B7"/>
    <w:rsid w:val="563D798B"/>
    <w:rsid w:val="56431E44"/>
    <w:rsid w:val="564B43CE"/>
    <w:rsid w:val="564C5E20"/>
    <w:rsid w:val="564D1B7E"/>
    <w:rsid w:val="564D48DB"/>
    <w:rsid w:val="564D5947"/>
    <w:rsid w:val="564E7DEA"/>
    <w:rsid w:val="56521689"/>
    <w:rsid w:val="56567066"/>
    <w:rsid w:val="56687250"/>
    <w:rsid w:val="566D64C3"/>
    <w:rsid w:val="56705FB3"/>
    <w:rsid w:val="567315FF"/>
    <w:rsid w:val="56755377"/>
    <w:rsid w:val="56772E9D"/>
    <w:rsid w:val="567A311B"/>
    <w:rsid w:val="567C20AC"/>
    <w:rsid w:val="567E247E"/>
    <w:rsid w:val="567F1D52"/>
    <w:rsid w:val="56821842"/>
    <w:rsid w:val="56892BD1"/>
    <w:rsid w:val="569212CF"/>
    <w:rsid w:val="56921A85"/>
    <w:rsid w:val="569C0B56"/>
    <w:rsid w:val="569F0646"/>
    <w:rsid w:val="56A143BE"/>
    <w:rsid w:val="56A63783"/>
    <w:rsid w:val="56AF6ADB"/>
    <w:rsid w:val="56B10B5F"/>
    <w:rsid w:val="56B20379"/>
    <w:rsid w:val="56B93357"/>
    <w:rsid w:val="56B934B6"/>
    <w:rsid w:val="56BA5480"/>
    <w:rsid w:val="56BA722E"/>
    <w:rsid w:val="56C7422E"/>
    <w:rsid w:val="56CB4F97"/>
    <w:rsid w:val="56CF2CD9"/>
    <w:rsid w:val="56D27EF7"/>
    <w:rsid w:val="56D93B58"/>
    <w:rsid w:val="56DF6D23"/>
    <w:rsid w:val="56E02076"/>
    <w:rsid w:val="56E0560F"/>
    <w:rsid w:val="56E10C5F"/>
    <w:rsid w:val="56F02C50"/>
    <w:rsid w:val="56F269C8"/>
    <w:rsid w:val="56F50266"/>
    <w:rsid w:val="56F664B8"/>
    <w:rsid w:val="56F72230"/>
    <w:rsid w:val="56F72C39"/>
    <w:rsid w:val="56F73FDE"/>
    <w:rsid w:val="56F97FB5"/>
    <w:rsid w:val="56FB5FC3"/>
    <w:rsid w:val="56FC33A3"/>
    <w:rsid w:val="570220EA"/>
    <w:rsid w:val="57032983"/>
    <w:rsid w:val="570C5CDB"/>
    <w:rsid w:val="571F7091"/>
    <w:rsid w:val="5720451A"/>
    <w:rsid w:val="572052E3"/>
    <w:rsid w:val="57236B81"/>
    <w:rsid w:val="57266671"/>
    <w:rsid w:val="572C2443"/>
    <w:rsid w:val="572C4DDE"/>
    <w:rsid w:val="57307C8C"/>
    <w:rsid w:val="57342B3C"/>
    <w:rsid w:val="5737087F"/>
    <w:rsid w:val="57390153"/>
    <w:rsid w:val="573C5E95"/>
    <w:rsid w:val="573E1C0D"/>
    <w:rsid w:val="573E7E5F"/>
    <w:rsid w:val="5740094B"/>
    <w:rsid w:val="57482A8C"/>
    <w:rsid w:val="574F3E1A"/>
    <w:rsid w:val="5757267E"/>
    <w:rsid w:val="57596A47"/>
    <w:rsid w:val="575B27BF"/>
    <w:rsid w:val="575E22AF"/>
    <w:rsid w:val="57607DD5"/>
    <w:rsid w:val="57622855"/>
    <w:rsid w:val="57635426"/>
    <w:rsid w:val="57664CC0"/>
    <w:rsid w:val="577101E9"/>
    <w:rsid w:val="57715B3F"/>
    <w:rsid w:val="577216B2"/>
    <w:rsid w:val="57725C07"/>
    <w:rsid w:val="577B4C0F"/>
    <w:rsid w:val="577E025B"/>
    <w:rsid w:val="57805D82"/>
    <w:rsid w:val="57853398"/>
    <w:rsid w:val="578C139E"/>
    <w:rsid w:val="579104A4"/>
    <w:rsid w:val="57946598"/>
    <w:rsid w:val="57961A49"/>
    <w:rsid w:val="57970DA2"/>
    <w:rsid w:val="5798756F"/>
    <w:rsid w:val="579D6934"/>
    <w:rsid w:val="57A203EE"/>
    <w:rsid w:val="57A37CC2"/>
    <w:rsid w:val="57A655D0"/>
    <w:rsid w:val="57A852D8"/>
    <w:rsid w:val="57AA1D7A"/>
    <w:rsid w:val="57AF6667"/>
    <w:rsid w:val="57B36157"/>
    <w:rsid w:val="57BD6FD6"/>
    <w:rsid w:val="57BE1D80"/>
    <w:rsid w:val="57C33EC0"/>
    <w:rsid w:val="57CC0FC7"/>
    <w:rsid w:val="57D936E4"/>
    <w:rsid w:val="57E24C8E"/>
    <w:rsid w:val="57E63F62"/>
    <w:rsid w:val="57E75E01"/>
    <w:rsid w:val="57EB194A"/>
    <w:rsid w:val="57F4051E"/>
    <w:rsid w:val="57FA1FD8"/>
    <w:rsid w:val="57FB18AC"/>
    <w:rsid w:val="58035BF4"/>
    <w:rsid w:val="580469B3"/>
    <w:rsid w:val="580746F5"/>
    <w:rsid w:val="580C5FE9"/>
    <w:rsid w:val="580E5A83"/>
    <w:rsid w:val="580E7831"/>
    <w:rsid w:val="580F7106"/>
    <w:rsid w:val="581035A9"/>
    <w:rsid w:val="58164938"/>
    <w:rsid w:val="5818420C"/>
    <w:rsid w:val="581D7602"/>
    <w:rsid w:val="582157B7"/>
    <w:rsid w:val="582A3F3F"/>
    <w:rsid w:val="582E15F3"/>
    <w:rsid w:val="582F67AF"/>
    <w:rsid w:val="583354EA"/>
    <w:rsid w:val="58370D10"/>
    <w:rsid w:val="5838665C"/>
    <w:rsid w:val="583B0BAE"/>
    <w:rsid w:val="583C439E"/>
    <w:rsid w:val="58414090"/>
    <w:rsid w:val="584414A5"/>
    <w:rsid w:val="58485CFD"/>
    <w:rsid w:val="584E40D2"/>
    <w:rsid w:val="584E5E80"/>
    <w:rsid w:val="585711D8"/>
    <w:rsid w:val="585B059D"/>
    <w:rsid w:val="586159E8"/>
    <w:rsid w:val="586438F5"/>
    <w:rsid w:val="586C6A02"/>
    <w:rsid w:val="586E6522"/>
    <w:rsid w:val="586F0C14"/>
    <w:rsid w:val="58767185"/>
    <w:rsid w:val="587A0A23"/>
    <w:rsid w:val="58810003"/>
    <w:rsid w:val="588673C8"/>
    <w:rsid w:val="58871392"/>
    <w:rsid w:val="58874B26"/>
    <w:rsid w:val="58887039"/>
    <w:rsid w:val="588910E4"/>
    <w:rsid w:val="5889335C"/>
    <w:rsid w:val="588B2C30"/>
    <w:rsid w:val="588B4158"/>
    <w:rsid w:val="588C0756"/>
    <w:rsid w:val="58900246"/>
    <w:rsid w:val="58904BE2"/>
    <w:rsid w:val="58937D37"/>
    <w:rsid w:val="58975A79"/>
    <w:rsid w:val="58975E80"/>
    <w:rsid w:val="58977827"/>
    <w:rsid w:val="589870FB"/>
    <w:rsid w:val="589A2E73"/>
    <w:rsid w:val="589C19C7"/>
    <w:rsid w:val="58AE2DC2"/>
    <w:rsid w:val="58AE691E"/>
    <w:rsid w:val="58B71C77"/>
    <w:rsid w:val="58B959EF"/>
    <w:rsid w:val="58BA1767"/>
    <w:rsid w:val="58BE1257"/>
    <w:rsid w:val="58BF7467"/>
    <w:rsid w:val="58C219AE"/>
    <w:rsid w:val="58C3061C"/>
    <w:rsid w:val="58CD149A"/>
    <w:rsid w:val="58D00F8B"/>
    <w:rsid w:val="58D26AB1"/>
    <w:rsid w:val="58D97E3F"/>
    <w:rsid w:val="58DC16DE"/>
    <w:rsid w:val="58DD0FB2"/>
    <w:rsid w:val="58DE5F0B"/>
    <w:rsid w:val="58DF4D2A"/>
    <w:rsid w:val="58E07AA6"/>
    <w:rsid w:val="58E14F46"/>
    <w:rsid w:val="58E467E4"/>
    <w:rsid w:val="58E80082"/>
    <w:rsid w:val="58E829A7"/>
    <w:rsid w:val="58E93DFA"/>
    <w:rsid w:val="58F00CE5"/>
    <w:rsid w:val="58F033DB"/>
    <w:rsid w:val="58F307D5"/>
    <w:rsid w:val="58F44C79"/>
    <w:rsid w:val="58F92290"/>
    <w:rsid w:val="58FD3402"/>
    <w:rsid w:val="58FD6109"/>
    <w:rsid w:val="58FE1654"/>
    <w:rsid w:val="58FE78A6"/>
    <w:rsid w:val="59017396"/>
    <w:rsid w:val="59034EBC"/>
    <w:rsid w:val="590429E2"/>
    <w:rsid w:val="59050C34"/>
    <w:rsid w:val="59060509"/>
    <w:rsid w:val="590649AC"/>
    <w:rsid w:val="5909450C"/>
    <w:rsid w:val="590B057A"/>
    <w:rsid w:val="590B1FC3"/>
    <w:rsid w:val="590D7AE9"/>
    <w:rsid w:val="59142684"/>
    <w:rsid w:val="591D1B7F"/>
    <w:rsid w:val="59290FC9"/>
    <w:rsid w:val="592D1C92"/>
    <w:rsid w:val="592E5DFC"/>
    <w:rsid w:val="59305EB9"/>
    <w:rsid w:val="59367040"/>
    <w:rsid w:val="593E4146"/>
    <w:rsid w:val="593E5EF4"/>
    <w:rsid w:val="593E68A5"/>
    <w:rsid w:val="594352B9"/>
    <w:rsid w:val="59462FFB"/>
    <w:rsid w:val="59466C53"/>
    <w:rsid w:val="59480B21"/>
    <w:rsid w:val="594828CF"/>
    <w:rsid w:val="594A2AEB"/>
    <w:rsid w:val="594B23BF"/>
    <w:rsid w:val="594B37F1"/>
    <w:rsid w:val="594C6863"/>
    <w:rsid w:val="594D1384"/>
    <w:rsid w:val="59511195"/>
    <w:rsid w:val="595219A0"/>
    <w:rsid w:val="5952374E"/>
    <w:rsid w:val="59575208"/>
    <w:rsid w:val="59583D16"/>
    <w:rsid w:val="595C637A"/>
    <w:rsid w:val="59604AB5"/>
    <w:rsid w:val="59657925"/>
    <w:rsid w:val="59685DD0"/>
    <w:rsid w:val="596F2512"/>
    <w:rsid w:val="597D18F3"/>
    <w:rsid w:val="597D23DC"/>
    <w:rsid w:val="59814033"/>
    <w:rsid w:val="59822285"/>
    <w:rsid w:val="598752B6"/>
    <w:rsid w:val="598A113A"/>
    <w:rsid w:val="598B6C60"/>
    <w:rsid w:val="598F49A2"/>
    <w:rsid w:val="59934492"/>
    <w:rsid w:val="59965D30"/>
    <w:rsid w:val="599E0C2C"/>
    <w:rsid w:val="599F0FC0"/>
    <w:rsid w:val="59A10938"/>
    <w:rsid w:val="59A42ED5"/>
    <w:rsid w:val="59A57D21"/>
    <w:rsid w:val="59A7485D"/>
    <w:rsid w:val="59A87812"/>
    <w:rsid w:val="59AA1D2E"/>
    <w:rsid w:val="59AD4E28"/>
    <w:rsid w:val="59B91A1F"/>
    <w:rsid w:val="59BA053E"/>
    <w:rsid w:val="59BB12F3"/>
    <w:rsid w:val="59BD06F7"/>
    <w:rsid w:val="59BD150F"/>
    <w:rsid w:val="59BE7035"/>
    <w:rsid w:val="59C02DAD"/>
    <w:rsid w:val="59C26B25"/>
    <w:rsid w:val="59C4289D"/>
    <w:rsid w:val="59CF4D9E"/>
    <w:rsid w:val="59D6649D"/>
    <w:rsid w:val="59D95C1D"/>
    <w:rsid w:val="59DE3233"/>
    <w:rsid w:val="59DE4FE1"/>
    <w:rsid w:val="59E36A9C"/>
    <w:rsid w:val="59E52814"/>
    <w:rsid w:val="59E91410"/>
    <w:rsid w:val="59F14D15"/>
    <w:rsid w:val="59F710B2"/>
    <w:rsid w:val="59F842F5"/>
    <w:rsid w:val="59F91E1B"/>
    <w:rsid w:val="5A040EEC"/>
    <w:rsid w:val="5A04713E"/>
    <w:rsid w:val="5A056A12"/>
    <w:rsid w:val="5A094754"/>
    <w:rsid w:val="5A0A4028"/>
    <w:rsid w:val="5A0A5DD6"/>
    <w:rsid w:val="5A0B73C6"/>
    <w:rsid w:val="5A0E4489"/>
    <w:rsid w:val="5A113609"/>
    <w:rsid w:val="5A161C2A"/>
    <w:rsid w:val="5A1629CD"/>
    <w:rsid w:val="5A184997"/>
    <w:rsid w:val="5A190546"/>
    <w:rsid w:val="5A272E2C"/>
    <w:rsid w:val="5A2A0227"/>
    <w:rsid w:val="5A2E7D17"/>
    <w:rsid w:val="5A33532D"/>
    <w:rsid w:val="5A355778"/>
    <w:rsid w:val="5A35722E"/>
    <w:rsid w:val="5A3572F7"/>
    <w:rsid w:val="5A3612C1"/>
    <w:rsid w:val="5A3966BC"/>
    <w:rsid w:val="5A3B7709"/>
    <w:rsid w:val="5A3F78CF"/>
    <w:rsid w:val="5A405C9C"/>
    <w:rsid w:val="5A432A94"/>
    <w:rsid w:val="5A433FFC"/>
    <w:rsid w:val="5A44578C"/>
    <w:rsid w:val="5A4B36A6"/>
    <w:rsid w:val="5A5534F6"/>
    <w:rsid w:val="5A5A6D5E"/>
    <w:rsid w:val="5A5D684E"/>
    <w:rsid w:val="5A6279C1"/>
    <w:rsid w:val="5A643739"/>
    <w:rsid w:val="5A647BDD"/>
    <w:rsid w:val="5A685774"/>
    <w:rsid w:val="5A6A5DFC"/>
    <w:rsid w:val="5A737E20"/>
    <w:rsid w:val="5A7871E4"/>
    <w:rsid w:val="5A7A7400"/>
    <w:rsid w:val="5A8262B5"/>
    <w:rsid w:val="5A84202D"/>
    <w:rsid w:val="5A8738CB"/>
    <w:rsid w:val="5A8C0EE1"/>
    <w:rsid w:val="5A902780"/>
    <w:rsid w:val="5A9304C2"/>
    <w:rsid w:val="5A9378D7"/>
    <w:rsid w:val="5A985AD8"/>
    <w:rsid w:val="5A9A1850"/>
    <w:rsid w:val="5A9A53AC"/>
    <w:rsid w:val="5AA12BDF"/>
    <w:rsid w:val="5AA4622B"/>
    <w:rsid w:val="5AA77AC9"/>
    <w:rsid w:val="5AA91A93"/>
    <w:rsid w:val="5ABA35FF"/>
    <w:rsid w:val="5ABC3575"/>
    <w:rsid w:val="5ABD616D"/>
    <w:rsid w:val="5ABF4E13"/>
    <w:rsid w:val="5AC02939"/>
    <w:rsid w:val="5AC10B8B"/>
    <w:rsid w:val="5AC16DDD"/>
    <w:rsid w:val="5AC62645"/>
    <w:rsid w:val="5ACB7C5C"/>
    <w:rsid w:val="5AD07020"/>
    <w:rsid w:val="5AD20FEA"/>
    <w:rsid w:val="5AD563E4"/>
    <w:rsid w:val="5AD65DED"/>
    <w:rsid w:val="5AD85A9C"/>
    <w:rsid w:val="5ADD5DE2"/>
    <w:rsid w:val="5AE1122D"/>
    <w:rsid w:val="5AE26D53"/>
    <w:rsid w:val="5AE76118"/>
    <w:rsid w:val="5AE96334"/>
    <w:rsid w:val="5AEB3E5A"/>
    <w:rsid w:val="5AF269CE"/>
    <w:rsid w:val="5AF820D3"/>
    <w:rsid w:val="5AFC7E15"/>
    <w:rsid w:val="5AFD5152"/>
    <w:rsid w:val="5AFF3461"/>
    <w:rsid w:val="5B016B09"/>
    <w:rsid w:val="5B04316E"/>
    <w:rsid w:val="5B044F1C"/>
    <w:rsid w:val="5B062A42"/>
    <w:rsid w:val="5B0647F0"/>
    <w:rsid w:val="5B072D06"/>
    <w:rsid w:val="5B0B168C"/>
    <w:rsid w:val="5B0D2022"/>
    <w:rsid w:val="5B0E60D7"/>
    <w:rsid w:val="5B0F5D9A"/>
    <w:rsid w:val="5B127639"/>
    <w:rsid w:val="5B136F0D"/>
    <w:rsid w:val="5B152C85"/>
    <w:rsid w:val="5B1B1E1C"/>
    <w:rsid w:val="5B1E422F"/>
    <w:rsid w:val="5B1F079D"/>
    <w:rsid w:val="5B2B42E2"/>
    <w:rsid w:val="5B2B499B"/>
    <w:rsid w:val="5B2E3617"/>
    <w:rsid w:val="5B336962"/>
    <w:rsid w:val="5B370E4D"/>
    <w:rsid w:val="5B4041A6"/>
    <w:rsid w:val="5B413A7A"/>
    <w:rsid w:val="5B4672E2"/>
    <w:rsid w:val="5B490B80"/>
    <w:rsid w:val="5B4A6DD2"/>
    <w:rsid w:val="5B4D241F"/>
    <w:rsid w:val="5B4D3A3B"/>
    <w:rsid w:val="5B4E356A"/>
    <w:rsid w:val="5B5A4B3C"/>
    <w:rsid w:val="5B61411C"/>
    <w:rsid w:val="5B6219E0"/>
    <w:rsid w:val="5B622E70"/>
    <w:rsid w:val="5B6339F0"/>
    <w:rsid w:val="5B635D44"/>
    <w:rsid w:val="5B653FA7"/>
    <w:rsid w:val="5B672C81"/>
    <w:rsid w:val="5B6B6D49"/>
    <w:rsid w:val="5B721E85"/>
    <w:rsid w:val="5B7701B2"/>
    <w:rsid w:val="5B7C0F56"/>
    <w:rsid w:val="5B7E6A7C"/>
    <w:rsid w:val="5B833EF7"/>
    <w:rsid w:val="5B863B83"/>
    <w:rsid w:val="5B8E4F44"/>
    <w:rsid w:val="5B90055D"/>
    <w:rsid w:val="5B922527"/>
    <w:rsid w:val="5B924F7D"/>
    <w:rsid w:val="5B94144C"/>
    <w:rsid w:val="5B972C36"/>
    <w:rsid w:val="5B9731F0"/>
    <w:rsid w:val="5B9B7CC7"/>
    <w:rsid w:val="5BA02E96"/>
    <w:rsid w:val="5BA30228"/>
    <w:rsid w:val="5BA30291"/>
    <w:rsid w:val="5BA504AD"/>
    <w:rsid w:val="5BA67D81"/>
    <w:rsid w:val="5BAA0022"/>
    <w:rsid w:val="5BB46942"/>
    <w:rsid w:val="5BB60E5B"/>
    <w:rsid w:val="5BB64468"/>
    <w:rsid w:val="5BB67B93"/>
    <w:rsid w:val="5BB71F8E"/>
    <w:rsid w:val="5BBA6400"/>
    <w:rsid w:val="5BC36B85"/>
    <w:rsid w:val="5BC528FD"/>
    <w:rsid w:val="5BC56459"/>
    <w:rsid w:val="5BC76675"/>
    <w:rsid w:val="5BC8419B"/>
    <w:rsid w:val="5BCA3A6F"/>
    <w:rsid w:val="5BCB77E7"/>
    <w:rsid w:val="5BCE2C90"/>
    <w:rsid w:val="5BD4669C"/>
    <w:rsid w:val="5BD60666"/>
    <w:rsid w:val="5BD82630"/>
    <w:rsid w:val="5BDB5C7C"/>
    <w:rsid w:val="5BDB7A2A"/>
    <w:rsid w:val="5BDE576D"/>
    <w:rsid w:val="5BDE751B"/>
    <w:rsid w:val="5BE360E5"/>
    <w:rsid w:val="5BEA3F28"/>
    <w:rsid w:val="5BEC7E8A"/>
    <w:rsid w:val="5BED3C02"/>
    <w:rsid w:val="5BED59B0"/>
    <w:rsid w:val="5BF03F89"/>
    <w:rsid w:val="5BF22FC6"/>
    <w:rsid w:val="5BF62AB6"/>
    <w:rsid w:val="5BFB136A"/>
    <w:rsid w:val="5BFB1E7B"/>
    <w:rsid w:val="5C0C58DA"/>
    <w:rsid w:val="5C1271C4"/>
    <w:rsid w:val="5C1B251D"/>
    <w:rsid w:val="5C1C1864"/>
    <w:rsid w:val="5C245FF8"/>
    <w:rsid w:val="5C2515ED"/>
    <w:rsid w:val="5C2C297C"/>
    <w:rsid w:val="5C2D3FFE"/>
    <w:rsid w:val="5C2E60D1"/>
    <w:rsid w:val="5C2F5FC8"/>
    <w:rsid w:val="5C317F92"/>
    <w:rsid w:val="5C321615"/>
    <w:rsid w:val="5C337866"/>
    <w:rsid w:val="5C381321"/>
    <w:rsid w:val="5C3B496D"/>
    <w:rsid w:val="5C3E620B"/>
    <w:rsid w:val="5C3F445D"/>
    <w:rsid w:val="5C4B1054"/>
    <w:rsid w:val="5C5129B6"/>
    <w:rsid w:val="5C5679F9"/>
    <w:rsid w:val="5C58551F"/>
    <w:rsid w:val="5C5872CD"/>
    <w:rsid w:val="5C594DF3"/>
    <w:rsid w:val="5C5A1297"/>
    <w:rsid w:val="5C5B500F"/>
    <w:rsid w:val="5C5D48E3"/>
    <w:rsid w:val="5C5E02AA"/>
    <w:rsid w:val="5C621EFA"/>
    <w:rsid w:val="5C700ABB"/>
    <w:rsid w:val="5C701A68"/>
    <w:rsid w:val="5C7165E1"/>
    <w:rsid w:val="5C761E49"/>
    <w:rsid w:val="5C7A0BE1"/>
    <w:rsid w:val="5C7D4F86"/>
    <w:rsid w:val="5C7E485A"/>
    <w:rsid w:val="5C8005D2"/>
    <w:rsid w:val="5C86411D"/>
    <w:rsid w:val="5C871960"/>
    <w:rsid w:val="5C875E04"/>
    <w:rsid w:val="5C8A31FF"/>
    <w:rsid w:val="5C8E2189"/>
    <w:rsid w:val="5C906EEF"/>
    <w:rsid w:val="5C9522CF"/>
    <w:rsid w:val="5C981DBF"/>
    <w:rsid w:val="5C9C18B0"/>
    <w:rsid w:val="5C9D0E52"/>
    <w:rsid w:val="5C9D2F32"/>
    <w:rsid w:val="5C9D4113"/>
    <w:rsid w:val="5C9D73D6"/>
    <w:rsid w:val="5C9E4AFD"/>
    <w:rsid w:val="5CA02A22"/>
    <w:rsid w:val="5CA40764"/>
    <w:rsid w:val="5CA95D7B"/>
    <w:rsid w:val="5CAD1091"/>
    <w:rsid w:val="5CAF2C65"/>
    <w:rsid w:val="5CB07109"/>
    <w:rsid w:val="5CB564CD"/>
    <w:rsid w:val="5CBA7F88"/>
    <w:rsid w:val="5CBD1826"/>
    <w:rsid w:val="5CBF10FA"/>
    <w:rsid w:val="5CC44962"/>
    <w:rsid w:val="5CC71E5A"/>
    <w:rsid w:val="5CD01559"/>
    <w:rsid w:val="5CD5079F"/>
    <w:rsid w:val="5CD526CC"/>
    <w:rsid w:val="5CD728E8"/>
    <w:rsid w:val="5CD94CD3"/>
    <w:rsid w:val="5CDF179C"/>
    <w:rsid w:val="5CE13766"/>
    <w:rsid w:val="5CE943C9"/>
    <w:rsid w:val="5CEB6393"/>
    <w:rsid w:val="5CF1327E"/>
    <w:rsid w:val="5CF15EDF"/>
    <w:rsid w:val="5CF51FF8"/>
    <w:rsid w:val="5CFC1EF3"/>
    <w:rsid w:val="5D042FB1"/>
    <w:rsid w:val="5D086F45"/>
    <w:rsid w:val="5D0B2F19"/>
    <w:rsid w:val="5D0B433F"/>
    <w:rsid w:val="5D12731D"/>
    <w:rsid w:val="5D170F36"/>
    <w:rsid w:val="5D184CAE"/>
    <w:rsid w:val="5D1A27D4"/>
    <w:rsid w:val="5D1D4073"/>
    <w:rsid w:val="5D230B44"/>
    <w:rsid w:val="5D2378DB"/>
    <w:rsid w:val="5D267F6F"/>
    <w:rsid w:val="5D2B2C34"/>
    <w:rsid w:val="5D2B6790"/>
    <w:rsid w:val="5D2C42B6"/>
    <w:rsid w:val="5D347D3A"/>
    <w:rsid w:val="5D354D26"/>
    <w:rsid w:val="5D4133FD"/>
    <w:rsid w:val="5D443CF5"/>
    <w:rsid w:val="5D447851"/>
    <w:rsid w:val="5D4B0BE0"/>
    <w:rsid w:val="5D50269A"/>
    <w:rsid w:val="5D504448"/>
    <w:rsid w:val="5D507BD4"/>
    <w:rsid w:val="5D5201C0"/>
    <w:rsid w:val="5D521BF6"/>
    <w:rsid w:val="5D5850AB"/>
    <w:rsid w:val="5D5A52C7"/>
    <w:rsid w:val="5D5C1E17"/>
    <w:rsid w:val="5D5E2925"/>
    <w:rsid w:val="5D616655"/>
    <w:rsid w:val="5D656145"/>
    <w:rsid w:val="5D663810"/>
    <w:rsid w:val="5D665A1A"/>
    <w:rsid w:val="5D6A4CFF"/>
    <w:rsid w:val="5D706898"/>
    <w:rsid w:val="5D777921"/>
    <w:rsid w:val="5D7874FB"/>
    <w:rsid w:val="5D7C348F"/>
    <w:rsid w:val="5D7F339F"/>
    <w:rsid w:val="5D845EA0"/>
    <w:rsid w:val="5D852344"/>
    <w:rsid w:val="5D885990"/>
    <w:rsid w:val="5D964551"/>
    <w:rsid w:val="5D9E3405"/>
    <w:rsid w:val="5DA14CA4"/>
    <w:rsid w:val="5DA327CA"/>
    <w:rsid w:val="5DA364B1"/>
    <w:rsid w:val="5DA402F0"/>
    <w:rsid w:val="5DA87473"/>
    <w:rsid w:val="5DAA3B58"/>
    <w:rsid w:val="5DB6074F"/>
    <w:rsid w:val="5DBC43AE"/>
    <w:rsid w:val="5DC0337C"/>
    <w:rsid w:val="5DC15346"/>
    <w:rsid w:val="5DC170F4"/>
    <w:rsid w:val="5DC310BE"/>
    <w:rsid w:val="5DC80482"/>
    <w:rsid w:val="5DC95BDF"/>
    <w:rsid w:val="5DCC1F1C"/>
    <w:rsid w:val="5DD07337"/>
    <w:rsid w:val="5DD24E5D"/>
    <w:rsid w:val="5DD30137"/>
    <w:rsid w:val="5DD76917"/>
    <w:rsid w:val="5DE132F2"/>
    <w:rsid w:val="5DF179D9"/>
    <w:rsid w:val="5DF3345A"/>
    <w:rsid w:val="5DF41277"/>
    <w:rsid w:val="5DFB1C8A"/>
    <w:rsid w:val="5DFB2606"/>
    <w:rsid w:val="5DFB43B4"/>
    <w:rsid w:val="5DFC012C"/>
    <w:rsid w:val="5E08087F"/>
    <w:rsid w:val="5E087174"/>
    <w:rsid w:val="5E176D14"/>
    <w:rsid w:val="5E1D4C3B"/>
    <w:rsid w:val="5E1D5979"/>
    <w:rsid w:val="5E24654F"/>
    <w:rsid w:val="5E27164D"/>
    <w:rsid w:val="5E282CCF"/>
    <w:rsid w:val="5E3478C6"/>
    <w:rsid w:val="5E367222"/>
    <w:rsid w:val="5E3D2C1E"/>
    <w:rsid w:val="5E3E6996"/>
    <w:rsid w:val="5E40626B"/>
    <w:rsid w:val="5E413D91"/>
    <w:rsid w:val="5E4424AC"/>
    <w:rsid w:val="5E4C4C10"/>
    <w:rsid w:val="5E4D0988"/>
    <w:rsid w:val="5E4E4E2C"/>
    <w:rsid w:val="5E5166CA"/>
    <w:rsid w:val="5E54429A"/>
    <w:rsid w:val="5E587A58"/>
    <w:rsid w:val="5E602469"/>
    <w:rsid w:val="5E604B5F"/>
    <w:rsid w:val="5E604EE4"/>
    <w:rsid w:val="5E60690D"/>
    <w:rsid w:val="5E62188B"/>
    <w:rsid w:val="5E624433"/>
    <w:rsid w:val="5E6957C1"/>
    <w:rsid w:val="5E6C3504"/>
    <w:rsid w:val="5E727476"/>
    <w:rsid w:val="5E7B3747"/>
    <w:rsid w:val="5E7D301B"/>
    <w:rsid w:val="5E800D5D"/>
    <w:rsid w:val="5EA52305"/>
    <w:rsid w:val="5EA54320"/>
    <w:rsid w:val="5EA610D8"/>
    <w:rsid w:val="5EA7174A"/>
    <w:rsid w:val="5EAA7B88"/>
    <w:rsid w:val="5EAB402C"/>
    <w:rsid w:val="5EAE58CA"/>
    <w:rsid w:val="5EAE6EA2"/>
    <w:rsid w:val="5EB01642"/>
    <w:rsid w:val="5EB366A7"/>
    <w:rsid w:val="5EB84053"/>
    <w:rsid w:val="5EB87A15"/>
    <w:rsid w:val="5EBA601D"/>
    <w:rsid w:val="5EBC44DB"/>
    <w:rsid w:val="5EBD14BA"/>
    <w:rsid w:val="5EC023C8"/>
    <w:rsid w:val="5EC24ED2"/>
    <w:rsid w:val="5EC31BE2"/>
    <w:rsid w:val="5EC450EE"/>
    <w:rsid w:val="5EC86D90"/>
    <w:rsid w:val="5ECC7AFE"/>
    <w:rsid w:val="5ED03A93"/>
    <w:rsid w:val="5ED23BFF"/>
    <w:rsid w:val="5EDA046D"/>
    <w:rsid w:val="5EE03675"/>
    <w:rsid w:val="5EE4309A"/>
    <w:rsid w:val="5EE906B0"/>
    <w:rsid w:val="5EEC1F4F"/>
    <w:rsid w:val="5EF3152F"/>
    <w:rsid w:val="5EF326B9"/>
    <w:rsid w:val="5EF332DD"/>
    <w:rsid w:val="5EF37781"/>
    <w:rsid w:val="5EF64B7B"/>
    <w:rsid w:val="5EF71BAD"/>
    <w:rsid w:val="5EFD415C"/>
    <w:rsid w:val="5F011E9E"/>
    <w:rsid w:val="5F11296C"/>
    <w:rsid w:val="5F13572D"/>
    <w:rsid w:val="5F166FCB"/>
    <w:rsid w:val="5F182D44"/>
    <w:rsid w:val="5F2466BD"/>
    <w:rsid w:val="5F2648FE"/>
    <w:rsid w:val="5F2B6F1B"/>
    <w:rsid w:val="5F304531"/>
    <w:rsid w:val="5F3062DF"/>
    <w:rsid w:val="5F335DCF"/>
    <w:rsid w:val="5F3758C0"/>
    <w:rsid w:val="5F39195F"/>
    <w:rsid w:val="5F3D26C2"/>
    <w:rsid w:val="5F3F29C6"/>
    <w:rsid w:val="5F426012"/>
    <w:rsid w:val="5F427DC1"/>
    <w:rsid w:val="5F4678B1"/>
    <w:rsid w:val="5F4E4CC2"/>
    <w:rsid w:val="5F531FCE"/>
    <w:rsid w:val="5F5571FC"/>
    <w:rsid w:val="5F5875E4"/>
    <w:rsid w:val="5F5A335C"/>
    <w:rsid w:val="5F5A521E"/>
    <w:rsid w:val="5F5A7800"/>
    <w:rsid w:val="5F630463"/>
    <w:rsid w:val="5F661D01"/>
    <w:rsid w:val="5F6917F1"/>
    <w:rsid w:val="5F7446AE"/>
    <w:rsid w:val="5F795ED8"/>
    <w:rsid w:val="5F7C32D2"/>
    <w:rsid w:val="5F7D6C03"/>
    <w:rsid w:val="5F7F1015"/>
    <w:rsid w:val="5F816B3B"/>
    <w:rsid w:val="5F830B05"/>
    <w:rsid w:val="5F851873"/>
    <w:rsid w:val="5F881C77"/>
    <w:rsid w:val="5F883D16"/>
    <w:rsid w:val="5F887EC9"/>
    <w:rsid w:val="5F8A052F"/>
    <w:rsid w:val="5F8A1E93"/>
    <w:rsid w:val="5F93061C"/>
    <w:rsid w:val="5F950965"/>
    <w:rsid w:val="5F993E84"/>
    <w:rsid w:val="5F9A19AB"/>
    <w:rsid w:val="5F9E593F"/>
    <w:rsid w:val="5FA10F8B"/>
    <w:rsid w:val="5FA32F55"/>
    <w:rsid w:val="5FA41DAE"/>
    <w:rsid w:val="5FA4497F"/>
    <w:rsid w:val="5FA665A1"/>
    <w:rsid w:val="5FA754D1"/>
    <w:rsid w:val="5FC921B9"/>
    <w:rsid w:val="5FD0361E"/>
    <w:rsid w:val="5FD17AC2"/>
    <w:rsid w:val="5FD50C35"/>
    <w:rsid w:val="5FD96977"/>
    <w:rsid w:val="5FDB26EF"/>
    <w:rsid w:val="5FE175D9"/>
    <w:rsid w:val="5FE322E8"/>
    <w:rsid w:val="5FE52B0E"/>
    <w:rsid w:val="5FE80968"/>
    <w:rsid w:val="5FEB2206"/>
    <w:rsid w:val="5FEF1CF6"/>
    <w:rsid w:val="5FF46D36"/>
    <w:rsid w:val="5FF612D7"/>
    <w:rsid w:val="5FFA5018"/>
    <w:rsid w:val="60002155"/>
    <w:rsid w:val="6008725C"/>
    <w:rsid w:val="600B4546"/>
    <w:rsid w:val="60106D27"/>
    <w:rsid w:val="60193217"/>
    <w:rsid w:val="601C4AB5"/>
    <w:rsid w:val="60200102"/>
    <w:rsid w:val="60255718"/>
    <w:rsid w:val="602D2580"/>
    <w:rsid w:val="60326087"/>
    <w:rsid w:val="60342A38"/>
    <w:rsid w:val="603911C4"/>
    <w:rsid w:val="60395667"/>
    <w:rsid w:val="603B1287"/>
    <w:rsid w:val="603B13E0"/>
    <w:rsid w:val="60455DBA"/>
    <w:rsid w:val="60457B68"/>
    <w:rsid w:val="604E1113"/>
    <w:rsid w:val="60501FDB"/>
    <w:rsid w:val="60593614"/>
    <w:rsid w:val="605D1356"/>
    <w:rsid w:val="606049A2"/>
    <w:rsid w:val="6062112C"/>
    <w:rsid w:val="6065020A"/>
    <w:rsid w:val="60675D31"/>
    <w:rsid w:val="606A3A73"/>
    <w:rsid w:val="606C3347"/>
    <w:rsid w:val="606F1089"/>
    <w:rsid w:val="6071095D"/>
    <w:rsid w:val="607448F1"/>
    <w:rsid w:val="607641C6"/>
    <w:rsid w:val="60786190"/>
    <w:rsid w:val="60803296"/>
    <w:rsid w:val="608416F8"/>
    <w:rsid w:val="609603C4"/>
    <w:rsid w:val="60966616"/>
    <w:rsid w:val="609D5BF6"/>
    <w:rsid w:val="60A75DA3"/>
    <w:rsid w:val="60AC0D1D"/>
    <w:rsid w:val="60AC5E39"/>
    <w:rsid w:val="60AE7E03"/>
    <w:rsid w:val="60AF1486"/>
    <w:rsid w:val="60B3541A"/>
    <w:rsid w:val="60B91957"/>
    <w:rsid w:val="60BB607C"/>
    <w:rsid w:val="60BD0047"/>
    <w:rsid w:val="60BD7858"/>
    <w:rsid w:val="60C70EC5"/>
    <w:rsid w:val="60C72C73"/>
    <w:rsid w:val="60CA1CF9"/>
    <w:rsid w:val="60CA62C0"/>
    <w:rsid w:val="60CD3799"/>
    <w:rsid w:val="60CE7B5E"/>
    <w:rsid w:val="60D3786A"/>
    <w:rsid w:val="60D57568"/>
    <w:rsid w:val="60DE78FB"/>
    <w:rsid w:val="60E76E71"/>
    <w:rsid w:val="60EC092C"/>
    <w:rsid w:val="60EF4EF9"/>
    <w:rsid w:val="60F63558"/>
    <w:rsid w:val="60F65306"/>
    <w:rsid w:val="60FB291D"/>
    <w:rsid w:val="61001CE1"/>
    <w:rsid w:val="61027A15"/>
    <w:rsid w:val="610417D1"/>
    <w:rsid w:val="6105554A"/>
    <w:rsid w:val="61072062"/>
    <w:rsid w:val="610C68D8"/>
    <w:rsid w:val="610E0E65"/>
    <w:rsid w:val="610E7EC5"/>
    <w:rsid w:val="61112140"/>
    <w:rsid w:val="61226487"/>
    <w:rsid w:val="61291238"/>
    <w:rsid w:val="61296F3B"/>
    <w:rsid w:val="612A42BE"/>
    <w:rsid w:val="612E2CE9"/>
    <w:rsid w:val="613010DB"/>
    <w:rsid w:val="6131633F"/>
    <w:rsid w:val="613227E3"/>
    <w:rsid w:val="613C2115"/>
    <w:rsid w:val="61433594"/>
    <w:rsid w:val="61441077"/>
    <w:rsid w:val="614726C5"/>
    <w:rsid w:val="61497B2C"/>
    <w:rsid w:val="61581B1D"/>
    <w:rsid w:val="615C160D"/>
    <w:rsid w:val="615D7134"/>
    <w:rsid w:val="6166423A"/>
    <w:rsid w:val="61686204"/>
    <w:rsid w:val="616B7AA3"/>
    <w:rsid w:val="6170330B"/>
    <w:rsid w:val="61721CA7"/>
    <w:rsid w:val="61796CB2"/>
    <w:rsid w:val="617C1CB0"/>
    <w:rsid w:val="617D1584"/>
    <w:rsid w:val="617F354E"/>
    <w:rsid w:val="617F70AA"/>
    <w:rsid w:val="61837E79"/>
    <w:rsid w:val="61840B64"/>
    <w:rsid w:val="618446C0"/>
    <w:rsid w:val="618D7A19"/>
    <w:rsid w:val="61907509"/>
    <w:rsid w:val="6192502F"/>
    <w:rsid w:val="61926DDD"/>
    <w:rsid w:val="61946FF9"/>
    <w:rsid w:val="619F22FA"/>
    <w:rsid w:val="619F774C"/>
    <w:rsid w:val="61A11716"/>
    <w:rsid w:val="61A46B11"/>
    <w:rsid w:val="61A954E6"/>
    <w:rsid w:val="61AF5561"/>
    <w:rsid w:val="61B31956"/>
    <w:rsid w:val="61B3456D"/>
    <w:rsid w:val="61BA6334"/>
    <w:rsid w:val="61BC3E5A"/>
    <w:rsid w:val="61C6117D"/>
    <w:rsid w:val="61C62F2B"/>
    <w:rsid w:val="61CB7520"/>
    <w:rsid w:val="61D27B22"/>
    <w:rsid w:val="61D91182"/>
    <w:rsid w:val="61E11B13"/>
    <w:rsid w:val="61E22AA6"/>
    <w:rsid w:val="61E67129"/>
    <w:rsid w:val="61F01D56"/>
    <w:rsid w:val="61F77588"/>
    <w:rsid w:val="61F822FC"/>
    <w:rsid w:val="61F96E5C"/>
    <w:rsid w:val="61FE4473"/>
    <w:rsid w:val="6208709F"/>
    <w:rsid w:val="620F042E"/>
    <w:rsid w:val="620F1AC2"/>
    <w:rsid w:val="6211064A"/>
    <w:rsid w:val="621517BC"/>
    <w:rsid w:val="621974FF"/>
    <w:rsid w:val="621E68C3"/>
    <w:rsid w:val="6220088D"/>
    <w:rsid w:val="622009C7"/>
    <w:rsid w:val="62207F37"/>
    <w:rsid w:val="622C27FA"/>
    <w:rsid w:val="622C5484"/>
    <w:rsid w:val="622D4450"/>
    <w:rsid w:val="6230714F"/>
    <w:rsid w:val="62314848"/>
    <w:rsid w:val="623B56C7"/>
    <w:rsid w:val="623C143F"/>
    <w:rsid w:val="623E2002"/>
    <w:rsid w:val="623E2A65"/>
    <w:rsid w:val="623E6F65"/>
    <w:rsid w:val="624200F8"/>
    <w:rsid w:val="624502F4"/>
    <w:rsid w:val="624D1B19"/>
    <w:rsid w:val="624D53FA"/>
    <w:rsid w:val="625D4F42"/>
    <w:rsid w:val="625E13B5"/>
    <w:rsid w:val="62606EDB"/>
    <w:rsid w:val="62633615"/>
    <w:rsid w:val="62634C1E"/>
    <w:rsid w:val="626769E8"/>
    <w:rsid w:val="626B762E"/>
    <w:rsid w:val="626D33A6"/>
    <w:rsid w:val="62712E97"/>
    <w:rsid w:val="627209BD"/>
    <w:rsid w:val="62764A6F"/>
    <w:rsid w:val="627C05B0"/>
    <w:rsid w:val="628030DA"/>
    <w:rsid w:val="62864468"/>
    <w:rsid w:val="628801E0"/>
    <w:rsid w:val="62886432"/>
    <w:rsid w:val="628D57F7"/>
    <w:rsid w:val="6292105F"/>
    <w:rsid w:val="62A30E36"/>
    <w:rsid w:val="62A420D5"/>
    <w:rsid w:val="62AE40EB"/>
    <w:rsid w:val="62B00F28"/>
    <w:rsid w:val="62B735F4"/>
    <w:rsid w:val="62C70D09"/>
    <w:rsid w:val="62CA07F9"/>
    <w:rsid w:val="62CA6A4B"/>
    <w:rsid w:val="62CC27C3"/>
    <w:rsid w:val="62CC631F"/>
    <w:rsid w:val="62CD2097"/>
    <w:rsid w:val="62CF1D8D"/>
    <w:rsid w:val="62D0059F"/>
    <w:rsid w:val="62D653F0"/>
    <w:rsid w:val="62D96C8E"/>
    <w:rsid w:val="62DD052C"/>
    <w:rsid w:val="62E01DCA"/>
    <w:rsid w:val="62E029FB"/>
    <w:rsid w:val="62E315E0"/>
    <w:rsid w:val="62E775FD"/>
    <w:rsid w:val="62F12229"/>
    <w:rsid w:val="62F15D85"/>
    <w:rsid w:val="62F7638E"/>
    <w:rsid w:val="62F835B8"/>
    <w:rsid w:val="62FA1A25"/>
    <w:rsid w:val="62FA7330"/>
    <w:rsid w:val="62FB6C04"/>
    <w:rsid w:val="62FD41E2"/>
    <w:rsid w:val="62FD472A"/>
    <w:rsid w:val="62FD7F44"/>
    <w:rsid w:val="6300246C"/>
    <w:rsid w:val="6300421A"/>
    <w:rsid w:val="630A6E47"/>
    <w:rsid w:val="631101D6"/>
    <w:rsid w:val="6311467A"/>
    <w:rsid w:val="63121E31"/>
    <w:rsid w:val="63141A74"/>
    <w:rsid w:val="63147CC6"/>
    <w:rsid w:val="63163A3E"/>
    <w:rsid w:val="631D4DCC"/>
    <w:rsid w:val="632A3167"/>
    <w:rsid w:val="632C3261"/>
    <w:rsid w:val="632F68AE"/>
    <w:rsid w:val="633A3BD0"/>
    <w:rsid w:val="633F11E7"/>
    <w:rsid w:val="63400ABB"/>
    <w:rsid w:val="6340588E"/>
    <w:rsid w:val="634405AB"/>
    <w:rsid w:val="63442359"/>
    <w:rsid w:val="634560D1"/>
    <w:rsid w:val="63461D9F"/>
    <w:rsid w:val="6347009B"/>
    <w:rsid w:val="634736C9"/>
    <w:rsid w:val="634A36E8"/>
    <w:rsid w:val="634C2A2E"/>
    <w:rsid w:val="63514A76"/>
    <w:rsid w:val="63520F1A"/>
    <w:rsid w:val="635A2C28"/>
    <w:rsid w:val="635F0779"/>
    <w:rsid w:val="636135E9"/>
    <w:rsid w:val="63640C4D"/>
    <w:rsid w:val="636504FC"/>
    <w:rsid w:val="63691DC0"/>
    <w:rsid w:val="636B3D8A"/>
    <w:rsid w:val="636C18B0"/>
    <w:rsid w:val="636E382D"/>
    <w:rsid w:val="637013A0"/>
    <w:rsid w:val="63702430"/>
    <w:rsid w:val="63707F69"/>
    <w:rsid w:val="63784A9C"/>
    <w:rsid w:val="637D586B"/>
    <w:rsid w:val="637F15E3"/>
    <w:rsid w:val="637F5A87"/>
    <w:rsid w:val="6381535B"/>
    <w:rsid w:val="6383639C"/>
    <w:rsid w:val="63844E4C"/>
    <w:rsid w:val="63861A11"/>
    <w:rsid w:val="63872EA1"/>
    <w:rsid w:val="638B442C"/>
    <w:rsid w:val="638E01A3"/>
    <w:rsid w:val="639037F0"/>
    <w:rsid w:val="63906E6F"/>
    <w:rsid w:val="63941E6C"/>
    <w:rsid w:val="639A641D"/>
    <w:rsid w:val="639D7CBB"/>
    <w:rsid w:val="63A96660"/>
    <w:rsid w:val="63A972EB"/>
    <w:rsid w:val="63AB687C"/>
    <w:rsid w:val="63B05C41"/>
    <w:rsid w:val="63B33920"/>
    <w:rsid w:val="63B4281C"/>
    <w:rsid w:val="63B7451C"/>
    <w:rsid w:val="63B82D47"/>
    <w:rsid w:val="63BA261B"/>
    <w:rsid w:val="63BA6ABF"/>
    <w:rsid w:val="63BD7B4C"/>
    <w:rsid w:val="63BE7AE8"/>
    <w:rsid w:val="63BF5E84"/>
    <w:rsid w:val="63CC234F"/>
    <w:rsid w:val="63CE3457"/>
    <w:rsid w:val="63D062E3"/>
    <w:rsid w:val="63D862F0"/>
    <w:rsid w:val="63DC07E4"/>
    <w:rsid w:val="63E37DC4"/>
    <w:rsid w:val="63E458EA"/>
    <w:rsid w:val="63E853DA"/>
    <w:rsid w:val="63EA73A4"/>
    <w:rsid w:val="63F0428F"/>
    <w:rsid w:val="63F41FD1"/>
    <w:rsid w:val="63F43D7F"/>
    <w:rsid w:val="63F518A5"/>
    <w:rsid w:val="63F773CC"/>
    <w:rsid w:val="63FE15F1"/>
    <w:rsid w:val="64041AE8"/>
    <w:rsid w:val="64061766"/>
    <w:rsid w:val="640970FF"/>
    <w:rsid w:val="640D3093"/>
    <w:rsid w:val="640D6BEF"/>
    <w:rsid w:val="640F6E0B"/>
    <w:rsid w:val="641307EF"/>
    <w:rsid w:val="64151F48"/>
    <w:rsid w:val="64153CF6"/>
    <w:rsid w:val="64195594"/>
    <w:rsid w:val="641B1A28"/>
    <w:rsid w:val="642108EC"/>
    <w:rsid w:val="64234664"/>
    <w:rsid w:val="642503DD"/>
    <w:rsid w:val="6429154F"/>
    <w:rsid w:val="642D09F0"/>
    <w:rsid w:val="643A375C"/>
    <w:rsid w:val="643B19AE"/>
    <w:rsid w:val="643F0D73"/>
    <w:rsid w:val="64430E17"/>
    <w:rsid w:val="64432611"/>
    <w:rsid w:val="64460353"/>
    <w:rsid w:val="644753AB"/>
    <w:rsid w:val="644F7208"/>
    <w:rsid w:val="645206D0"/>
    <w:rsid w:val="64550596"/>
    <w:rsid w:val="64552344"/>
    <w:rsid w:val="64563599"/>
    <w:rsid w:val="645760BC"/>
    <w:rsid w:val="645B2050"/>
    <w:rsid w:val="64616F3B"/>
    <w:rsid w:val="646802C9"/>
    <w:rsid w:val="646D1D84"/>
    <w:rsid w:val="646E1E45"/>
    <w:rsid w:val="64721148"/>
    <w:rsid w:val="64722EF6"/>
    <w:rsid w:val="64740A1C"/>
    <w:rsid w:val="64746C6E"/>
    <w:rsid w:val="647C5B23"/>
    <w:rsid w:val="648275DD"/>
    <w:rsid w:val="64831E4A"/>
    <w:rsid w:val="648715CC"/>
    <w:rsid w:val="648844C8"/>
    <w:rsid w:val="648C220A"/>
    <w:rsid w:val="648D5F82"/>
    <w:rsid w:val="64986E00"/>
    <w:rsid w:val="64990483"/>
    <w:rsid w:val="64992B79"/>
    <w:rsid w:val="649B41FB"/>
    <w:rsid w:val="64A0476D"/>
    <w:rsid w:val="64A137DB"/>
    <w:rsid w:val="64A44A44"/>
    <w:rsid w:val="64A77044"/>
    <w:rsid w:val="64A85782"/>
    <w:rsid w:val="64A85F96"/>
    <w:rsid w:val="64B21544"/>
    <w:rsid w:val="64B90B25"/>
    <w:rsid w:val="64BD077B"/>
    <w:rsid w:val="64C0772E"/>
    <w:rsid w:val="64C179D9"/>
    <w:rsid w:val="64C230FE"/>
    <w:rsid w:val="64C319A4"/>
    <w:rsid w:val="64CF0348"/>
    <w:rsid w:val="64D22345"/>
    <w:rsid w:val="64D94D23"/>
    <w:rsid w:val="64DD0CB7"/>
    <w:rsid w:val="64E0081C"/>
    <w:rsid w:val="64E41E18"/>
    <w:rsid w:val="64EF2799"/>
    <w:rsid w:val="64F24FD2"/>
    <w:rsid w:val="64F32289"/>
    <w:rsid w:val="64F34037"/>
    <w:rsid w:val="64F46001"/>
    <w:rsid w:val="64F7034C"/>
    <w:rsid w:val="64F769C8"/>
    <w:rsid w:val="64F909E0"/>
    <w:rsid w:val="64F97173"/>
    <w:rsid w:val="64FE506A"/>
    <w:rsid w:val="6502071E"/>
    <w:rsid w:val="6502427A"/>
    <w:rsid w:val="650F4BE9"/>
    <w:rsid w:val="651915C4"/>
    <w:rsid w:val="651D2E62"/>
    <w:rsid w:val="6522491C"/>
    <w:rsid w:val="652D52D7"/>
    <w:rsid w:val="6530528B"/>
    <w:rsid w:val="65314B5F"/>
    <w:rsid w:val="65332685"/>
    <w:rsid w:val="6535464F"/>
    <w:rsid w:val="65374A9B"/>
    <w:rsid w:val="65401246"/>
    <w:rsid w:val="65424FBE"/>
    <w:rsid w:val="65444892"/>
    <w:rsid w:val="654C3747"/>
    <w:rsid w:val="65516FAF"/>
    <w:rsid w:val="65523757"/>
    <w:rsid w:val="65532D27"/>
    <w:rsid w:val="655344BA"/>
    <w:rsid w:val="65534AD5"/>
    <w:rsid w:val="6554084E"/>
    <w:rsid w:val="655A1434"/>
    <w:rsid w:val="655A7BD1"/>
    <w:rsid w:val="655B398A"/>
    <w:rsid w:val="65613696"/>
    <w:rsid w:val="65617BA8"/>
    <w:rsid w:val="65624D19"/>
    <w:rsid w:val="65720290"/>
    <w:rsid w:val="65732701"/>
    <w:rsid w:val="65752893"/>
    <w:rsid w:val="65774CF4"/>
    <w:rsid w:val="657A4758"/>
    <w:rsid w:val="657A6506"/>
    <w:rsid w:val="657B5DDA"/>
    <w:rsid w:val="65870C23"/>
    <w:rsid w:val="65872767"/>
    <w:rsid w:val="65876E75"/>
    <w:rsid w:val="658B24C1"/>
    <w:rsid w:val="659155FE"/>
    <w:rsid w:val="6593581A"/>
    <w:rsid w:val="65953340"/>
    <w:rsid w:val="65956E9C"/>
    <w:rsid w:val="65A2780B"/>
    <w:rsid w:val="65A45331"/>
    <w:rsid w:val="65A6554D"/>
    <w:rsid w:val="65A73073"/>
    <w:rsid w:val="65A92947"/>
    <w:rsid w:val="65AE7F5E"/>
    <w:rsid w:val="65B03CD6"/>
    <w:rsid w:val="65B31A18"/>
    <w:rsid w:val="65B35574"/>
    <w:rsid w:val="65B36835"/>
    <w:rsid w:val="65B36D7A"/>
    <w:rsid w:val="65B65064"/>
    <w:rsid w:val="65C14135"/>
    <w:rsid w:val="65C23A09"/>
    <w:rsid w:val="65C415C7"/>
    <w:rsid w:val="65C634F9"/>
    <w:rsid w:val="65CC6636"/>
    <w:rsid w:val="65D025CA"/>
    <w:rsid w:val="65D55283"/>
    <w:rsid w:val="65D8147F"/>
    <w:rsid w:val="65E16585"/>
    <w:rsid w:val="65EA50DA"/>
    <w:rsid w:val="65F067C8"/>
    <w:rsid w:val="65F31E15"/>
    <w:rsid w:val="65F55B8D"/>
    <w:rsid w:val="65FA13F5"/>
    <w:rsid w:val="65FA7647"/>
    <w:rsid w:val="65FD5207"/>
    <w:rsid w:val="66000D6B"/>
    <w:rsid w:val="66014531"/>
    <w:rsid w:val="66030906"/>
    <w:rsid w:val="660340BA"/>
    <w:rsid w:val="660404C6"/>
    <w:rsid w:val="6604282F"/>
    <w:rsid w:val="66047A56"/>
    <w:rsid w:val="66083B12"/>
    <w:rsid w:val="6609788A"/>
    <w:rsid w:val="661204ED"/>
    <w:rsid w:val="66124991"/>
    <w:rsid w:val="6612673F"/>
    <w:rsid w:val="6613137D"/>
    <w:rsid w:val="66134265"/>
    <w:rsid w:val="661E50E3"/>
    <w:rsid w:val="662326FA"/>
    <w:rsid w:val="66243EF0"/>
    <w:rsid w:val="6626043C"/>
    <w:rsid w:val="66291CDA"/>
    <w:rsid w:val="6629494D"/>
    <w:rsid w:val="662B5A52"/>
    <w:rsid w:val="66344907"/>
    <w:rsid w:val="6635242D"/>
    <w:rsid w:val="6639322D"/>
    <w:rsid w:val="663B2135"/>
    <w:rsid w:val="664B7EA3"/>
    <w:rsid w:val="664F1741"/>
    <w:rsid w:val="66501015"/>
    <w:rsid w:val="66544FA9"/>
    <w:rsid w:val="665515CB"/>
    <w:rsid w:val="666024CC"/>
    <w:rsid w:val="666845B1"/>
    <w:rsid w:val="666B22F3"/>
    <w:rsid w:val="666C6C3D"/>
    <w:rsid w:val="667473F9"/>
    <w:rsid w:val="66783260"/>
    <w:rsid w:val="66863951"/>
    <w:rsid w:val="6686712D"/>
    <w:rsid w:val="668869C6"/>
    <w:rsid w:val="668B64F1"/>
    <w:rsid w:val="668F4233"/>
    <w:rsid w:val="66920823"/>
    <w:rsid w:val="669730E8"/>
    <w:rsid w:val="66A63BF1"/>
    <w:rsid w:val="66AA2E1B"/>
    <w:rsid w:val="66AD2B19"/>
    <w:rsid w:val="66B15F58"/>
    <w:rsid w:val="66B47C99"/>
    <w:rsid w:val="66B6356E"/>
    <w:rsid w:val="66B912B0"/>
    <w:rsid w:val="66BC0B99"/>
    <w:rsid w:val="66BF23A1"/>
    <w:rsid w:val="66C0619B"/>
    <w:rsid w:val="66C32683"/>
    <w:rsid w:val="66C4230A"/>
    <w:rsid w:val="66C54162"/>
    <w:rsid w:val="66C739CD"/>
    <w:rsid w:val="66C7589F"/>
    <w:rsid w:val="66CB0F2F"/>
    <w:rsid w:val="66D41C46"/>
    <w:rsid w:val="66D51044"/>
    <w:rsid w:val="66D9725C"/>
    <w:rsid w:val="66DB1226"/>
    <w:rsid w:val="66DC7AAC"/>
    <w:rsid w:val="66E0683D"/>
    <w:rsid w:val="66E31E89"/>
    <w:rsid w:val="66E3632D"/>
    <w:rsid w:val="66E856F1"/>
    <w:rsid w:val="66EB7F2E"/>
    <w:rsid w:val="66EC3879"/>
    <w:rsid w:val="66ED0F5A"/>
    <w:rsid w:val="66EF6A80"/>
    <w:rsid w:val="66F2031E"/>
    <w:rsid w:val="66F45E44"/>
    <w:rsid w:val="66F95B50"/>
    <w:rsid w:val="66FE6CC3"/>
    <w:rsid w:val="67065B78"/>
    <w:rsid w:val="6712451C"/>
    <w:rsid w:val="67136C12"/>
    <w:rsid w:val="67154518"/>
    <w:rsid w:val="671B1623"/>
    <w:rsid w:val="671D539B"/>
    <w:rsid w:val="6727446C"/>
    <w:rsid w:val="67281CFF"/>
    <w:rsid w:val="67281F92"/>
    <w:rsid w:val="672C7CD4"/>
    <w:rsid w:val="672F3320"/>
    <w:rsid w:val="67302BBF"/>
    <w:rsid w:val="6731269C"/>
    <w:rsid w:val="673152EA"/>
    <w:rsid w:val="67332E10"/>
    <w:rsid w:val="67373964"/>
    <w:rsid w:val="673A0E55"/>
    <w:rsid w:val="673B1CC5"/>
    <w:rsid w:val="673E5A70"/>
    <w:rsid w:val="67424E02"/>
    <w:rsid w:val="674961A2"/>
    <w:rsid w:val="674C3707"/>
    <w:rsid w:val="67530DBD"/>
    <w:rsid w:val="67544B35"/>
    <w:rsid w:val="6759039D"/>
    <w:rsid w:val="6759214B"/>
    <w:rsid w:val="675A65EF"/>
    <w:rsid w:val="676270E4"/>
    <w:rsid w:val="6764746E"/>
    <w:rsid w:val="67656D42"/>
    <w:rsid w:val="676B2854"/>
    <w:rsid w:val="676B3BCF"/>
    <w:rsid w:val="676E209B"/>
    <w:rsid w:val="676E5BF7"/>
    <w:rsid w:val="676E7D45"/>
    <w:rsid w:val="67753429"/>
    <w:rsid w:val="67760F4F"/>
    <w:rsid w:val="67762CFD"/>
    <w:rsid w:val="677D0530"/>
    <w:rsid w:val="67825B46"/>
    <w:rsid w:val="678418BE"/>
    <w:rsid w:val="6784366C"/>
    <w:rsid w:val="67890C82"/>
    <w:rsid w:val="678918D9"/>
    <w:rsid w:val="67897F92"/>
    <w:rsid w:val="678C0773"/>
    <w:rsid w:val="678E6299"/>
    <w:rsid w:val="67915D89"/>
    <w:rsid w:val="67994442"/>
    <w:rsid w:val="679F2254"/>
    <w:rsid w:val="67A61834"/>
    <w:rsid w:val="67A77626"/>
    <w:rsid w:val="67A811DC"/>
    <w:rsid w:val="67AB6E4B"/>
    <w:rsid w:val="67AF574F"/>
    <w:rsid w:val="67B37AAD"/>
    <w:rsid w:val="67B4104A"/>
    <w:rsid w:val="67B83A65"/>
    <w:rsid w:val="67C36BF3"/>
    <w:rsid w:val="67CC6DC1"/>
    <w:rsid w:val="67D143D7"/>
    <w:rsid w:val="67D31EFE"/>
    <w:rsid w:val="67D839B8"/>
    <w:rsid w:val="67DA1E8F"/>
    <w:rsid w:val="67DE7E23"/>
    <w:rsid w:val="67E132FB"/>
    <w:rsid w:val="67E54AB2"/>
    <w:rsid w:val="67E97973"/>
    <w:rsid w:val="67EB5499"/>
    <w:rsid w:val="67EE0AE5"/>
    <w:rsid w:val="67F56318"/>
    <w:rsid w:val="67F95A86"/>
    <w:rsid w:val="68040309"/>
    <w:rsid w:val="68064081"/>
    <w:rsid w:val="68071BA7"/>
    <w:rsid w:val="68104F00"/>
    <w:rsid w:val="681A7B2C"/>
    <w:rsid w:val="681E586F"/>
    <w:rsid w:val="682269E1"/>
    <w:rsid w:val="682E35D8"/>
    <w:rsid w:val="683055A2"/>
    <w:rsid w:val="683F57E5"/>
    <w:rsid w:val="684661E6"/>
    <w:rsid w:val="68476448"/>
    <w:rsid w:val="684B418A"/>
    <w:rsid w:val="6853303E"/>
    <w:rsid w:val="685A261F"/>
    <w:rsid w:val="685F3B0F"/>
    <w:rsid w:val="685F692B"/>
    <w:rsid w:val="68633281"/>
    <w:rsid w:val="686434FE"/>
    <w:rsid w:val="68651B27"/>
    <w:rsid w:val="68664B20"/>
    <w:rsid w:val="68682642"/>
    <w:rsid w:val="686B0388"/>
    <w:rsid w:val="686D2352"/>
    <w:rsid w:val="687234C5"/>
    <w:rsid w:val="687E455F"/>
    <w:rsid w:val="68802085"/>
    <w:rsid w:val="68833155"/>
    <w:rsid w:val="688356D2"/>
    <w:rsid w:val="6884144A"/>
    <w:rsid w:val="68863414"/>
    <w:rsid w:val="688D2F0B"/>
    <w:rsid w:val="689042C6"/>
    <w:rsid w:val="689478DF"/>
    <w:rsid w:val="689618A9"/>
    <w:rsid w:val="689A0C6D"/>
    <w:rsid w:val="689C2C37"/>
    <w:rsid w:val="689E250C"/>
    <w:rsid w:val="68A13DAA"/>
    <w:rsid w:val="68A37B22"/>
    <w:rsid w:val="68A67612"/>
    <w:rsid w:val="68A9060E"/>
    <w:rsid w:val="68AB4C28"/>
    <w:rsid w:val="68AB69D7"/>
    <w:rsid w:val="68AF64C7"/>
    <w:rsid w:val="68B00491"/>
    <w:rsid w:val="68B166E3"/>
    <w:rsid w:val="68B91D64"/>
    <w:rsid w:val="68BE670A"/>
    <w:rsid w:val="68C77CB4"/>
    <w:rsid w:val="68C857DA"/>
    <w:rsid w:val="68CB194B"/>
    <w:rsid w:val="68CC52CB"/>
    <w:rsid w:val="68CD1043"/>
    <w:rsid w:val="68D0643D"/>
    <w:rsid w:val="68D128E1"/>
    <w:rsid w:val="68DE0B5A"/>
    <w:rsid w:val="68E87C2B"/>
    <w:rsid w:val="68EC771B"/>
    <w:rsid w:val="68F465CF"/>
    <w:rsid w:val="68F87D9B"/>
    <w:rsid w:val="68F91087"/>
    <w:rsid w:val="68F95994"/>
    <w:rsid w:val="68FC5484"/>
    <w:rsid w:val="69001CCB"/>
    <w:rsid w:val="69012A9A"/>
    <w:rsid w:val="69126A56"/>
    <w:rsid w:val="69162670"/>
    <w:rsid w:val="691B3B5C"/>
    <w:rsid w:val="691B590A"/>
    <w:rsid w:val="691E49ED"/>
    <w:rsid w:val="69205616"/>
    <w:rsid w:val="692C3FBB"/>
    <w:rsid w:val="692C7858"/>
    <w:rsid w:val="692F4273"/>
    <w:rsid w:val="693966D8"/>
    <w:rsid w:val="69401815"/>
    <w:rsid w:val="695157D0"/>
    <w:rsid w:val="695B664F"/>
    <w:rsid w:val="695F3B76"/>
    <w:rsid w:val="695F613F"/>
    <w:rsid w:val="6962178B"/>
    <w:rsid w:val="69653029"/>
    <w:rsid w:val="696E6382"/>
    <w:rsid w:val="69705E9C"/>
    <w:rsid w:val="69731BEA"/>
    <w:rsid w:val="69735746"/>
    <w:rsid w:val="69766FE4"/>
    <w:rsid w:val="69787200"/>
    <w:rsid w:val="697A278A"/>
    <w:rsid w:val="697D65C5"/>
    <w:rsid w:val="698060B5"/>
    <w:rsid w:val="69827981"/>
    <w:rsid w:val="69845BA5"/>
    <w:rsid w:val="69877444"/>
    <w:rsid w:val="699A7177"/>
    <w:rsid w:val="699E02E9"/>
    <w:rsid w:val="69A24DB9"/>
    <w:rsid w:val="69A578CA"/>
    <w:rsid w:val="69A827F5"/>
    <w:rsid w:val="69AE2CDA"/>
    <w:rsid w:val="69AE49D0"/>
    <w:rsid w:val="69B1626F"/>
    <w:rsid w:val="69B41D9F"/>
    <w:rsid w:val="69B67D29"/>
    <w:rsid w:val="69BA2339"/>
    <w:rsid w:val="69BA3375"/>
    <w:rsid w:val="69BB44D0"/>
    <w:rsid w:val="69BB533F"/>
    <w:rsid w:val="69BF3287"/>
    <w:rsid w:val="69C73CE4"/>
    <w:rsid w:val="69C77840"/>
    <w:rsid w:val="69C935E0"/>
    <w:rsid w:val="69CB722C"/>
    <w:rsid w:val="69CC4E56"/>
    <w:rsid w:val="69D1246D"/>
    <w:rsid w:val="69D9262A"/>
    <w:rsid w:val="69DF4B8A"/>
    <w:rsid w:val="69E44896"/>
    <w:rsid w:val="69E46644"/>
    <w:rsid w:val="69F06D97"/>
    <w:rsid w:val="69F10030"/>
    <w:rsid w:val="69F11830"/>
    <w:rsid w:val="69F34AD9"/>
    <w:rsid w:val="69FD3262"/>
    <w:rsid w:val="6A015036"/>
    <w:rsid w:val="6A026ACA"/>
    <w:rsid w:val="6A0960AB"/>
    <w:rsid w:val="6A09615E"/>
    <w:rsid w:val="6A097E59"/>
    <w:rsid w:val="6A0C77EE"/>
    <w:rsid w:val="6A0E546F"/>
    <w:rsid w:val="6A0E5FE5"/>
    <w:rsid w:val="6A13043A"/>
    <w:rsid w:val="6A132A85"/>
    <w:rsid w:val="6A154A4F"/>
    <w:rsid w:val="6A164324"/>
    <w:rsid w:val="6A194EEC"/>
    <w:rsid w:val="6A1A717B"/>
    <w:rsid w:val="6A1B7B8C"/>
    <w:rsid w:val="6A2151A2"/>
    <w:rsid w:val="6A222CC8"/>
    <w:rsid w:val="6A2F7112"/>
    <w:rsid w:val="6A325601"/>
    <w:rsid w:val="6A3273AF"/>
    <w:rsid w:val="6A3452AB"/>
    <w:rsid w:val="6A350C4E"/>
    <w:rsid w:val="6A3749C6"/>
    <w:rsid w:val="6A3D5D54"/>
    <w:rsid w:val="6A415844"/>
    <w:rsid w:val="6A447D35"/>
    <w:rsid w:val="6A462E5B"/>
    <w:rsid w:val="6A470981"/>
    <w:rsid w:val="6A4814A3"/>
    <w:rsid w:val="6A4B5F59"/>
    <w:rsid w:val="6A4F3776"/>
    <w:rsid w:val="6A505A87"/>
    <w:rsid w:val="6A521800"/>
    <w:rsid w:val="6A562769"/>
    <w:rsid w:val="6A5729A7"/>
    <w:rsid w:val="6A624A2F"/>
    <w:rsid w:val="6A6809E4"/>
    <w:rsid w:val="6A687275"/>
    <w:rsid w:val="6A6B0B13"/>
    <w:rsid w:val="6A6D03E7"/>
    <w:rsid w:val="6A701C86"/>
    <w:rsid w:val="6A70612A"/>
    <w:rsid w:val="6A775937"/>
    <w:rsid w:val="6A7A48EC"/>
    <w:rsid w:val="6A80146E"/>
    <w:rsid w:val="6A8120E5"/>
    <w:rsid w:val="6A835E5D"/>
    <w:rsid w:val="6A843983"/>
    <w:rsid w:val="6A925C21"/>
    <w:rsid w:val="6A927E4E"/>
    <w:rsid w:val="6A944210"/>
    <w:rsid w:val="6A971908"/>
    <w:rsid w:val="6AA370CA"/>
    <w:rsid w:val="6AAD2EDA"/>
    <w:rsid w:val="6AAF1A38"/>
    <w:rsid w:val="6AB029CA"/>
    <w:rsid w:val="6AB04778"/>
    <w:rsid w:val="6AB06D96"/>
    <w:rsid w:val="6AB46016"/>
    <w:rsid w:val="6AB57FE0"/>
    <w:rsid w:val="6AB853DB"/>
    <w:rsid w:val="6AC15563"/>
    <w:rsid w:val="6AC326FD"/>
    <w:rsid w:val="6AC36259"/>
    <w:rsid w:val="6AC71CD4"/>
    <w:rsid w:val="6AC81AC2"/>
    <w:rsid w:val="6ACA583A"/>
    <w:rsid w:val="6ACB15B2"/>
    <w:rsid w:val="6AD46A66"/>
    <w:rsid w:val="6AD55F8D"/>
    <w:rsid w:val="6AD71D05"/>
    <w:rsid w:val="6AE0505D"/>
    <w:rsid w:val="6AE10DD5"/>
    <w:rsid w:val="6AF6662F"/>
    <w:rsid w:val="6AF7058D"/>
    <w:rsid w:val="6AFD5FCC"/>
    <w:rsid w:val="6AFE1987"/>
    <w:rsid w:val="6B030D4C"/>
    <w:rsid w:val="6B040620"/>
    <w:rsid w:val="6B060E5E"/>
    <w:rsid w:val="6B090729"/>
    <w:rsid w:val="6B0C26E9"/>
    <w:rsid w:val="6B106FC5"/>
    <w:rsid w:val="6B15282D"/>
    <w:rsid w:val="6B19231D"/>
    <w:rsid w:val="6B1B6095"/>
    <w:rsid w:val="6B2313EE"/>
    <w:rsid w:val="6B2A6CEA"/>
    <w:rsid w:val="6B2E2ECD"/>
    <w:rsid w:val="6B303F1C"/>
    <w:rsid w:val="6B32518D"/>
    <w:rsid w:val="6B356F27"/>
    <w:rsid w:val="6B3929BF"/>
    <w:rsid w:val="6B39476E"/>
    <w:rsid w:val="6B3C600C"/>
    <w:rsid w:val="6B4101AE"/>
    <w:rsid w:val="6B4227E8"/>
    <w:rsid w:val="6B431148"/>
    <w:rsid w:val="6B43383E"/>
    <w:rsid w:val="6B451364"/>
    <w:rsid w:val="6B4A24D7"/>
    <w:rsid w:val="6B4B624F"/>
    <w:rsid w:val="6B4D0219"/>
    <w:rsid w:val="6B525AE4"/>
    <w:rsid w:val="6B560E7C"/>
    <w:rsid w:val="6B5670CE"/>
    <w:rsid w:val="6B5E5F82"/>
    <w:rsid w:val="6B623CC4"/>
    <w:rsid w:val="6B72229B"/>
    <w:rsid w:val="6B7439F8"/>
    <w:rsid w:val="6B7B6B34"/>
    <w:rsid w:val="6B7E4876"/>
    <w:rsid w:val="6B827EC3"/>
    <w:rsid w:val="6B87197D"/>
    <w:rsid w:val="6B8F0831"/>
    <w:rsid w:val="6B8F6B7F"/>
    <w:rsid w:val="6B93601A"/>
    <w:rsid w:val="6B947BF6"/>
    <w:rsid w:val="6B953B90"/>
    <w:rsid w:val="6B9B71D6"/>
    <w:rsid w:val="6B9F0244"/>
    <w:rsid w:val="6BAE515B"/>
    <w:rsid w:val="6BB87D88"/>
    <w:rsid w:val="6BBD3D7B"/>
    <w:rsid w:val="6BC06C3D"/>
    <w:rsid w:val="6BC54253"/>
    <w:rsid w:val="6BC67A74"/>
    <w:rsid w:val="6BC95AF1"/>
    <w:rsid w:val="6BCA186A"/>
    <w:rsid w:val="6BCF626D"/>
    <w:rsid w:val="6BD050D2"/>
    <w:rsid w:val="6BD12BF8"/>
    <w:rsid w:val="6BD61FBC"/>
    <w:rsid w:val="6BD630FC"/>
    <w:rsid w:val="6BD85D34"/>
    <w:rsid w:val="6BDD7130"/>
    <w:rsid w:val="6BDF70C3"/>
    <w:rsid w:val="6BE02E3B"/>
    <w:rsid w:val="6BE26625"/>
    <w:rsid w:val="6BE75F78"/>
    <w:rsid w:val="6BEC5C84"/>
    <w:rsid w:val="6BEE02A6"/>
    <w:rsid w:val="6BEE7306"/>
    <w:rsid w:val="6BF10E72"/>
    <w:rsid w:val="6BF3491C"/>
    <w:rsid w:val="6BF54B38"/>
    <w:rsid w:val="6BF608B1"/>
    <w:rsid w:val="6BF95CAB"/>
    <w:rsid w:val="6BFB5EC7"/>
    <w:rsid w:val="6C022212"/>
    <w:rsid w:val="6C022DB1"/>
    <w:rsid w:val="6C057A8B"/>
    <w:rsid w:val="6C0703C8"/>
    <w:rsid w:val="6C07486C"/>
    <w:rsid w:val="6C0905E4"/>
    <w:rsid w:val="6C117360"/>
    <w:rsid w:val="6C136D6D"/>
    <w:rsid w:val="6C150D37"/>
    <w:rsid w:val="6C164AAF"/>
    <w:rsid w:val="6C1A459F"/>
    <w:rsid w:val="6C2378E0"/>
    <w:rsid w:val="6C2726C0"/>
    <w:rsid w:val="6C30791F"/>
    <w:rsid w:val="6C376EFF"/>
    <w:rsid w:val="6C4139BE"/>
    <w:rsid w:val="6C4C0755"/>
    <w:rsid w:val="6C4C227F"/>
    <w:rsid w:val="6C4C56DA"/>
    <w:rsid w:val="6C4E4249"/>
    <w:rsid w:val="6C537AB1"/>
    <w:rsid w:val="6C5555D7"/>
    <w:rsid w:val="6C5A2BED"/>
    <w:rsid w:val="6C5A499B"/>
    <w:rsid w:val="6C5D448C"/>
    <w:rsid w:val="6C702898"/>
    <w:rsid w:val="6C7517D5"/>
    <w:rsid w:val="6C76474D"/>
    <w:rsid w:val="6C7672FB"/>
    <w:rsid w:val="6C7A6DEC"/>
    <w:rsid w:val="6C874CC2"/>
    <w:rsid w:val="6C8D2FC3"/>
    <w:rsid w:val="6C8E0AE9"/>
    <w:rsid w:val="6C9600A2"/>
    <w:rsid w:val="6C983716"/>
    <w:rsid w:val="6C9B27FD"/>
    <w:rsid w:val="6C9F6852"/>
    <w:rsid w:val="6CAB169B"/>
    <w:rsid w:val="6CB0280D"/>
    <w:rsid w:val="6CB06CB1"/>
    <w:rsid w:val="6CB467A2"/>
    <w:rsid w:val="6CB56076"/>
    <w:rsid w:val="6CB87914"/>
    <w:rsid w:val="6CBE317C"/>
    <w:rsid w:val="6CCB6739"/>
    <w:rsid w:val="6CCD4886"/>
    <w:rsid w:val="6CCE0EE6"/>
    <w:rsid w:val="6CD01102"/>
    <w:rsid w:val="6CD06CF5"/>
    <w:rsid w:val="6CD3474E"/>
    <w:rsid w:val="6CD72490"/>
    <w:rsid w:val="6CD96208"/>
    <w:rsid w:val="6CDC7AA6"/>
    <w:rsid w:val="6CE4695B"/>
    <w:rsid w:val="6CE52584"/>
    <w:rsid w:val="6CE54BAD"/>
    <w:rsid w:val="6CE801F9"/>
    <w:rsid w:val="6CED3A62"/>
    <w:rsid w:val="6CF546C4"/>
    <w:rsid w:val="6CF748E0"/>
    <w:rsid w:val="6D005AFE"/>
    <w:rsid w:val="6D056FFD"/>
    <w:rsid w:val="6D08089B"/>
    <w:rsid w:val="6D120C30"/>
    <w:rsid w:val="6D12171A"/>
    <w:rsid w:val="6D1370FB"/>
    <w:rsid w:val="6D1948A3"/>
    <w:rsid w:val="6D2154B9"/>
    <w:rsid w:val="6D284A9A"/>
    <w:rsid w:val="6D310ECE"/>
    <w:rsid w:val="6D321474"/>
    <w:rsid w:val="6D325918"/>
    <w:rsid w:val="6D340359"/>
    <w:rsid w:val="6D372F2F"/>
    <w:rsid w:val="6D392803"/>
    <w:rsid w:val="6D3C0545"/>
    <w:rsid w:val="6D3C22F3"/>
    <w:rsid w:val="6D3C6797"/>
    <w:rsid w:val="6D3E606B"/>
    <w:rsid w:val="6D415B5B"/>
    <w:rsid w:val="6D437B25"/>
    <w:rsid w:val="6D480268"/>
    <w:rsid w:val="6D566DCE"/>
    <w:rsid w:val="6D5910F7"/>
    <w:rsid w:val="6D5B6C1D"/>
    <w:rsid w:val="6D5C5811"/>
    <w:rsid w:val="6D68133A"/>
    <w:rsid w:val="6D6B0B1C"/>
    <w:rsid w:val="6D6B4986"/>
    <w:rsid w:val="6D6D6950"/>
    <w:rsid w:val="6D7165A7"/>
    <w:rsid w:val="6D780CD8"/>
    <w:rsid w:val="6D785A21"/>
    <w:rsid w:val="6D7C4ED1"/>
    <w:rsid w:val="6D851EEC"/>
    <w:rsid w:val="6D885538"/>
    <w:rsid w:val="6D8930ED"/>
    <w:rsid w:val="6D8A305E"/>
    <w:rsid w:val="6D8C0711"/>
    <w:rsid w:val="6D8E1AE5"/>
    <w:rsid w:val="6D8F1949"/>
    <w:rsid w:val="6D8F68C7"/>
    <w:rsid w:val="6DA22A9E"/>
    <w:rsid w:val="6DA2484C"/>
    <w:rsid w:val="6DA560EA"/>
    <w:rsid w:val="6DA85BDA"/>
    <w:rsid w:val="6DAC1227"/>
    <w:rsid w:val="6DAD4F9F"/>
    <w:rsid w:val="6DB427D1"/>
    <w:rsid w:val="6DBB590E"/>
    <w:rsid w:val="6DBF2D8A"/>
    <w:rsid w:val="6DC20A4A"/>
    <w:rsid w:val="6DC26C9C"/>
    <w:rsid w:val="6DC76061"/>
    <w:rsid w:val="6DC95E3D"/>
    <w:rsid w:val="6DCA5B51"/>
    <w:rsid w:val="6DCA78FF"/>
    <w:rsid w:val="6DCC3677"/>
    <w:rsid w:val="6DCF3167"/>
    <w:rsid w:val="6DD16EDF"/>
    <w:rsid w:val="6DD864C0"/>
    <w:rsid w:val="6DDA6BF6"/>
    <w:rsid w:val="6DDB5FB0"/>
    <w:rsid w:val="6DDD5884"/>
    <w:rsid w:val="6DDE15FC"/>
    <w:rsid w:val="6DE03F0D"/>
    <w:rsid w:val="6DE2733E"/>
    <w:rsid w:val="6DE552FB"/>
    <w:rsid w:val="6DEC5AC7"/>
    <w:rsid w:val="6DEF3809"/>
    <w:rsid w:val="6DF350A8"/>
    <w:rsid w:val="6DF4662F"/>
    <w:rsid w:val="6DF606F4"/>
    <w:rsid w:val="6DF6115C"/>
    <w:rsid w:val="6DF802E9"/>
    <w:rsid w:val="6DF826BE"/>
    <w:rsid w:val="6DF94A8D"/>
    <w:rsid w:val="6E002CD0"/>
    <w:rsid w:val="6E02353D"/>
    <w:rsid w:val="6E0948CB"/>
    <w:rsid w:val="6E0A23F1"/>
    <w:rsid w:val="6E0B0643"/>
    <w:rsid w:val="6E0C6169"/>
    <w:rsid w:val="6E0E1C9B"/>
    <w:rsid w:val="6E0F5F2B"/>
    <w:rsid w:val="6E1104BE"/>
    <w:rsid w:val="6E1463F4"/>
    <w:rsid w:val="6E160D96"/>
    <w:rsid w:val="6E1D0376"/>
    <w:rsid w:val="6E1D3ED3"/>
    <w:rsid w:val="6E201C15"/>
    <w:rsid w:val="6E22598D"/>
    <w:rsid w:val="6E25722B"/>
    <w:rsid w:val="6E272FA3"/>
    <w:rsid w:val="6E315BD0"/>
    <w:rsid w:val="6E3C2D80"/>
    <w:rsid w:val="6E3D6323"/>
    <w:rsid w:val="6E3F209B"/>
    <w:rsid w:val="6E3F653F"/>
    <w:rsid w:val="6E46167B"/>
    <w:rsid w:val="6E4C0C5C"/>
    <w:rsid w:val="6E4E4C5F"/>
    <w:rsid w:val="6E511DCE"/>
    <w:rsid w:val="6E5673E4"/>
    <w:rsid w:val="6E597A7A"/>
    <w:rsid w:val="6E5F098F"/>
    <w:rsid w:val="6E6164B5"/>
    <w:rsid w:val="6E616DAC"/>
    <w:rsid w:val="6E623FDB"/>
    <w:rsid w:val="6E633A4C"/>
    <w:rsid w:val="6E687B85"/>
    <w:rsid w:val="6E6978BE"/>
    <w:rsid w:val="6E6D46CF"/>
    <w:rsid w:val="6E777A87"/>
    <w:rsid w:val="6E7862F5"/>
    <w:rsid w:val="6E7B6E4B"/>
    <w:rsid w:val="6E7D2BC3"/>
    <w:rsid w:val="6E7F06E9"/>
    <w:rsid w:val="6E7F46B5"/>
    <w:rsid w:val="6E8403F6"/>
    <w:rsid w:val="6E847097"/>
    <w:rsid w:val="6E8C2E06"/>
    <w:rsid w:val="6E8D72AA"/>
    <w:rsid w:val="6E900775"/>
    <w:rsid w:val="6E9028F6"/>
    <w:rsid w:val="6E957F0D"/>
    <w:rsid w:val="6E9C573F"/>
    <w:rsid w:val="6E9D5013"/>
    <w:rsid w:val="6EA04D17"/>
    <w:rsid w:val="6EAB3BD4"/>
    <w:rsid w:val="6EB34837"/>
    <w:rsid w:val="6EB72A98"/>
    <w:rsid w:val="6EB75F11"/>
    <w:rsid w:val="6EB833B6"/>
    <w:rsid w:val="6EBA5BC5"/>
    <w:rsid w:val="6EBC36EB"/>
    <w:rsid w:val="6EBD5A97"/>
    <w:rsid w:val="6EBD7464"/>
    <w:rsid w:val="6EBE3907"/>
    <w:rsid w:val="6EC10D02"/>
    <w:rsid w:val="6EC634D1"/>
    <w:rsid w:val="6ECE1671"/>
    <w:rsid w:val="6ECE341F"/>
    <w:rsid w:val="6ED36C87"/>
    <w:rsid w:val="6ED44ED9"/>
    <w:rsid w:val="6ED50C51"/>
    <w:rsid w:val="6ED722D3"/>
    <w:rsid w:val="6ED8604B"/>
    <w:rsid w:val="6EDB549D"/>
    <w:rsid w:val="6EDC3D8E"/>
    <w:rsid w:val="6EDC5B3C"/>
    <w:rsid w:val="6EE031AD"/>
    <w:rsid w:val="6EE175F6"/>
    <w:rsid w:val="6EE92007"/>
    <w:rsid w:val="6EE94A61"/>
    <w:rsid w:val="6EE964AB"/>
    <w:rsid w:val="6EED4B14"/>
    <w:rsid w:val="6EEE3485"/>
    <w:rsid w:val="6EFD1AEA"/>
    <w:rsid w:val="6EFF5CCE"/>
    <w:rsid w:val="6F053F4E"/>
    <w:rsid w:val="6F0F4163"/>
    <w:rsid w:val="6F141779"/>
    <w:rsid w:val="6F1A6664"/>
    <w:rsid w:val="6F20011E"/>
    <w:rsid w:val="6F2A36D8"/>
    <w:rsid w:val="6F2B261F"/>
    <w:rsid w:val="6F2D45E9"/>
    <w:rsid w:val="6F2D6397"/>
    <w:rsid w:val="6F2F210F"/>
    <w:rsid w:val="6F2F65B3"/>
    <w:rsid w:val="6F4108FD"/>
    <w:rsid w:val="6F41376B"/>
    <w:rsid w:val="6F435BBB"/>
    <w:rsid w:val="6F437D7D"/>
    <w:rsid w:val="6F49158C"/>
    <w:rsid w:val="6F4B0F13"/>
    <w:rsid w:val="6F4D6A39"/>
    <w:rsid w:val="6F4F4560"/>
    <w:rsid w:val="6F5031F4"/>
    <w:rsid w:val="6F571666"/>
    <w:rsid w:val="6F59718C"/>
    <w:rsid w:val="6F5A2F04"/>
    <w:rsid w:val="6F5F2EAE"/>
    <w:rsid w:val="6F6124E5"/>
    <w:rsid w:val="6F616041"/>
    <w:rsid w:val="6F6204D9"/>
    <w:rsid w:val="6F667AFB"/>
    <w:rsid w:val="6F675D4D"/>
    <w:rsid w:val="6F6873CF"/>
    <w:rsid w:val="6F6A5235"/>
    <w:rsid w:val="6F71315E"/>
    <w:rsid w:val="6F751AEC"/>
    <w:rsid w:val="6F7E3097"/>
    <w:rsid w:val="6F8166E3"/>
    <w:rsid w:val="6F83245B"/>
    <w:rsid w:val="6F8C7459"/>
    <w:rsid w:val="6F8E3CF1"/>
    <w:rsid w:val="6F9C52CB"/>
    <w:rsid w:val="6F9E7295"/>
    <w:rsid w:val="6FA04DBB"/>
    <w:rsid w:val="6FA83C70"/>
    <w:rsid w:val="6FAA1709"/>
    <w:rsid w:val="6FAB550E"/>
    <w:rsid w:val="6FB10D76"/>
    <w:rsid w:val="6FB2689C"/>
    <w:rsid w:val="6FC0310B"/>
    <w:rsid w:val="6FC26795"/>
    <w:rsid w:val="6FC52A74"/>
    <w:rsid w:val="6FC7059A"/>
    <w:rsid w:val="6FC860C0"/>
    <w:rsid w:val="6FD034D2"/>
    <w:rsid w:val="6FD11419"/>
    <w:rsid w:val="6FD827A7"/>
    <w:rsid w:val="6FDB2297"/>
    <w:rsid w:val="6FDE231C"/>
    <w:rsid w:val="6FDE58E3"/>
    <w:rsid w:val="6FE608AD"/>
    <w:rsid w:val="6FE74798"/>
    <w:rsid w:val="6FEC1DAE"/>
    <w:rsid w:val="6FEE22B5"/>
    <w:rsid w:val="6FF27E38"/>
    <w:rsid w:val="6FF50185"/>
    <w:rsid w:val="6FF944CB"/>
    <w:rsid w:val="6FFB3A44"/>
    <w:rsid w:val="6FFB46E7"/>
    <w:rsid w:val="700215D2"/>
    <w:rsid w:val="700370F8"/>
    <w:rsid w:val="700510C2"/>
    <w:rsid w:val="70052E70"/>
    <w:rsid w:val="70090BB2"/>
    <w:rsid w:val="700C36C1"/>
    <w:rsid w:val="700F0193"/>
    <w:rsid w:val="70115CB9"/>
    <w:rsid w:val="7019691C"/>
    <w:rsid w:val="702459EC"/>
    <w:rsid w:val="70257373"/>
    <w:rsid w:val="70271038"/>
    <w:rsid w:val="702C664F"/>
    <w:rsid w:val="70300483"/>
    <w:rsid w:val="70343755"/>
    <w:rsid w:val="70350FF7"/>
    <w:rsid w:val="70381498"/>
    <w:rsid w:val="703B4AE4"/>
    <w:rsid w:val="703D44F7"/>
    <w:rsid w:val="70447E3C"/>
    <w:rsid w:val="70480FAF"/>
    <w:rsid w:val="704A2F79"/>
    <w:rsid w:val="704C4F43"/>
    <w:rsid w:val="70512559"/>
    <w:rsid w:val="7056191E"/>
    <w:rsid w:val="705931BC"/>
    <w:rsid w:val="70645DE9"/>
    <w:rsid w:val="70676C85"/>
    <w:rsid w:val="706C1141"/>
    <w:rsid w:val="70757FF6"/>
    <w:rsid w:val="70765B1C"/>
    <w:rsid w:val="70792A8C"/>
    <w:rsid w:val="70817FC6"/>
    <w:rsid w:val="708A15C7"/>
    <w:rsid w:val="708F6BDE"/>
    <w:rsid w:val="709211C2"/>
    <w:rsid w:val="70966BC3"/>
    <w:rsid w:val="70974410"/>
    <w:rsid w:val="709A3F00"/>
    <w:rsid w:val="709B0AC0"/>
    <w:rsid w:val="709F32C5"/>
    <w:rsid w:val="70A64653"/>
    <w:rsid w:val="70A73F27"/>
    <w:rsid w:val="70AB1C6A"/>
    <w:rsid w:val="70AB3A18"/>
    <w:rsid w:val="70B054D2"/>
    <w:rsid w:val="70B30B1E"/>
    <w:rsid w:val="70B34FC2"/>
    <w:rsid w:val="70BF1417"/>
    <w:rsid w:val="70C1323B"/>
    <w:rsid w:val="70C90342"/>
    <w:rsid w:val="70C920F0"/>
    <w:rsid w:val="70CC1C4E"/>
    <w:rsid w:val="70CC398E"/>
    <w:rsid w:val="70CD3A11"/>
    <w:rsid w:val="70D02392"/>
    <w:rsid w:val="70D46566"/>
    <w:rsid w:val="70D56CE6"/>
    <w:rsid w:val="70D72552"/>
    <w:rsid w:val="70DA254F"/>
    <w:rsid w:val="70DA42FD"/>
    <w:rsid w:val="70DD3DED"/>
    <w:rsid w:val="70DF5DB7"/>
    <w:rsid w:val="70E138DD"/>
    <w:rsid w:val="70E84C6C"/>
    <w:rsid w:val="70F026A7"/>
    <w:rsid w:val="70F2429C"/>
    <w:rsid w:val="70F8768D"/>
    <w:rsid w:val="70FD7FEB"/>
    <w:rsid w:val="71102D8C"/>
    <w:rsid w:val="71125845"/>
    <w:rsid w:val="711315BD"/>
    <w:rsid w:val="711368CE"/>
    <w:rsid w:val="7113780F"/>
    <w:rsid w:val="71193077"/>
    <w:rsid w:val="71211F2C"/>
    <w:rsid w:val="71237A52"/>
    <w:rsid w:val="71241069"/>
    <w:rsid w:val="71257C6E"/>
    <w:rsid w:val="71290DE0"/>
    <w:rsid w:val="71297032"/>
    <w:rsid w:val="71323A03"/>
    <w:rsid w:val="71341C5F"/>
    <w:rsid w:val="71364C6B"/>
    <w:rsid w:val="713779A1"/>
    <w:rsid w:val="713B6E93"/>
    <w:rsid w:val="713C0B14"/>
    <w:rsid w:val="713C4FB8"/>
    <w:rsid w:val="71445C1A"/>
    <w:rsid w:val="714A76D4"/>
    <w:rsid w:val="71500A63"/>
    <w:rsid w:val="71541EF8"/>
    <w:rsid w:val="71551BD5"/>
    <w:rsid w:val="715776FB"/>
    <w:rsid w:val="71595037"/>
    <w:rsid w:val="715F2A54"/>
    <w:rsid w:val="71630796"/>
    <w:rsid w:val="716B13F9"/>
    <w:rsid w:val="716F713B"/>
    <w:rsid w:val="7170412F"/>
    <w:rsid w:val="71706A0F"/>
    <w:rsid w:val="71773FD0"/>
    <w:rsid w:val="717C2696"/>
    <w:rsid w:val="718030F6"/>
    <w:rsid w:val="71867FE1"/>
    <w:rsid w:val="71887955"/>
    <w:rsid w:val="71907EF6"/>
    <w:rsid w:val="71A072F4"/>
    <w:rsid w:val="71A87F57"/>
    <w:rsid w:val="71AD37BF"/>
    <w:rsid w:val="71B66B18"/>
    <w:rsid w:val="71B91357"/>
    <w:rsid w:val="71B96608"/>
    <w:rsid w:val="71BB5EDC"/>
    <w:rsid w:val="71BE59CD"/>
    <w:rsid w:val="71C22866"/>
    <w:rsid w:val="71C805F9"/>
    <w:rsid w:val="71CE1100"/>
    <w:rsid w:val="71D15700"/>
    <w:rsid w:val="71D23226"/>
    <w:rsid w:val="71D40762"/>
    <w:rsid w:val="71D76A8E"/>
    <w:rsid w:val="71D90A58"/>
    <w:rsid w:val="71DB032D"/>
    <w:rsid w:val="71DB657E"/>
    <w:rsid w:val="71E05943"/>
    <w:rsid w:val="71E13469"/>
    <w:rsid w:val="71E219DE"/>
    <w:rsid w:val="71E71227"/>
    <w:rsid w:val="71E76CD1"/>
    <w:rsid w:val="71EA67C2"/>
    <w:rsid w:val="71EC253A"/>
    <w:rsid w:val="71F27DA7"/>
    <w:rsid w:val="71F464B1"/>
    <w:rsid w:val="71FA5C5D"/>
    <w:rsid w:val="71FB09CF"/>
    <w:rsid w:val="71FB259A"/>
    <w:rsid w:val="7203702B"/>
    <w:rsid w:val="720A6E64"/>
    <w:rsid w:val="720B5CEA"/>
    <w:rsid w:val="7212665A"/>
    <w:rsid w:val="72181581"/>
    <w:rsid w:val="7218332F"/>
    <w:rsid w:val="721B2E1F"/>
    <w:rsid w:val="721D26F3"/>
    <w:rsid w:val="721D6B97"/>
    <w:rsid w:val="722C6DDA"/>
    <w:rsid w:val="72306F45"/>
    <w:rsid w:val="72323CC5"/>
    <w:rsid w:val="72331F17"/>
    <w:rsid w:val="723D0FE7"/>
    <w:rsid w:val="72404DEB"/>
    <w:rsid w:val="72420580"/>
    <w:rsid w:val="72451182"/>
    <w:rsid w:val="724547BB"/>
    <w:rsid w:val="724834E8"/>
    <w:rsid w:val="724B2D4D"/>
    <w:rsid w:val="72534367"/>
    <w:rsid w:val="725543CA"/>
    <w:rsid w:val="72671BC0"/>
    <w:rsid w:val="72691DDC"/>
    <w:rsid w:val="72692D33"/>
    <w:rsid w:val="72693B8A"/>
    <w:rsid w:val="72697041"/>
    <w:rsid w:val="726A2AAA"/>
    <w:rsid w:val="726A7902"/>
    <w:rsid w:val="726E4FB0"/>
    <w:rsid w:val="7270316B"/>
    <w:rsid w:val="72783DCD"/>
    <w:rsid w:val="727B3A2F"/>
    <w:rsid w:val="7289422C"/>
    <w:rsid w:val="728B49B4"/>
    <w:rsid w:val="728C5ACB"/>
    <w:rsid w:val="729464DA"/>
    <w:rsid w:val="729516B4"/>
    <w:rsid w:val="729B0618"/>
    <w:rsid w:val="729D0310"/>
    <w:rsid w:val="72A03324"/>
    <w:rsid w:val="72A050D2"/>
    <w:rsid w:val="72A347D8"/>
    <w:rsid w:val="72A9667D"/>
    <w:rsid w:val="72AB75C7"/>
    <w:rsid w:val="72AE3C93"/>
    <w:rsid w:val="72AE5A41"/>
    <w:rsid w:val="72B16593"/>
    <w:rsid w:val="72B31A15"/>
    <w:rsid w:val="72B65900"/>
    <w:rsid w:val="72C47013"/>
    <w:rsid w:val="72C60FDD"/>
    <w:rsid w:val="72C708B1"/>
    <w:rsid w:val="72C74EA1"/>
    <w:rsid w:val="72C94629"/>
    <w:rsid w:val="72CB03A1"/>
    <w:rsid w:val="72CC3862"/>
    <w:rsid w:val="72CF0B36"/>
    <w:rsid w:val="72D134DE"/>
    <w:rsid w:val="72D40CB6"/>
    <w:rsid w:val="72D52FCE"/>
    <w:rsid w:val="72DB610A"/>
    <w:rsid w:val="72E47E1D"/>
    <w:rsid w:val="72E826C1"/>
    <w:rsid w:val="72E90827"/>
    <w:rsid w:val="72EB27F1"/>
    <w:rsid w:val="72ED47BB"/>
    <w:rsid w:val="72EE0533"/>
    <w:rsid w:val="72F0605A"/>
    <w:rsid w:val="72F21DD2"/>
    <w:rsid w:val="72F5541E"/>
    <w:rsid w:val="72F571CC"/>
    <w:rsid w:val="72F773E8"/>
    <w:rsid w:val="72F84F0E"/>
    <w:rsid w:val="72FB055A"/>
    <w:rsid w:val="73025D8D"/>
    <w:rsid w:val="730613D9"/>
    <w:rsid w:val="73094A59"/>
    <w:rsid w:val="730D09BA"/>
    <w:rsid w:val="730D6F9C"/>
    <w:rsid w:val="730E04B9"/>
    <w:rsid w:val="7312799E"/>
    <w:rsid w:val="73171838"/>
    <w:rsid w:val="731D17F8"/>
    <w:rsid w:val="731F693F"/>
    <w:rsid w:val="73214465"/>
    <w:rsid w:val="732452B0"/>
    <w:rsid w:val="732574F1"/>
    <w:rsid w:val="7327134F"/>
    <w:rsid w:val="732E0930"/>
    <w:rsid w:val="732E4532"/>
    <w:rsid w:val="733028FA"/>
    <w:rsid w:val="733552ED"/>
    <w:rsid w:val="733A72D5"/>
    <w:rsid w:val="733F2B3D"/>
    <w:rsid w:val="73407538"/>
    <w:rsid w:val="734B7734"/>
    <w:rsid w:val="73577E87"/>
    <w:rsid w:val="73593BFF"/>
    <w:rsid w:val="735A34D3"/>
    <w:rsid w:val="73614861"/>
    <w:rsid w:val="73634A7D"/>
    <w:rsid w:val="73642B45"/>
    <w:rsid w:val="7366775E"/>
    <w:rsid w:val="736764A6"/>
    <w:rsid w:val="73700A17"/>
    <w:rsid w:val="73700F48"/>
    <w:rsid w:val="7375030D"/>
    <w:rsid w:val="73760ACE"/>
    <w:rsid w:val="737C5B3F"/>
    <w:rsid w:val="737D359B"/>
    <w:rsid w:val="73813156"/>
    <w:rsid w:val="73815756"/>
    <w:rsid w:val="73832A2A"/>
    <w:rsid w:val="738B5D82"/>
    <w:rsid w:val="738C5927"/>
    <w:rsid w:val="738D69BE"/>
    <w:rsid w:val="73941822"/>
    <w:rsid w:val="739A6DB1"/>
    <w:rsid w:val="73A0182E"/>
    <w:rsid w:val="73A17354"/>
    <w:rsid w:val="73A3131E"/>
    <w:rsid w:val="73A5301B"/>
    <w:rsid w:val="73A62BBC"/>
    <w:rsid w:val="73A82490"/>
    <w:rsid w:val="73AA1854"/>
    <w:rsid w:val="73AF1A71"/>
    <w:rsid w:val="73BB6668"/>
    <w:rsid w:val="73BC418E"/>
    <w:rsid w:val="73BF17F6"/>
    <w:rsid w:val="73C03C7E"/>
    <w:rsid w:val="73C31078"/>
    <w:rsid w:val="73C51294"/>
    <w:rsid w:val="73C61ADF"/>
    <w:rsid w:val="73C80D84"/>
    <w:rsid w:val="73CA0659"/>
    <w:rsid w:val="73CC5951"/>
    <w:rsid w:val="73D634A1"/>
    <w:rsid w:val="73DC038C"/>
    <w:rsid w:val="73DC65DE"/>
    <w:rsid w:val="73DD4830"/>
    <w:rsid w:val="73E334C8"/>
    <w:rsid w:val="73E84F83"/>
    <w:rsid w:val="73EB6821"/>
    <w:rsid w:val="73F43927"/>
    <w:rsid w:val="73F456D6"/>
    <w:rsid w:val="73F92CEC"/>
    <w:rsid w:val="73FB2F08"/>
    <w:rsid w:val="73FE0302"/>
    <w:rsid w:val="74012A01"/>
    <w:rsid w:val="74033B6B"/>
    <w:rsid w:val="74055B35"/>
    <w:rsid w:val="74081181"/>
    <w:rsid w:val="740F0761"/>
    <w:rsid w:val="741366CA"/>
    <w:rsid w:val="741531EB"/>
    <w:rsid w:val="7416093F"/>
    <w:rsid w:val="74171327"/>
    <w:rsid w:val="741713C4"/>
    <w:rsid w:val="74281823"/>
    <w:rsid w:val="742B2F37"/>
    <w:rsid w:val="742D211D"/>
    <w:rsid w:val="742F670E"/>
    <w:rsid w:val="74310511"/>
    <w:rsid w:val="7431692A"/>
    <w:rsid w:val="743326A2"/>
    <w:rsid w:val="74343D24"/>
    <w:rsid w:val="7434641A"/>
    <w:rsid w:val="743B1556"/>
    <w:rsid w:val="743D52CE"/>
    <w:rsid w:val="74411F41"/>
    <w:rsid w:val="744679A8"/>
    <w:rsid w:val="744F5002"/>
    <w:rsid w:val="745148D6"/>
    <w:rsid w:val="74583EB6"/>
    <w:rsid w:val="745A5E80"/>
    <w:rsid w:val="74675EA7"/>
    <w:rsid w:val="746C6C37"/>
    <w:rsid w:val="746F7452"/>
    <w:rsid w:val="7476433D"/>
    <w:rsid w:val="74797294"/>
    <w:rsid w:val="74856371"/>
    <w:rsid w:val="74856C75"/>
    <w:rsid w:val="748A428C"/>
    <w:rsid w:val="748F53FE"/>
    <w:rsid w:val="74933C49"/>
    <w:rsid w:val="749649DF"/>
    <w:rsid w:val="74A0585D"/>
    <w:rsid w:val="74A25132"/>
    <w:rsid w:val="74A52E74"/>
    <w:rsid w:val="74A70BD1"/>
    <w:rsid w:val="74AA048A"/>
    <w:rsid w:val="74AC7D5E"/>
    <w:rsid w:val="74AE1D28"/>
    <w:rsid w:val="74B116EF"/>
    <w:rsid w:val="74B3733F"/>
    <w:rsid w:val="74B84955"/>
    <w:rsid w:val="74B9247B"/>
    <w:rsid w:val="74BA2707"/>
    <w:rsid w:val="74C4154C"/>
    <w:rsid w:val="74C65D5F"/>
    <w:rsid w:val="74C755EA"/>
    <w:rsid w:val="74C756DA"/>
    <w:rsid w:val="74CB0B2C"/>
    <w:rsid w:val="74CC21AE"/>
    <w:rsid w:val="74D177C5"/>
    <w:rsid w:val="74D304DE"/>
    <w:rsid w:val="74D472B5"/>
    <w:rsid w:val="74D6127F"/>
    <w:rsid w:val="74DA4B18"/>
    <w:rsid w:val="74E22D4B"/>
    <w:rsid w:val="74E41BEE"/>
    <w:rsid w:val="74E63C8E"/>
    <w:rsid w:val="74EB4D2A"/>
    <w:rsid w:val="74EC2851"/>
    <w:rsid w:val="74EF74BD"/>
    <w:rsid w:val="74F53239"/>
    <w:rsid w:val="74F55BA9"/>
    <w:rsid w:val="7501454E"/>
    <w:rsid w:val="750162FC"/>
    <w:rsid w:val="750556C0"/>
    <w:rsid w:val="75071439"/>
    <w:rsid w:val="75072A7D"/>
    <w:rsid w:val="750758DC"/>
    <w:rsid w:val="750B04B9"/>
    <w:rsid w:val="750B0F29"/>
    <w:rsid w:val="75175B20"/>
    <w:rsid w:val="751853F4"/>
    <w:rsid w:val="751A00A9"/>
    <w:rsid w:val="751D2A0A"/>
    <w:rsid w:val="751D6EAE"/>
    <w:rsid w:val="752419D7"/>
    <w:rsid w:val="7530098F"/>
    <w:rsid w:val="753179E2"/>
    <w:rsid w:val="75330480"/>
    <w:rsid w:val="753722BF"/>
    <w:rsid w:val="753C37D8"/>
    <w:rsid w:val="753C5586"/>
    <w:rsid w:val="753F0BD2"/>
    <w:rsid w:val="7546457C"/>
    <w:rsid w:val="7557416E"/>
    <w:rsid w:val="75595FC2"/>
    <w:rsid w:val="755C6D2D"/>
    <w:rsid w:val="755D72AA"/>
    <w:rsid w:val="755F74C6"/>
    <w:rsid w:val="75610FA3"/>
    <w:rsid w:val="756248C1"/>
    <w:rsid w:val="756B5E6B"/>
    <w:rsid w:val="756B7C19"/>
    <w:rsid w:val="756F711B"/>
    <w:rsid w:val="75703482"/>
    <w:rsid w:val="757427B5"/>
    <w:rsid w:val="757765BE"/>
    <w:rsid w:val="757E600B"/>
    <w:rsid w:val="757F20E7"/>
    <w:rsid w:val="75826D11"/>
    <w:rsid w:val="75864A53"/>
    <w:rsid w:val="7589009F"/>
    <w:rsid w:val="75894CE8"/>
    <w:rsid w:val="759279C7"/>
    <w:rsid w:val="75930F1E"/>
    <w:rsid w:val="75954C96"/>
    <w:rsid w:val="75995495"/>
    <w:rsid w:val="759F09EE"/>
    <w:rsid w:val="75A47DB1"/>
    <w:rsid w:val="75AB270C"/>
    <w:rsid w:val="75AB4B25"/>
    <w:rsid w:val="75AD1FE0"/>
    <w:rsid w:val="75AD719E"/>
    <w:rsid w:val="75B01AD0"/>
    <w:rsid w:val="75B275F6"/>
    <w:rsid w:val="75B50E95"/>
    <w:rsid w:val="75B90985"/>
    <w:rsid w:val="75BB68FD"/>
    <w:rsid w:val="75BE091B"/>
    <w:rsid w:val="75BE243F"/>
    <w:rsid w:val="75C31803"/>
    <w:rsid w:val="75C4732A"/>
    <w:rsid w:val="75C5557C"/>
    <w:rsid w:val="75CA0DE4"/>
    <w:rsid w:val="75CB06B8"/>
    <w:rsid w:val="75D014F7"/>
    <w:rsid w:val="75D03F20"/>
    <w:rsid w:val="75D05CCE"/>
    <w:rsid w:val="75D53013"/>
    <w:rsid w:val="75DA6B4D"/>
    <w:rsid w:val="75DD762C"/>
    <w:rsid w:val="75DF40BB"/>
    <w:rsid w:val="75E35A02"/>
    <w:rsid w:val="75E47073"/>
    <w:rsid w:val="75E5673E"/>
    <w:rsid w:val="75E75140"/>
    <w:rsid w:val="75EB0D5A"/>
    <w:rsid w:val="75ED2943"/>
    <w:rsid w:val="75ED4AD2"/>
    <w:rsid w:val="75F25C45"/>
    <w:rsid w:val="75F57E3E"/>
    <w:rsid w:val="75F75951"/>
    <w:rsid w:val="75FC2F67"/>
    <w:rsid w:val="75FF0362"/>
    <w:rsid w:val="76004806"/>
    <w:rsid w:val="760065B4"/>
    <w:rsid w:val="76013C86"/>
    <w:rsid w:val="76050E2C"/>
    <w:rsid w:val="760A11E0"/>
    <w:rsid w:val="760C31AA"/>
    <w:rsid w:val="760F2C9B"/>
    <w:rsid w:val="76101CE0"/>
    <w:rsid w:val="76116A13"/>
    <w:rsid w:val="7614556D"/>
    <w:rsid w:val="76171B4F"/>
    <w:rsid w:val="76184CE8"/>
    <w:rsid w:val="76197675"/>
    <w:rsid w:val="761D2E3A"/>
    <w:rsid w:val="76215F9C"/>
    <w:rsid w:val="7621652A"/>
    <w:rsid w:val="76230931"/>
    <w:rsid w:val="76283D5C"/>
    <w:rsid w:val="762A3631"/>
    <w:rsid w:val="762B73A9"/>
    <w:rsid w:val="762F0C47"/>
    <w:rsid w:val="7630676D"/>
    <w:rsid w:val="76342701"/>
    <w:rsid w:val="76404C02"/>
    <w:rsid w:val="76404E4C"/>
    <w:rsid w:val="76424E1E"/>
    <w:rsid w:val="76454210"/>
    <w:rsid w:val="76463DE5"/>
    <w:rsid w:val="76465AA8"/>
    <w:rsid w:val="764C7A4B"/>
    <w:rsid w:val="76592168"/>
    <w:rsid w:val="766308F1"/>
    <w:rsid w:val="76692017"/>
    <w:rsid w:val="76694E5C"/>
    <w:rsid w:val="76772AF9"/>
    <w:rsid w:val="76780840"/>
    <w:rsid w:val="767B3E8C"/>
    <w:rsid w:val="767E572A"/>
    <w:rsid w:val="767F128B"/>
    <w:rsid w:val="76816FC9"/>
    <w:rsid w:val="768C42EB"/>
    <w:rsid w:val="768C7E47"/>
    <w:rsid w:val="768F16E6"/>
    <w:rsid w:val="769136B0"/>
    <w:rsid w:val="76933ED8"/>
    <w:rsid w:val="76946CFC"/>
    <w:rsid w:val="76960CC6"/>
    <w:rsid w:val="769B008A"/>
    <w:rsid w:val="76A24662"/>
    <w:rsid w:val="76A258BD"/>
    <w:rsid w:val="76A74C81"/>
    <w:rsid w:val="76AC2297"/>
    <w:rsid w:val="76AF3B36"/>
    <w:rsid w:val="76B31878"/>
    <w:rsid w:val="76B455F0"/>
    <w:rsid w:val="76B803DA"/>
    <w:rsid w:val="76B949B4"/>
    <w:rsid w:val="76BA0E58"/>
    <w:rsid w:val="76BB75CB"/>
    <w:rsid w:val="76C05D43"/>
    <w:rsid w:val="76C07AF1"/>
    <w:rsid w:val="76C375E1"/>
    <w:rsid w:val="76C870AA"/>
    <w:rsid w:val="76CC293A"/>
    <w:rsid w:val="76D02273"/>
    <w:rsid w:val="76D25309"/>
    <w:rsid w:val="76D91E95"/>
    <w:rsid w:val="76E063E5"/>
    <w:rsid w:val="76E2215D"/>
    <w:rsid w:val="76E71522"/>
    <w:rsid w:val="76E82C3E"/>
    <w:rsid w:val="76ED4304"/>
    <w:rsid w:val="76EE28B0"/>
    <w:rsid w:val="76FE0619"/>
    <w:rsid w:val="76FE71E4"/>
    <w:rsid w:val="77020109"/>
    <w:rsid w:val="77043E82"/>
    <w:rsid w:val="771025E2"/>
    <w:rsid w:val="77163BB5"/>
    <w:rsid w:val="77185A8F"/>
    <w:rsid w:val="7718792D"/>
    <w:rsid w:val="771C566F"/>
    <w:rsid w:val="771D13E7"/>
    <w:rsid w:val="771D3195"/>
    <w:rsid w:val="771E100B"/>
    <w:rsid w:val="77204A34"/>
    <w:rsid w:val="77212C85"/>
    <w:rsid w:val="77304C77"/>
    <w:rsid w:val="77382EAE"/>
    <w:rsid w:val="773A3D47"/>
    <w:rsid w:val="773A78A3"/>
    <w:rsid w:val="774150D6"/>
    <w:rsid w:val="77440722"/>
    <w:rsid w:val="77456248"/>
    <w:rsid w:val="77471FC0"/>
    <w:rsid w:val="77493F8A"/>
    <w:rsid w:val="77494BAF"/>
    <w:rsid w:val="77496A31"/>
    <w:rsid w:val="774E334F"/>
    <w:rsid w:val="774F4AAD"/>
    <w:rsid w:val="775748F9"/>
    <w:rsid w:val="775766A7"/>
    <w:rsid w:val="775C1F10"/>
    <w:rsid w:val="777059BB"/>
    <w:rsid w:val="77747C82"/>
    <w:rsid w:val="777728A5"/>
    <w:rsid w:val="777A05E8"/>
    <w:rsid w:val="777C48AB"/>
    <w:rsid w:val="7783749C"/>
    <w:rsid w:val="77882D05"/>
    <w:rsid w:val="778E73DC"/>
    <w:rsid w:val="779276DF"/>
    <w:rsid w:val="77950F7E"/>
    <w:rsid w:val="779A47E6"/>
    <w:rsid w:val="779A6594"/>
    <w:rsid w:val="77A47413"/>
    <w:rsid w:val="77A5220E"/>
    <w:rsid w:val="77A865DC"/>
    <w:rsid w:val="77AB07A1"/>
    <w:rsid w:val="77AE3DED"/>
    <w:rsid w:val="77B96808"/>
    <w:rsid w:val="77BF424C"/>
    <w:rsid w:val="77BF7AAA"/>
    <w:rsid w:val="77C01480"/>
    <w:rsid w:val="77C32786"/>
    <w:rsid w:val="77C33D3D"/>
    <w:rsid w:val="77C35AEB"/>
    <w:rsid w:val="77C71A92"/>
    <w:rsid w:val="77CC48A9"/>
    <w:rsid w:val="77CD0717"/>
    <w:rsid w:val="77CD228E"/>
    <w:rsid w:val="77CD4BBB"/>
    <w:rsid w:val="77D00208"/>
    <w:rsid w:val="77DC4DFE"/>
    <w:rsid w:val="77E141C3"/>
    <w:rsid w:val="77E617D9"/>
    <w:rsid w:val="77E837A3"/>
    <w:rsid w:val="77EA751B"/>
    <w:rsid w:val="77ED2B68"/>
    <w:rsid w:val="77EE52A6"/>
    <w:rsid w:val="77F42148"/>
    <w:rsid w:val="77F51D1A"/>
    <w:rsid w:val="77F75794"/>
    <w:rsid w:val="77FA34D6"/>
    <w:rsid w:val="77FE04E7"/>
    <w:rsid w:val="77FE2FC7"/>
    <w:rsid w:val="78016613"/>
    <w:rsid w:val="780600CD"/>
    <w:rsid w:val="78081EAE"/>
    <w:rsid w:val="780C082F"/>
    <w:rsid w:val="78104AA8"/>
    <w:rsid w:val="78120820"/>
    <w:rsid w:val="78144598"/>
    <w:rsid w:val="781520BE"/>
    <w:rsid w:val="78153E6C"/>
    <w:rsid w:val="781C344D"/>
    <w:rsid w:val="781D17B3"/>
    <w:rsid w:val="78224CA5"/>
    <w:rsid w:val="782A7918"/>
    <w:rsid w:val="782F13D2"/>
    <w:rsid w:val="78393FFF"/>
    <w:rsid w:val="78397B5B"/>
    <w:rsid w:val="783C589D"/>
    <w:rsid w:val="783C764B"/>
    <w:rsid w:val="783E35ED"/>
    <w:rsid w:val="7840713B"/>
    <w:rsid w:val="78414C61"/>
    <w:rsid w:val="78485FF0"/>
    <w:rsid w:val="784F3822"/>
    <w:rsid w:val="78557889"/>
    <w:rsid w:val="786170B2"/>
    <w:rsid w:val="786372CE"/>
    <w:rsid w:val="78686CA8"/>
    <w:rsid w:val="787A2DB2"/>
    <w:rsid w:val="787D038F"/>
    <w:rsid w:val="78852DA0"/>
    <w:rsid w:val="78857244"/>
    <w:rsid w:val="78886D34"/>
    <w:rsid w:val="788B412F"/>
    <w:rsid w:val="789254BD"/>
    <w:rsid w:val="78A054C2"/>
    <w:rsid w:val="78A1562B"/>
    <w:rsid w:val="78A23952"/>
    <w:rsid w:val="78A31478"/>
    <w:rsid w:val="78A376CA"/>
    <w:rsid w:val="78A6518B"/>
    <w:rsid w:val="78A77A8E"/>
    <w:rsid w:val="78AE679B"/>
    <w:rsid w:val="78B05A6F"/>
    <w:rsid w:val="78B35B5F"/>
    <w:rsid w:val="78B673FD"/>
    <w:rsid w:val="78BD2111"/>
    <w:rsid w:val="78BD69DE"/>
    <w:rsid w:val="78C064CE"/>
    <w:rsid w:val="78C22246"/>
    <w:rsid w:val="78C23FF4"/>
    <w:rsid w:val="78C96AF8"/>
    <w:rsid w:val="78CC09CF"/>
    <w:rsid w:val="78CD4747"/>
    <w:rsid w:val="78CF04BF"/>
    <w:rsid w:val="78D67AA0"/>
    <w:rsid w:val="78DA26BD"/>
    <w:rsid w:val="78DB50B6"/>
    <w:rsid w:val="78DD498A"/>
    <w:rsid w:val="78E1137D"/>
    <w:rsid w:val="78E73A5B"/>
    <w:rsid w:val="78ED78AC"/>
    <w:rsid w:val="78F062A1"/>
    <w:rsid w:val="78F24541"/>
    <w:rsid w:val="78F44C22"/>
    <w:rsid w:val="78F65437"/>
    <w:rsid w:val="78FB5758"/>
    <w:rsid w:val="78FD17FC"/>
    <w:rsid w:val="79020895"/>
    <w:rsid w:val="79022643"/>
    <w:rsid w:val="79075EAB"/>
    <w:rsid w:val="79166AA4"/>
    <w:rsid w:val="7919007E"/>
    <w:rsid w:val="791A693D"/>
    <w:rsid w:val="791B1956"/>
    <w:rsid w:val="791D747D"/>
    <w:rsid w:val="791E4FA3"/>
    <w:rsid w:val="79240F16"/>
    <w:rsid w:val="79273E57"/>
    <w:rsid w:val="79297BCF"/>
    <w:rsid w:val="792A3948"/>
    <w:rsid w:val="792D46A2"/>
    <w:rsid w:val="792F71B0"/>
    <w:rsid w:val="79334EF2"/>
    <w:rsid w:val="79346574"/>
    <w:rsid w:val="79352A18"/>
    <w:rsid w:val="79382508"/>
    <w:rsid w:val="793D7B1F"/>
    <w:rsid w:val="793F5645"/>
    <w:rsid w:val="79404F19"/>
    <w:rsid w:val="79433827"/>
    <w:rsid w:val="79443222"/>
    <w:rsid w:val="79444A09"/>
    <w:rsid w:val="79456A3E"/>
    <w:rsid w:val="794D25C9"/>
    <w:rsid w:val="7950179B"/>
    <w:rsid w:val="79502D1E"/>
    <w:rsid w:val="79534C4C"/>
    <w:rsid w:val="795A5FDB"/>
    <w:rsid w:val="795C12C1"/>
    <w:rsid w:val="795D5ACB"/>
    <w:rsid w:val="795F5CE7"/>
    <w:rsid w:val="79660E24"/>
    <w:rsid w:val="79694470"/>
    <w:rsid w:val="796B643A"/>
    <w:rsid w:val="796C18EC"/>
    <w:rsid w:val="796D2246"/>
    <w:rsid w:val="79766B8D"/>
    <w:rsid w:val="797A667D"/>
    <w:rsid w:val="797C23F5"/>
    <w:rsid w:val="79870D9A"/>
    <w:rsid w:val="798968C0"/>
    <w:rsid w:val="798E2128"/>
    <w:rsid w:val="7992747C"/>
    <w:rsid w:val="79974DFF"/>
    <w:rsid w:val="799C2A97"/>
    <w:rsid w:val="79A11E5C"/>
    <w:rsid w:val="79A47B9E"/>
    <w:rsid w:val="79A61220"/>
    <w:rsid w:val="79A656C4"/>
    <w:rsid w:val="79A74F98"/>
    <w:rsid w:val="79AD70BA"/>
    <w:rsid w:val="79B0209F"/>
    <w:rsid w:val="79B24069"/>
    <w:rsid w:val="79B25E17"/>
    <w:rsid w:val="79B37DE1"/>
    <w:rsid w:val="79BA4CCB"/>
    <w:rsid w:val="79C618C2"/>
    <w:rsid w:val="79C9031F"/>
    <w:rsid w:val="79CD2C51"/>
    <w:rsid w:val="79CE69C9"/>
    <w:rsid w:val="79D35D8D"/>
    <w:rsid w:val="79D63AE0"/>
    <w:rsid w:val="79D7587D"/>
    <w:rsid w:val="79DB12C6"/>
    <w:rsid w:val="79DD09BA"/>
    <w:rsid w:val="79E30EE8"/>
    <w:rsid w:val="79E31F2E"/>
    <w:rsid w:val="79E45E91"/>
    <w:rsid w:val="79E955B1"/>
    <w:rsid w:val="79EB1948"/>
    <w:rsid w:val="79F01427"/>
    <w:rsid w:val="79F226B7"/>
    <w:rsid w:val="79F53F55"/>
    <w:rsid w:val="79F93A46"/>
    <w:rsid w:val="79FA5A10"/>
    <w:rsid w:val="79FB1D40"/>
    <w:rsid w:val="79FD1A8F"/>
    <w:rsid w:val="7A010571"/>
    <w:rsid w:val="7A010B4C"/>
    <w:rsid w:val="7A013C8D"/>
    <w:rsid w:val="7A067F11"/>
    <w:rsid w:val="7A15284A"/>
    <w:rsid w:val="7A1563A6"/>
    <w:rsid w:val="7A1940E8"/>
    <w:rsid w:val="7A195E96"/>
    <w:rsid w:val="7A1A3B88"/>
    <w:rsid w:val="7A1C14E2"/>
    <w:rsid w:val="7A1F0FD2"/>
    <w:rsid w:val="7A202BF3"/>
    <w:rsid w:val="7A212F9C"/>
    <w:rsid w:val="7A232871"/>
    <w:rsid w:val="7A236D15"/>
    <w:rsid w:val="7A247BD1"/>
    <w:rsid w:val="7A2D7B93"/>
    <w:rsid w:val="7A2E1215"/>
    <w:rsid w:val="7A3126BD"/>
    <w:rsid w:val="7A325F83"/>
    <w:rsid w:val="7A37631C"/>
    <w:rsid w:val="7A3B4602"/>
    <w:rsid w:val="7A3C3932"/>
    <w:rsid w:val="7A3E03B2"/>
    <w:rsid w:val="7A401675"/>
    <w:rsid w:val="7A4647B1"/>
    <w:rsid w:val="7A474D78"/>
    <w:rsid w:val="7A4B0019"/>
    <w:rsid w:val="7A523156"/>
    <w:rsid w:val="7A5B64AE"/>
    <w:rsid w:val="7A5C5D83"/>
    <w:rsid w:val="7A5E5F9F"/>
    <w:rsid w:val="7A6335B5"/>
    <w:rsid w:val="7A65347F"/>
    <w:rsid w:val="7A6B246A"/>
    <w:rsid w:val="7A6C06BC"/>
    <w:rsid w:val="7A6D61E2"/>
    <w:rsid w:val="7A721A4A"/>
    <w:rsid w:val="7A756E44"/>
    <w:rsid w:val="7A777060"/>
    <w:rsid w:val="7A7948AA"/>
    <w:rsid w:val="7A7C01D3"/>
    <w:rsid w:val="7A805F15"/>
    <w:rsid w:val="7A8C2B0C"/>
    <w:rsid w:val="7A8D418E"/>
    <w:rsid w:val="7A90282B"/>
    <w:rsid w:val="7A965738"/>
    <w:rsid w:val="7A9814B1"/>
    <w:rsid w:val="7A9D6AC7"/>
    <w:rsid w:val="7AA31C03"/>
    <w:rsid w:val="7AB4796D"/>
    <w:rsid w:val="7ABE5D7A"/>
    <w:rsid w:val="7AC676A0"/>
    <w:rsid w:val="7AC878BC"/>
    <w:rsid w:val="7ACB52DC"/>
    <w:rsid w:val="7ACD7486"/>
    <w:rsid w:val="7AD24297"/>
    <w:rsid w:val="7AD4000F"/>
    <w:rsid w:val="7AD973D3"/>
    <w:rsid w:val="7ADD6A97"/>
    <w:rsid w:val="7AE00762"/>
    <w:rsid w:val="7AE04C06"/>
    <w:rsid w:val="7AE65992"/>
    <w:rsid w:val="7AE77D42"/>
    <w:rsid w:val="7AEA15E0"/>
    <w:rsid w:val="7AF4420D"/>
    <w:rsid w:val="7AF91823"/>
    <w:rsid w:val="7AFE32DE"/>
    <w:rsid w:val="7B022DCE"/>
    <w:rsid w:val="7B02692A"/>
    <w:rsid w:val="7B03180C"/>
    <w:rsid w:val="7B034450"/>
    <w:rsid w:val="7B04546D"/>
    <w:rsid w:val="7B0614CE"/>
    <w:rsid w:val="7B073F40"/>
    <w:rsid w:val="7B0F7299"/>
    <w:rsid w:val="7B116B6D"/>
    <w:rsid w:val="7B122739"/>
    <w:rsid w:val="7B14377D"/>
    <w:rsid w:val="7B14665D"/>
    <w:rsid w:val="7B152B01"/>
    <w:rsid w:val="7B1563EB"/>
    <w:rsid w:val="7B164183"/>
    <w:rsid w:val="7B187EFC"/>
    <w:rsid w:val="7B205002"/>
    <w:rsid w:val="7B22521E"/>
    <w:rsid w:val="7B25086A"/>
    <w:rsid w:val="7B272834"/>
    <w:rsid w:val="7B2C39A7"/>
    <w:rsid w:val="7B2F1799"/>
    <w:rsid w:val="7B304F7F"/>
    <w:rsid w:val="7B39435C"/>
    <w:rsid w:val="7B407452"/>
    <w:rsid w:val="7B454A69"/>
    <w:rsid w:val="7B484328"/>
    <w:rsid w:val="7B484E73"/>
    <w:rsid w:val="7B486307"/>
    <w:rsid w:val="7B4B6523"/>
    <w:rsid w:val="7B4E1B6F"/>
    <w:rsid w:val="7B4E6013"/>
    <w:rsid w:val="7B4F7695"/>
    <w:rsid w:val="7B503B39"/>
    <w:rsid w:val="7B5053EA"/>
    <w:rsid w:val="7B555F4C"/>
    <w:rsid w:val="7B5573A2"/>
    <w:rsid w:val="7B566C76"/>
    <w:rsid w:val="7B5D0004"/>
    <w:rsid w:val="7B5F3D7C"/>
    <w:rsid w:val="7B62386D"/>
    <w:rsid w:val="7B627357"/>
    <w:rsid w:val="7B690757"/>
    <w:rsid w:val="7B6969A9"/>
    <w:rsid w:val="7B6C46EB"/>
    <w:rsid w:val="7B6C790C"/>
    <w:rsid w:val="7B7315D6"/>
    <w:rsid w:val="7B780263"/>
    <w:rsid w:val="7B7A6B50"/>
    <w:rsid w:val="7B7A6E08"/>
    <w:rsid w:val="7B7F54EB"/>
    <w:rsid w:val="7B7F61CD"/>
    <w:rsid w:val="7B8A691F"/>
    <w:rsid w:val="7B8B2705"/>
    <w:rsid w:val="7B8C5067"/>
    <w:rsid w:val="7B917CAE"/>
    <w:rsid w:val="7B9A0569"/>
    <w:rsid w:val="7B9B4AB4"/>
    <w:rsid w:val="7B9C1B1E"/>
    <w:rsid w:val="7B9D48A5"/>
    <w:rsid w:val="7BA06143"/>
    <w:rsid w:val="7BA3748A"/>
    <w:rsid w:val="7BA43E85"/>
    <w:rsid w:val="7BA45C33"/>
    <w:rsid w:val="7BA93249"/>
    <w:rsid w:val="7BAB5214"/>
    <w:rsid w:val="7BB120FE"/>
    <w:rsid w:val="7BB21980"/>
    <w:rsid w:val="7BB35E76"/>
    <w:rsid w:val="7BB73BB8"/>
    <w:rsid w:val="7BB87930"/>
    <w:rsid w:val="7BBA7205"/>
    <w:rsid w:val="7BBC2F7D"/>
    <w:rsid w:val="7BC41E31"/>
    <w:rsid w:val="7BC736D0"/>
    <w:rsid w:val="7BCB7664"/>
    <w:rsid w:val="7BCF6FDB"/>
    <w:rsid w:val="7BD06A28"/>
    <w:rsid w:val="7BD16F42"/>
    <w:rsid w:val="7BD227A0"/>
    <w:rsid w:val="7BD52290"/>
    <w:rsid w:val="7BD81D81"/>
    <w:rsid w:val="7BD83B2F"/>
    <w:rsid w:val="7BE02E4E"/>
    <w:rsid w:val="7BE14791"/>
    <w:rsid w:val="7BE349AD"/>
    <w:rsid w:val="7BE372CE"/>
    <w:rsid w:val="7BE40725"/>
    <w:rsid w:val="7BE44282"/>
    <w:rsid w:val="7BEE3352"/>
    <w:rsid w:val="7BEF1061"/>
    <w:rsid w:val="7BF26E13"/>
    <w:rsid w:val="7BF56027"/>
    <w:rsid w:val="7BF73FB5"/>
    <w:rsid w:val="7BFF730D"/>
    <w:rsid w:val="7C0112BB"/>
    <w:rsid w:val="7C042B76"/>
    <w:rsid w:val="7C052A67"/>
    <w:rsid w:val="7C070929"/>
    <w:rsid w:val="7C091F3A"/>
    <w:rsid w:val="7C0B7A60"/>
    <w:rsid w:val="7C0D21E1"/>
    <w:rsid w:val="7C134B67"/>
    <w:rsid w:val="7C191FBE"/>
    <w:rsid w:val="7C1E59E5"/>
    <w:rsid w:val="7C1F175E"/>
    <w:rsid w:val="7C286864"/>
    <w:rsid w:val="7C30396B"/>
    <w:rsid w:val="7C30729D"/>
    <w:rsid w:val="7C322558"/>
    <w:rsid w:val="7C3A0345"/>
    <w:rsid w:val="7C3C501C"/>
    <w:rsid w:val="7C3C5E6C"/>
    <w:rsid w:val="7C3F3BAE"/>
    <w:rsid w:val="7C464F3C"/>
    <w:rsid w:val="7C482A62"/>
    <w:rsid w:val="7C4E5B9F"/>
    <w:rsid w:val="7C521865"/>
    <w:rsid w:val="7C556E26"/>
    <w:rsid w:val="7C574A54"/>
    <w:rsid w:val="7C5C650E"/>
    <w:rsid w:val="7C5E1F95"/>
    <w:rsid w:val="7C5E2286"/>
    <w:rsid w:val="7C5E4034"/>
    <w:rsid w:val="7C613B24"/>
    <w:rsid w:val="7C615BE3"/>
    <w:rsid w:val="7C63164A"/>
    <w:rsid w:val="7C647170"/>
    <w:rsid w:val="7C66113B"/>
    <w:rsid w:val="7C694787"/>
    <w:rsid w:val="7C6F6241"/>
    <w:rsid w:val="7C783B35"/>
    <w:rsid w:val="7C7855C3"/>
    <w:rsid w:val="7C7A6994"/>
    <w:rsid w:val="7C7E6484"/>
    <w:rsid w:val="7C817D22"/>
    <w:rsid w:val="7C8708C0"/>
    <w:rsid w:val="7C8810B1"/>
    <w:rsid w:val="7C8A4E29"/>
    <w:rsid w:val="7C8B0BA1"/>
    <w:rsid w:val="7C8B770E"/>
    <w:rsid w:val="7C975798"/>
    <w:rsid w:val="7CA0464C"/>
    <w:rsid w:val="7CAB6CF8"/>
    <w:rsid w:val="7CAC1243"/>
    <w:rsid w:val="7CAD6D69"/>
    <w:rsid w:val="7CAF2AE1"/>
    <w:rsid w:val="7CB07F99"/>
    <w:rsid w:val="7CB64068"/>
    <w:rsid w:val="7CB83F86"/>
    <w:rsid w:val="7CBB76D8"/>
    <w:rsid w:val="7CBE2D25"/>
    <w:rsid w:val="7CC869E7"/>
    <w:rsid w:val="7CCA791B"/>
    <w:rsid w:val="7CD008E4"/>
    <w:rsid w:val="7CD6006E"/>
    <w:rsid w:val="7CD95DB0"/>
    <w:rsid w:val="7CDE0A96"/>
    <w:rsid w:val="7CE00EED"/>
    <w:rsid w:val="7CE04A49"/>
    <w:rsid w:val="7CE111F7"/>
    <w:rsid w:val="7CF964C9"/>
    <w:rsid w:val="7CFB66BA"/>
    <w:rsid w:val="7D16490F"/>
    <w:rsid w:val="7D1B1F25"/>
    <w:rsid w:val="7D1D03E0"/>
    <w:rsid w:val="7D1D5C9D"/>
    <w:rsid w:val="7D1F7C67"/>
    <w:rsid w:val="7D203AF9"/>
    <w:rsid w:val="7D23702C"/>
    <w:rsid w:val="7D240BEB"/>
    <w:rsid w:val="7D250FF6"/>
    <w:rsid w:val="7D320E55"/>
    <w:rsid w:val="7D342FE7"/>
    <w:rsid w:val="7D366D5F"/>
    <w:rsid w:val="7D382AD7"/>
    <w:rsid w:val="7D3E5C13"/>
    <w:rsid w:val="7D4421C5"/>
    <w:rsid w:val="7D4A45B8"/>
    <w:rsid w:val="7D586CD5"/>
    <w:rsid w:val="7D592A4D"/>
    <w:rsid w:val="7D5947FB"/>
    <w:rsid w:val="7D605B8A"/>
    <w:rsid w:val="7D6438CC"/>
    <w:rsid w:val="7D6507AA"/>
    <w:rsid w:val="7D692C90"/>
    <w:rsid w:val="7D697134"/>
    <w:rsid w:val="7D787377"/>
    <w:rsid w:val="7D796C4C"/>
    <w:rsid w:val="7D7B0C16"/>
    <w:rsid w:val="7D80622C"/>
    <w:rsid w:val="7D8C697F"/>
    <w:rsid w:val="7D8E0949"/>
    <w:rsid w:val="7D9A5540"/>
    <w:rsid w:val="7D9D6867"/>
    <w:rsid w:val="7D9D6DDE"/>
    <w:rsid w:val="7D9F66B2"/>
    <w:rsid w:val="7DA0067C"/>
    <w:rsid w:val="7DA6332E"/>
    <w:rsid w:val="7DAA32A9"/>
    <w:rsid w:val="7DB43EB9"/>
    <w:rsid w:val="7DC04CDA"/>
    <w:rsid w:val="7DC470AC"/>
    <w:rsid w:val="7DC600E3"/>
    <w:rsid w:val="7DCA389C"/>
    <w:rsid w:val="7DCC76C3"/>
    <w:rsid w:val="7DD520D4"/>
    <w:rsid w:val="7DDA3B8E"/>
    <w:rsid w:val="7DE052D0"/>
    <w:rsid w:val="7DE50961"/>
    <w:rsid w:val="7DEB3451"/>
    <w:rsid w:val="7DFF35F5"/>
    <w:rsid w:val="7DFF53A3"/>
    <w:rsid w:val="7E0429B9"/>
    <w:rsid w:val="7E046E5D"/>
    <w:rsid w:val="7E064983"/>
    <w:rsid w:val="7E1130F1"/>
    <w:rsid w:val="7E132871"/>
    <w:rsid w:val="7E1C14BF"/>
    <w:rsid w:val="7E1C41A7"/>
    <w:rsid w:val="7E260B81"/>
    <w:rsid w:val="7E2D0162"/>
    <w:rsid w:val="7E2D63B4"/>
    <w:rsid w:val="7E2E5C88"/>
    <w:rsid w:val="7E307C52"/>
    <w:rsid w:val="7E312BDA"/>
    <w:rsid w:val="7E3239CA"/>
    <w:rsid w:val="7E325778"/>
    <w:rsid w:val="7E370B7D"/>
    <w:rsid w:val="7E394D59"/>
    <w:rsid w:val="7E3F3E40"/>
    <w:rsid w:val="7E414B45"/>
    <w:rsid w:val="7E4159BB"/>
    <w:rsid w:val="7E417769"/>
    <w:rsid w:val="7E486D4A"/>
    <w:rsid w:val="7E491FC4"/>
    <w:rsid w:val="7E4E1E86"/>
    <w:rsid w:val="7E521976"/>
    <w:rsid w:val="7E543940"/>
    <w:rsid w:val="7E5576B9"/>
    <w:rsid w:val="7E590F57"/>
    <w:rsid w:val="7E6536A2"/>
    <w:rsid w:val="7E684384"/>
    <w:rsid w:val="7E684E78"/>
    <w:rsid w:val="7E694F12"/>
    <w:rsid w:val="7E6A657A"/>
    <w:rsid w:val="7E6B6EDC"/>
    <w:rsid w:val="7E6C674D"/>
    <w:rsid w:val="7E6D67B0"/>
    <w:rsid w:val="7E6E42D6"/>
    <w:rsid w:val="7E7E1F30"/>
    <w:rsid w:val="7E81225C"/>
    <w:rsid w:val="7E89704D"/>
    <w:rsid w:val="7E8D6E52"/>
    <w:rsid w:val="7E906943"/>
    <w:rsid w:val="7E933D3D"/>
    <w:rsid w:val="7E97382D"/>
    <w:rsid w:val="7E9C7095"/>
    <w:rsid w:val="7E9E2E0E"/>
    <w:rsid w:val="7EA034F5"/>
    <w:rsid w:val="7EA128FE"/>
    <w:rsid w:val="7EAB29C4"/>
    <w:rsid w:val="7EAC1CDF"/>
    <w:rsid w:val="7EAD3AAF"/>
    <w:rsid w:val="7EAF6DC9"/>
    <w:rsid w:val="7EB10D93"/>
    <w:rsid w:val="7EB50157"/>
    <w:rsid w:val="7EB77A2B"/>
    <w:rsid w:val="7EB97C47"/>
    <w:rsid w:val="7EBC09D3"/>
    <w:rsid w:val="7EC057BB"/>
    <w:rsid w:val="7EC2387D"/>
    <w:rsid w:val="7EC24AEC"/>
    <w:rsid w:val="7EC354DE"/>
    <w:rsid w:val="7ECF2FC7"/>
    <w:rsid w:val="7ECF59B9"/>
    <w:rsid w:val="7ED14F91"/>
    <w:rsid w:val="7ED607F9"/>
    <w:rsid w:val="7EDB3F5C"/>
    <w:rsid w:val="7EDB7BBE"/>
    <w:rsid w:val="7EE455A0"/>
    <w:rsid w:val="7EE747B5"/>
    <w:rsid w:val="7EEE75E6"/>
    <w:rsid w:val="7EF158A2"/>
    <w:rsid w:val="7EFB0260"/>
    <w:rsid w:val="7F01339C"/>
    <w:rsid w:val="7F017107"/>
    <w:rsid w:val="7F030EC3"/>
    <w:rsid w:val="7F031462"/>
    <w:rsid w:val="7F0D1AE4"/>
    <w:rsid w:val="7F0F607A"/>
    <w:rsid w:val="7F1629A4"/>
    <w:rsid w:val="7F166E48"/>
    <w:rsid w:val="7F17496E"/>
    <w:rsid w:val="7F1906E6"/>
    <w:rsid w:val="7F1A2D9B"/>
    <w:rsid w:val="7F1B620C"/>
    <w:rsid w:val="7F1C1F84"/>
    <w:rsid w:val="7F1E5137"/>
    <w:rsid w:val="7F233313"/>
    <w:rsid w:val="7F2A46A1"/>
    <w:rsid w:val="7F2D7CEE"/>
    <w:rsid w:val="7F320DCA"/>
    <w:rsid w:val="7F3B065C"/>
    <w:rsid w:val="7F4219EB"/>
    <w:rsid w:val="7F453223"/>
    <w:rsid w:val="7F4D0390"/>
    <w:rsid w:val="7F531E4A"/>
    <w:rsid w:val="7F547970"/>
    <w:rsid w:val="7F5525EB"/>
    <w:rsid w:val="7F590AE3"/>
    <w:rsid w:val="7F5E434B"/>
    <w:rsid w:val="7F5F07EF"/>
    <w:rsid w:val="7F620525"/>
    <w:rsid w:val="7F6A0F42"/>
    <w:rsid w:val="7F6C2F0C"/>
    <w:rsid w:val="7F6F0306"/>
    <w:rsid w:val="7F743B6E"/>
    <w:rsid w:val="7F761695"/>
    <w:rsid w:val="7F785F75"/>
    <w:rsid w:val="7F791E0A"/>
    <w:rsid w:val="7F7D0BFF"/>
    <w:rsid w:val="7F7D6EC7"/>
    <w:rsid w:val="7F833DB1"/>
    <w:rsid w:val="7F871AF4"/>
    <w:rsid w:val="7F8901BE"/>
    <w:rsid w:val="7F983D01"/>
    <w:rsid w:val="7F98785D"/>
    <w:rsid w:val="7F9B559F"/>
    <w:rsid w:val="7F9B769F"/>
    <w:rsid w:val="7F9E1BDA"/>
    <w:rsid w:val="7FA123EB"/>
    <w:rsid w:val="7FA2248A"/>
    <w:rsid w:val="7FA22FD9"/>
    <w:rsid w:val="7FA53D28"/>
    <w:rsid w:val="7FAC6712"/>
    <w:rsid w:val="7FB126CD"/>
    <w:rsid w:val="7FB14DC3"/>
    <w:rsid w:val="7FB16B71"/>
    <w:rsid w:val="7FB36445"/>
    <w:rsid w:val="7FB9503F"/>
    <w:rsid w:val="7FB977D3"/>
    <w:rsid w:val="7FBE4DEA"/>
    <w:rsid w:val="7FBF128D"/>
    <w:rsid w:val="7FBF303C"/>
    <w:rsid w:val="7FC05006"/>
    <w:rsid w:val="7FC71EF0"/>
    <w:rsid w:val="7FC860F6"/>
    <w:rsid w:val="7FCC560A"/>
    <w:rsid w:val="7FCE7723"/>
    <w:rsid w:val="7FD01FE6"/>
    <w:rsid w:val="7FD8234F"/>
    <w:rsid w:val="7FD840FD"/>
    <w:rsid w:val="7FE02FB2"/>
    <w:rsid w:val="7FE26D2A"/>
    <w:rsid w:val="7FEC1957"/>
    <w:rsid w:val="7FF06011"/>
    <w:rsid w:val="7FF07699"/>
    <w:rsid w:val="7FF151BF"/>
    <w:rsid w:val="7FF531DE"/>
    <w:rsid w:val="7FF53ADA"/>
    <w:rsid w:val="7FF542E2"/>
    <w:rsid w:val="7FF627D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7">
    <w:name w:val="heading 1"/>
    <w:basedOn w:val="1"/>
    <w:next w:val="1"/>
    <w:link w:val="49"/>
    <w:qFormat/>
    <w:uiPriority w:val="0"/>
    <w:pPr>
      <w:spacing w:beforeAutospacing="1" w:afterAutospacing="1"/>
      <w:jc w:val="left"/>
      <w:outlineLvl w:val="0"/>
    </w:pPr>
    <w:rPr>
      <w:rFonts w:hint="eastAsia" w:ascii="宋体" w:hAnsi="宋体"/>
      <w:b/>
      <w:bCs/>
      <w:kern w:val="44"/>
      <w:sz w:val="48"/>
      <w:szCs w:val="48"/>
    </w:rPr>
  </w:style>
  <w:style w:type="paragraph" w:styleId="8">
    <w:name w:val="heading 2"/>
    <w:basedOn w:val="1"/>
    <w:next w:val="1"/>
    <w:unhideWhenUsed/>
    <w:qFormat/>
    <w:uiPriority w:val="0"/>
    <w:pPr>
      <w:ind w:firstLine="0" w:firstLineChars="0"/>
      <w:jc w:val="left"/>
      <w:outlineLvl w:val="1"/>
    </w:pPr>
    <w:rPr>
      <w:rFonts w:hint="eastAsia"/>
      <w:b/>
      <w:bCs/>
      <w:kern w:val="0"/>
      <w:sz w:val="28"/>
      <w:szCs w:val="36"/>
    </w:rPr>
  </w:style>
  <w:style w:type="paragraph" w:styleId="9">
    <w:name w:val="heading 3"/>
    <w:basedOn w:val="1"/>
    <w:next w:val="1"/>
    <w:semiHidden/>
    <w:unhideWhenUsed/>
    <w:qFormat/>
    <w:uiPriority w:val="0"/>
    <w:pPr>
      <w:keepNext/>
      <w:keepLines/>
      <w:ind w:firstLine="0" w:firstLineChars="0"/>
      <w:outlineLvl w:val="2"/>
    </w:pPr>
    <w:rPr>
      <w:b/>
      <w:sz w:val="28"/>
    </w:rPr>
  </w:style>
  <w:style w:type="paragraph" w:styleId="10">
    <w:name w:val="heading 4"/>
    <w:basedOn w:val="1"/>
    <w:next w:val="1"/>
    <w:semiHidden/>
    <w:unhideWhenUsed/>
    <w:qFormat/>
    <w:uiPriority w:val="0"/>
    <w:pPr>
      <w:keepNext/>
      <w:keepLines/>
      <w:spacing w:before="280" w:after="290" w:line="372" w:lineRule="auto"/>
      <w:outlineLvl w:val="3"/>
    </w:pPr>
    <w:rPr>
      <w:b/>
      <w:sz w:val="28"/>
    </w:rPr>
  </w:style>
  <w:style w:type="paragraph" w:styleId="11">
    <w:name w:val="heading 5"/>
    <w:basedOn w:val="1"/>
    <w:next w:val="1"/>
    <w:semiHidden/>
    <w:unhideWhenUsed/>
    <w:qFormat/>
    <w:uiPriority w:val="0"/>
    <w:pPr>
      <w:keepNext/>
      <w:keepLines/>
      <w:outlineLvl w:val="4"/>
    </w:pPr>
    <w:rPr>
      <w:rFonts w:cstheme="minorBidi"/>
      <w:b/>
      <w:sz w:val="28"/>
    </w:rPr>
  </w:style>
  <w:style w:type="paragraph" w:styleId="12">
    <w:name w:val="heading 6"/>
    <w:basedOn w:val="1"/>
    <w:next w:val="1"/>
    <w:semiHidden/>
    <w:unhideWhenUsed/>
    <w:qFormat/>
    <w:uiPriority w:val="0"/>
    <w:pPr>
      <w:keepNext/>
      <w:keepLines/>
      <w:spacing w:before="240" w:after="64" w:line="317" w:lineRule="auto"/>
      <w:outlineLvl w:val="5"/>
    </w:pPr>
    <w:rPr>
      <w:rFonts w:ascii="Arial" w:hAnsi="Arial" w:eastAsia="黑体" w:cstheme="minorBidi"/>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qFormat/>
    <w:uiPriority w:val="99"/>
    <w:pPr>
      <w:spacing w:after="120"/>
      <w:ind w:left="420" w:leftChars="200" w:firstLine="420"/>
    </w:pPr>
    <w:rPr>
      <w:sz w:val="21"/>
    </w:rPr>
  </w:style>
  <w:style w:type="paragraph" w:styleId="3">
    <w:name w:val="Body Text Indent"/>
    <w:basedOn w:val="1"/>
    <w:next w:val="4"/>
    <w:semiHidden/>
    <w:qFormat/>
    <w:uiPriority w:val="99"/>
    <w:pPr>
      <w:ind w:firstLine="560"/>
    </w:pPr>
  </w:style>
  <w:style w:type="paragraph" w:styleId="4">
    <w:name w:val="Body Text First Indent"/>
    <w:basedOn w:val="5"/>
    <w:next w:val="1"/>
    <w:unhideWhenUsed/>
    <w:qFormat/>
    <w:uiPriority w:val="99"/>
    <w:pPr>
      <w:spacing w:after="120"/>
      <w:ind w:firstLine="420" w:firstLineChars="100"/>
    </w:pPr>
    <w:rPr>
      <w:szCs w:val="22"/>
    </w:rPr>
  </w:style>
  <w:style w:type="paragraph" w:styleId="5">
    <w:name w:val="Body Text"/>
    <w:basedOn w:val="1"/>
    <w:next w:val="6"/>
    <w:qFormat/>
    <w:uiPriority w:val="0"/>
    <w:pPr>
      <w:widowControl/>
      <w:snapToGrid w:val="0"/>
    </w:pPr>
    <w:rPr>
      <w:kern w:val="0"/>
      <w:szCs w:val="20"/>
    </w:rPr>
  </w:style>
  <w:style w:type="paragraph" w:customStyle="1" w:styleId="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Normal Indent"/>
    <w:basedOn w:val="1"/>
    <w:next w:val="10"/>
    <w:qFormat/>
    <w:uiPriority w:val="0"/>
    <w:pPr>
      <w:adjustRightInd w:val="0"/>
      <w:spacing w:line="312" w:lineRule="atLeast"/>
      <w:ind w:firstLine="420"/>
      <w:textAlignment w:val="baseline"/>
    </w:pPr>
    <w:rPr>
      <w:rFonts w:ascii="宋体" w:hAnsi="Courier New"/>
      <w:kern w:val="0"/>
      <w:sz w:val="21"/>
      <w:szCs w:val="20"/>
    </w:rPr>
  </w:style>
  <w:style w:type="paragraph" w:styleId="14">
    <w:name w:val="annotation text"/>
    <w:basedOn w:val="1"/>
    <w:link w:val="76"/>
    <w:qFormat/>
    <w:uiPriority w:val="0"/>
    <w:pPr>
      <w:jc w:val="left"/>
    </w:pPr>
  </w:style>
  <w:style w:type="paragraph" w:styleId="15">
    <w:name w:val="Plain Text"/>
    <w:basedOn w:val="1"/>
    <w:unhideWhenUsed/>
    <w:qFormat/>
    <w:uiPriority w:val="0"/>
    <w:pPr>
      <w:adjustRightInd w:val="0"/>
      <w:snapToGrid w:val="0"/>
    </w:pPr>
    <w:rPr>
      <w:rFonts w:ascii="宋体" w:hAnsi="Courier New"/>
      <w:kern w:val="24"/>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8">
    <w:name w:val="toc 1"/>
    <w:basedOn w:val="1"/>
    <w:next w:val="1"/>
    <w:qFormat/>
    <w:uiPriority w:val="0"/>
  </w:style>
  <w:style w:type="paragraph" w:styleId="19">
    <w:name w:val="table of figures"/>
    <w:basedOn w:val="1"/>
    <w:next w:val="1"/>
    <w:qFormat/>
    <w:uiPriority w:val="0"/>
    <w:pPr>
      <w:ind w:left="200" w:leftChars="200" w:hanging="200" w:hangingChars="200"/>
    </w:pPr>
  </w:style>
  <w:style w:type="paragraph" w:styleId="20">
    <w:name w:val="toc 2"/>
    <w:basedOn w:val="1"/>
    <w:next w:val="1"/>
    <w:qFormat/>
    <w:uiPriority w:val="0"/>
    <w:pPr>
      <w:ind w:left="420" w:leftChars="200"/>
    </w:pPr>
  </w:style>
  <w:style w:type="paragraph" w:styleId="21">
    <w:name w:val="Normal (Web)"/>
    <w:basedOn w:val="1"/>
    <w:qFormat/>
    <w:uiPriority w:val="0"/>
  </w:style>
  <w:style w:type="paragraph" w:styleId="22">
    <w:name w:val="annotation subject"/>
    <w:basedOn w:val="14"/>
    <w:next w:val="14"/>
    <w:link w:val="77"/>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paragraph" w:customStyle="1" w:styleId="29">
    <w:name w:val="正文文本1"/>
    <w:basedOn w:val="1"/>
    <w:qFormat/>
    <w:uiPriority w:val="0"/>
    <w:rPr>
      <w:rFonts w:eastAsia="Times New Roman"/>
    </w:rPr>
  </w:style>
  <w:style w:type="paragraph" w:customStyle="1" w:styleId="30">
    <w:name w:val="Default"/>
    <w:basedOn w:val="31"/>
    <w:next w:val="2"/>
    <w:qFormat/>
    <w:uiPriority w:val="99"/>
    <w:pPr>
      <w:autoSpaceDE w:val="0"/>
      <w:autoSpaceDN w:val="0"/>
      <w:adjustRightInd w:val="0"/>
    </w:pPr>
    <w:rPr>
      <w:rFonts w:ascii="宋体"/>
      <w:color w:val="000000"/>
      <w:sz w:val="24"/>
    </w:rPr>
  </w:style>
  <w:style w:type="paragraph" w:customStyle="1" w:styleId="31">
    <w:name w:val="！正文 Alt+0"/>
    <w:basedOn w:val="1"/>
    <w:qFormat/>
    <w:uiPriority w:val="0"/>
    <w:pPr>
      <w:ind w:firstLine="200"/>
    </w:pPr>
    <w:rPr>
      <w:sz w:val="28"/>
      <w:szCs w:val="28"/>
    </w:rPr>
  </w:style>
  <w:style w:type="paragraph" w:customStyle="1" w:styleId="32">
    <w:name w:val="Date1"/>
    <w:basedOn w:val="1"/>
    <w:next w:val="1"/>
    <w:qFormat/>
    <w:uiPriority w:val="0"/>
    <w:pPr>
      <w:adjustRightInd w:val="0"/>
      <w:jc w:val="left"/>
      <w:textAlignment w:val="baseline"/>
    </w:pPr>
    <w:rPr>
      <w:rFonts w:ascii="宋体" w:hAnsi="宋体"/>
      <w:sz w:val="28"/>
      <w:szCs w:val="20"/>
    </w:rPr>
  </w:style>
  <w:style w:type="paragraph" w:customStyle="1" w:styleId="33">
    <w:name w:val="纯文本1"/>
    <w:basedOn w:val="1"/>
    <w:qFormat/>
    <w:uiPriority w:val="0"/>
    <w:pPr>
      <w:adjustRightInd w:val="0"/>
    </w:pPr>
    <w:rPr>
      <w:rFonts w:ascii="宋体" w:hAnsi="Courier New"/>
    </w:rPr>
  </w:style>
  <w:style w:type="paragraph" w:customStyle="1" w:styleId="34">
    <w:name w:val="样式 正文文本缩进 + 行距: 1.5 倍行距"/>
    <w:basedOn w:val="3"/>
    <w:qFormat/>
    <w:uiPriority w:val="0"/>
    <w:pPr>
      <w:spacing w:after="120"/>
      <w:ind w:left="90" w:leftChars="32"/>
    </w:pPr>
    <w:rPr>
      <w:rFonts w:ascii="宋体" w:cs="宋体"/>
    </w:rPr>
  </w:style>
  <w:style w:type="paragraph" w:customStyle="1" w:styleId="35">
    <w:name w:val="正文缩进1"/>
    <w:basedOn w:val="1"/>
    <w:qFormat/>
    <w:uiPriority w:val="0"/>
  </w:style>
  <w:style w:type="paragraph" w:customStyle="1" w:styleId="36">
    <w:name w:val="表头"/>
    <w:basedOn w:val="37"/>
    <w:next w:val="37"/>
    <w:qFormat/>
    <w:uiPriority w:val="0"/>
    <w:pPr>
      <w:spacing w:line="360" w:lineRule="auto"/>
    </w:pPr>
    <w:rPr>
      <w:bCs/>
      <w:sz w:val="24"/>
    </w:rPr>
  </w:style>
  <w:style w:type="paragraph" w:customStyle="1" w:styleId="37">
    <w:name w:val="表格"/>
    <w:basedOn w:val="19"/>
    <w:next w:val="1"/>
    <w:qFormat/>
    <w:uiPriority w:val="0"/>
    <w:pPr>
      <w:spacing w:line="240" w:lineRule="auto"/>
      <w:ind w:firstLine="0" w:firstLineChars="0"/>
      <w:jc w:val="center"/>
    </w:pPr>
    <w:rPr>
      <w:sz w:val="21"/>
      <w:szCs w:val="21"/>
    </w:rPr>
  </w:style>
  <w:style w:type="paragraph" w:customStyle="1" w:styleId="38">
    <w:name w:val="表内文字"/>
    <w:basedOn w:val="36"/>
    <w:next w:val="1"/>
    <w:qFormat/>
    <w:uiPriority w:val="0"/>
    <w:pPr>
      <w:tabs>
        <w:tab w:val="left" w:pos="1021"/>
      </w:tabs>
      <w:adjustRightInd w:val="0"/>
      <w:snapToGrid w:val="0"/>
      <w:spacing w:line="240" w:lineRule="auto"/>
      <w:ind w:left="-20" w:leftChars="-20" w:right="-20" w:rightChars="-20"/>
    </w:pPr>
    <w:rPr>
      <w:sz w:val="21"/>
    </w:rPr>
  </w:style>
  <w:style w:type="character" w:customStyle="1" w:styleId="39">
    <w:name w:val="font11"/>
    <w:basedOn w:val="25"/>
    <w:qFormat/>
    <w:uiPriority w:val="0"/>
    <w:rPr>
      <w:rFonts w:hint="eastAsia" w:ascii="宋体" w:hAnsi="宋体" w:eastAsia="宋体" w:cs="宋体"/>
      <w:color w:val="000000"/>
      <w:sz w:val="21"/>
      <w:szCs w:val="21"/>
      <w:u w:val="none"/>
    </w:rPr>
  </w:style>
  <w:style w:type="character" w:customStyle="1" w:styleId="40">
    <w:name w:val="font21"/>
    <w:basedOn w:val="25"/>
    <w:qFormat/>
    <w:uiPriority w:val="0"/>
    <w:rPr>
      <w:rFonts w:hint="eastAsia" w:ascii="宋体" w:hAnsi="宋体" w:eastAsia="宋体" w:cs="宋体"/>
      <w:color w:val="000000"/>
      <w:sz w:val="21"/>
      <w:szCs w:val="21"/>
      <w:u w:val="none"/>
    </w:rPr>
  </w:style>
  <w:style w:type="character" w:customStyle="1" w:styleId="41">
    <w:name w:val="font31"/>
    <w:basedOn w:val="25"/>
    <w:qFormat/>
    <w:uiPriority w:val="0"/>
    <w:rPr>
      <w:rFonts w:hint="eastAsia" w:ascii="宋体" w:hAnsi="宋体" w:eastAsia="宋体" w:cs="宋体"/>
      <w:color w:val="000000"/>
      <w:sz w:val="21"/>
      <w:szCs w:val="21"/>
      <w:u w:val="none"/>
    </w:rPr>
  </w:style>
  <w:style w:type="paragraph" w:customStyle="1" w:styleId="42">
    <w:name w:val="表中文字"/>
    <w:basedOn w:val="36"/>
    <w:qFormat/>
    <w:uiPriority w:val="0"/>
    <w:pPr>
      <w:tabs>
        <w:tab w:val="left" w:pos="1021"/>
      </w:tabs>
      <w:spacing w:line="240" w:lineRule="auto"/>
    </w:pPr>
  </w:style>
  <w:style w:type="paragraph" w:customStyle="1" w:styleId="43">
    <w:name w:val="BGB-正文"/>
    <w:basedOn w:val="1"/>
    <w:qFormat/>
    <w:uiPriority w:val="0"/>
    <w:pPr>
      <w:ind w:firstLine="420"/>
    </w:pPr>
    <w:rPr>
      <w:rFonts w:cs="宋体"/>
      <w:szCs w:val="21"/>
    </w:rPr>
  </w:style>
  <w:style w:type="paragraph" w:customStyle="1" w:styleId="44">
    <w:name w:val="table caption"/>
    <w:qFormat/>
    <w:uiPriority w:val="0"/>
    <w:pPr>
      <w:spacing w:before="120" w:after="120"/>
      <w:jc w:val="center"/>
    </w:pPr>
    <w:rPr>
      <w:rFonts w:ascii="Times New Roman" w:hAnsi="Times New Roman" w:eastAsia="黑体" w:cs="Times New Roman"/>
      <w:b/>
      <w:kern w:val="2"/>
      <w:sz w:val="24"/>
      <w:szCs w:val="24"/>
      <w:lang w:val="en-US" w:eastAsia="zh-CN" w:bidi="ar-SA"/>
    </w:rPr>
  </w:style>
  <w:style w:type="character" w:customStyle="1" w:styleId="45">
    <w:name w:val="font41"/>
    <w:basedOn w:val="25"/>
    <w:qFormat/>
    <w:uiPriority w:val="0"/>
    <w:rPr>
      <w:rFonts w:hint="default" w:ascii="Times New Roman" w:hAnsi="Times New Roman" w:cs="Times New Roman"/>
      <w:color w:val="000000"/>
      <w:sz w:val="21"/>
      <w:szCs w:val="21"/>
      <w:u w:val="none"/>
      <w:vertAlign w:val="subscript"/>
    </w:rPr>
  </w:style>
  <w:style w:type="paragraph" w:customStyle="1" w:styleId="46">
    <w:name w:val="中文报告书样式"/>
    <w:basedOn w:val="1"/>
    <w:qFormat/>
    <w:uiPriority w:val="0"/>
    <w:pPr>
      <w:adjustRightInd w:val="0"/>
      <w:spacing w:line="480" w:lineRule="atLeast"/>
      <w:ind w:firstLine="482"/>
      <w:textAlignment w:val="baseline"/>
    </w:pPr>
    <w:rPr>
      <w:kern w:val="24"/>
    </w:rPr>
  </w:style>
  <w:style w:type="character" w:customStyle="1" w:styleId="47">
    <w:name w:val="font51"/>
    <w:basedOn w:val="25"/>
    <w:qFormat/>
    <w:uiPriority w:val="0"/>
    <w:rPr>
      <w:rFonts w:hint="eastAsia" w:ascii="宋体" w:hAnsi="宋体" w:eastAsia="宋体" w:cs="宋体"/>
      <w:color w:val="FF0000"/>
      <w:sz w:val="22"/>
      <w:szCs w:val="22"/>
      <w:u w:val="none"/>
    </w:rPr>
  </w:style>
  <w:style w:type="character" w:customStyle="1" w:styleId="48">
    <w:name w:val="font61"/>
    <w:basedOn w:val="25"/>
    <w:qFormat/>
    <w:uiPriority w:val="0"/>
    <w:rPr>
      <w:rFonts w:hint="default" w:ascii="Times New Roman" w:hAnsi="Times New Roman" w:cs="Times New Roman"/>
      <w:color w:val="000000"/>
      <w:sz w:val="21"/>
      <w:szCs w:val="21"/>
      <w:u w:val="none"/>
    </w:rPr>
  </w:style>
  <w:style w:type="character" w:customStyle="1" w:styleId="49">
    <w:name w:val="标题 1 字符"/>
    <w:basedOn w:val="25"/>
    <w:link w:val="7"/>
    <w:qFormat/>
    <w:uiPriority w:val="0"/>
    <w:rPr>
      <w:rFonts w:hint="eastAsia" w:ascii="宋体" w:hAnsi="宋体" w:eastAsia="宋体" w:cs="宋体"/>
      <w:b/>
      <w:bCs/>
      <w:kern w:val="44"/>
      <w:sz w:val="48"/>
      <w:szCs w:val="48"/>
      <w:lang w:val="en-US" w:eastAsia="zh-CN" w:bidi="ar"/>
    </w:rPr>
  </w:style>
  <w:style w:type="paragraph" w:customStyle="1" w:styleId="50">
    <w:name w:val="表格文字"/>
    <w:basedOn w:val="1"/>
    <w:qFormat/>
    <w:uiPriority w:val="0"/>
    <w:pPr>
      <w:adjustRightInd w:val="0"/>
      <w:snapToGrid w:val="0"/>
      <w:jc w:val="center"/>
    </w:pPr>
    <w:rPr>
      <w:szCs w:val="22"/>
    </w:rPr>
  </w:style>
  <w:style w:type="paragraph" w:customStyle="1" w:styleId="51">
    <w:name w:val="图表头"/>
    <w:next w:val="1"/>
    <w:qFormat/>
    <w:uiPriority w:val="0"/>
    <w:pPr>
      <w:widowControl w:val="0"/>
      <w:jc w:val="center"/>
    </w:pPr>
    <w:rPr>
      <w:rFonts w:ascii="Times New Roman" w:hAnsi="Times New Roman" w:eastAsia="宋体" w:cs="Times New Roman"/>
      <w:b/>
      <w:kern w:val="2"/>
      <w:sz w:val="21"/>
      <w:szCs w:val="21"/>
      <w:lang w:val="en-US" w:eastAsia="zh-CN" w:bidi="ar-SA"/>
    </w:rPr>
  </w:style>
  <w:style w:type="paragraph" w:customStyle="1" w:styleId="52">
    <w:name w:val="表内式样"/>
    <w:qFormat/>
    <w:uiPriority w:val="0"/>
    <w:pPr>
      <w:keepLines/>
      <w:widowControl w:val="0"/>
      <w:kinsoku w:val="0"/>
      <w:overflowPunct w:val="0"/>
      <w:adjustRightInd w:val="0"/>
      <w:spacing w:line="360" w:lineRule="atLeast"/>
      <w:jc w:val="center"/>
    </w:pPr>
    <w:rPr>
      <w:rFonts w:ascii="宋体" w:hAnsi="宋体" w:eastAsia="宋体" w:cs="宋体"/>
      <w:kern w:val="21"/>
      <w:sz w:val="21"/>
      <w:lang w:val="en-US" w:eastAsia="zh-CN" w:bidi="ar-SA"/>
    </w:rPr>
  </w:style>
  <w:style w:type="paragraph" w:styleId="53">
    <w:name w:val="List Paragraph"/>
    <w:basedOn w:val="1"/>
    <w:unhideWhenUsed/>
    <w:qFormat/>
    <w:uiPriority w:val="34"/>
    <w:pPr>
      <w:ind w:firstLine="420"/>
    </w:pPr>
  </w:style>
  <w:style w:type="paragraph" w:customStyle="1" w:styleId="54">
    <w:name w:val="lh-正文-报告表"/>
    <w:basedOn w:val="1"/>
    <w:qFormat/>
    <w:uiPriority w:val="0"/>
    <w:pPr>
      <w:ind w:firstLine="480"/>
    </w:pPr>
    <w:rPr>
      <w:kern w:val="0"/>
      <w:szCs w:val="21"/>
    </w:rPr>
  </w:style>
  <w:style w:type="paragraph" w:customStyle="1" w:styleId="55">
    <w:name w:val="lh-表题--报告表"/>
    <w:basedOn w:val="1"/>
    <w:qFormat/>
    <w:uiPriority w:val="0"/>
    <w:pPr>
      <w:keepNext/>
      <w:widowControl/>
      <w:numPr>
        <w:ilvl w:val="0"/>
        <w:numId w:val="1"/>
      </w:numPr>
      <w:spacing w:before="50" w:beforeLines="50"/>
      <w:ind w:left="0" w:firstLine="0"/>
      <w:jc w:val="center"/>
    </w:pPr>
    <w:rPr>
      <w:snapToGrid w:val="0"/>
      <w:kern w:val="0"/>
      <w:szCs w:val="21"/>
    </w:rPr>
  </w:style>
  <w:style w:type="paragraph" w:customStyle="1" w:styleId="56">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57">
    <w:name w:val="正文1"/>
    <w:next w:val="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Table Paragraph"/>
    <w:basedOn w:val="1"/>
    <w:qFormat/>
    <w:uiPriority w:val="1"/>
  </w:style>
  <w:style w:type="paragraph" w:customStyle="1" w:styleId="59">
    <w:name w:val="表1表2"/>
    <w:basedOn w:val="1"/>
    <w:qFormat/>
    <w:uiPriority w:val="0"/>
    <w:pPr>
      <w:adjustRightInd w:val="0"/>
      <w:jc w:val="center"/>
      <w:textAlignment w:val="center"/>
    </w:pPr>
    <w:rPr>
      <w:rFonts w:eastAsia="仿宋体"/>
    </w:rPr>
  </w:style>
  <w:style w:type="paragraph" w:customStyle="1" w:styleId="60">
    <w:name w:val="Table Text"/>
    <w:basedOn w:val="1"/>
    <w:semiHidden/>
    <w:qFormat/>
    <w:uiPriority w:val="0"/>
    <w:rPr>
      <w:rFonts w:ascii="宋体" w:hAnsi="宋体" w:cs="宋体"/>
      <w:lang w:eastAsia="en-US"/>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表格内容居中"/>
    <w:qFormat/>
    <w:uiPriority w:val="0"/>
    <w:pPr>
      <w:adjustRightInd w:val="0"/>
      <w:snapToGrid w:val="0"/>
      <w:jc w:val="center"/>
    </w:pPr>
    <w:rPr>
      <w:rFonts w:ascii="Times New Roman" w:hAnsi="Times New Roman" w:eastAsia="宋体" w:cs="Times New Roman"/>
      <w:snapToGrid w:val="0"/>
      <w:sz w:val="21"/>
      <w:szCs w:val="21"/>
      <w:lang w:val="en-US" w:eastAsia="zh-CN" w:bidi="ar-SA"/>
    </w:rPr>
  </w:style>
  <w:style w:type="character" w:customStyle="1" w:styleId="63">
    <w:name w:val="font12"/>
    <w:basedOn w:val="25"/>
    <w:qFormat/>
    <w:uiPriority w:val="0"/>
    <w:rPr>
      <w:rFonts w:ascii="宋体" w:hAnsi="宋体" w:eastAsia="宋体" w:cs="宋体"/>
      <w:color w:val="705050"/>
      <w:sz w:val="14"/>
      <w:szCs w:val="14"/>
      <w:u w:val="none"/>
    </w:rPr>
  </w:style>
  <w:style w:type="character" w:customStyle="1" w:styleId="64">
    <w:name w:val="font191"/>
    <w:basedOn w:val="25"/>
    <w:qFormat/>
    <w:uiPriority w:val="0"/>
    <w:rPr>
      <w:rFonts w:ascii="宋体" w:hAnsi="宋体" w:eastAsia="宋体" w:cs="宋体"/>
      <w:color w:val="000000"/>
      <w:sz w:val="14"/>
      <w:szCs w:val="14"/>
      <w:u w:val="none"/>
    </w:rPr>
  </w:style>
  <w:style w:type="character" w:customStyle="1" w:styleId="65">
    <w:name w:val="font71"/>
    <w:basedOn w:val="25"/>
    <w:qFormat/>
    <w:uiPriority w:val="0"/>
    <w:rPr>
      <w:rFonts w:ascii="宋体" w:hAnsi="宋体" w:eastAsia="宋体" w:cs="宋体"/>
      <w:color w:val="000028"/>
      <w:sz w:val="14"/>
      <w:szCs w:val="14"/>
      <w:u w:val="none"/>
    </w:rPr>
  </w:style>
  <w:style w:type="character" w:customStyle="1" w:styleId="66">
    <w:name w:val="font91"/>
    <w:basedOn w:val="25"/>
    <w:qFormat/>
    <w:uiPriority w:val="0"/>
    <w:rPr>
      <w:rFonts w:ascii="宋体" w:hAnsi="宋体" w:eastAsia="宋体" w:cs="宋体"/>
      <w:color w:val="505050"/>
      <w:sz w:val="14"/>
      <w:szCs w:val="14"/>
      <w:u w:val="none"/>
    </w:rPr>
  </w:style>
  <w:style w:type="character" w:customStyle="1" w:styleId="67">
    <w:name w:val="font101"/>
    <w:basedOn w:val="25"/>
    <w:qFormat/>
    <w:uiPriority w:val="0"/>
    <w:rPr>
      <w:rFonts w:ascii="宋体" w:hAnsi="宋体" w:eastAsia="宋体" w:cs="宋体"/>
      <w:color w:val="303040"/>
      <w:sz w:val="14"/>
      <w:szCs w:val="14"/>
      <w:u w:val="none"/>
    </w:rPr>
  </w:style>
  <w:style w:type="character" w:customStyle="1" w:styleId="68">
    <w:name w:val="font131"/>
    <w:basedOn w:val="25"/>
    <w:qFormat/>
    <w:uiPriority w:val="0"/>
    <w:rPr>
      <w:rFonts w:ascii="宋体" w:hAnsi="宋体" w:eastAsia="宋体" w:cs="宋体"/>
      <w:color w:val="607050"/>
      <w:sz w:val="14"/>
      <w:szCs w:val="14"/>
      <w:u w:val="none"/>
    </w:rPr>
  </w:style>
  <w:style w:type="character" w:customStyle="1" w:styleId="69">
    <w:name w:val="font151"/>
    <w:basedOn w:val="25"/>
    <w:qFormat/>
    <w:uiPriority w:val="0"/>
    <w:rPr>
      <w:rFonts w:ascii="宋体" w:hAnsi="宋体" w:eastAsia="宋体" w:cs="宋体"/>
      <w:color w:val="404040"/>
      <w:sz w:val="14"/>
      <w:szCs w:val="14"/>
      <w:u w:val="none"/>
    </w:rPr>
  </w:style>
  <w:style w:type="paragraph" w:customStyle="1" w:styleId="70">
    <w:name w:val="自定正文"/>
    <w:basedOn w:val="1"/>
    <w:qFormat/>
    <w:uiPriority w:val="0"/>
    <w:pPr>
      <w:snapToGrid w:val="0"/>
      <w:textAlignment w:val="center"/>
    </w:pPr>
    <w:rPr>
      <w:rFonts w:ascii="Arial" w:hAnsi="Arial"/>
      <w:color w:val="000000"/>
    </w:rPr>
  </w:style>
  <w:style w:type="paragraph" w:customStyle="1" w:styleId="71">
    <w:name w:val="yt正文"/>
    <w:basedOn w:val="13"/>
    <w:next w:val="1"/>
    <w:qFormat/>
    <w:uiPriority w:val="0"/>
    <w:pPr>
      <w:spacing w:line="360" w:lineRule="auto"/>
      <w:ind w:firstLine="723"/>
    </w:pPr>
    <w:rPr>
      <w:rFonts w:ascii="Times New Roman" w:hAnsi="Times New Roman"/>
      <w:sz w:val="24"/>
      <w:szCs w:val="28"/>
    </w:rPr>
  </w:style>
  <w:style w:type="paragraph" w:customStyle="1" w:styleId="72">
    <w:name w:val="D正文"/>
    <w:basedOn w:val="73"/>
    <w:qFormat/>
    <w:uiPriority w:val="0"/>
    <w:pPr>
      <w:spacing w:line="360" w:lineRule="auto"/>
      <w:ind w:firstLine="480"/>
    </w:pPr>
    <w:rPr>
      <w:rFonts w:hAnsi="Times New Roman"/>
    </w:rPr>
  </w:style>
  <w:style w:type="paragraph" w:customStyle="1" w:styleId="73">
    <w:name w:val="正文对的"/>
    <w:basedOn w:val="15"/>
    <w:semiHidden/>
    <w:qFormat/>
    <w:uiPriority w:val="0"/>
    <w:pPr>
      <w:spacing w:line="500" w:lineRule="exact"/>
      <w:ind w:firstLine="200"/>
    </w:pPr>
    <w:rPr>
      <w:rFonts w:ascii="Times New Roman" w:hAnsi="宋体"/>
      <w:szCs w:val="24"/>
    </w:rPr>
  </w:style>
  <w:style w:type="paragraph" w:customStyle="1" w:styleId="74">
    <w:name w:val="1表格正文"/>
    <w:qFormat/>
    <w:uiPriority w:val="0"/>
    <w:pPr>
      <w:jc w:val="center"/>
    </w:pPr>
    <w:rPr>
      <w:rFonts w:ascii="Times New Roman" w:hAnsi="Times New Roman" w:eastAsia="宋体" w:cs="Times New Roman"/>
      <w:color w:val="000000"/>
      <w:sz w:val="21"/>
      <w:szCs w:val="24"/>
      <w:u w:color="000000"/>
      <w:lang w:val="en-US" w:eastAsia="zh-CN" w:bidi="ar-SA"/>
    </w:rPr>
  </w:style>
  <w:style w:type="character" w:customStyle="1" w:styleId="75">
    <w:name w:val="font81"/>
    <w:basedOn w:val="25"/>
    <w:qFormat/>
    <w:uiPriority w:val="0"/>
    <w:rPr>
      <w:rFonts w:hint="default" w:ascii="Times New Roman" w:hAnsi="Times New Roman" w:cs="Times New Roman"/>
      <w:color w:val="000000"/>
      <w:sz w:val="21"/>
      <w:szCs w:val="21"/>
      <w:u w:val="none"/>
      <w:vertAlign w:val="superscript"/>
    </w:rPr>
  </w:style>
  <w:style w:type="character" w:customStyle="1" w:styleId="76">
    <w:name w:val="批注文字 字符"/>
    <w:basedOn w:val="25"/>
    <w:link w:val="14"/>
    <w:qFormat/>
    <w:uiPriority w:val="0"/>
    <w:rPr>
      <w:kern w:val="2"/>
      <w:sz w:val="24"/>
      <w:szCs w:val="24"/>
    </w:rPr>
  </w:style>
  <w:style w:type="character" w:customStyle="1" w:styleId="77">
    <w:name w:val="批注主题 字符"/>
    <w:basedOn w:val="76"/>
    <w:link w:val="22"/>
    <w:qFormat/>
    <w:uiPriority w:val="0"/>
    <w:rPr>
      <w:b/>
      <w:bCs/>
      <w:kern w:val="2"/>
      <w:sz w:val="24"/>
      <w:szCs w:val="24"/>
    </w:rPr>
  </w:style>
  <w:style w:type="paragraph" w:customStyle="1" w:styleId="78">
    <w:name w:val="Revision"/>
    <w:hidden/>
    <w:unhideWhenUsed/>
    <w:qFormat/>
    <w:uiPriority w:val="99"/>
    <w:rPr>
      <w:rFonts w:ascii="Times New Roman" w:hAnsi="Times New Roman" w:eastAsia="宋体" w:cs="Times New Roman"/>
      <w:kern w:val="2"/>
      <w:sz w:val="24"/>
      <w:szCs w:val="24"/>
      <w:lang w:val="en-US" w:eastAsia="zh-CN" w:bidi="ar-SA"/>
    </w:rPr>
  </w:style>
  <w:style w:type="paragraph" w:customStyle="1" w:styleId="79">
    <w:name w:val="Normal Indent"/>
    <w:basedOn w:val="1"/>
    <w:qFormat/>
    <w:uiPriority w:val="0"/>
  </w:style>
  <w:style w:type="paragraph" w:customStyle="1" w:styleId="80">
    <w:name w:val="1正文"/>
    <w:qFormat/>
    <w:uiPriority w:val="0"/>
    <w:pPr>
      <w:spacing w:line="480" w:lineRule="exact"/>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81">
    <w:name w:val="font112"/>
    <w:basedOn w:val="25"/>
    <w:qFormat/>
    <w:uiPriority w:val="0"/>
    <w:rPr>
      <w:rFonts w:hint="default" w:ascii="Times New Roman" w:hAnsi="Times New Roman" w:cs="Times New Roman"/>
      <w:color w:val="FF0000"/>
      <w:sz w:val="22"/>
      <w:szCs w:val="22"/>
      <w:u w:val="none"/>
    </w:rPr>
  </w:style>
  <w:style w:type="paragraph" w:customStyle="1" w:styleId="82">
    <w:name w:val="_Style 182"/>
    <w:basedOn w:val="1"/>
    <w:qFormat/>
    <w:uiPriority w:val="0"/>
    <w:pPr>
      <w:keepNext/>
      <w:widowControl/>
      <w:tabs>
        <w:tab w:val="left" w:pos="425"/>
      </w:tabs>
      <w:autoSpaceDE w:val="0"/>
      <w:autoSpaceDN w:val="0"/>
      <w:adjustRightInd w:val="0"/>
      <w:spacing w:before="80" w:after="80" w:line="240" w:lineRule="auto"/>
      <w:ind w:hanging="425"/>
      <w:jc w:val="both"/>
    </w:pPr>
    <w:rPr>
      <w:rFonts w:ascii="Arial" w:hAnsi="Arial" w:cs="Arial"/>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3BCEA-42D9-4A42-A0AB-1A38D170283E}">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10697</Words>
  <Characters>11692</Characters>
  <Lines>3615</Lines>
  <Paragraphs>3631</Paragraphs>
  <TotalTime>56</TotalTime>
  <ScaleCrop>false</ScaleCrop>
  <LinksUpToDate>false</LinksUpToDate>
  <CharactersWithSpaces>11781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2023-10-25T01:06:00Z</dcterms:created>
  <dc:creator>Administrator</dc:creator>
  <cp:lastModifiedBy>Administrator</cp:lastModifiedBy>
  <cp:lastPrinted>2025-06-13T02:16:00Z</cp:lastPrinted>
  <dcterms:modified xsi:type="dcterms:W3CDTF">2026-05-09T02:14:44Z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D714EADAEA964A2C844230B88F30E368</vt:lpwstr>
  </property>
  <property fmtid="{D5CDD505-2E9C-101B-9397-08002B2CF9AE}" pid="4" name="KSOTemplateDocerSaveRecord">
    <vt:lpwstr>eyJoZGlkIjoiYmM0OTFhYjE3NWEzZDM0NzYwMmI1ZDliMGYxYzliMjkiLCJ1c2VySWQiOiIyNTc0MTI0NjgifQ==</vt:lpwstr>
  </property>
</Properties>
</file>