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2B415">
      <w:pPr>
        <w:keepNext w:val="0"/>
        <w:keepLines w:val="0"/>
        <w:pageBreakBefore w:val="0"/>
        <w:widowControl w:val="0"/>
        <w:kinsoku/>
        <w:wordWrap/>
        <w:overflowPunct/>
        <w:topLinePunct w:val="0"/>
        <w:autoSpaceDE w:val="0"/>
        <w:autoSpaceDN w:val="0"/>
        <w:bidi w:val="0"/>
        <w:adjustRightInd w:val="0"/>
        <w:snapToGrid w:val="0"/>
        <w:spacing w:line="360" w:lineRule="exact"/>
        <w:jc w:val="both"/>
        <w:textAlignment w:val="baseline"/>
        <w:rPr>
          <w:rFonts w:hint="eastAsia" w:ascii="黑体" w:hAnsi="黑体" w:eastAsia="黑体" w:cs="黑体"/>
          <w:color w:val="000000"/>
          <w:sz w:val="28"/>
          <w:szCs w:val="28"/>
          <w:highlight w:val="none"/>
          <w:lang w:val="en-US" w:eastAsia="zh-CN"/>
        </w:rPr>
      </w:pPr>
      <w:bookmarkStart w:id="5" w:name="_GoBack"/>
      <w:bookmarkEnd w:id="5"/>
      <w:r>
        <w:rPr>
          <w:rFonts w:hint="eastAsia" w:ascii="黑体" w:hAnsi="黑体" w:eastAsia="黑体" w:cs="黑体"/>
          <w:color w:val="000000"/>
          <w:sz w:val="28"/>
          <w:szCs w:val="28"/>
          <w:highlight w:val="none"/>
          <w:lang w:val="en-US" w:eastAsia="zh-CN"/>
        </w:rPr>
        <w:t>附件6</w:t>
      </w:r>
    </w:p>
    <w:p w14:paraId="0515EC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方正小标宋简体" w:hAnsi="方正小标宋简体" w:eastAsia="方正小标宋简体" w:cs="方正小标宋简体"/>
          <w:snapToGrid/>
          <w:kern w:val="2"/>
          <w:sz w:val="36"/>
          <w:szCs w:val="36"/>
          <w:lang w:val="en-US" w:eastAsia="en-US"/>
        </w:rPr>
      </w:pPr>
      <w:r>
        <w:rPr>
          <w:rFonts w:hint="eastAsia" w:ascii="方正小标宋简体" w:hAnsi="方正小标宋简体" w:eastAsia="方正小标宋简体" w:cs="方正小标宋简体"/>
          <w:snapToGrid/>
          <w:kern w:val="2"/>
          <w:sz w:val="36"/>
          <w:szCs w:val="36"/>
          <w:lang w:val="en-US" w:eastAsia="en-US"/>
        </w:rPr>
        <w:t>落实好重“双碳”促转型的任务实施方案</w:t>
      </w:r>
    </w:p>
    <w:p w14:paraId="0D7312F7">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firstLine="420" w:firstLineChars="200"/>
        <w:jc w:val="both"/>
        <w:textAlignment w:val="baseline"/>
        <w:rPr>
          <w:rFonts w:hint="eastAsia" w:ascii="宋体" w:hAnsi="宋体" w:eastAsia="宋体" w:cs="宋体"/>
          <w:b w:val="0"/>
          <w:bCs w:val="0"/>
          <w:snapToGrid w:val="0"/>
          <w:color w:val="000000"/>
          <w:spacing w:val="0"/>
          <w:kern w:val="0"/>
          <w:sz w:val="21"/>
          <w:szCs w:val="21"/>
          <w:highlight w:val="none"/>
          <w:lang w:val="en-US" w:eastAsia="en-US" w:bidi="ar-SA"/>
        </w:rPr>
      </w:pPr>
    </w:p>
    <w:p w14:paraId="16032ED9">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firstLine="420" w:firstLineChars="200"/>
        <w:jc w:val="both"/>
        <w:textAlignment w:val="baseline"/>
        <w:rPr>
          <w:rFonts w:hint="eastAsia" w:ascii="宋体" w:hAnsi="宋体" w:eastAsia="宋体" w:cs="宋体"/>
          <w:b w:val="0"/>
          <w:bCs w:val="0"/>
          <w:snapToGrid w:val="0"/>
          <w:color w:val="000000"/>
          <w:spacing w:val="0"/>
          <w:kern w:val="0"/>
          <w:sz w:val="21"/>
          <w:szCs w:val="21"/>
          <w:highlight w:val="none"/>
          <w:lang w:val="en-US" w:eastAsia="en-US" w:bidi="ar-SA"/>
        </w:rPr>
      </w:pPr>
      <w:r>
        <w:rPr>
          <w:rFonts w:hint="eastAsia" w:ascii="宋体" w:hAnsi="宋体" w:eastAsia="宋体" w:cs="宋体"/>
          <w:b w:val="0"/>
          <w:bCs w:val="0"/>
          <w:snapToGrid w:val="0"/>
          <w:color w:val="000000"/>
          <w:spacing w:val="0"/>
          <w:kern w:val="0"/>
          <w:sz w:val="21"/>
          <w:szCs w:val="21"/>
          <w:highlight w:val="none"/>
          <w:lang w:val="en-US" w:eastAsia="en-US" w:bidi="ar-SA"/>
        </w:rPr>
        <w:t>为树立和践行绿水青山就是金山银山理念，深入贯彻落实国家、省、市碳达峰碳中和决策部署，立足</w:t>
      </w:r>
      <w:r>
        <w:rPr>
          <w:rFonts w:hint="eastAsia" w:ascii="宋体" w:hAnsi="宋体" w:eastAsia="宋体" w:cs="宋体"/>
          <w:b w:val="0"/>
          <w:bCs w:val="0"/>
          <w:snapToGrid w:val="0"/>
          <w:color w:val="000000"/>
          <w:spacing w:val="0"/>
          <w:kern w:val="0"/>
          <w:sz w:val="21"/>
          <w:szCs w:val="21"/>
          <w:highlight w:val="none"/>
          <w:lang w:val="en-US" w:eastAsia="zh-CN" w:bidi="ar-SA"/>
        </w:rPr>
        <w:t>本县</w:t>
      </w:r>
      <w:r>
        <w:rPr>
          <w:rFonts w:hint="eastAsia" w:ascii="宋体" w:hAnsi="宋体" w:eastAsia="宋体" w:cs="宋体"/>
          <w:b w:val="0"/>
          <w:bCs w:val="0"/>
          <w:snapToGrid w:val="0"/>
          <w:color w:val="000000"/>
          <w:spacing w:val="0"/>
          <w:kern w:val="0"/>
          <w:sz w:val="21"/>
          <w:szCs w:val="21"/>
          <w:highlight w:val="none"/>
          <w:lang w:val="en-US" w:eastAsia="en-US" w:bidi="ar-SA"/>
        </w:rPr>
        <w:t>区位优势、产业特色和生态禀赋，以碳达峰碳中和为牵引，协同推进降碳、减污、扩绿、增长，加快经济社会发展全面绿色转型，培育绿色发展新动能，巩固全国生态文明建设示范县成果，制定本方案。</w:t>
      </w:r>
    </w:p>
    <w:p w14:paraId="28129312">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firstLine="420" w:firstLineChars="200"/>
        <w:jc w:val="both"/>
        <w:textAlignment w:val="baseline"/>
        <w:outlineLvl w:val="2"/>
        <w:rPr>
          <w:rFonts w:hint="eastAsia" w:ascii="黑体" w:hAnsi="黑体" w:eastAsia="黑体" w:cs="黑体"/>
          <w:b w:val="0"/>
          <w:bCs w:val="0"/>
          <w:snapToGrid w:val="0"/>
          <w:color w:val="000000"/>
          <w:spacing w:val="0"/>
          <w:kern w:val="0"/>
          <w:sz w:val="21"/>
          <w:szCs w:val="21"/>
          <w:highlight w:val="none"/>
          <w:lang w:val="en-US" w:eastAsia="en-US" w:bidi="ar-SA"/>
        </w:rPr>
      </w:pPr>
      <w:bookmarkStart w:id="0" w:name="heading_0"/>
      <w:r>
        <w:rPr>
          <w:rFonts w:hint="eastAsia" w:ascii="黑体" w:hAnsi="黑体" w:eastAsia="黑体" w:cs="黑体"/>
          <w:b w:val="0"/>
          <w:bCs w:val="0"/>
          <w:snapToGrid w:val="0"/>
          <w:color w:val="000000"/>
          <w:spacing w:val="0"/>
          <w:kern w:val="0"/>
          <w:sz w:val="21"/>
          <w:szCs w:val="21"/>
          <w:highlight w:val="none"/>
          <w:lang w:val="en-US" w:eastAsia="en-US" w:bidi="ar-SA"/>
        </w:rPr>
        <w:t>一、主要目标</w:t>
      </w:r>
      <w:bookmarkEnd w:id="0"/>
    </w:p>
    <w:p w14:paraId="57F3C37F">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firstLine="420" w:firstLineChars="200"/>
        <w:jc w:val="both"/>
        <w:textAlignment w:val="baseline"/>
        <w:rPr>
          <w:rFonts w:hint="eastAsia" w:ascii="宋体" w:hAnsi="宋体" w:eastAsia="宋体" w:cs="宋体"/>
          <w:b w:val="0"/>
          <w:bCs w:val="0"/>
          <w:snapToGrid w:val="0"/>
          <w:color w:val="000000"/>
          <w:spacing w:val="0"/>
          <w:kern w:val="0"/>
          <w:sz w:val="21"/>
          <w:szCs w:val="21"/>
          <w:highlight w:val="none"/>
          <w:lang w:val="en-US" w:eastAsia="en-US" w:bidi="ar-SA"/>
        </w:rPr>
      </w:pPr>
      <w:r>
        <w:rPr>
          <w:rFonts w:hint="eastAsia" w:ascii="方正楷体_GB2312" w:hAnsi="方正楷体_GB2312" w:eastAsia="方正楷体_GB2312" w:cs="方正楷体_GB2312"/>
          <w:b w:val="0"/>
          <w:bCs w:val="0"/>
          <w:color w:val="auto"/>
          <w:sz w:val="21"/>
          <w:szCs w:val="21"/>
          <w:lang w:val="en-US" w:eastAsia="zh-CN"/>
        </w:rPr>
        <w:t>（一）</w:t>
      </w:r>
      <w:r>
        <w:rPr>
          <w:rFonts w:hint="eastAsia" w:ascii="方正楷体_GB2312" w:hAnsi="方正楷体_GB2312" w:eastAsia="方正楷体_GB2312" w:cs="方正楷体_GB2312"/>
          <w:b w:val="0"/>
          <w:bCs w:val="0"/>
          <w:color w:val="auto"/>
          <w:sz w:val="21"/>
          <w:szCs w:val="21"/>
          <w:lang w:val="en-US" w:eastAsia="en-US"/>
        </w:rPr>
        <w:t>碳达峰控制指标：</w:t>
      </w:r>
      <w:r>
        <w:rPr>
          <w:rFonts w:hint="eastAsia" w:ascii="宋体" w:hAnsi="宋体" w:eastAsia="宋体" w:cs="宋体"/>
          <w:b w:val="0"/>
          <w:bCs w:val="0"/>
          <w:snapToGrid w:val="0"/>
          <w:color w:val="000000"/>
          <w:spacing w:val="0"/>
          <w:kern w:val="0"/>
          <w:sz w:val="21"/>
          <w:szCs w:val="21"/>
          <w:highlight w:val="none"/>
          <w:lang w:val="en-US" w:eastAsia="en-US" w:bidi="ar-SA"/>
        </w:rPr>
        <w:t>全县二氧化碳排放总量、单位GDP二氧化碳排放下降率、煤炭消费总量、石油消费总量、非化石能源消费占能源消费总量比重等控制指标和相关支撑指标，严格按照省、市衔接下达目标全面完成。</w:t>
      </w:r>
    </w:p>
    <w:p w14:paraId="4A2B951C">
      <w:pPr>
        <w:keepNext w:val="0"/>
        <w:keepLines w:val="0"/>
        <w:pageBreakBefore w:val="0"/>
        <w:widowControl w:val="0"/>
        <w:kinsoku/>
        <w:wordWrap/>
        <w:overflowPunct/>
        <w:topLinePunct w:val="0"/>
        <w:autoSpaceDE w:val="0"/>
        <w:autoSpaceDN w:val="0"/>
        <w:bidi w:val="0"/>
        <w:adjustRightInd w:val="0"/>
        <w:snapToGrid w:val="0"/>
        <w:spacing w:line="360" w:lineRule="exact"/>
        <w:ind w:right="0" w:firstLine="420" w:firstLineChars="200"/>
        <w:jc w:val="both"/>
        <w:textAlignment w:val="baseline"/>
        <w:rPr>
          <w:rFonts w:hint="eastAsia" w:ascii="宋体" w:hAnsi="宋体" w:eastAsia="宋体" w:cs="宋体"/>
          <w:b w:val="0"/>
          <w:bCs w:val="0"/>
          <w:sz w:val="21"/>
          <w:szCs w:val="21"/>
          <w:lang w:val="en-US" w:eastAsia="en-US"/>
        </w:rPr>
      </w:pPr>
      <w:r>
        <w:rPr>
          <w:rFonts w:hint="eastAsia" w:ascii="方正楷体_GB2312" w:hAnsi="方正楷体_GB2312" w:eastAsia="方正楷体_GB2312" w:cs="方正楷体_GB2312"/>
          <w:b w:val="0"/>
          <w:bCs w:val="0"/>
          <w:color w:val="auto"/>
          <w:sz w:val="21"/>
          <w:szCs w:val="21"/>
          <w:lang w:val="en-US" w:eastAsia="zh-CN"/>
        </w:rPr>
        <w:t>（二）</w:t>
      </w:r>
      <w:r>
        <w:rPr>
          <w:rFonts w:hint="eastAsia" w:ascii="方正楷体_GB2312" w:hAnsi="方正楷体_GB2312" w:eastAsia="方正楷体_GB2312" w:cs="方正楷体_GB2312"/>
          <w:b w:val="0"/>
          <w:bCs w:val="0"/>
          <w:color w:val="auto"/>
          <w:sz w:val="21"/>
          <w:szCs w:val="21"/>
          <w:lang w:val="en-US" w:eastAsia="en-US"/>
        </w:rPr>
        <w:t>生态环境约束性指标：</w:t>
      </w:r>
      <w:r>
        <w:rPr>
          <w:rFonts w:hint="eastAsia" w:ascii="宋体" w:hAnsi="宋体" w:eastAsia="宋体" w:cs="宋体"/>
          <w:b w:val="0"/>
          <w:bCs w:val="0"/>
          <w:snapToGrid w:val="0"/>
          <w:color w:val="000000"/>
          <w:spacing w:val="0"/>
          <w:kern w:val="0"/>
          <w:sz w:val="21"/>
          <w:szCs w:val="21"/>
          <w:highlight w:val="none"/>
          <w:lang w:val="en-US" w:eastAsia="en-US" w:bidi="ar-SA"/>
        </w:rPr>
        <w:t>全</w:t>
      </w:r>
      <w:r>
        <w:rPr>
          <w:rFonts w:hint="eastAsia" w:ascii="宋体" w:hAnsi="宋体" w:eastAsia="宋体" w:cs="宋体"/>
          <w:b w:val="0"/>
          <w:bCs w:val="0"/>
          <w:snapToGrid w:val="0"/>
          <w:color w:val="000000"/>
          <w:spacing w:val="0"/>
          <w:kern w:val="0"/>
          <w:sz w:val="21"/>
          <w:szCs w:val="21"/>
          <w:highlight w:val="none"/>
          <w:lang w:val="en-US" w:eastAsia="zh-CN" w:bidi="ar-SA"/>
        </w:rPr>
        <w:t>县</w:t>
      </w:r>
      <w:r>
        <w:rPr>
          <w:rFonts w:hint="eastAsia" w:ascii="宋体" w:hAnsi="宋体" w:eastAsia="宋体" w:cs="宋体"/>
          <w:b w:val="0"/>
          <w:bCs w:val="0"/>
          <w:snapToGrid w:val="0"/>
          <w:color w:val="000000"/>
          <w:spacing w:val="0"/>
          <w:kern w:val="0"/>
          <w:sz w:val="21"/>
          <w:szCs w:val="21"/>
          <w:highlight w:val="none"/>
          <w:lang w:val="en-US" w:eastAsia="en-US" w:bidi="ar-SA"/>
        </w:rPr>
        <w:t>PM</w:t>
      </w:r>
      <w:r>
        <w:rPr>
          <w:rFonts w:hint="eastAsia" w:ascii="宋体" w:hAnsi="宋体" w:eastAsia="宋体" w:cs="宋体"/>
          <w:b w:val="0"/>
          <w:bCs w:val="0"/>
          <w:snapToGrid w:val="0"/>
          <w:color w:val="000000"/>
          <w:spacing w:val="0"/>
          <w:kern w:val="0"/>
          <w:sz w:val="21"/>
          <w:szCs w:val="21"/>
          <w:highlight w:val="none"/>
          <w:lang w:val="en-US" w:eastAsia="zh-CN" w:bidi="ar-SA"/>
        </w:rPr>
        <w:t>2.5</w:t>
      </w:r>
      <w:r>
        <w:rPr>
          <w:rFonts w:hint="eastAsia" w:ascii="宋体" w:hAnsi="宋体" w:eastAsia="宋体" w:cs="宋体"/>
          <w:b w:val="0"/>
          <w:bCs w:val="0"/>
          <w:snapToGrid w:val="0"/>
          <w:color w:val="000000"/>
          <w:spacing w:val="0"/>
          <w:kern w:val="0"/>
          <w:sz w:val="21"/>
          <w:szCs w:val="21"/>
          <w:highlight w:val="none"/>
          <w:lang w:val="en-US" w:eastAsia="en-US" w:bidi="ar-SA"/>
        </w:rPr>
        <w:t>平均浓度达到</w:t>
      </w:r>
      <w:r>
        <w:rPr>
          <w:rFonts w:hint="eastAsia" w:ascii="宋体" w:hAnsi="宋体" w:eastAsia="宋体" w:cs="宋体"/>
          <w:b w:val="0"/>
          <w:bCs w:val="0"/>
          <w:snapToGrid w:val="0"/>
          <w:color w:val="000000"/>
          <w:spacing w:val="0"/>
          <w:kern w:val="0"/>
          <w:sz w:val="21"/>
          <w:szCs w:val="21"/>
          <w:highlight w:val="none"/>
          <w:lang w:val="en-US" w:eastAsia="zh-CN" w:bidi="ar-SA"/>
        </w:rPr>
        <w:t>省、市</w:t>
      </w:r>
      <w:r>
        <w:rPr>
          <w:rFonts w:hint="eastAsia" w:ascii="宋体" w:hAnsi="宋体" w:eastAsia="宋体" w:cs="宋体"/>
          <w:b w:val="0"/>
          <w:bCs w:val="0"/>
          <w:snapToGrid w:val="0"/>
          <w:color w:val="000000"/>
          <w:spacing w:val="0"/>
          <w:kern w:val="0"/>
          <w:sz w:val="21"/>
          <w:szCs w:val="21"/>
          <w:highlight w:val="none"/>
          <w:lang w:val="en-US" w:eastAsia="en-US" w:bidi="ar-SA"/>
        </w:rPr>
        <w:t>下达目标；</w:t>
      </w:r>
      <w:r>
        <w:rPr>
          <w:rFonts w:hint="eastAsia" w:ascii="宋体" w:hAnsi="宋体" w:eastAsia="宋体" w:cs="宋体"/>
          <w:b w:val="0"/>
          <w:bCs w:val="0"/>
          <w:snapToGrid w:val="0"/>
          <w:color w:val="000000"/>
          <w:spacing w:val="0"/>
          <w:kern w:val="0"/>
          <w:sz w:val="21"/>
          <w:szCs w:val="21"/>
          <w:highlight w:val="none"/>
          <w:lang w:val="en-US" w:eastAsia="zh-CN" w:bidi="ar-SA"/>
        </w:rPr>
        <w:t>省</w:t>
      </w:r>
      <w:r>
        <w:rPr>
          <w:rFonts w:hint="eastAsia" w:ascii="宋体" w:hAnsi="宋体" w:eastAsia="宋体" w:cs="宋体"/>
          <w:b w:val="0"/>
          <w:bCs w:val="0"/>
          <w:snapToGrid w:val="0"/>
          <w:color w:val="000000"/>
          <w:spacing w:val="0"/>
          <w:kern w:val="0"/>
          <w:sz w:val="21"/>
          <w:szCs w:val="21"/>
          <w:highlight w:val="none"/>
          <w:lang w:val="en-US" w:eastAsia="en-US" w:bidi="ar-SA"/>
        </w:rPr>
        <w:t>考断面优良水体比例达到</w:t>
      </w:r>
      <w:r>
        <w:rPr>
          <w:rFonts w:hint="eastAsia" w:ascii="宋体" w:hAnsi="宋体" w:eastAsia="宋体" w:cs="宋体"/>
          <w:b w:val="0"/>
          <w:bCs w:val="0"/>
          <w:snapToGrid w:val="0"/>
          <w:color w:val="000000"/>
          <w:spacing w:val="0"/>
          <w:kern w:val="0"/>
          <w:sz w:val="21"/>
          <w:szCs w:val="21"/>
          <w:highlight w:val="none"/>
          <w:lang w:val="en-US" w:eastAsia="zh-CN" w:bidi="ar-SA"/>
        </w:rPr>
        <w:t>省</w:t>
      </w:r>
      <w:r>
        <w:rPr>
          <w:rFonts w:hint="eastAsia" w:ascii="宋体" w:hAnsi="宋体" w:eastAsia="宋体" w:cs="宋体"/>
          <w:b w:val="0"/>
          <w:bCs w:val="0"/>
          <w:snapToGrid w:val="0"/>
          <w:color w:val="000000"/>
          <w:spacing w:val="0"/>
          <w:kern w:val="0"/>
          <w:sz w:val="21"/>
          <w:szCs w:val="21"/>
          <w:highlight w:val="none"/>
          <w:lang w:val="en-US" w:eastAsia="en-US" w:bidi="ar-SA"/>
        </w:rPr>
        <w:t>下达目标，无劣V类水体；受污染耕地安全利用率达到</w:t>
      </w:r>
      <w:r>
        <w:rPr>
          <w:rFonts w:hint="eastAsia" w:ascii="宋体" w:hAnsi="宋体" w:eastAsia="宋体" w:cs="宋体"/>
          <w:b w:val="0"/>
          <w:bCs w:val="0"/>
          <w:snapToGrid w:val="0"/>
          <w:color w:val="000000"/>
          <w:spacing w:val="0"/>
          <w:kern w:val="0"/>
          <w:sz w:val="21"/>
          <w:szCs w:val="21"/>
          <w:highlight w:val="none"/>
          <w:lang w:val="en-US" w:eastAsia="zh-CN" w:bidi="ar-SA"/>
        </w:rPr>
        <w:t>省、市</w:t>
      </w:r>
      <w:r>
        <w:rPr>
          <w:rFonts w:hint="eastAsia" w:ascii="宋体" w:hAnsi="宋体" w:eastAsia="宋体" w:cs="宋体"/>
          <w:b w:val="0"/>
          <w:bCs w:val="0"/>
          <w:snapToGrid w:val="0"/>
          <w:color w:val="000000"/>
          <w:spacing w:val="0"/>
          <w:kern w:val="0"/>
          <w:sz w:val="21"/>
          <w:szCs w:val="21"/>
          <w:highlight w:val="none"/>
          <w:lang w:val="en-US" w:eastAsia="en-US" w:bidi="ar-SA"/>
        </w:rPr>
        <w:t>下达目标，建设用地安全利用得到有效保障。</w:t>
      </w:r>
    </w:p>
    <w:p w14:paraId="23C99D2C">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firstLine="420" w:firstLineChars="200"/>
        <w:jc w:val="both"/>
        <w:textAlignment w:val="baseline"/>
        <w:outlineLvl w:val="2"/>
        <w:rPr>
          <w:rFonts w:hint="eastAsia" w:ascii="黑体" w:hAnsi="黑体" w:eastAsia="黑体" w:cs="黑体"/>
          <w:b w:val="0"/>
          <w:bCs w:val="0"/>
          <w:snapToGrid w:val="0"/>
          <w:color w:val="000000"/>
          <w:spacing w:val="0"/>
          <w:kern w:val="0"/>
          <w:sz w:val="21"/>
          <w:szCs w:val="21"/>
          <w:highlight w:val="none"/>
          <w:lang w:val="en-US" w:eastAsia="en-US" w:bidi="ar-SA"/>
        </w:rPr>
      </w:pPr>
      <w:bookmarkStart w:id="1" w:name="heading_1"/>
      <w:r>
        <w:rPr>
          <w:rFonts w:hint="eastAsia" w:ascii="黑体" w:hAnsi="黑体" w:eastAsia="黑体" w:cs="黑体"/>
          <w:b w:val="0"/>
          <w:bCs w:val="0"/>
          <w:snapToGrid w:val="0"/>
          <w:color w:val="000000"/>
          <w:spacing w:val="0"/>
          <w:kern w:val="0"/>
          <w:sz w:val="21"/>
          <w:szCs w:val="21"/>
          <w:highlight w:val="none"/>
          <w:lang w:val="en-US" w:eastAsia="en-US" w:bidi="ar-SA"/>
        </w:rPr>
        <w:t>二、重点任务</w:t>
      </w:r>
      <w:bookmarkEnd w:id="1"/>
    </w:p>
    <w:p w14:paraId="09C4C52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color w:val="auto"/>
          <w:sz w:val="21"/>
          <w:szCs w:val="21"/>
          <w:lang w:val="en-US" w:eastAsia="zh-CN"/>
        </w:rPr>
      </w:pPr>
      <w:bookmarkStart w:id="2" w:name="heading_2"/>
      <w:r>
        <w:rPr>
          <w:rFonts w:hint="eastAsia" w:ascii="方正楷体_GB2312" w:hAnsi="方正楷体_GB2312" w:eastAsia="方正楷体_GB2312" w:cs="方正楷体_GB2312"/>
          <w:b w:val="0"/>
          <w:bCs w:val="0"/>
          <w:color w:val="auto"/>
          <w:sz w:val="21"/>
          <w:szCs w:val="21"/>
          <w:lang w:val="en-US" w:eastAsia="zh-CN"/>
        </w:rPr>
        <w:t>（一）有序实施碳达峰行动</w:t>
      </w:r>
      <w:bookmarkEnd w:id="2"/>
    </w:p>
    <w:p w14:paraId="0A4038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right="0" w:rightChars="0" w:firstLine="420" w:firstLineChars="200"/>
        <w:jc w:val="both"/>
        <w:textAlignment w:val="auto"/>
        <w:outlineLvl w:val="9"/>
        <w:rPr>
          <w:rFonts w:hint="eastAsia" w:ascii="方正楷体_GB2312" w:hAnsi="方正楷体_GB2312" w:eastAsia="方正楷体_GB2312" w:cs="方正楷体_GB2312"/>
          <w:b w:val="0"/>
          <w:bCs w:val="0"/>
          <w:color w:val="auto"/>
          <w:sz w:val="21"/>
          <w:szCs w:val="21"/>
          <w:lang w:val="en-US" w:eastAsia="en-US"/>
        </w:rPr>
      </w:pPr>
      <w:r>
        <w:rPr>
          <w:rFonts w:hint="eastAsia" w:ascii="宋体" w:hAnsi="宋体" w:eastAsia="宋体" w:cs="宋体"/>
          <w:b w:val="0"/>
          <w:bCs w:val="0"/>
          <w:snapToGrid w:val="0"/>
          <w:color w:val="000000"/>
          <w:spacing w:val="0"/>
          <w:kern w:val="0"/>
          <w:sz w:val="21"/>
          <w:szCs w:val="21"/>
          <w:highlight w:val="none"/>
          <w:lang w:val="en-US" w:eastAsia="zh-CN" w:bidi="ar-SA"/>
        </w:rPr>
        <w:t>1.健全碳排放双控制度体系。</w:t>
      </w:r>
      <w:r>
        <w:rPr>
          <w:rFonts w:hint="eastAsia" w:ascii="宋体" w:hAnsi="宋体" w:eastAsia="宋体" w:cs="宋体"/>
          <w:b w:val="0"/>
          <w:bCs w:val="0"/>
          <w:snapToGrid w:val="0"/>
          <w:color w:val="000000"/>
          <w:spacing w:val="0"/>
          <w:kern w:val="0"/>
          <w:sz w:val="21"/>
          <w:szCs w:val="21"/>
          <w:highlight w:val="none"/>
          <w:lang w:val="en-US" w:eastAsia="en-US" w:bidi="ar-SA"/>
        </w:rPr>
        <w:t>聚焦2030年前实现碳达峰和碳排放强度下降目标，围绕</w:t>
      </w:r>
      <w:r>
        <w:rPr>
          <w:rFonts w:hint="eastAsia" w:ascii="宋体" w:hAnsi="宋体" w:eastAsia="宋体" w:cs="宋体"/>
          <w:b w:val="0"/>
          <w:bCs w:val="0"/>
          <w:snapToGrid w:val="0"/>
          <w:color w:val="000000"/>
          <w:spacing w:val="0"/>
          <w:kern w:val="0"/>
          <w:sz w:val="21"/>
          <w:szCs w:val="21"/>
          <w:highlight w:val="none"/>
          <w:lang w:val="en-US" w:eastAsia="zh-CN" w:bidi="ar-SA"/>
        </w:rPr>
        <w:t>湘阴县</w:t>
      </w:r>
      <w:r>
        <w:rPr>
          <w:rFonts w:hint="eastAsia" w:ascii="宋体" w:hAnsi="宋体" w:eastAsia="宋体" w:cs="宋体"/>
          <w:b w:val="0"/>
          <w:bCs w:val="0"/>
          <w:snapToGrid w:val="0"/>
          <w:color w:val="000000"/>
          <w:spacing w:val="0"/>
          <w:kern w:val="0"/>
          <w:sz w:val="21"/>
          <w:szCs w:val="21"/>
          <w:highlight w:val="none"/>
          <w:lang w:val="en-US" w:eastAsia="en-US" w:bidi="ar-SA"/>
        </w:rPr>
        <w:t>碳达峰主要目标，研究制定湘阴县“十五五”碳达峰实施方案，科学规划“双碳”领域控制指标、支撑指标五年总目标和年度目标、重点任务。对标对表</w:t>
      </w:r>
      <w:r>
        <w:rPr>
          <w:rFonts w:hint="eastAsia" w:ascii="宋体" w:hAnsi="宋体" w:eastAsia="宋体" w:cs="宋体"/>
          <w:b w:val="0"/>
          <w:bCs w:val="0"/>
          <w:snapToGrid w:val="0"/>
          <w:color w:val="000000"/>
          <w:spacing w:val="0"/>
          <w:kern w:val="0"/>
          <w:sz w:val="21"/>
          <w:szCs w:val="21"/>
          <w:highlight w:val="none"/>
          <w:lang w:val="en-US" w:eastAsia="zh-CN" w:bidi="ar-SA"/>
        </w:rPr>
        <w:t>市委</w:t>
      </w:r>
      <w:r>
        <w:rPr>
          <w:rFonts w:hint="eastAsia" w:ascii="宋体" w:hAnsi="宋体" w:eastAsia="宋体" w:cs="宋体"/>
          <w:b w:val="0"/>
          <w:bCs w:val="0"/>
          <w:snapToGrid w:val="0"/>
          <w:color w:val="000000"/>
          <w:spacing w:val="0"/>
          <w:kern w:val="0"/>
          <w:sz w:val="21"/>
          <w:szCs w:val="21"/>
          <w:highlight w:val="none"/>
          <w:lang w:val="en-US" w:eastAsia="en-US" w:bidi="ar-SA"/>
        </w:rPr>
        <w:t>、</w:t>
      </w:r>
      <w:r>
        <w:rPr>
          <w:rFonts w:hint="eastAsia" w:ascii="宋体" w:hAnsi="宋体" w:eastAsia="宋体" w:cs="宋体"/>
          <w:b w:val="0"/>
          <w:bCs w:val="0"/>
          <w:snapToGrid w:val="0"/>
          <w:color w:val="000000"/>
          <w:spacing w:val="0"/>
          <w:kern w:val="0"/>
          <w:sz w:val="21"/>
          <w:szCs w:val="21"/>
          <w:highlight w:val="none"/>
          <w:lang w:val="en-US" w:eastAsia="zh-CN" w:bidi="ar-SA"/>
        </w:rPr>
        <w:t>市</w:t>
      </w:r>
      <w:r>
        <w:rPr>
          <w:rFonts w:hint="eastAsia" w:ascii="宋体" w:hAnsi="宋体" w:eastAsia="宋体" w:cs="宋体"/>
          <w:b w:val="0"/>
          <w:bCs w:val="0"/>
          <w:snapToGrid w:val="0"/>
          <w:color w:val="000000"/>
          <w:spacing w:val="0"/>
          <w:kern w:val="0"/>
          <w:sz w:val="21"/>
          <w:szCs w:val="21"/>
          <w:highlight w:val="none"/>
          <w:lang w:val="en-US" w:eastAsia="en-US" w:bidi="ar-SA"/>
        </w:rPr>
        <w:t>政府对县级党委、政府的碳达峰碳中和综合评价考核要求，压实县、乡两级党委、政府落实碳达峰碳中和的主体责任，将“双碳”工作纳入政绩考核重要内容，加强考核结果应用，确保2026年碳达峰目标任务全面落实</w:t>
      </w:r>
      <w:r>
        <w:rPr>
          <w:rFonts w:hint="eastAsia" w:ascii="宋体" w:hAnsi="宋体" w:eastAsia="宋体" w:cs="宋体"/>
          <w:b w:val="0"/>
          <w:bCs w:val="0"/>
          <w:snapToGrid w:val="0"/>
          <w:color w:val="auto"/>
          <w:spacing w:val="0"/>
          <w:kern w:val="0"/>
          <w:sz w:val="21"/>
          <w:szCs w:val="21"/>
          <w:highlight w:val="none"/>
          <w:lang w:val="en-US" w:eastAsia="en-US" w:bidi="ar-SA"/>
        </w:rPr>
        <w:t>到位，为“十五五”高质量发展开好局、起好步。有力有效管控“两高”项目，以热电联产、建材等领域为重点，建立拟建、在建</w:t>
      </w:r>
      <w:r>
        <w:rPr>
          <w:rFonts w:hint="eastAsia" w:ascii="宋体" w:hAnsi="宋体" w:eastAsia="宋体" w:cs="宋体"/>
          <w:b w:val="0"/>
          <w:bCs w:val="0"/>
          <w:snapToGrid w:val="0"/>
          <w:color w:val="000000"/>
          <w:spacing w:val="0"/>
          <w:kern w:val="0"/>
          <w:sz w:val="21"/>
          <w:szCs w:val="21"/>
          <w:highlight w:val="none"/>
          <w:lang w:val="en-US" w:eastAsia="en-US" w:bidi="ar-SA"/>
        </w:rPr>
        <w:t>、存量“两高”项目清单并实行动态管理，加强部门联合评估论证，坚决防止“两高”项目盲目上马。建立健全碳排放双控配套制度，加强项目节能审查和碳排放评价、环境影响和温室气体排放评价、节能环保领域信用评价，支持新质生产力项目依法合规落地实施。</w:t>
      </w:r>
      <w:r>
        <w:rPr>
          <w:rFonts w:hint="eastAsia" w:ascii="宋体" w:hAnsi="宋体" w:eastAsia="宋体" w:cs="宋体"/>
          <w:b w:val="0"/>
          <w:bCs w:val="0"/>
          <w:snapToGrid w:val="0"/>
          <w:color w:val="000000"/>
          <w:spacing w:val="0"/>
          <w:kern w:val="0"/>
          <w:sz w:val="21"/>
          <w:szCs w:val="21"/>
          <w:highlight w:val="none"/>
          <w:lang w:val="en-US" w:eastAsia="zh-CN" w:bidi="ar-SA"/>
        </w:rPr>
        <w:t>推进</w:t>
      </w:r>
      <w:r>
        <w:rPr>
          <w:rFonts w:hint="eastAsia" w:ascii="宋体" w:hAnsi="宋体" w:eastAsia="宋体" w:cs="宋体"/>
          <w:b w:val="0"/>
          <w:bCs w:val="0"/>
          <w:snapToGrid w:val="0"/>
          <w:color w:val="000000"/>
          <w:spacing w:val="0"/>
          <w:kern w:val="0"/>
          <w:sz w:val="21"/>
          <w:szCs w:val="21"/>
          <w:highlight w:val="none"/>
          <w:lang w:val="en-US" w:eastAsia="en-US" w:bidi="ar-SA"/>
        </w:rPr>
        <w:t>湖南省“双碳”综合服务平台、重点用能单位能耗在线监测系统应用，将县域园区内重点用能单位全部纳入系统，实现能效碳效智慧管理。加强“双碳”统计监测，严格执行规上工业碳排放快报统计制度，开展县域能源活动部分和工业生产过程碳排放统计核算。积极参与全国碳排放权交易市场和全国温室气体自愿减排交易市场建设，做好碳市场纳管行业配额核定、发放、履约清缴工作。结合县域产业特点，率先在重点行业推进碳足迹管理体系建设。</w:t>
      </w:r>
      <w:r>
        <w:rPr>
          <w:rFonts w:hint="eastAsia" w:ascii="方正楷体_GB2312" w:hAnsi="方正楷体_GB2312" w:eastAsia="方正楷体_GB2312" w:cs="方正楷体_GB2312"/>
          <w:b w:val="0"/>
          <w:bCs w:val="0"/>
          <w:color w:val="auto"/>
          <w:sz w:val="21"/>
          <w:szCs w:val="21"/>
          <w:lang w:val="en-US" w:eastAsia="en-US"/>
        </w:rPr>
        <w:t>（县发改局、市生态环境局湘阴分局、县工信局、</w:t>
      </w:r>
      <w:r>
        <w:rPr>
          <w:rFonts w:hint="eastAsia" w:ascii="方正楷体_GB2312" w:hAnsi="方正楷体_GB2312" w:eastAsia="方正楷体_GB2312" w:cs="方正楷体_GB2312"/>
          <w:b w:val="0"/>
          <w:bCs w:val="0"/>
          <w:color w:val="auto"/>
          <w:sz w:val="21"/>
          <w:szCs w:val="21"/>
          <w:lang w:val="en-US" w:eastAsia="zh-CN"/>
        </w:rPr>
        <w:t>县自然资源局</w:t>
      </w:r>
      <w:r>
        <w:rPr>
          <w:rFonts w:hint="eastAsia" w:ascii="方正楷体_GB2312" w:hAnsi="方正楷体_GB2312" w:eastAsia="方正楷体_GB2312" w:cs="方正楷体_GB2312"/>
          <w:b w:val="0"/>
          <w:bCs w:val="0"/>
          <w:color w:val="auto"/>
          <w:sz w:val="21"/>
          <w:szCs w:val="21"/>
          <w:lang w:val="en-US" w:eastAsia="en-US"/>
        </w:rPr>
        <w:t>、县统计局按职责分工负责）</w:t>
      </w:r>
    </w:p>
    <w:p w14:paraId="5B3669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right="0" w:rightChars="0" w:firstLine="420" w:firstLineChars="200"/>
        <w:jc w:val="both"/>
        <w:textAlignment w:val="auto"/>
        <w:outlineLvl w:val="9"/>
        <w:rPr>
          <w:rFonts w:hint="eastAsia" w:ascii="方正楷体_GB2312" w:hAnsi="方正楷体_GB2312" w:eastAsia="方正楷体_GB2312" w:cs="方正楷体_GB2312"/>
          <w:b w:val="0"/>
          <w:bCs w:val="0"/>
          <w:color w:val="auto"/>
          <w:sz w:val="21"/>
          <w:szCs w:val="21"/>
          <w:lang w:val="en-US" w:eastAsia="en-US"/>
        </w:rPr>
      </w:pPr>
      <w:r>
        <w:rPr>
          <w:rFonts w:hint="eastAsia" w:ascii="宋体" w:hAnsi="宋体" w:eastAsia="宋体" w:cs="宋体"/>
          <w:b w:val="0"/>
          <w:bCs w:val="0"/>
          <w:snapToGrid w:val="0"/>
          <w:color w:val="000000"/>
          <w:spacing w:val="0"/>
          <w:kern w:val="0"/>
          <w:sz w:val="21"/>
          <w:szCs w:val="21"/>
          <w:highlight w:val="none"/>
          <w:lang w:val="en-US" w:eastAsia="zh-CN" w:bidi="ar-SA"/>
        </w:rPr>
        <w:t>2.培育绿色发展新动能。</w:t>
      </w:r>
      <w:r>
        <w:rPr>
          <w:rFonts w:hint="eastAsia" w:ascii="宋体" w:hAnsi="宋体" w:eastAsia="宋体" w:cs="宋体"/>
          <w:b w:val="0"/>
          <w:bCs w:val="0"/>
          <w:snapToGrid w:val="0"/>
          <w:color w:val="000000"/>
          <w:spacing w:val="0"/>
          <w:kern w:val="0"/>
          <w:sz w:val="21"/>
          <w:szCs w:val="21"/>
          <w:highlight w:val="none"/>
          <w:lang w:val="en-US" w:eastAsia="en-US" w:bidi="ar-SA"/>
        </w:rPr>
        <w:t>加快构建新型能源体系，</w:t>
      </w:r>
      <w:r>
        <w:rPr>
          <w:rFonts w:hint="eastAsia" w:ascii="宋体" w:hAnsi="宋体" w:eastAsia="宋体" w:cs="宋体"/>
          <w:b w:val="0"/>
          <w:bCs w:val="0"/>
          <w:snapToGrid w:val="0"/>
          <w:color w:val="000000"/>
          <w:spacing w:val="0"/>
          <w:kern w:val="0"/>
          <w:sz w:val="21"/>
          <w:szCs w:val="21"/>
          <w:highlight w:val="none"/>
          <w:lang w:val="en-US" w:eastAsia="zh-CN" w:bidi="ar-SA"/>
        </w:rPr>
        <w:t>以</w:t>
      </w:r>
      <w:r>
        <w:rPr>
          <w:rFonts w:hint="eastAsia" w:ascii="宋体" w:hAnsi="宋体" w:eastAsia="宋体" w:cs="宋体"/>
          <w:b w:val="0"/>
          <w:bCs w:val="0"/>
          <w:snapToGrid w:val="0"/>
          <w:color w:val="000000"/>
          <w:spacing w:val="0"/>
          <w:kern w:val="0"/>
          <w:sz w:val="21"/>
          <w:szCs w:val="21"/>
          <w:highlight w:val="none"/>
          <w:lang w:val="en-US" w:eastAsia="en-US" w:bidi="ar-SA"/>
        </w:rPr>
        <w:t>新能源发展建设为抓手，整合党政机关、学校、医院等公共建筑屋顶资源，推动工商业厂房屋顶光伏项目建设，全面推进农村居民住宅屋顶光伏发电开发，鼓励农业园区、规模养殖</w:t>
      </w:r>
      <w:r>
        <w:rPr>
          <w:rFonts w:hint="eastAsia" w:ascii="宋体" w:hAnsi="宋体" w:eastAsia="宋体" w:cs="宋体"/>
          <w:b w:val="0"/>
          <w:bCs w:val="0"/>
          <w:snapToGrid w:val="0"/>
          <w:color w:val="000000"/>
          <w:spacing w:val="0"/>
          <w:kern w:val="0"/>
          <w:sz w:val="21"/>
          <w:szCs w:val="21"/>
          <w:highlight w:val="none"/>
          <w:lang w:val="en-US" w:eastAsia="zh-CN" w:bidi="ar-SA"/>
        </w:rPr>
        <w:t>场</w:t>
      </w:r>
      <w:r>
        <w:rPr>
          <w:rFonts w:hint="eastAsia" w:ascii="宋体" w:hAnsi="宋体" w:eastAsia="宋体" w:cs="宋体"/>
          <w:b w:val="0"/>
          <w:bCs w:val="0"/>
          <w:snapToGrid w:val="0"/>
          <w:color w:val="000000"/>
          <w:spacing w:val="0"/>
          <w:kern w:val="0"/>
          <w:sz w:val="21"/>
          <w:szCs w:val="21"/>
          <w:highlight w:val="none"/>
          <w:lang w:val="en-US" w:eastAsia="en-US" w:bidi="ar-SA"/>
        </w:rPr>
        <w:t>发展农光互补模式，有序发展分散式风电、生物质能等可再生</w:t>
      </w:r>
      <w:r>
        <w:rPr>
          <w:rFonts w:hint="eastAsia" w:ascii="宋体" w:hAnsi="宋体" w:eastAsia="宋体" w:cs="宋体"/>
          <w:b w:val="0"/>
          <w:bCs w:val="0"/>
          <w:snapToGrid w:val="0"/>
          <w:color w:val="auto"/>
          <w:spacing w:val="0"/>
          <w:kern w:val="0"/>
          <w:sz w:val="21"/>
          <w:szCs w:val="21"/>
          <w:highlight w:val="none"/>
          <w:lang w:val="en-US" w:eastAsia="en-US" w:bidi="ar-SA"/>
        </w:rPr>
        <w:t>能源，至2030年新增风电光伏</w:t>
      </w:r>
      <w:r>
        <w:rPr>
          <w:rFonts w:hint="eastAsia" w:ascii="宋体" w:hAnsi="宋体" w:eastAsia="宋体" w:cs="宋体"/>
          <w:b w:val="0"/>
          <w:bCs w:val="0"/>
          <w:snapToGrid w:val="0"/>
          <w:color w:val="auto"/>
          <w:spacing w:val="0"/>
          <w:kern w:val="0"/>
          <w:sz w:val="21"/>
          <w:szCs w:val="21"/>
          <w:highlight w:val="none"/>
          <w:lang w:val="en-US" w:eastAsia="zh-CN" w:bidi="ar-SA"/>
        </w:rPr>
        <w:t>1.2GW。</w:t>
      </w:r>
      <w:r>
        <w:rPr>
          <w:rFonts w:hint="eastAsia" w:ascii="宋体" w:hAnsi="宋体" w:eastAsia="宋体" w:cs="宋体"/>
          <w:b w:val="0"/>
          <w:bCs w:val="0"/>
          <w:snapToGrid w:val="0"/>
          <w:color w:val="auto"/>
          <w:spacing w:val="0"/>
          <w:kern w:val="0"/>
          <w:sz w:val="21"/>
          <w:szCs w:val="21"/>
          <w:highlight w:val="none"/>
          <w:lang w:val="en-US" w:eastAsia="en-US" w:bidi="ar-SA"/>
        </w:rPr>
        <w:t>加快推进燃气发电及综合能</w:t>
      </w:r>
      <w:r>
        <w:rPr>
          <w:rFonts w:hint="eastAsia" w:ascii="宋体" w:hAnsi="宋体" w:eastAsia="宋体" w:cs="宋体"/>
          <w:b w:val="0"/>
          <w:bCs w:val="0"/>
          <w:snapToGrid w:val="0"/>
          <w:color w:val="000000"/>
          <w:spacing w:val="0"/>
          <w:kern w:val="0"/>
          <w:sz w:val="21"/>
          <w:szCs w:val="21"/>
          <w:highlight w:val="none"/>
          <w:lang w:val="en-US" w:eastAsia="en-US" w:bidi="ar-SA"/>
        </w:rPr>
        <w:t>源保障工程建设，构建清洁多元的电源供应体系，完善县域电网升级扩容工程，提升新能源消纳能力。大力推进公共机构分布式光伏、充电设施项目建设，结合城镇更新改造配套建设充电基础设施，提升公共机构新能源应用水平，</w:t>
      </w:r>
      <w:r>
        <w:rPr>
          <w:rFonts w:hint="eastAsia" w:ascii="宋体" w:hAnsi="宋体" w:eastAsia="宋体" w:cs="宋体"/>
          <w:b w:val="0"/>
          <w:bCs w:val="0"/>
          <w:snapToGrid w:val="0"/>
          <w:color w:val="auto"/>
          <w:spacing w:val="0"/>
          <w:kern w:val="0"/>
          <w:sz w:val="21"/>
          <w:szCs w:val="21"/>
          <w:highlight w:val="none"/>
          <w:lang w:val="en-US" w:eastAsia="en-US" w:bidi="ar-SA"/>
        </w:rPr>
        <w:t>至2030年新增公用充电桩1107个。</w:t>
      </w:r>
      <w:r>
        <w:rPr>
          <w:rFonts w:hint="eastAsia" w:ascii="宋体" w:hAnsi="宋体" w:eastAsia="宋体" w:cs="宋体"/>
          <w:b w:val="0"/>
          <w:bCs w:val="0"/>
          <w:snapToGrid w:val="0"/>
          <w:color w:val="000000"/>
          <w:spacing w:val="0"/>
          <w:kern w:val="0"/>
          <w:sz w:val="21"/>
          <w:szCs w:val="21"/>
          <w:highlight w:val="none"/>
          <w:lang w:val="en-US" w:eastAsia="en-US" w:bidi="ar-SA"/>
        </w:rPr>
        <w:t>完善新能源产业链图谱，明确产业链发展重点，上游依托县域硅砂资源优势，强化新能源装备制造原材料供应保障；中游聚焦新能源装备制造领域，加快省级先进装备制造（新能源）特色产业园招商建设，培育引进光伏组件、储能设备等相关制造项目，推动新能源装备制造产业集聚发展；下游拓展新能源应用场景，积极探索新能源在交通、港航、建筑等领域的融合发展，谋划“交能融合”“港航+新能源”融合项目落地，依托虞公港推进港口新能源应用试点。对新能源重点项目开通“绿色通道”，在用地、用能、审批等方面优先保障，形成“上游保障、中游制造、下游应用”的全产业链体系。</w:t>
      </w:r>
      <w:r>
        <w:rPr>
          <w:rFonts w:hint="eastAsia" w:ascii="方正楷体_GB2312" w:hAnsi="方正楷体_GB2312" w:eastAsia="方正楷体_GB2312" w:cs="方正楷体_GB2312"/>
          <w:b w:val="0"/>
          <w:bCs w:val="0"/>
          <w:color w:val="auto"/>
          <w:sz w:val="21"/>
          <w:szCs w:val="21"/>
          <w:lang w:val="en-US" w:eastAsia="en-US"/>
        </w:rPr>
        <w:t>（县发改局、市生态环境局湘阴分局、县工信局、县科技局按职责分工负责）</w:t>
      </w:r>
    </w:p>
    <w:p w14:paraId="78E936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right="0" w:rightChars="0" w:firstLine="420" w:firstLineChars="200"/>
        <w:jc w:val="both"/>
        <w:textAlignment w:val="auto"/>
        <w:outlineLvl w:val="9"/>
        <w:rPr>
          <w:rFonts w:hint="eastAsia" w:ascii="方正楷体_GB2312" w:hAnsi="方正楷体_GB2312" w:eastAsia="方正楷体_GB2312" w:cs="方正楷体_GB2312"/>
          <w:b w:val="0"/>
          <w:bCs w:val="0"/>
          <w:color w:val="auto"/>
          <w:sz w:val="21"/>
          <w:szCs w:val="21"/>
          <w:lang w:val="en-US" w:eastAsia="en-US"/>
        </w:rPr>
      </w:pPr>
      <w:r>
        <w:rPr>
          <w:rFonts w:hint="eastAsia" w:ascii="宋体" w:hAnsi="宋体" w:eastAsia="宋体" w:cs="宋体"/>
          <w:b w:val="0"/>
          <w:bCs w:val="0"/>
          <w:snapToGrid w:val="0"/>
          <w:color w:val="000000"/>
          <w:spacing w:val="0"/>
          <w:kern w:val="0"/>
          <w:sz w:val="21"/>
          <w:szCs w:val="21"/>
          <w:highlight w:val="none"/>
          <w:lang w:val="en-US" w:eastAsia="zh-CN" w:bidi="ar-SA"/>
        </w:rPr>
        <w:t>3.打造绿色低碳发展新高地。</w:t>
      </w:r>
      <w:r>
        <w:rPr>
          <w:rFonts w:hint="eastAsia" w:ascii="宋体" w:hAnsi="宋体" w:eastAsia="宋体" w:cs="宋体"/>
          <w:b w:val="0"/>
          <w:bCs w:val="0"/>
          <w:snapToGrid w:val="0"/>
          <w:color w:val="000000"/>
          <w:spacing w:val="0"/>
          <w:kern w:val="0"/>
          <w:sz w:val="21"/>
          <w:szCs w:val="21"/>
          <w:highlight w:val="none"/>
          <w:lang w:val="en-US" w:eastAsia="en-US" w:bidi="ar-SA"/>
        </w:rPr>
        <w:t>以湘江新区湘阴片区、湘阴高新区、虞公港临港片区为核心，积极申报省级零碳园区建设，优化园区产业布局，推动园区能源梯级利用、资源循环利用，培育壮大绿色生产力。加快构建能源转型、产业升级新模式，推广应用节能降碳、清洁生产、资源循环利用等绿色技术，探索契合滨湖县域特色的绿色低碳高质量发展新路径</w:t>
      </w:r>
      <w:r>
        <w:rPr>
          <w:rFonts w:hint="eastAsia" w:ascii="宋体" w:hAnsi="宋体" w:eastAsia="宋体" w:cs="宋体"/>
          <w:b w:val="0"/>
          <w:bCs w:val="0"/>
          <w:snapToGrid w:val="0"/>
          <w:color w:val="auto"/>
          <w:spacing w:val="0"/>
          <w:kern w:val="0"/>
          <w:sz w:val="21"/>
          <w:szCs w:val="21"/>
          <w:highlight w:val="none"/>
          <w:lang w:val="en-US" w:eastAsia="en-US" w:bidi="ar-SA"/>
        </w:rPr>
        <w:t>。</w:t>
      </w:r>
      <w:r>
        <w:rPr>
          <w:rFonts w:hint="eastAsia" w:ascii="宋体" w:hAnsi="宋体" w:eastAsia="宋体" w:cs="宋体"/>
          <w:b w:val="0"/>
          <w:bCs w:val="0"/>
          <w:color w:val="auto"/>
          <w:sz w:val="21"/>
          <w:szCs w:val="21"/>
          <w:highlight w:val="none"/>
          <w:lang w:val="en-US" w:eastAsia="zh-CN"/>
        </w:rPr>
        <w:t>积极创建省级绿色工厂，</w:t>
      </w:r>
      <w:r>
        <w:rPr>
          <w:rFonts w:hint="eastAsia" w:ascii="宋体" w:hAnsi="宋体" w:eastAsia="宋体" w:cs="宋体"/>
          <w:b w:val="0"/>
          <w:bCs w:val="0"/>
          <w:snapToGrid w:val="0"/>
          <w:color w:val="auto"/>
          <w:spacing w:val="0"/>
          <w:kern w:val="0"/>
          <w:sz w:val="21"/>
          <w:szCs w:val="21"/>
          <w:highlight w:val="none"/>
          <w:lang w:val="en-US" w:eastAsia="en-US" w:bidi="ar-SA"/>
        </w:rPr>
        <w:t>大力推动制造业绿色化发展，创建</w:t>
      </w:r>
      <w:r>
        <w:rPr>
          <w:rFonts w:hint="eastAsia" w:ascii="宋体" w:hAnsi="宋体" w:eastAsia="宋体" w:cs="宋体"/>
          <w:b w:val="0"/>
          <w:bCs w:val="0"/>
          <w:snapToGrid w:val="0"/>
          <w:color w:val="auto"/>
          <w:spacing w:val="0"/>
          <w:kern w:val="0"/>
          <w:sz w:val="21"/>
          <w:szCs w:val="21"/>
          <w:highlight w:val="none"/>
          <w:lang w:val="en-US" w:eastAsia="zh-CN" w:bidi="ar-SA"/>
        </w:rPr>
        <w:t>5</w:t>
      </w:r>
      <w:r>
        <w:rPr>
          <w:rFonts w:hint="eastAsia" w:ascii="宋体" w:hAnsi="宋体" w:eastAsia="宋体" w:cs="宋体"/>
          <w:b w:val="0"/>
          <w:bCs w:val="0"/>
          <w:snapToGrid w:val="0"/>
          <w:color w:val="auto"/>
          <w:spacing w:val="0"/>
          <w:kern w:val="0"/>
          <w:sz w:val="21"/>
          <w:szCs w:val="21"/>
          <w:highlight w:val="none"/>
          <w:lang w:val="en-US" w:eastAsia="en-US" w:bidi="ar-SA"/>
        </w:rPr>
        <w:t>家省级</w:t>
      </w:r>
      <w:r>
        <w:rPr>
          <w:rFonts w:hint="eastAsia" w:ascii="宋体" w:hAnsi="宋体" w:eastAsia="宋体" w:cs="宋体"/>
          <w:b w:val="0"/>
          <w:bCs w:val="0"/>
          <w:snapToGrid w:val="0"/>
          <w:color w:val="000000"/>
          <w:spacing w:val="0"/>
          <w:kern w:val="0"/>
          <w:sz w:val="21"/>
          <w:szCs w:val="21"/>
          <w:highlight w:val="none"/>
          <w:lang w:val="en-US" w:eastAsia="en-US" w:bidi="ar-SA"/>
        </w:rPr>
        <w:t>及以上绿色工厂</w:t>
      </w:r>
      <w:r>
        <w:rPr>
          <w:rFonts w:hint="eastAsia" w:ascii="宋体" w:hAnsi="宋体" w:eastAsia="宋体" w:cs="宋体"/>
          <w:b w:val="0"/>
          <w:bCs w:val="0"/>
          <w:snapToGrid w:val="0"/>
          <w:color w:val="000000"/>
          <w:spacing w:val="0"/>
          <w:kern w:val="0"/>
          <w:sz w:val="21"/>
          <w:szCs w:val="21"/>
          <w:highlight w:val="none"/>
          <w:lang w:val="en-US" w:eastAsia="zh-CN" w:bidi="ar-SA"/>
        </w:rPr>
        <w:t>，</w:t>
      </w:r>
      <w:r>
        <w:rPr>
          <w:rFonts w:hint="eastAsia" w:ascii="宋体" w:hAnsi="宋体" w:eastAsia="宋体" w:cs="宋体"/>
          <w:b w:val="0"/>
          <w:bCs w:val="0"/>
          <w:snapToGrid w:val="0"/>
          <w:color w:val="000000"/>
          <w:spacing w:val="0"/>
          <w:kern w:val="0"/>
          <w:sz w:val="21"/>
          <w:szCs w:val="21"/>
          <w:highlight w:val="none"/>
          <w:lang w:val="en-US" w:eastAsia="en-US" w:bidi="ar-SA"/>
        </w:rPr>
        <w:t>聚焦绿色装备制造、绿色建筑建材、绿色食品加工等重点行业，开展绿色工厂创建行动，培育一批工业碳减排标杆企业，探索建设零碳工厂。推动节能降碳改造应用场景展示和成果分享，总结县域企业节能降碳先进经验，探索以园区和县域为载体一体推进合同能源管理试点。积极对接实施全球环境基金（GEF）“中国零碳村镇促进项目”，结合乡村振兴工作，推动横岭湖区域打造零碳乡村试点。高质量推动美丽湘阴建设，围绕“一核两心四廊”生态保护格局，谋划实施美丽蓝天、美丽河湖、山水林田湖草沙系统治理等重大项目，推进洞庭湖生态保护修复、湘江和资江水系生态廊道建设等工程。</w:t>
      </w:r>
      <w:r>
        <w:rPr>
          <w:rFonts w:hint="eastAsia" w:ascii="方正楷体_GB2312" w:hAnsi="方正楷体_GB2312" w:eastAsia="方正楷体_GB2312" w:cs="方正楷体_GB2312"/>
          <w:b w:val="0"/>
          <w:bCs w:val="0"/>
          <w:color w:val="auto"/>
          <w:sz w:val="21"/>
          <w:szCs w:val="21"/>
          <w:lang w:val="en-US" w:eastAsia="en-US"/>
        </w:rPr>
        <w:t>（县发改局、县工信局、县农业农村局、市生态环境局湘阴分局、县高新区按职责分工负责）</w:t>
      </w:r>
    </w:p>
    <w:p w14:paraId="2A0022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right="0" w:rightChars="0" w:firstLine="420" w:firstLineChars="200"/>
        <w:jc w:val="both"/>
        <w:textAlignment w:val="auto"/>
        <w:outlineLvl w:val="9"/>
        <w:rPr>
          <w:rFonts w:hint="eastAsia" w:ascii="宋体" w:hAnsi="宋体" w:eastAsia="宋体" w:cs="宋体"/>
          <w:b w:val="0"/>
          <w:bCs w:val="0"/>
          <w:snapToGrid w:val="0"/>
          <w:color w:val="000000"/>
          <w:spacing w:val="0"/>
          <w:kern w:val="0"/>
          <w:sz w:val="21"/>
          <w:szCs w:val="21"/>
          <w:highlight w:val="none"/>
          <w:lang w:val="en-US" w:eastAsia="en-US" w:bidi="ar-SA"/>
        </w:rPr>
      </w:pPr>
      <w:r>
        <w:rPr>
          <w:rFonts w:hint="eastAsia" w:ascii="宋体" w:hAnsi="宋体" w:eastAsia="宋体" w:cs="宋体"/>
          <w:b w:val="0"/>
          <w:bCs w:val="0"/>
          <w:snapToGrid w:val="0"/>
          <w:color w:val="000000"/>
          <w:spacing w:val="0"/>
          <w:kern w:val="0"/>
          <w:sz w:val="21"/>
          <w:szCs w:val="21"/>
          <w:highlight w:val="none"/>
          <w:lang w:val="en-US" w:eastAsia="zh-CN" w:bidi="ar-SA"/>
        </w:rPr>
        <w:t>4.构建绿色转型新模式。</w:t>
      </w:r>
      <w:r>
        <w:rPr>
          <w:rFonts w:hint="eastAsia" w:ascii="宋体" w:hAnsi="宋体" w:eastAsia="宋体" w:cs="宋体"/>
          <w:b w:val="0"/>
          <w:bCs w:val="0"/>
          <w:snapToGrid w:val="0"/>
          <w:color w:val="000000"/>
          <w:spacing w:val="0"/>
          <w:kern w:val="0"/>
          <w:sz w:val="21"/>
          <w:szCs w:val="21"/>
          <w:highlight w:val="none"/>
          <w:lang w:val="en-US" w:eastAsia="en-US" w:bidi="ar-SA"/>
        </w:rPr>
        <w:t>拓展生态产品价值实现路径，深化绿色种养循环农业发展，完善农业废弃物资源化利用的市场化运作模式，推动农业生态价值转化，努力形成具有湘阴特色的生态产品价值实现工作成果。对全县林业碳汇资源进行全面摸底，统筹推进林业碳汇资源确权登记、核量核价工作，明确林业碳汇监测、核算、评估、交易各环节的责任清单与运行流程，探索构建林业碳汇生态产品价值实现的“监测－核算－交易－金融－监管”全链条工作机制，做到系统共建、数据共享、成果互认。以消费品以旧换新政策为抓手，畅通报废汽车、废旧家电等大宗消费品回收处理渠道</w:t>
      </w:r>
      <w:r>
        <w:rPr>
          <w:rFonts w:hint="eastAsia" w:ascii="宋体" w:hAnsi="宋体" w:eastAsia="宋体" w:cs="宋体"/>
          <w:b w:val="0"/>
          <w:bCs w:val="0"/>
          <w:snapToGrid w:val="0"/>
          <w:color w:val="000000"/>
          <w:spacing w:val="0"/>
          <w:kern w:val="0"/>
          <w:sz w:val="21"/>
          <w:szCs w:val="21"/>
          <w:highlight w:val="none"/>
          <w:lang w:val="en-US" w:eastAsia="zh-CN" w:bidi="ar-SA"/>
        </w:rPr>
        <w:t>，</w:t>
      </w:r>
      <w:r>
        <w:rPr>
          <w:rFonts w:hint="eastAsia" w:ascii="宋体" w:hAnsi="宋体" w:eastAsia="宋体" w:cs="宋体"/>
          <w:b w:val="0"/>
          <w:bCs w:val="0"/>
          <w:snapToGrid w:val="0"/>
          <w:color w:val="000000"/>
          <w:spacing w:val="0"/>
          <w:kern w:val="0"/>
          <w:sz w:val="21"/>
          <w:szCs w:val="21"/>
          <w:highlight w:val="none"/>
          <w:lang w:val="en-US" w:eastAsia="en-US" w:bidi="ar-SA"/>
        </w:rPr>
        <w:t>结合县域商业体系建设行动，推动再生资源回收网络下沉乡村，补齐农村回收短板，构建城乡一体化的再生资源回收体系。大力推行绿色施工，依托全国钢结构装配式住宅试点县优势，持续推进装配式建筑发展，推广装配式建筑与绿色建筑融合的建设模式，提升建筑绿色低碳发展水平。推进绿色公路、绿色航道及绿色港口示范项目建设，培育精品联运线路，依托虞公港发展多式联运，提高“公转铁”“公转水”比例。推进交通能源融合发展，加快完善全县充电网络布局，探索光储充一体化等新模式，推广应用新能源交通运输装备，完善新能源汽车便利通行管理措施。</w:t>
      </w:r>
      <w:r>
        <w:rPr>
          <w:rFonts w:hint="eastAsia" w:ascii="方正楷体_GB2312" w:hAnsi="方正楷体_GB2312" w:eastAsia="方正楷体_GB2312" w:cs="方正楷体_GB2312"/>
          <w:b w:val="0"/>
          <w:bCs w:val="0"/>
          <w:color w:val="auto"/>
          <w:sz w:val="21"/>
          <w:szCs w:val="21"/>
          <w:lang w:val="en-US" w:eastAsia="en-US"/>
        </w:rPr>
        <w:t>（县发改局、</w:t>
      </w:r>
      <w:r>
        <w:rPr>
          <w:rFonts w:hint="eastAsia" w:ascii="方正楷体_GB2312" w:hAnsi="方正楷体_GB2312" w:eastAsia="方正楷体_GB2312" w:cs="方正楷体_GB2312"/>
          <w:b w:val="0"/>
          <w:bCs w:val="0"/>
          <w:color w:val="auto"/>
          <w:sz w:val="21"/>
          <w:szCs w:val="21"/>
          <w:lang w:val="en-US" w:eastAsia="zh-CN"/>
        </w:rPr>
        <w:t>县自然资源局</w:t>
      </w:r>
      <w:r>
        <w:rPr>
          <w:rFonts w:hint="eastAsia" w:ascii="方正楷体_GB2312" w:hAnsi="方正楷体_GB2312" w:eastAsia="方正楷体_GB2312" w:cs="方正楷体_GB2312"/>
          <w:b w:val="0"/>
          <w:bCs w:val="0"/>
          <w:color w:val="auto"/>
          <w:sz w:val="21"/>
          <w:szCs w:val="21"/>
          <w:lang w:val="en-US" w:eastAsia="en-US"/>
        </w:rPr>
        <w:t>、市生态环境局湘阴分局、县财政局、县商务</w:t>
      </w:r>
      <w:r>
        <w:rPr>
          <w:rFonts w:hint="eastAsia" w:ascii="方正楷体_GB2312" w:hAnsi="方正楷体_GB2312" w:eastAsia="方正楷体_GB2312" w:cs="方正楷体_GB2312"/>
          <w:b w:val="0"/>
          <w:bCs w:val="0"/>
          <w:color w:val="auto"/>
          <w:sz w:val="21"/>
          <w:szCs w:val="21"/>
          <w:lang w:val="en-US" w:eastAsia="zh-CN"/>
        </w:rPr>
        <w:t>粮食</w:t>
      </w:r>
      <w:r>
        <w:rPr>
          <w:rFonts w:hint="eastAsia" w:ascii="方正楷体_GB2312" w:hAnsi="方正楷体_GB2312" w:eastAsia="方正楷体_GB2312" w:cs="方正楷体_GB2312"/>
          <w:b w:val="0"/>
          <w:bCs w:val="0"/>
          <w:color w:val="auto"/>
          <w:sz w:val="21"/>
          <w:szCs w:val="21"/>
          <w:lang w:val="en-US" w:eastAsia="en-US"/>
        </w:rPr>
        <w:t>局、县工信局、县住建局、县交通</w:t>
      </w:r>
      <w:r>
        <w:rPr>
          <w:rFonts w:hint="eastAsia" w:ascii="方正楷体_GB2312" w:hAnsi="方正楷体_GB2312" w:eastAsia="方正楷体_GB2312" w:cs="方正楷体_GB2312"/>
          <w:b w:val="0"/>
          <w:bCs w:val="0"/>
          <w:color w:val="auto"/>
          <w:sz w:val="21"/>
          <w:szCs w:val="21"/>
          <w:lang w:val="en-US" w:eastAsia="zh-CN"/>
        </w:rPr>
        <w:t>运输</w:t>
      </w:r>
      <w:r>
        <w:rPr>
          <w:rFonts w:hint="eastAsia" w:ascii="方正楷体_GB2312" w:hAnsi="方正楷体_GB2312" w:eastAsia="方正楷体_GB2312" w:cs="方正楷体_GB2312"/>
          <w:b w:val="0"/>
          <w:bCs w:val="0"/>
          <w:color w:val="auto"/>
          <w:sz w:val="21"/>
          <w:szCs w:val="21"/>
          <w:lang w:val="en-US" w:eastAsia="en-US"/>
        </w:rPr>
        <w:t>局、县林业局等按职责分工负责）</w:t>
      </w:r>
    </w:p>
    <w:p w14:paraId="2E4C5521">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firstLine="420" w:firstLineChars="200"/>
        <w:jc w:val="both"/>
        <w:textAlignment w:val="baseline"/>
        <w:rPr>
          <w:rFonts w:hint="eastAsia" w:ascii="宋体" w:hAnsi="宋体" w:eastAsia="宋体" w:cs="宋体"/>
          <w:b w:val="0"/>
          <w:bCs w:val="0"/>
          <w:snapToGrid w:val="0"/>
          <w:color w:val="000000"/>
          <w:spacing w:val="0"/>
          <w:kern w:val="0"/>
          <w:sz w:val="21"/>
          <w:szCs w:val="21"/>
          <w:highlight w:val="none"/>
          <w:lang w:val="en-US" w:eastAsia="en-US" w:bidi="ar-SA"/>
        </w:rPr>
      </w:pPr>
      <w:bookmarkStart w:id="3" w:name="heading_3"/>
      <w:r>
        <w:rPr>
          <w:rFonts w:hint="eastAsia" w:ascii="方正楷体_GB2312" w:hAnsi="方正楷体_GB2312" w:eastAsia="方正楷体_GB2312" w:cs="方正楷体_GB2312"/>
          <w:b w:val="0"/>
          <w:bCs w:val="0"/>
          <w:color w:val="auto"/>
          <w:sz w:val="21"/>
          <w:szCs w:val="21"/>
          <w:lang w:val="en-US" w:eastAsia="zh-CN"/>
        </w:rPr>
        <w:t>（二）</w:t>
      </w:r>
      <w:r>
        <w:rPr>
          <w:rFonts w:hint="eastAsia" w:ascii="方正楷体_GB2312" w:hAnsi="方正楷体_GB2312" w:eastAsia="方正楷体_GB2312" w:cs="方正楷体_GB2312"/>
          <w:b w:val="0"/>
          <w:bCs w:val="0"/>
          <w:color w:val="auto"/>
          <w:sz w:val="21"/>
          <w:szCs w:val="21"/>
          <w:lang w:val="en-US" w:eastAsia="en-US"/>
        </w:rPr>
        <w:t>深入推进污染防治攻坚</w:t>
      </w:r>
    </w:p>
    <w:p w14:paraId="2317D94A">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firstLine="420" w:firstLineChars="200"/>
        <w:jc w:val="both"/>
        <w:textAlignment w:val="baseline"/>
        <w:rPr>
          <w:rFonts w:hint="eastAsia" w:ascii="方正楷体_GB2312" w:hAnsi="方正楷体_GB2312" w:eastAsia="方正楷体_GB2312" w:cs="方正楷体_GB2312"/>
          <w:b w:val="0"/>
          <w:bCs w:val="0"/>
          <w:color w:val="auto"/>
          <w:sz w:val="21"/>
          <w:szCs w:val="21"/>
          <w:lang w:val="en-US" w:eastAsia="zh-CN"/>
        </w:rPr>
      </w:pPr>
      <w:r>
        <w:rPr>
          <w:rFonts w:hint="eastAsia" w:ascii="宋体" w:hAnsi="宋体" w:eastAsia="宋体" w:cs="宋体"/>
          <w:b w:val="0"/>
          <w:bCs w:val="0"/>
          <w:snapToGrid w:val="0"/>
          <w:color w:val="000000"/>
          <w:spacing w:val="0"/>
          <w:kern w:val="0"/>
          <w:sz w:val="21"/>
          <w:szCs w:val="21"/>
          <w:highlight w:val="none"/>
          <w:lang w:val="en-US" w:eastAsia="zh-CN" w:bidi="ar-SA"/>
        </w:rPr>
        <w:t>1.持续深入打好蓝天保卫战。滚动实施大气污染防治五大标志性战役，以持续降低PM2.5浓度和减少重</w:t>
      </w:r>
      <w:r>
        <w:rPr>
          <w:rFonts w:hint="eastAsia" w:ascii="宋体" w:hAnsi="宋体" w:eastAsia="宋体" w:cs="宋体"/>
          <w:b w:val="0"/>
          <w:bCs w:val="0"/>
          <w:snapToGrid w:val="0"/>
          <w:color w:val="000000"/>
          <w:spacing w:val="0"/>
          <w:kern w:val="0"/>
          <w:sz w:val="21"/>
          <w:szCs w:val="21"/>
          <w:highlight w:val="none"/>
          <w:lang w:val="en-US" w:eastAsia="zh" w:bidi="ar-SA"/>
        </w:rPr>
        <w:t>污染</w:t>
      </w:r>
      <w:r>
        <w:rPr>
          <w:rFonts w:hint="eastAsia" w:ascii="宋体" w:hAnsi="宋体" w:eastAsia="宋体" w:cs="宋体"/>
          <w:b w:val="0"/>
          <w:bCs w:val="0"/>
          <w:snapToGrid w:val="0"/>
          <w:color w:val="000000"/>
          <w:spacing w:val="0"/>
          <w:kern w:val="0"/>
          <w:sz w:val="21"/>
          <w:szCs w:val="21"/>
          <w:highlight w:val="none"/>
          <w:lang w:val="en-US" w:eastAsia="zh-CN" w:bidi="ar-SA"/>
        </w:rPr>
        <w:t>天气为重点，贯彻落实《长江中游城市群大气污染防治攻坚三年行动方案（2026—2028年）》，聚焦“三结构两难题”，推动实施重点产业整治、清洁能源替代、绿色交通推进、两大难题攻坚、扬尘面源治理和基础能力提升等六大工程。打好扬尘污染防治标志性战役，持续深化移动源标志性战役成果。加强秸秆综合利用和精准焚烧管控，推动烟花爆竹源头减量及产业升级。加强大气污染联防联控，推动空气质量持续改善。提质科学还田，分区分类推广适配还田模式，制定稻油秸秆还田技术规范，探索还田质量与耕地地力补贴挂钩机制高效离田利用，实施收储网点建设三年行动，在现有15个标准化收储网点的基础上，进一步健全秸秆收储运体系，在资源富集区布局区域性大型收储加工中心。完善“天地空”一体化监控网络，提升焚烧火点处置效率，巩固PM2.5浓度改善成效。</w:t>
      </w:r>
      <w:r>
        <w:rPr>
          <w:rFonts w:hint="eastAsia" w:ascii="方正楷体_GB2312" w:hAnsi="方正楷体_GB2312" w:eastAsia="方正楷体_GB2312" w:cs="方正楷体_GB2312"/>
          <w:b w:val="0"/>
          <w:bCs w:val="0"/>
          <w:color w:val="auto"/>
          <w:sz w:val="21"/>
          <w:szCs w:val="21"/>
          <w:lang w:val="en-US" w:eastAsia="zh-CN"/>
        </w:rPr>
        <w:t>（市生态环境局湘阴分局牵头，县住建局、县公安局、县发改局、县工信局、县交通运输局、县农业农村局、县应急管理局按职责分工负责）</w:t>
      </w:r>
    </w:p>
    <w:p w14:paraId="5FA19067">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firstLine="420" w:firstLineChars="200"/>
        <w:jc w:val="both"/>
        <w:textAlignment w:val="baseline"/>
        <w:rPr>
          <w:rFonts w:hint="eastAsia" w:ascii="宋体" w:hAnsi="宋体" w:eastAsia="宋体" w:cs="宋体"/>
          <w:b w:val="0"/>
          <w:bCs w:val="0"/>
          <w:snapToGrid w:val="0"/>
          <w:color w:val="000000"/>
          <w:spacing w:val="0"/>
          <w:kern w:val="0"/>
          <w:sz w:val="21"/>
          <w:szCs w:val="21"/>
          <w:highlight w:val="none"/>
          <w:lang w:val="en-US" w:eastAsia="zh-CN" w:bidi="ar-SA"/>
        </w:rPr>
      </w:pPr>
      <w:r>
        <w:rPr>
          <w:rFonts w:hint="eastAsia" w:ascii="宋体" w:hAnsi="宋体" w:eastAsia="宋体" w:cs="宋体"/>
          <w:b w:val="0"/>
          <w:bCs w:val="0"/>
          <w:snapToGrid w:val="0"/>
          <w:color w:val="000000"/>
          <w:spacing w:val="0"/>
          <w:kern w:val="0"/>
          <w:sz w:val="21"/>
          <w:szCs w:val="21"/>
          <w:highlight w:val="none"/>
          <w:lang w:val="en-US" w:eastAsia="zh-CN" w:bidi="ar-SA"/>
        </w:rPr>
        <w:t>2.持续深入打好碧水保卫战。推动洞庭湖总磷攻坚重心向流域全域拓展，构建“三水统筹”管控体系。开展美丽河湖保护与建设，推动资江洪道建成美丽河湖。常态化开展入河排污口调查，按照分类开展整治工作。持续巩固县城区黑臭水体整治成效，稳步推进县城黑臭水体治理。加快城区雨污管网分流改造，有效提升城市生活污水处理厂污水处理效能。</w:t>
      </w:r>
      <w:r>
        <w:rPr>
          <w:rFonts w:hint="eastAsia" w:ascii="方正楷体_GB2312" w:hAnsi="方正楷体_GB2312" w:eastAsia="方正楷体_GB2312" w:cs="方正楷体_GB2312"/>
          <w:b w:val="0"/>
          <w:bCs w:val="0"/>
          <w:color w:val="auto"/>
          <w:spacing w:val="-6"/>
          <w:sz w:val="21"/>
          <w:szCs w:val="21"/>
          <w:lang w:val="en-US" w:eastAsia="zh-CN"/>
        </w:rPr>
        <w:t>（市生态环境局湘阴分局、县水利局、县住建局、县农业农村局、县城管局等按职责分工负责）</w:t>
      </w:r>
    </w:p>
    <w:p w14:paraId="5219A9CE">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firstLine="420" w:firstLineChars="200"/>
        <w:jc w:val="both"/>
        <w:textAlignment w:val="baseline"/>
        <w:rPr>
          <w:rFonts w:hint="eastAsia" w:ascii="方正楷体_GB2312" w:hAnsi="方正楷体_GB2312" w:eastAsia="方正楷体_GB2312" w:cs="方正楷体_GB2312"/>
          <w:b w:val="0"/>
          <w:bCs w:val="0"/>
          <w:color w:val="auto"/>
          <w:sz w:val="21"/>
          <w:szCs w:val="21"/>
          <w:lang w:val="en-US" w:eastAsia="zh-CN"/>
        </w:rPr>
      </w:pPr>
      <w:r>
        <w:rPr>
          <w:rFonts w:hint="eastAsia" w:ascii="宋体" w:hAnsi="宋体" w:eastAsia="宋体" w:cs="宋体"/>
          <w:b w:val="0"/>
          <w:bCs w:val="0"/>
          <w:snapToGrid w:val="0"/>
          <w:color w:val="000000"/>
          <w:spacing w:val="0"/>
          <w:kern w:val="0"/>
          <w:sz w:val="21"/>
          <w:szCs w:val="21"/>
          <w:highlight w:val="none"/>
          <w:lang w:val="en-US" w:eastAsia="zh-CN" w:bidi="ar-SA"/>
        </w:rPr>
        <w:t>3.持续深入打好净土保卫战。深入开展土壤污染源头防控行动。依法加强建设用地用途变更和污染地块风险管控的联动监管，实现建设用地开发利用全过程“一张图”监管，确保建设用地安全利用率不低于95%；加快推进农用地土壤重金属污染溯源和整治，建立农用地土壤污染及农产品质量联动监管机制，推进化肥农药减量增效，牢牢守住不产生健康风险的底线；不断强化地下水污染防治；因地制宜推进农村生活污水治理，巩固较大面积农村黑臭水体治理成果。</w:t>
      </w:r>
      <w:r>
        <w:rPr>
          <w:rFonts w:hint="eastAsia" w:ascii="方正楷体_GB2312" w:hAnsi="方正楷体_GB2312" w:eastAsia="方正楷体_GB2312" w:cs="方正楷体_GB2312"/>
          <w:b w:val="0"/>
          <w:bCs w:val="0"/>
          <w:color w:val="auto"/>
          <w:sz w:val="21"/>
          <w:szCs w:val="21"/>
          <w:lang w:val="en-US" w:eastAsia="zh-CN"/>
        </w:rPr>
        <w:t>（市生态环境局湘阴分局牵头，县自然资源局、县农业农村局按职责分工负责）</w:t>
      </w:r>
    </w:p>
    <w:p w14:paraId="2019B8E8">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firstLine="420" w:firstLineChars="200"/>
        <w:jc w:val="both"/>
        <w:textAlignment w:val="baseline"/>
        <w:rPr>
          <w:rFonts w:hint="eastAsia" w:ascii="方正楷体_GB2312" w:hAnsi="方正楷体_GB2312" w:eastAsia="方正楷体_GB2312" w:cs="方正楷体_GB2312"/>
          <w:b w:val="0"/>
          <w:bCs w:val="0"/>
          <w:color w:val="auto"/>
          <w:sz w:val="21"/>
          <w:szCs w:val="21"/>
          <w:lang w:val="en-US" w:eastAsia="zh-CN"/>
        </w:rPr>
      </w:pPr>
      <w:r>
        <w:rPr>
          <w:rFonts w:hint="eastAsia" w:ascii="宋体" w:hAnsi="宋体" w:eastAsia="宋体" w:cs="宋体"/>
          <w:b w:val="0"/>
          <w:bCs w:val="0"/>
          <w:snapToGrid w:val="0"/>
          <w:color w:val="000000"/>
          <w:spacing w:val="0"/>
          <w:kern w:val="0"/>
          <w:sz w:val="21"/>
          <w:szCs w:val="21"/>
          <w:highlight w:val="none"/>
          <w:lang w:val="en-US" w:eastAsia="zh-CN" w:bidi="ar-SA"/>
        </w:rPr>
        <w:t>4.加强固体废物和新污染物治理。实施固体废物综合治理行动，扎实开展非法倾倒处置固体废物专项整治、重金属环境安全隐患排查整治、生活垃圾填埋场环境污染隐患排查整治等专项行动。全域推进“无废城市”建设，积极开展“无废细胞”建设。开展新污染物治理行动，强化重点管控新污染物治理。</w:t>
      </w:r>
      <w:r>
        <w:rPr>
          <w:rFonts w:hint="eastAsia" w:ascii="方正楷体_GB2312" w:hAnsi="方正楷体_GB2312" w:eastAsia="方正楷体_GB2312" w:cs="方正楷体_GB2312"/>
          <w:b w:val="0"/>
          <w:bCs w:val="0"/>
          <w:color w:val="auto"/>
          <w:sz w:val="21"/>
          <w:szCs w:val="21"/>
          <w:lang w:val="en-US" w:eastAsia="zh-CN"/>
        </w:rPr>
        <w:t>（市生态环境局湘阴分局、县自然资源局、县城管局、县住建局按职责分工负责）</w:t>
      </w:r>
    </w:p>
    <w:p w14:paraId="4287913F">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firstLine="420" w:firstLineChars="200"/>
        <w:jc w:val="both"/>
        <w:textAlignment w:val="baseline"/>
        <w:rPr>
          <w:rFonts w:hint="eastAsia" w:ascii="宋体" w:hAnsi="宋体" w:eastAsia="宋体" w:cs="宋体"/>
          <w:b w:val="0"/>
          <w:bCs w:val="0"/>
          <w:i w:val="0"/>
          <w:snapToGrid/>
          <w:color w:val="auto"/>
          <w:spacing w:val="0"/>
          <w:w w:val="100"/>
          <w:sz w:val="21"/>
          <w:szCs w:val="21"/>
          <w:u w:val="none"/>
        </w:rPr>
      </w:pPr>
      <w:r>
        <w:rPr>
          <w:rFonts w:hint="eastAsia" w:ascii="宋体" w:hAnsi="宋体" w:eastAsia="宋体" w:cs="宋体"/>
          <w:b w:val="0"/>
          <w:bCs w:val="0"/>
          <w:snapToGrid w:val="0"/>
          <w:color w:val="000000"/>
          <w:spacing w:val="0"/>
          <w:kern w:val="0"/>
          <w:sz w:val="21"/>
          <w:szCs w:val="21"/>
          <w:highlight w:val="none"/>
          <w:lang w:val="en-US" w:eastAsia="zh-CN" w:bidi="ar-SA"/>
        </w:rPr>
        <w:t>5.加强生态系统保护修复。深入实施长江大保护三年行动计划，严格落实长江经济带发展负面清单制度。以“一湖四水”为重点，系统谋划推进重点流域水环境综合治理，推动水资源优化配置和节约利用，加强岸线资源高效保护利用。健全长江十年禁渔常态长效机制，压实属地责任，保持联合执法高压态势，严厉打击非法捕捞，规范垂钓管理。加强水生生物养护，开展枯水期长江江豚专项保护行动，提升珍稀濒危物种，推动长江水生生物多样性恢复和增长。依托林长制，统筹建立鸟类保护工作机制，加强横岭湖湿地、鹅形山森林公园等重点生态功能区保护建设。实施全域土地综合整治，开展国土绿化行动，强化矿山生态修复，严厉打击非法采砂。</w:t>
      </w:r>
      <w:r>
        <w:rPr>
          <w:rFonts w:hint="eastAsia" w:ascii="方正楷体_GB2312" w:hAnsi="方正楷体_GB2312" w:eastAsia="方正楷体_GB2312" w:cs="方正楷体_GB2312"/>
          <w:b w:val="0"/>
          <w:bCs w:val="0"/>
          <w:color w:val="auto"/>
          <w:sz w:val="21"/>
          <w:szCs w:val="21"/>
          <w:lang w:val="en-US" w:eastAsia="zh-CN"/>
        </w:rPr>
        <w:t>（县农业农村局、市生态环境局湘阴分局、县自然资源局、县水利局、县林业局等按职责分工负责）</w:t>
      </w:r>
    </w:p>
    <w:p w14:paraId="700F5CE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color w:val="auto"/>
          <w:sz w:val="21"/>
          <w:szCs w:val="21"/>
          <w:lang w:val="en-US" w:eastAsia="zh-CN"/>
        </w:rPr>
      </w:pPr>
      <w:r>
        <w:rPr>
          <w:rFonts w:hint="eastAsia" w:ascii="方正楷体_GB2312" w:hAnsi="方正楷体_GB2312" w:eastAsia="方正楷体_GB2312" w:cs="方正楷体_GB2312"/>
          <w:b w:val="0"/>
          <w:bCs w:val="0"/>
          <w:color w:val="auto"/>
          <w:sz w:val="21"/>
          <w:szCs w:val="21"/>
          <w:lang w:val="en-US" w:eastAsia="zh-CN"/>
        </w:rPr>
        <w:t>（三）倡导绿色低碳生活方式</w:t>
      </w:r>
      <w:bookmarkEnd w:id="3"/>
    </w:p>
    <w:p w14:paraId="700D1CDF">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firstLine="420" w:firstLineChars="200"/>
        <w:jc w:val="both"/>
        <w:textAlignment w:val="baseline"/>
        <w:rPr>
          <w:rFonts w:hint="eastAsia" w:ascii="方正楷体_GB2312" w:hAnsi="方正楷体_GB2312" w:eastAsia="方正楷体_GB2312" w:cs="方正楷体_GB2312"/>
          <w:b w:val="0"/>
          <w:bCs w:val="0"/>
          <w:color w:val="auto"/>
          <w:sz w:val="21"/>
          <w:szCs w:val="21"/>
          <w:lang w:val="en-US" w:eastAsia="en-US"/>
        </w:rPr>
      </w:pPr>
      <w:r>
        <w:rPr>
          <w:rFonts w:hint="eastAsia" w:ascii="宋体" w:hAnsi="宋体" w:eastAsia="宋体" w:cs="宋体"/>
          <w:b w:val="0"/>
          <w:bCs w:val="0"/>
          <w:snapToGrid w:val="0"/>
          <w:color w:val="000000"/>
          <w:spacing w:val="0"/>
          <w:kern w:val="0"/>
          <w:sz w:val="21"/>
          <w:szCs w:val="21"/>
          <w:highlight w:val="none"/>
          <w:lang w:val="en-US" w:eastAsia="en-US" w:bidi="ar-SA"/>
        </w:rPr>
        <w:t>组织举办全县节能宣传周、全国生态日、环境日、低碳日等系列宣传活动，通过主题宣讲、科普展览、志愿服务等多种形式，广泛倡导践行绿色低碳生活方式，提升全县群众绿色低碳意识。落实资源总量管理和全面节约制度，开展党政机关、企事业单位厉行节约反对浪费专项行动，推行无纸化办公，减少一次性用品消耗，规范公务用车使用，发挥公共机构示范引领作用。开展绿色商场、绿色社区、绿色学校、绿色家庭创建活动，制定创建标准，培育示范典型，推广节能节水节粮等绿色技术和先进设备。开展城市生活垃圾分类攻坚行动，推动全县垃圾分类工作提质增效，动态完善低值可回收物目录，规范建设“两网融合”回收体系，提升生活垃圾减量化、资源化、无害化处理水平。组织县融媒体中心等各类媒体加大绿色低碳政策知识宣传力度，通过各类宣传平台普及</w:t>
      </w:r>
      <w:r>
        <w:rPr>
          <w:rFonts w:hint="eastAsia" w:ascii="宋体" w:hAnsi="宋体" w:eastAsia="宋体" w:cs="宋体"/>
          <w:b w:val="0"/>
          <w:bCs w:val="0"/>
          <w:snapToGrid w:val="0"/>
          <w:color w:val="000000"/>
          <w:spacing w:val="0"/>
          <w:kern w:val="0"/>
          <w:sz w:val="21"/>
          <w:szCs w:val="21"/>
          <w:highlight w:val="none"/>
          <w:lang w:val="en-US" w:eastAsia="zh-CN" w:bidi="ar-SA"/>
        </w:rPr>
        <w:t>“双碳”</w:t>
      </w:r>
      <w:r>
        <w:rPr>
          <w:rFonts w:hint="eastAsia" w:ascii="宋体" w:hAnsi="宋体" w:eastAsia="宋体" w:cs="宋体"/>
          <w:b w:val="0"/>
          <w:bCs w:val="0"/>
          <w:snapToGrid w:val="0"/>
          <w:color w:val="000000"/>
          <w:spacing w:val="0"/>
          <w:kern w:val="0"/>
          <w:sz w:val="21"/>
          <w:szCs w:val="21"/>
          <w:highlight w:val="none"/>
          <w:lang w:val="en-US" w:eastAsia="en-US" w:bidi="ar-SA"/>
        </w:rPr>
        <w:t>知识和节能技巧。</w:t>
      </w:r>
      <w:r>
        <w:rPr>
          <w:rFonts w:hint="eastAsia" w:ascii="方正楷体_GB2312" w:hAnsi="方正楷体_GB2312" w:eastAsia="方正楷体_GB2312" w:cs="方正楷体_GB2312"/>
          <w:b w:val="0"/>
          <w:bCs w:val="0"/>
          <w:color w:val="auto"/>
          <w:sz w:val="21"/>
          <w:szCs w:val="21"/>
          <w:lang w:val="en-US" w:eastAsia="en-US"/>
        </w:rPr>
        <w:t>（县发改局、市生态环境局湘阴分局、县教育局、县商务</w:t>
      </w:r>
      <w:r>
        <w:rPr>
          <w:rFonts w:hint="eastAsia" w:ascii="方正楷体_GB2312" w:hAnsi="方正楷体_GB2312" w:eastAsia="方正楷体_GB2312" w:cs="方正楷体_GB2312"/>
          <w:b w:val="0"/>
          <w:bCs w:val="0"/>
          <w:color w:val="auto"/>
          <w:sz w:val="21"/>
          <w:szCs w:val="21"/>
          <w:lang w:val="en-US" w:eastAsia="zh-CN"/>
        </w:rPr>
        <w:t>粮食</w:t>
      </w:r>
      <w:r>
        <w:rPr>
          <w:rFonts w:hint="eastAsia" w:ascii="方正楷体_GB2312" w:hAnsi="方正楷体_GB2312" w:eastAsia="方正楷体_GB2312" w:cs="方正楷体_GB2312"/>
          <w:b w:val="0"/>
          <w:bCs w:val="0"/>
          <w:color w:val="auto"/>
          <w:sz w:val="21"/>
          <w:szCs w:val="21"/>
          <w:lang w:val="en-US" w:eastAsia="en-US"/>
        </w:rPr>
        <w:t>局、县住建局、县林业局、县机关事务</w:t>
      </w:r>
      <w:r>
        <w:rPr>
          <w:rFonts w:hint="eastAsia" w:ascii="方正楷体_GB2312" w:hAnsi="方正楷体_GB2312" w:eastAsia="方正楷体_GB2312" w:cs="方正楷体_GB2312"/>
          <w:b w:val="0"/>
          <w:bCs w:val="0"/>
          <w:color w:val="auto"/>
          <w:sz w:val="21"/>
          <w:szCs w:val="21"/>
          <w:lang w:val="en-US" w:eastAsia="zh-CN"/>
        </w:rPr>
        <w:t>服务中心</w:t>
      </w:r>
      <w:r>
        <w:rPr>
          <w:rFonts w:hint="eastAsia" w:ascii="方正楷体_GB2312" w:hAnsi="方正楷体_GB2312" w:eastAsia="方正楷体_GB2312" w:cs="方正楷体_GB2312"/>
          <w:b w:val="0"/>
          <w:bCs w:val="0"/>
          <w:color w:val="auto"/>
          <w:sz w:val="21"/>
          <w:szCs w:val="21"/>
          <w:lang w:val="en-US" w:eastAsia="en-US"/>
        </w:rPr>
        <w:t>、县融媒体中心按职责分工负责）</w:t>
      </w:r>
    </w:p>
    <w:p w14:paraId="14CA34D1">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firstLine="420" w:firstLineChars="200"/>
        <w:jc w:val="both"/>
        <w:textAlignment w:val="baseline"/>
        <w:outlineLvl w:val="2"/>
        <w:rPr>
          <w:rFonts w:hint="eastAsia" w:ascii="黑体" w:hAnsi="黑体" w:eastAsia="黑体" w:cs="黑体"/>
          <w:b w:val="0"/>
          <w:bCs w:val="0"/>
          <w:i w:val="0"/>
          <w:snapToGrid/>
          <w:color w:val="auto"/>
          <w:spacing w:val="0"/>
          <w:w w:val="100"/>
          <w:sz w:val="21"/>
          <w:szCs w:val="21"/>
          <w:u w:val="none"/>
        </w:rPr>
      </w:pPr>
      <w:bookmarkStart w:id="4" w:name="heading_4"/>
      <w:r>
        <w:rPr>
          <w:rFonts w:hint="eastAsia" w:ascii="黑体" w:hAnsi="黑体" w:eastAsia="黑体" w:cs="黑体"/>
          <w:b w:val="0"/>
          <w:bCs w:val="0"/>
          <w:snapToGrid w:val="0"/>
          <w:color w:val="000000"/>
          <w:spacing w:val="0"/>
          <w:kern w:val="0"/>
          <w:sz w:val="21"/>
          <w:szCs w:val="21"/>
          <w:highlight w:val="none"/>
          <w:lang w:val="en-US" w:eastAsia="en-US" w:bidi="ar-SA"/>
        </w:rPr>
        <w:t>三、推进机制</w:t>
      </w:r>
      <w:bookmarkEnd w:id="4"/>
    </w:p>
    <w:p w14:paraId="0B5F5B03">
      <w:pPr>
        <w:keepNext w:val="0"/>
        <w:keepLines w:val="0"/>
        <w:pageBreakBefore w:val="0"/>
        <w:widowControl w:val="0"/>
        <w:kinsoku/>
        <w:wordWrap/>
        <w:overflowPunct/>
        <w:topLinePunct w:val="0"/>
        <w:autoSpaceDE w:val="0"/>
        <w:autoSpaceDN w:val="0"/>
        <w:bidi w:val="0"/>
        <w:adjustRightInd w:val="0"/>
        <w:snapToGrid w:val="0"/>
        <w:spacing w:line="360" w:lineRule="exact"/>
        <w:ind w:left="0" w:leftChars="0" w:right="0" w:firstLine="420" w:firstLineChars="200"/>
        <w:jc w:val="both"/>
        <w:textAlignment w:val="baseline"/>
        <w:rPr>
          <w:rFonts w:hint="eastAsia" w:ascii="宋体" w:hAnsi="宋体" w:eastAsia="宋体" w:cs="宋体"/>
          <w:snapToGrid w:val="0"/>
          <w:color w:val="000000"/>
          <w:spacing w:val="0"/>
          <w:kern w:val="0"/>
          <w:sz w:val="21"/>
          <w:szCs w:val="21"/>
          <w:highlight w:val="none"/>
          <w:lang w:val="en-US" w:eastAsia="zh-CN" w:bidi="ar-SA"/>
        </w:rPr>
      </w:pPr>
      <w:r>
        <w:rPr>
          <w:rFonts w:hint="eastAsia" w:ascii="宋体" w:hAnsi="宋体" w:eastAsia="宋体" w:cs="宋体"/>
          <w:b w:val="0"/>
          <w:bCs w:val="0"/>
          <w:snapToGrid w:val="0"/>
          <w:color w:val="000000"/>
          <w:spacing w:val="0"/>
          <w:kern w:val="0"/>
          <w:sz w:val="21"/>
          <w:szCs w:val="21"/>
          <w:highlight w:val="none"/>
          <w:lang w:val="en-US" w:eastAsia="zh-CN" w:bidi="ar-SA"/>
        </w:rPr>
        <w:t>成立落实好重“双碳”促转型的任务工作专班，由县政府办分管副主任担任召集人，县发改局、市生态环境局湘阴分局主要负责人任副召集人，县教育局、县科技局、县工信局、县公安局、县财政局、县人社局、县自然资源局、县住建局、县交通运输局、县水利局、县农业农村局、县商务粮食局、县文旅广体局、县应急管理局、县市场监管局、县统计局、县</w:t>
      </w:r>
      <w:r>
        <w:rPr>
          <w:rFonts w:hint="eastAsia" w:ascii="宋体" w:hAnsi="宋体" w:eastAsia="宋体" w:cs="宋体"/>
          <w:b w:val="0"/>
          <w:bCs w:val="0"/>
          <w:snapToGrid w:val="0"/>
          <w:color w:val="000000"/>
          <w:spacing w:val="0"/>
          <w:kern w:val="0"/>
          <w:sz w:val="21"/>
          <w:szCs w:val="21"/>
          <w:highlight w:val="none"/>
          <w:lang w:val="en-US" w:eastAsia="zh" w:bidi="ar-SA"/>
        </w:rPr>
        <w:t>机关事务</w:t>
      </w:r>
      <w:r>
        <w:rPr>
          <w:rFonts w:hint="eastAsia" w:ascii="宋体" w:hAnsi="宋体" w:eastAsia="宋体" w:cs="宋体"/>
          <w:b w:val="0"/>
          <w:bCs w:val="0"/>
          <w:snapToGrid w:val="0"/>
          <w:color w:val="000000"/>
          <w:spacing w:val="0"/>
          <w:kern w:val="0"/>
          <w:sz w:val="21"/>
          <w:szCs w:val="21"/>
          <w:highlight w:val="none"/>
          <w:lang w:val="en-US" w:eastAsia="zh-CN" w:bidi="ar-SA"/>
        </w:rPr>
        <w:t>中心、县林业局、县高新区等为成员单位，专班办公室设在县发改局，负责日常协调和调度等工作。</w:t>
      </w:r>
    </w:p>
    <w:p w14:paraId="333A47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41153"/>
    <w:rsid w:val="41D41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2026-05-07T06:50:00Z</dcterms:created>
  <dc:creator>叶宏欢</dc:creator>
  <cp:lastModifiedBy>叶宏欢</cp:lastModifiedBy>
  <dcterms:modified xsi:type="dcterms:W3CDTF">2026-05-07T06:51:37Z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74C27A774207459BA56857ED3EF8ED7E_11</vt:lpwstr>
  </property>
  <property fmtid="{D5CDD505-2E9C-101B-9397-08002B2CF9AE}" pid="4" name="KSOTemplateDocerSaveRecord">
    <vt:lpwstr>eyJoZGlkIjoiZjM1ZmE4NWJiNjMzNThjM2IzNzJhN2ZhNWYxNGM3NjMiLCJ1c2VySWQiOiIxNDgxMDAwNDg1In0=</vt:lpwstr>
  </property>
</Properties>
</file>