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</w:p>
    <w:p w14:paraId="073711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rPr>
          <w:rFonts w:hint="eastAsia" w:ascii="黑体" w:hAnsi="黑体" w:eastAsia="黑体" w:cs="黑体"/>
          <w:b w:val="0"/>
          <w:bCs w:val="0"/>
          <w:color w:val="000000"/>
          <w:spacing w:val="-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6"/>
          <w:sz w:val="28"/>
          <w:szCs w:val="28"/>
          <w:highlight w:val="none"/>
          <w:lang w:eastAsia="zh-CN"/>
        </w:rPr>
        <w:t>附件2</w:t>
      </w:r>
    </w:p>
    <w:p w14:paraId="39EBC0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396" w:firstLineChars="200"/>
        <w:rPr>
          <w:rFonts w:hint="eastAsia" w:ascii="宋体" w:hAnsi="宋体" w:eastAsia="宋体" w:cs="宋体"/>
          <w:color w:val="000000"/>
          <w:spacing w:val="-6"/>
          <w:sz w:val="21"/>
          <w:szCs w:val="21"/>
          <w:highlight w:val="none"/>
        </w:rPr>
      </w:pPr>
    </w:p>
    <w:p w14:paraId="6828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0" w:firstLineChars="0"/>
        <w:jc w:val="center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highlight w:val="none"/>
        </w:rPr>
        <w:t>释放好扩内需活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highlight w:val="none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highlight w:val="none"/>
        </w:rPr>
        <w:t>场的潜力实施方案</w:t>
      </w:r>
    </w:p>
    <w:p w14:paraId="345A6E6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</w:pPr>
    </w:p>
    <w:p w14:paraId="2C7C6B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为加快落实扩内需活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 w:bidi="ar"/>
        </w:rPr>
        <w:t>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场政策，统筹抓好促消费和扩投资，打好提振消费“组合拳”，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进一步以消费提振释放需求、以投资增效扩大需求、以重大战略实施激发需求，使内需成为拉动经济增长的主动力和稳定锚，制定本方案。</w:t>
      </w:r>
    </w:p>
    <w:p w14:paraId="46F3BD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  <w:t>一、工作目标</w:t>
      </w:r>
    </w:p>
    <w:p w14:paraId="7E2FFF2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bidi="ar"/>
        </w:rPr>
        <w:t>坚持惠民生和促消费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bidi="ar"/>
        </w:rPr>
        <w:t>投资于物和投资于人紧密结合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bidi="ar"/>
        </w:rPr>
        <w:t>促进消费和投资、供给和需求良性互动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bidi="ar"/>
        </w:rPr>
        <w:t>实现社会消费品零售总额增长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 w:bidi="ar"/>
        </w:rPr>
        <w:t>6.5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bidi="ar"/>
        </w:rPr>
        <w:t>%以上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，力争接待国内外游客突破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 w:bidi="ar"/>
        </w:rPr>
        <w:t>813.38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万人次，旅游总花费达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 w:bidi="ar"/>
        </w:rPr>
        <w:t>85.73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亿元，分别增长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 w:bidi="ar"/>
        </w:rPr>
        <w:t>12.36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%、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 w:bidi="ar"/>
        </w:rPr>
        <w:t>11.45%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以上。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bidi="ar"/>
        </w:rPr>
        <w:t>充分发挥投资对稳增长的关键作用，推动固定资产投资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增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bidi="ar"/>
        </w:rPr>
        <w:t>长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 w:bidi="ar"/>
        </w:rPr>
        <w:t>6.5%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、高于全市平均水平，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bidi="ar"/>
        </w:rPr>
        <w:t>民间投资占全部投资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比重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bidi="ar"/>
        </w:rPr>
        <w:t>保持在60%以上。</w:t>
      </w:r>
    </w:p>
    <w:p w14:paraId="2DE442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  <w:t>二、工作任务</w:t>
      </w:r>
      <w:bookmarkStart w:id="0" w:name="_GoBack"/>
      <w:bookmarkEnd w:id="0"/>
    </w:p>
    <w:p w14:paraId="34BCC9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（一）锚定政策导向，激活内需动能</w:t>
      </w:r>
    </w:p>
    <w:p w14:paraId="48B729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抢抓政策红利，攻坚有效投资。主动对接、精准梳理中央扩大有效投资的政策导向和支持领域，重点围绕城市更新、现代基础设施、社会民生补短板、绿色低碳转型、“人工智能+”等领域，研究解读具体政策，深入谋划储备项目，加快推进前期工作，抓好国家各轮申报窗口期，积极争取国家政策资金支持，力争争资额度占全市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%以上。强化项目全生命周期管理，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推动重大项目快建设、早见效，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切实发挥投资对扩内需的关键作用，着力提高投资效益。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（县发改局牵头，县财政局、县工信局、县自然资源局、市生态环境局湘阴分局、县住建局、县交通运输局、县水利局、县农业农村局、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商务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粮食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局、县卫健局、县文旅广体局、县林业局，其他县直责任单位和乡镇（街道）等按职责分工负责）</w:t>
      </w:r>
    </w:p>
    <w:p w14:paraId="71701A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2.完善政策体系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强化消费支撑。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聚焦重点领域，落实消费品以旧换新政策，充分发挥政策资金撬动作用，推动高质量耐用消费品进入居民生活。支持家电、汽车、数码和智能产品等消费品以旧换新，做好汽车报废更新支持工作，鼓励新能源汽车绿色消费，推广节能环保产品，举办新能源汽车下乡活动，鼓励农村居民购买新能源汽车。做好2026年超长期特别国债资金支持粮油加工设备更新项目申报工作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研究落实“两新”配套资金政策，制定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“两新”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分领域实施方案，做好设备更新项目储备申报和以旧换新资金审核支付，持续提升“两新”政策效能。优化住房公积金提取政策，支持提取公积金用于支付购房契税、维修资金。合理提高公共服务支出占财政支出比重，持续加大财政对普惠性托育、养老服务投入。完善职工带薪年休假制度，严格落实错峰、带薪休假，保障消费者闲暇时间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商务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粮食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局牵头，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县发改局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财政局、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住建局、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交通运输局、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农业农村局、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文旅广体局、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人社局、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市场监管局、市</w:t>
      </w:r>
      <w:r>
        <w:rPr>
          <w:rFonts w:hint="default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住房公积金管理中心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湘阴管理部，其他县直责任单位按职责分工负责）</w:t>
      </w:r>
    </w:p>
    <w:p w14:paraId="173E92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3.规范债券管理，放大资金效能。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FFFFFF"/>
        </w:rPr>
        <w:t>按照国务院关于优化完善地方政府专项债券管理机制要求，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FFFFFF"/>
          <w:lang w:eastAsia="zh-CN"/>
        </w:rPr>
        <w:t>对照湖南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FFFFFF"/>
        </w:rPr>
        <w:t>省自审自发试点方案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FFFFFF"/>
        </w:rPr>
        <w:t>优化和完善专项债券项目储备、审核、发行、使用、监管等全生命周期管理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FFFFFF"/>
          <w:lang w:eastAsia="zh-CN"/>
        </w:rPr>
        <w:t>机制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FFFFFF"/>
        </w:rPr>
        <w:t>，严格实行投向领域“负面清单”和用作项目资本金行业“正面清单”管理，确保资金切实用于项目建设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FFFFFF"/>
        </w:rPr>
        <w:t>发挥债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券资金的带动和放大效应。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  <w:t>全年争取发行项目建设类专项债券资金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  <w:t>亿元以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FFFFFF"/>
          <w:lang w:eastAsia="zh-CN"/>
        </w:rPr>
        <w:t>上，下半年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推动专项债券资金穿透式、全覆盖监管，确保用于项目建设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，发挥资金效益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（县发改局、县财政局牵头，其他县直责任单位按职责分工负责）</w:t>
      </w:r>
    </w:p>
    <w:p w14:paraId="5B901A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（二）聚焦消费提质，释放内需活力</w:t>
      </w:r>
    </w:p>
    <w:p w14:paraId="2A26E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1.丰富消费场景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激活节庆消费。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持续举办“湘阴好物”公共品牌推广促销活动，利用好春节、中秋、国庆等传统节假日消费旺季，通过政策补贴、打折让利等形式，调动全县各大商超、家电、家装、餐饮、汽车销售等企业参与消费促进活动，全力办好“2026全国网上年货节”“电商直播大赛”“双十一”“新能源汽车下乡巡展”等主题消费活动。积极参与上级举办的各类消费主题活动，组织县内企业参展，拓展市场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深化“赛事+文旅”模式，推进高质量户外运动目的地建设，办好县直机关篮球赛、少儿徒步赛、迎新跑等品牌赛事。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商务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粮食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文旅广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体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局牵头，其他县直责任单位按职责分工负责）</w:t>
      </w:r>
    </w:p>
    <w:p w14:paraId="74DC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2.提质服务供给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升级便民消费。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推动生产性服务业提质扩能，力争占服务业比重达到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50%左右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。推动生活性服务业高品质、多样化、便利化发展，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支持发展餐饮、家政消费扩容升级，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力争年内新增限额以上批零住餐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企业110家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。打造“湘阴好物”与美食融合新场景，制定湘阴美食制作标准，开展厨师培训活动。积极配合樟树港辣椒节、螃蟹节等展销活动，力促美食文旅融合，提升县域知名度，带动流量、促进消费。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实施服务消费提质惠民行动，完善全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中心城区一刻钟便民生活圈规划建设，鼓励社区补齐商业发展短板，优化商业网点布局，改善社区消费条件，提升居民生活品质。突出服务“一老一小”，大力发展社区便利店、生鲜超市、养老托育，形成布局更优化、业态更丰富、服务更优质的便民服务消费体系。丰富公园便民商业业态，引导餐饮零售、运动健身、休闲娱乐、游览游艺等多种便民商业业态进公园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商务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粮食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发改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局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、县财政局、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卫健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局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民政局、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文旅广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体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局牵头，其他县直责任单位按职责分工负责）</w:t>
      </w:r>
    </w:p>
    <w:p w14:paraId="16FE7B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培育新型业态，打造消费引擎。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发展“人工智能＋消费”“IP＋消费”、首发经济、夜经济，积极培育文娱旅游、体育赛事、国货潮品等新消费增长点。发展首发经济、鼓励企业发布新品、开设首店、开展首秀首展，重点打造“湘阴好物”特色品牌，积极争取上级首发经济政策支持。充分发挥“宗棠夜经济聚集街区”获评首批湖南省夜间消费聚集示范区优势，引进各类连锁店入驻，培育特色美食小店，开展广场促消费活动，不断丰富街区业态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拓展研学、康养、低空飞行、夜间游览、城市漫步等新业态，对评定的省级新业态新场景给予重点支持。放大“票根+”效应，策划“赛事+旅游”“演艺+旅游”等引流活动，打造2—3日深度游精品线路。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商务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粮食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文旅广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体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局牵头，其他县直责任单位按职责分工负责）</w:t>
      </w:r>
    </w:p>
    <w:p w14:paraId="3F5FDA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建强消费载体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完善商业体系。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实施县域商业体系建设行动，改造一批乡镇商贸中心、集贸市场、农村新型便民商店，推动城品下乡、山货进城、电商快递进村。在城区非主干道、闲置广场、符合条件的退让红线区域，以中心城区街道为主体开展试点，利用商场自有前坪、闲置厂房仓库、社区公共区域等场地，规范设置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个“便民疏导点”“潮汐夜市”“跳蚤市场”“就业服务指导中心”，积极申报《湖南优品目录》产品。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商务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粮食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局牵头，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城管局、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市场监管局、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人社局、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公安局、市生态环境局湘阴分局、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农业农村局、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交通运输局、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邮政分公司等按职责分工负责）</w:t>
      </w:r>
    </w:p>
    <w:p w14:paraId="161D45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优化消费生态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保障消费权益。深入推进优化消费环境三年行动，培育一批放心消费商圈。开展“守护消费”专项执法行动，严厉打击食品非法添加、假冒伪劣、虚假宣传、价格欺诈等违法行为。深化部门联动，聚焦重点领域开展联合监管。强化金融支撑，引导金融机构创新开发符合服务消费特点的金融产品和服务。开展消费领域限制性措施清理优化行动，从消费端、需求端、环境端三方发力，破除堵点卡点，有序减少消费和经营限制，释放消费潜力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市场监管局牵头，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发改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局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商务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粮食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局、县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地方金融服务中心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以及其他县直责任单位按职责分工负责）</w:t>
      </w:r>
    </w:p>
    <w:p w14:paraId="680621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攻坚项目投资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夯实内需支撑</w:t>
      </w:r>
    </w:p>
    <w:p w14:paraId="1A9C38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精准招商引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汇聚产业动能。健全完善招商引资工作机制，构建专业招商、产业链招商、乡镇商会联动招商工作格局。围绕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先进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装备制造、现代农业及食品加工、港航物流、硅砂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新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材料、装配式建筑、文化旅游六条产业链，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紧盯“三类”500强和“专精特新”企业，推动一批龙头型、税源型企业项目落地，扎实推进乡友招商、湘商回归。力争全年新引进5000万元以上产业项目45个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。其中，新引进5亿元-10亿元产业项目10个、10亿元以上产业项目5个、50亿元以上产业项目1个以上。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（县商务粮食局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牵头，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县高新区、洋沙湖集团以及其他县直责任单位和乡镇（街道）等按职责分工负责）</w:t>
      </w:r>
    </w:p>
    <w:p w14:paraId="4C59A9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抓实“两重”建设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提速项目落地。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围绕“两重”建设重点任务，在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粮食安全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、产业发展、生态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修复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等领域谋划储备一批项目。加强与上级部门沟通对接，积极争取国家政策资金支持。在高标准农田建设、虞公港开发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建设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、先进装备制造业等领域，争取更多项目落地实施。同步完善项目“软建设”台账，增强项目实施的系统性和可持续性，推动“两重”项目快建设、早见效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（县发改局牵头，县工信局、县农业农村局、市生态环境局湘阴分局以及其他县直责任单位等按职责分工负责）</w:t>
      </w:r>
    </w:p>
    <w:p w14:paraId="6D0417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深耕项目谋划，夯实储备基础。常态化开展项目大谋划、谋划大项目行动，围绕科技创新、绿色转型、城乡融合、民生保障、安全发展等领域，制定全县重大建设项目清单，做实项目前期工作，分级分类精准实施。加大重大项目支持服务力度，实施县级领导包联重大项目制度，强化资金、土地等要素保障，坚持要素跟着项目走、资源围着项目配，进一步提升行政服务效能，推动形成“实施一批、前期一批、储备一批、谋划一批”的项目动态推进机制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聚焦用地、用林、用能、环评等关键要素，会同自然资源、林业、水利、生态环境等部门提前介入、协同论证，开展联合踏勘、并联审查、容缺受理，压缩前期手续办理时限，做好项目要素保障和建设条件落实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工作。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县发改局牵头，县财政局、县自然资源局、市生态环境局湘阴分局、县水利局、县林业局、县科技局、县工信局、县住建局、县民政局、县城管局、县交通运输局、县农业农村局、县文旅广体局、县卫健局、县数据局等按职责分工负责）</w:t>
      </w:r>
    </w:p>
    <w:p w14:paraId="6235D5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聚焦投资攻坚，强化动态管控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。落实全省“投资促进攻坚战”部署，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聚焦省市县重点项目、“三类”资金项目建设开展集中攻坚，对项目推进实行“周调度、月通报、季考核”动态监测，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lang w:eastAsia="zh-CN"/>
        </w:rPr>
        <w:t>督促项目加快形成更多实物工作量。对“三类”资金项目实行建设进度与支付进度对标管理，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 w:bidi="ar"/>
        </w:rPr>
        <w:t>实时跟踪项目开工、工程计量、资金支付、纳统报数等关键环节，及时发现问题、交办问题，协调破解堵点难点，对久拖不决、影响较大的问题提请县政府协调，推动形成部门协同合力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21"/>
          <w:szCs w:val="21"/>
          <w:highlight w:val="none"/>
          <w:lang w:eastAsia="zh-CN"/>
        </w:rPr>
        <w:t>（县发改局牵头，县财政局、县商务粮食局、县工信局、县科技局、县自然资源局、市生态环境局湘阴分局、县住建局、县城管局、县民政局、县交通运输局、县水利局、县农业农村局、县卫健局、县文旅广体局、县林业局、县统计局按职责分工负责）</w:t>
      </w:r>
    </w:p>
    <w:p w14:paraId="1854F5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  <w:t>三、推进机制</w:t>
      </w:r>
    </w:p>
    <w:p w14:paraId="1C8D0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成立释放好扩内需活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场的潜力工作专班，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21"/>
          <w:szCs w:val="21"/>
          <w:highlight w:val="none"/>
          <w:lang w:val="en-US" w:eastAsia="zh-CN"/>
        </w:rPr>
        <w:t>由县政府办分管副主任担任召集人，县发改局、县商务粮食局主要负责人担任副召集人，县发改局、县科技局、县工信局、县民政局、县财政局、县人社局、县自然资源局、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6"/>
          <w:kern w:val="2"/>
          <w:sz w:val="21"/>
          <w:szCs w:val="21"/>
          <w:highlight w:val="none"/>
          <w:lang w:eastAsia="zh-CN"/>
        </w:rPr>
        <w:t>市生态环境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4"/>
          <w:kern w:val="2"/>
          <w:sz w:val="21"/>
          <w:szCs w:val="21"/>
          <w:highlight w:val="none"/>
        </w:rPr>
        <w:t>局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4"/>
          <w:kern w:val="2"/>
          <w:sz w:val="21"/>
          <w:szCs w:val="21"/>
          <w:highlight w:val="none"/>
          <w:lang w:eastAsia="zh-CN"/>
        </w:rPr>
        <w:t>湘阴分局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21"/>
          <w:szCs w:val="21"/>
          <w:highlight w:val="none"/>
          <w:lang w:val="en-US" w:eastAsia="zh-CN"/>
        </w:rPr>
        <w:t>、县住建局、县城管局、县交通运输局、县水利局、县农业农村局、县商务粮食局、县文旅广体局、县卫健局、县市场监管局、县医保局、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地方金融服务中心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21"/>
          <w:szCs w:val="21"/>
          <w:highlight w:val="none"/>
          <w:lang w:val="en-US" w:eastAsia="zh-CN"/>
        </w:rPr>
        <w:t>、市住房公积金管理中心湘阴管理部</w:t>
      </w: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21"/>
          <w:szCs w:val="21"/>
          <w:highlight w:val="none"/>
          <w:lang w:val="en-US" w:eastAsia="zh-CN"/>
        </w:rPr>
        <w:t>、县邮政分公司等为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21"/>
          <w:szCs w:val="21"/>
          <w:highlight w:val="none"/>
          <w:lang w:val="en-US" w:eastAsia="zh-CN"/>
        </w:rPr>
        <w:t>成员单位</w:t>
      </w: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2"/>
          <w:sz w:val="21"/>
          <w:szCs w:val="21"/>
          <w:highlight w:val="none"/>
          <w:lang w:val="en-US" w:eastAsia="zh-CN"/>
        </w:rPr>
        <w:t>专班办公室设县发改局，负责日常协调和调度工作。</w:t>
      </w:r>
    </w:p>
    <w:p w14:paraId="78A87B0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D22A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6033770</wp:posOffset>
              </wp:positionH>
              <wp:positionV relativeFrom="paragraph">
                <wp:posOffset>-57785</wp:posOffset>
              </wp:positionV>
              <wp:extent cx="1828800" cy="1828800"/>
              <wp:effectExtent l="0" t="0" r="0" b="0"/>
              <wp:wrapNone/>
              <wp:docPr id="282" name="文本框 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78D5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5.1pt;margin-top:-4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DoSxzZAAAACwEAAA8AAAAAAAAAAQAgAAAAIgAAAGRycy9k&#10;b3ducmV2LnhtbFBLAQIUABQAAAAIAIdO4kDzRzw7OgIAAHMEAAAOAAAAAAAAAAEAIAAAACg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78D5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17F32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黑体" w:hAnsi="黑体" w:eastAsia="黑体" w:cs="黑体"/>
        <w:kern w:val="2"/>
        <w:sz w:val="24"/>
        <w:szCs w:val="24"/>
        <w:lang w:val="en-US" w:eastAsia="zh-CN" w:bidi="ar-SA"/>
      </w:rPr>
      <w:t>县政府办文件</w:t>
    </w:r>
  </w:p>
  <w:p w14:paraId="37B7A78E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330E3"/>
    <w:rsid w:val="7BC3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2026-05-07T06:43:00Z</dcterms:created>
  <dc:creator>叶宏欢</dc:creator>
  <cp:lastModifiedBy>叶宏欢</cp:lastModifiedBy>
  <dcterms:modified xsi:type="dcterms:W3CDTF">2026-05-07T06:44:43Z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3351DFCEA654462D820EF6C2449553FE_11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