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FF"/>
          <w:sz w:val="36"/>
          <w:szCs w:val="36"/>
          <w:u w:val="none" w:color="auto"/>
        </w:rPr>
      </w:pPr>
    </w:p>
    <w:p/>
    <w:p>
      <w:pPr>
        <w:rPr>
          <w:rFonts w:ascii="仿宋_GB2312" w:hAnsi="仿宋_GB2312" w:eastAsia="仿宋_GB2312" w:cs="仿宋_GB2312"/>
          <w:color w:val="auto"/>
          <w:sz w:val="36"/>
          <w:szCs w:val="36"/>
          <w:u w:val="none" w:color="auto"/>
        </w:rPr>
      </w:pPr>
    </w:p>
    <w:p>
      <w:pPr>
        <w:rPr>
          <w:rFonts w:ascii="仿宋_GB2312" w:hAnsi="仿宋_GB2312" w:eastAsia="仿宋_GB2312" w:cs="仿宋_GB2312"/>
          <w:color w:val="auto"/>
          <w:sz w:val="36"/>
          <w:szCs w:val="36"/>
          <w:u w:val="none" w:color="auto"/>
        </w:rPr>
      </w:pPr>
    </w:p>
    <w:p>
      <w:pPr>
        <w:rPr>
          <w:rFonts w:ascii="仿宋_GB2312" w:hAnsi="仿宋_GB2312" w:eastAsia="仿宋_GB2312" w:cs="仿宋_GB2312"/>
          <w:color w:val="auto"/>
          <w:sz w:val="36"/>
          <w:szCs w:val="36"/>
          <w:u w:val="none" w:color="auto"/>
        </w:rPr>
      </w:pPr>
    </w:p>
    <w:p>
      <w:pPr>
        <w:rPr>
          <w:rFonts w:hint="eastAsia" w:ascii="仿宋_GB2312" w:hAnsi="仿宋_GB2312" w:eastAsia="仿宋_GB2312" w:cs="仿宋_GB2312"/>
          <w:color w:val="auto"/>
          <w:sz w:val="36"/>
          <w:szCs w:val="36"/>
          <w:u w:val="none" w:color="auto"/>
        </w:rPr>
      </w:pPr>
    </w:p>
    <w:p>
      <w:pPr>
        <w:adjustRightInd w:val="0"/>
        <w:snapToGrid w:val="0"/>
        <w:jc w:val="center"/>
        <w:outlineLvl w:val="0"/>
        <w:rPr>
          <w:rFonts w:hint="eastAsia" w:ascii="方正小标宋_GBK" w:eastAsia="方正小标宋_GBK"/>
          <w:bCs/>
          <w:color w:val="auto"/>
          <w:sz w:val="72"/>
          <w:szCs w:val="72"/>
          <w:u w:val="none" w:color="auto"/>
        </w:rPr>
      </w:pPr>
      <w:bookmarkStart w:id="0" w:name="_Toc3256"/>
      <w:r>
        <w:rPr>
          <w:rFonts w:hint="eastAsia" w:ascii="方正小标宋_GBK" w:eastAsia="方正小标宋_GBK"/>
          <w:bCs/>
          <w:color w:val="auto"/>
          <w:sz w:val="72"/>
          <w:szCs w:val="72"/>
          <w:u w:val="none" w:color="auto"/>
        </w:rPr>
        <w:t>建设项目环境影响报告表</w:t>
      </w:r>
      <w:bookmarkEnd w:id="0"/>
    </w:p>
    <w:p>
      <w:pPr>
        <w:adjustRightInd w:val="0"/>
        <w:snapToGrid w:val="0"/>
        <w:spacing w:before="192" w:beforeLines="80"/>
        <w:jc w:val="center"/>
        <w:rPr>
          <w:rFonts w:hint="eastAsia" w:ascii="楷体_GB2312" w:eastAsia="楷体_GB2312"/>
          <w:bCs/>
          <w:color w:val="auto"/>
          <w:sz w:val="48"/>
          <w:szCs w:val="48"/>
          <w:u w:val="none" w:color="auto"/>
        </w:rPr>
      </w:pPr>
      <w:r>
        <w:rPr>
          <w:rFonts w:hint="eastAsia" w:ascii="楷体_GB2312" w:eastAsia="楷体_GB2312"/>
          <w:bCs/>
          <w:color w:val="auto"/>
          <w:sz w:val="48"/>
          <w:szCs w:val="48"/>
          <w:u w:val="none" w:color="auto"/>
        </w:rPr>
        <w:t>（污染影响类）</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ascii="华文仿宋" w:hAnsi="华文仿宋" w:eastAsia="华文仿宋" w:cs="华文仿宋"/>
          <w:color w:val="auto"/>
          <w:kern w:val="44"/>
          <w:sz w:val="44"/>
          <w:szCs w:val="44"/>
          <w:u w:val="none" w:color="auto"/>
        </w:rPr>
      </w:pPr>
    </w:p>
    <w:p>
      <w:pPr>
        <w:jc w:val="center"/>
        <w:rPr>
          <w:rFonts w:eastAsia="仿宋"/>
          <w:color w:val="auto"/>
          <w:sz w:val="52"/>
          <w:szCs w:val="52"/>
          <w:u w:val="none" w:color="auto"/>
        </w:rPr>
      </w:pPr>
    </w:p>
    <w:p>
      <w:pPr>
        <w:ind w:firstLine="1040"/>
        <w:rPr>
          <w:rFonts w:eastAsia="仿宋"/>
          <w:color w:val="auto"/>
          <w:sz w:val="44"/>
          <w:szCs w:val="44"/>
          <w:u w:val="none" w:color="auto"/>
        </w:rPr>
      </w:pPr>
    </w:p>
    <w:p>
      <w:pPr>
        <w:ind w:firstLine="1040"/>
        <w:rPr>
          <w:rFonts w:eastAsia="仿宋"/>
          <w:color w:val="auto"/>
          <w:sz w:val="44"/>
          <w:szCs w:val="44"/>
          <w:u w:val="none" w:color="auto"/>
        </w:rPr>
      </w:pPr>
    </w:p>
    <w:p>
      <w:pPr>
        <w:ind w:firstLine="1040"/>
        <w:rPr>
          <w:rFonts w:eastAsia="仿宋"/>
          <w:color w:val="auto"/>
          <w:sz w:val="44"/>
          <w:szCs w:val="44"/>
          <w:u w:val="none" w:color="auto"/>
        </w:rPr>
      </w:pPr>
    </w:p>
    <w:p>
      <w:pPr>
        <w:ind w:firstLine="1040"/>
        <w:rPr>
          <w:rFonts w:eastAsia="仿宋"/>
          <w:color w:val="auto"/>
          <w:sz w:val="44"/>
          <w:szCs w:val="44"/>
          <w:u w:val="none" w:color="auto"/>
        </w:rPr>
      </w:pPr>
    </w:p>
    <w:p>
      <w:pPr>
        <w:adjustRightInd w:val="0"/>
        <w:snapToGrid w:val="0"/>
        <w:spacing w:line="288" w:lineRule="auto"/>
        <w:ind w:firstLine="720" w:firstLineChars="200"/>
        <w:rPr>
          <w:rFonts w:hint="eastAsia" w:ascii="仿宋_GB2312" w:eastAsia="仿宋_GB2312"/>
          <w:color w:val="auto"/>
          <w:sz w:val="36"/>
          <w:szCs w:val="36"/>
          <w:u w:val="single" w:color="auto"/>
          <w:lang w:val="en-US" w:eastAsia="zh-CN"/>
        </w:rPr>
      </w:pPr>
      <w:r>
        <w:rPr>
          <w:rFonts w:hint="eastAsia" w:ascii="仿宋_GB2312" w:eastAsia="仿宋_GB2312"/>
          <w:color w:val="auto"/>
          <w:sz w:val="36"/>
          <w:szCs w:val="36"/>
          <w:u w:val="none" w:color="auto"/>
        </w:rPr>
        <w:t>项目名称：</w:t>
      </w:r>
      <w:r>
        <w:rPr>
          <w:rFonts w:hint="eastAsia" w:ascii="仿宋_GB2312" w:eastAsia="仿宋_GB2312"/>
          <w:color w:val="auto"/>
          <w:sz w:val="36"/>
          <w:szCs w:val="36"/>
          <w:u w:val="single" w:color="auto"/>
          <w:lang w:val="en-US" w:eastAsia="zh-CN"/>
        </w:rPr>
        <w:t>中央政府煤炭储备湖南港航水利集团</w:t>
      </w:r>
    </w:p>
    <w:p>
      <w:pPr>
        <w:adjustRightInd w:val="0"/>
        <w:snapToGrid w:val="0"/>
        <w:spacing w:line="288" w:lineRule="auto"/>
        <w:ind w:firstLine="2520" w:firstLineChars="700"/>
        <w:rPr>
          <w:rFonts w:hint="default" w:ascii="仿宋_GB2312" w:eastAsia="仿宋_GB2312"/>
          <w:color w:val="auto"/>
          <w:sz w:val="36"/>
          <w:szCs w:val="36"/>
          <w:u w:val="none" w:color="auto"/>
          <w:lang w:val="en-US" w:eastAsia="zh-CN"/>
        </w:rPr>
      </w:pPr>
      <w:r>
        <w:rPr>
          <w:rFonts w:hint="eastAsia" w:ascii="仿宋_GB2312" w:eastAsia="仿宋_GB2312"/>
          <w:color w:val="auto"/>
          <w:sz w:val="36"/>
          <w:szCs w:val="36"/>
          <w:u w:val="single" w:color="auto"/>
          <w:lang w:val="en-US" w:eastAsia="zh-CN"/>
        </w:rPr>
        <w:t xml:space="preserve">湘阴项目   </w:t>
      </w:r>
      <w:r>
        <w:rPr>
          <w:rFonts w:hint="eastAsia" w:ascii="仿宋_GB2312" w:eastAsia="仿宋_GB2312"/>
          <w:color w:val="auto"/>
          <w:sz w:val="36"/>
          <w:szCs w:val="36"/>
          <w:u w:val="none" w:color="auto"/>
          <w:lang w:val="en-US" w:eastAsia="zh-CN"/>
        </w:rPr>
        <w:t xml:space="preserve">    </w:t>
      </w:r>
    </w:p>
    <w:p>
      <w:pPr>
        <w:adjustRightInd w:val="0"/>
        <w:snapToGrid w:val="0"/>
        <w:spacing w:line="288" w:lineRule="auto"/>
        <w:ind w:firstLine="720" w:firstLineChars="200"/>
        <w:rPr>
          <w:rFonts w:ascii="仿宋_GB2312" w:eastAsia="仿宋_GB2312"/>
          <w:color w:val="auto"/>
          <w:sz w:val="36"/>
          <w:szCs w:val="36"/>
          <w:u w:val="single" w:color="auto"/>
        </w:rPr>
      </w:pPr>
      <w:r>
        <w:rPr>
          <w:rFonts w:hint="eastAsia" w:ascii="仿宋_GB2312" w:eastAsia="仿宋_GB2312"/>
          <w:color w:val="auto"/>
          <w:sz w:val="36"/>
          <w:szCs w:val="36"/>
          <w:u w:val="none" w:color="auto"/>
        </w:rPr>
        <w:t>建设单位：</w:t>
      </w:r>
      <w:r>
        <w:rPr>
          <w:rFonts w:hint="eastAsia" w:ascii="仿宋_GB2312" w:eastAsia="仿宋_GB2312"/>
          <w:color w:val="auto"/>
          <w:sz w:val="36"/>
          <w:szCs w:val="36"/>
          <w:u w:val="single" w:color="auto"/>
          <w:lang w:val="en-US" w:eastAsia="zh-CN"/>
        </w:rPr>
        <w:t xml:space="preserve">  湖南省虞公港建设投资有限公司 </w:t>
      </w:r>
    </w:p>
    <w:p>
      <w:pPr>
        <w:adjustRightInd w:val="0"/>
        <w:snapToGrid w:val="0"/>
        <w:spacing w:line="288" w:lineRule="auto"/>
        <w:ind w:firstLine="720" w:firstLineChars="200"/>
        <w:rPr>
          <w:rFonts w:hint="eastAsia" w:ascii="仿宋_GB2312" w:eastAsia="仿宋_GB2312"/>
          <w:color w:val="auto"/>
          <w:sz w:val="36"/>
          <w:szCs w:val="36"/>
          <w:u w:val="single" w:color="auto"/>
        </w:rPr>
      </w:pPr>
      <w:r>
        <w:rPr>
          <w:rFonts w:hint="eastAsia" w:ascii="仿宋_GB2312" w:eastAsia="仿宋_GB2312"/>
          <w:color w:val="auto"/>
          <w:sz w:val="36"/>
          <w:szCs w:val="36"/>
          <w:u w:val="none" w:color="auto"/>
        </w:rPr>
        <w:t>编制日期：</w:t>
      </w:r>
      <w:r>
        <w:rPr>
          <w:rFonts w:hint="eastAsia" w:ascii="仿宋_GB2312" w:eastAsia="仿宋_GB2312"/>
          <w:color w:val="auto"/>
          <w:sz w:val="36"/>
          <w:szCs w:val="36"/>
          <w:u w:val="single" w:color="auto"/>
          <w:lang w:val="en-US" w:eastAsia="zh-CN"/>
        </w:rPr>
        <w:t xml:space="preserve">   2026年3月 </w:t>
      </w:r>
      <w:r>
        <w:rPr>
          <w:rFonts w:ascii="仿宋_GB2312" w:eastAsia="仿宋_GB2312"/>
          <w:color w:val="auto"/>
          <w:sz w:val="36"/>
          <w:szCs w:val="36"/>
          <w:u w:val="single" w:color="auto"/>
        </w:rPr>
        <w:t xml:space="preserve"> </w:t>
      </w:r>
    </w:p>
    <w:p>
      <w:pPr>
        <w:adjustRightInd w:val="0"/>
        <w:snapToGrid w:val="0"/>
        <w:spacing w:line="288" w:lineRule="auto"/>
        <w:ind w:firstLine="1040"/>
        <w:rPr>
          <w:rFonts w:ascii="仿宋_GB2312" w:eastAsia="仿宋_GB2312"/>
          <w:color w:val="auto"/>
          <w:sz w:val="36"/>
          <w:szCs w:val="36"/>
          <w:u w:val="none" w:color="auto"/>
        </w:rPr>
      </w:pPr>
      <w:bookmarkStart w:id="1" w:name="_Hlk57884087"/>
    </w:p>
    <w:p>
      <w:pPr>
        <w:adjustRightInd w:val="0"/>
        <w:snapToGrid w:val="0"/>
        <w:spacing w:line="288" w:lineRule="auto"/>
        <w:ind w:firstLine="1040"/>
        <w:rPr>
          <w:rFonts w:ascii="仿宋_GB2312" w:eastAsia="仿宋_GB2312"/>
          <w:color w:val="auto"/>
          <w:sz w:val="36"/>
          <w:szCs w:val="36"/>
          <w:u w:val="none" w:color="auto"/>
        </w:rPr>
      </w:pPr>
    </w:p>
    <w:p>
      <w:pPr>
        <w:adjustRightInd w:val="0"/>
        <w:snapToGrid w:val="0"/>
        <w:spacing w:line="288" w:lineRule="auto"/>
        <w:ind w:firstLine="1040"/>
        <w:rPr>
          <w:rFonts w:ascii="仿宋_GB2312" w:eastAsia="仿宋_GB2312"/>
          <w:color w:val="auto"/>
          <w:sz w:val="36"/>
          <w:szCs w:val="36"/>
          <w:u w:val="none" w:color="auto"/>
        </w:rPr>
      </w:pPr>
    </w:p>
    <w:p>
      <w:pPr>
        <w:adjustRightInd w:val="0"/>
        <w:snapToGrid w:val="0"/>
        <w:spacing w:line="288" w:lineRule="auto"/>
        <w:ind w:firstLine="1040"/>
        <w:rPr>
          <w:rFonts w:hint="eastAsia" w:ascii="仿宋_GB2312" w:eastAsia="仿宋_GB2312"/>
          <w:color w:val="auto"/>
          <w:sz w:val="36"/>
          <w:szCs w:val="36"/>
          <w:u w:val="none" w:color="auto"/>
        </w:rPr>
      </w:pPr>
    </w:p>
    <w:p>
      <w:pPr>
        <w:adjustRightInd w:val="0"/>
        <w:snapToGrid w:val="0"/>
        <w:spacing w:line="288" w:lineRule="auto"/>
        <w:ind w:firstLine="1040"/>
        <w:rPr>
          <w:rFonts w:hint="eastAsia" w:ascii="仿宋_GB2312" w:eastAsia="仿宋_GB2312"/>
          <w:color w:val="auto"/>
          <w:sz w:val="36"/>
          <w:szCs w:val="36"/>
          <w:u w:val="none" w:color="auto"/>
        </w:rPr>
      </w:pPr>
    </w:p>
    <w:bookmarkEnd w:id="1"/>
    <w:p>
      <w:pPr>
        <w:adjustRightInd w:val="0"/>
        <w:snapToGrid w:val="0"/>
        <w:spacing w:line="288" w:lineRule="auto"/>
        <w:jc w:val="center"/>
        <w:rPr>
          <w:rFonts w:hint="eastAsia" w:eastAsia="宋体"/>
          <w:color w:val="0000FF"/>
          <w:u w:val="none" w:color="auto"/>
          <w:lang w:eastAsia="zh-C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楷体_GB2312" w:eastAsia="楷体_GB2312"/>
          <w:color w:val="auto"/>
          <w:sz w:val="36"/>
          <w:szCs w:val="36"/>
          <w:u w:val="none" w:color="auto"/>
        </w:rPr>
        <w:t>中华人民共和国生态环境</w:t>
      </w:r>
      <w:r>
        <w:rPr>
          <w:color w:val="0000FF"/>
          <w:sz w:val="21"/>
          <w:highlight w:val="none"/>
          <w:u w:val="none" w:color="auto"/>
        </w:rPr>
        <mc:AlternateContent>
          <mc:Choice Requires="wps">
            <w:drawing>
              <wp:anchor distT="0" distB="0" distL="114300" distR="114300" simplePos="0" relativeHeight="251661312" behindDoc="0" locked="0" layoutInCell="1" allowOverlap="1">
                <wp:simplePos x="0" y="0"/>
                <wp:positionH relativeFrom="column">
                  <wp:posOffset>953135</wp:posOffset>
                </wp:positionH>
                <wp:positionV relativeFrom="paragraph">
                  <wp:posOffset>2870835</wp:posOffset>
                </wp:positionV>
                <wp:extent cx="7124700" cy="516255"/>
                <wp:effectExtent l="0" t="0" r="0" b="0"/>
                <wp:wrapNone/>
                <wp:docPr id="24" name="文本框 24"/>
                <wp:cNvGraphicFramePr/>
                <a:graphic xmlns:a="http://schemas.openxmlformats.org/drawingml/2006/main">
                  <a:graphicData uri="http://schemas.microsoft.com/office/word/2010/wordprocessingShape">
                    <wps:wsp>
                      <wps:cNvSpPr txBox="1"/>
                      <wps:spPr>
                        <a:xfrm rot="-1740000">
                          <a:off x="0" y="0"/>
                          <a:ext cx="7124700" cy="516255"/>
                        </a:xfrm>
                        <a:prstGeom prst="rect">
                          <a:avLst/>
                        </a:prstGeom>
                        <a:noFill/>
                        <a:ln w="6350">
                          <a:noFill/>
                        </a:ln>
                        <a:effectLst/>
                      </wps:spPr>
                      <wps:txbx>
                        <w:txbxContent>
                          <w:p>
                            <w:pPr>
                              <w:rPr>
                                <w:rFonts w:hint="eastAsia" w:eastAsia="宋体"/>
                                <w:b/>
                                <w:bCs/>
                                <w:color w:val="000000"/>
                                <w:sz w:val="36"/>
                                <w:szCs w:val="36"/>
                                <w:lang w:eastAsia="zh-CN"/>
                              </w:rPr>
                            </w:pPr>
                          </w:p>
                          <w:p>
                            <w:pPr>
                              <w:rPr>
                                <w:rFonts w:hint="default" w:eastAsia="宋体"/>
                                <w:b/>
                                <w:bCs/>
                                <w:color w:val="FF0000"/>
                                <w:sz w:val="36"/>
                                <w:szCs w:val="36"/>
                                <w:lang w:val="en-US" w:eastAsia="zh-CN"/>
                              </w:rPr>
                            </w:pPr>
                          </w:p>
                        </w:txbxContent>
                      </wps:txbx>
                      <wps:bodyPr vert="horz" wrap="square" anchor="t" anchorCtr="0" upright="0"/>
                    </wps:wsp>
                  </a:graphicData>
                </a:graphic>
              </wp:anchor>
            </w:drawing>
          </mc:Choice>
          <mc:Fallback>
            <w:pict>
              <v:shape id="_x0000_s1026" o:spid="_x0000_s1026" o:spt="202" type="#_x0000_t202" style="position:absolute;left:0pt;margin-left:75.05pt;margin-top:226.05pt;height:40.65pt;width:561pt;rotation:-1900544f;z-index:251661312;mso-width-relative:page;mso-height-relative:page;" filled="f" stroked="f" coordsize="21600,21600" o:gfxdata="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Osm0z2gAA&#10;AAwBAAAPAAAAAAAAAAEAIAAAACIAAABkcnMvZG93bnJldi54bWxQSwECFAAUAAAACACHTuJA5YKj&#10;IuMBAACpAwAADgAAAAAAAAABACAAAAApAQAAZHJzL2Uyb0RvYy54bWxQSwUGAAAAAAYABgBZAQAA&#10;fgUAAAAA&#10;">
                <v:fill on="f" focussize="0,0"/>
                <v:stroke on="f" weight="0.5pt"/>
                <v:imagedata o:title=""/>
                <o:lock v:ext="edit" aspectratio="f"/>
                <v:textbox>
                  <w:txbxContent>
                    <w:p>
                      <w:pPr>
                        <w:rPr>
                          <w:rFonts w:hint="eastAsia" w:eastAsia="宋体"/>
                          <w:b/>
                          <w:bCs/>
                          <w:color w:val="000000"/>
                          <w:sz w:val="36"/>
                          <w:szCs w:val="36"/>
                          <w:lang w:eastAsia="zh-CN"/>
                        </w:rPr>
                      </w:pPr>
                    </w:p>
                    <w:p>
                      <w:pPr>
                        <w:rPr>
                          <w:rFonts w:hint="default" w:eastAsia="宋体"/>
                          <w:b/>
                          <w:bCs/>
                          <w:color w:val="FF0000"/>
                          <w:sz w:val="36"/>
                          <w:szCs w:val="36"/>
                          <w:lang w:val="en-US" w:eastAsia="zh-CN"/>
                        </w:rPr>
                      </w:pPr>
                    </w:p>
                  </w:txbxContent>
                </v:textbox>
              </v:shape>
            </w:pict>
          </mc:Fallback>
        </mc:AlternateContent>
      </w:r>
      <w:r>
        <w:rPr>
          <w:color w:val="0000FF"/>
          <w:sz w:val="21"/>
          <w:highlight w:val="none"/>
          <w:u w:val="none" w:color="auto"/>
        </w:rPr>
        <mc:AlternateContent>
          <mc:Choice Requires="wps">
            <w:drawing>
              <wp:anchor distT="0" distB="0" distL="114300" distR="114300" simplePos="0" relativeHeight="251662336" behindDoc="0" locked="0" layoutInCell="1" allowOverlap="1">
                <wp:simplePos x="0" y="0"/>
                <wp:positionH relativeFrom="column">
                  <wp:posOffset>511175</wp:posOffset>
                </wp:positionH>
                <wp:positionV relativeFrom="paragraph">
                  <wp:posOffset>2074545</wp:posOffset>
                </wp:positionV>
                <wp:extent cx="7124700" cy="516255"/>
                <wp:effectExtent l="0" t="0" r="0" b="0"/>
                <wp:wrapNone/>
                <wp:docPr id="2" name="文本框 2"/>
                <wp:cNvGraphicFramePr/>
                <a:graphic xmlns:a="http://schemas.openxmlformats.org/drawingml/2006/main">
                  <a:graphicData uri="http://schemas.microsoft.com/office/word/2010/wordprocessingShape">
                    <wps:wsp>
                      <wps:cNvSpPr txBox="1"/>
                      <wps:spPr>
                        <a:xfrm rot="-1740000">
                          <a:off x="0" y="0"/>
                          <a:ext cx="7124700" cy="516255"/>
                        </a:xfrm>
                        <a:prstGeom prst="rect">
                          <a:avLst/>
                        </a:prstGeom>
                        <a:noFill/>
                        <a:ln w="6350">
                          <a:noFill/>
                        </a:ln>
                        <a:effectLst/>
                      </wps:spPr>
                      <wps:txbx>
                        <w:txbxContent>
                          <w:p>
                            <w:pPr>
                              <w:rPr>
                                <w:rFonts w:hint="eastAsia" w:eastAsia="宋体"/>
                                <w:b/>
                                <w:bCs/>
                                <w:color w:val="000000"/>
                                <w:sz w:val="36"/>
                                <w:szCs w:val="36"/>
                                <w:lang w:eastAsia="zh-CN"/>
                              </w:rPr>
                            </w:pPr>
                          </w:p>
                          <w:p>
                            <w:pPr>
                              <w:rPr>
                                <w:rFonts w:hint="default" w:eastAsia="宋体"/>
                                <w:b/>
                                <w:bCs/>
                                <w:color w:val="FF0000"/>
                                <w:sz w:val="36"/>
                                <w:szCs w:val="36"/>
                                <w:lang w:val="en-US" w:eastAsia="zh-CN"/>
                              </w:rPr>
                            </w:pPr>
                          </w:p>
                        </w:txbxContent>
                      </wps:txbx>
                      <wps:bodyPr vert="horz" wrap="square" anchor="t" anchorCtr="0" upright="0"/>
                    </wps:wsp>
                  </a:graphicData>
                </a:graphic>
              </wp:anchor>
            </w:drawing>
          </mc:Choice>
          <mc:Fallback>
            <w:pict>
              <v:shape id="_x0000_s1026" o:spid="_x0000_s1026" o:spt="202" type="#_x0000_t202" style="position:absolute;left:0pt;margin-left:40.25pt;margin-top:163.35pt;height:40.65pt;width:561pt;rotation:-1900544f;z-index:251662336;mso-width-relative:page;mso-height-relative:page;" filled="f" stroked="f" coordsize="21600,21600" o:gfxdata="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y8xMtoAAAAL&#10;AQAADwAAAAAAAAABACAAAAAiAAAAZHJzL2Rvd25yZXYueG1sUEsBAhQAFAAAAAgAh07iQOBcPvjh&#10;AQAApwMAAA4AAAAAAAAAAQAgAAAAKQEAAGRycy9lMm9Eb2MueG1sUEsFBgAAAAAGAAYAWQEAAHwF&#10;AAAAAA==&#10;">
                <v:fill on="f" focussize="0,0"/>
                <v:stroke on="f" weight="0.5pt"/>
                <v:imagedata o:title=""/>
                <o:lock v:ext="edit" aspectratio="f"/>
                <v:textbox>
                  <w:txbxContent>
                    <w:p>
                      <w:pPr>
                        <w:rPr>
                          <w:rFonts w:hint="eastAsia" w:eastAsia="宋体"/>
                          <w:b/>
                          <w:bCs/>
                          <w:color w:val="000000"/>
                          <w:sz w:val="36"/>
                          <w:szCs w:val="36"/>
                          <w:lang w:eastAsia="zh-CN"/>
                        </w:rPr>
                      </w:pPr>
                    </w:p>
                    <w:p>
                      <w:pPr>
                        <w:rPr>
                          <w:rFonts w:hint="default" w:eastAsia="宋体"/>
                          <w:b/>
                          <w:bCs/>
                          <w:color w:val="FF0000"/>
                          <w:sz w:val="36"/>
                          <w:szCs w:val="36"/>
                          <w:lang w:val="en-US" w:eastAsia="zh-CN"/>
                        </w:rPr>
                      </w:pPr>
                    </w:p>
                  </w:txbxContent>
                </v:textbox>
              </v:shape>
            </w:pict>
          </mc:Fallback>
        </mc:AlternateContent>
      </w:r>
      <w:r>
        <w:rPr>
          <w:color w:val="0000FF"/>
          <w:sz w:val="21"/>
          <w:highlight w:val="none"/>
          <w:u w:val="none" w:color="auto"/>
        </w:rPr>
        <mc:AlternateContent>
          <mc:Choice Requires="wps">
            <w:drawing>
              <wp:anchor distT="0" distB="0" distL="114300" distR="114300" simplePos="0" relativeHeight="251663360" behindDoc="0" locked="0" layoutInCell="1" allowOverlap="1">
                <wp:simplePos x="0" y="0"/>
                <wp:positionH relativeFrom="column">
                  <wp:posOffset>451485</wp:posOffset>
                </wp:positionH>
                <wp:positionV relativeFrom="paragraph">
                  <wp:posOffset>1586865</wp:posOffset>
                </wp:positionV>
                <wp:extent cx="7124700" cy="516255"/>
                <wp:effectExtent l="0" t="0" r="0" b="0"/>
                <wp:wrapNone/>
                <wp:docPr id="3" name="文本框 3"/>
                <wp:cNvGraphicFramePr/>
                <a:graphic xmlns:a="http://schemas.openxmlformats.org/drawingml/2006/main">
                  <a:graphicData uri="http://schemas.microsoft.com/office/word/2010/wordprocessingShape">
                    <wps:wsp>
                      <wps:cNvSpPr txBox="1"/>
                      <wps:spPr>
                        <a:xfrm rot="-1740000">
                          <a:off x="0" y="0"/>
                          <a:ext cx="7124700" cy="516255"/>
                        </a:xfrm>
                        <a:prstGeom prst="rect">
                          <a:avLst/>
                        </a:prstGeom>
                        <a:noFill/>
                        <a:ln w="6350">
                          <a:noFill/>
                        </a:ln>
                        <a:effectLst/>
                      </wps:spPr>
                      <wps:txbx>
                        <w:txbxContent>
                          <w:p>
                            <w:pPr>
                              <w:rPr>
                                <w:rFonts w:hint="eastAsia" w:eastAsia="宋体"/>
                                <w:b/>
                                <w:bCs/>
                                <w:color w:val="000000"/>
                                <w:sz w:val="36"/>
                                <w:szCs w:val="36"/>
                                <w:lang w:eastAsia="zh-CN"/>
                              </w:rPr>
                            </w:pPr>
                          </w:p>
                          <w:p>
                            <w:pPr>
                              <w:rPr>
                                <w:rFonts w:hint="default" w:eastAsia="宋体"/>
                                <w:b/>
                                <w:bCs/>
                                <w:color w:val="FF0000"/>
                                <w:sz w:val="36"/>
                                <w:szCs w:val="36"/>
                                <w:lang w:val="en-US" w:eastAsia="zh-CN"/>
                              </w:rPr>
                            </w:pPr>
                          </w:p>
                        </w:txbxContent>
                      </wps:txbx>
                      <wps:bodyPr vert="horz" wrap="square" anchor="t" anchorCtr="0" upright="0"/>
                    </wps:wsp>
                  </a:graphicData>
                </a:graphic>
              </wp:anchor>
            </w:drawing>
          </mc:Choice>
          <mc:Fallback>
            <w:pict>
              <v:shape id="_x0000_s1026" o:spid="_x0000_s1026" o:spt="202" type="#_x0000_t202" style="position:absolute;left:0pt;margin-left:35.55pt;margin-top:124.95pt;height:40.65pt;width:561pt;rotation:-1900544f;z-index:251663360;mso-width-relative:page;mso-height-relative:page;" filled="f" stroked="f" coordsize="21600,21600" o:gfxdata="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vknOQ2wAA&#10;AAsBAAAPAAAAAAAAAAEAIAAAACIAAABkcnMvZG93bnJldi54bWxQSwECFAAUAAAACACHTuJAMOsT&#10;PuIBAACnAwAADgAAAAAAAAABACAAAAAqAQAAZHJzL2Uyb0RvYy54bWxQSwUGAAAAAAYABgBZAQAA&#10;fgUAAAAA&#10;">
                <v:fill on="f" focussize="0,0"/>
                <v:stroke on="f" weight="0.5pt"/>
                <v:imagedata o:title=""/>
                <o:lock v:ext="edit" aspectratio="f"/>
                <v:textbox>
                  <w:txbxContent>
                    <w:p>
                      <w:pPr>
                        <w:rPr>
                          <w:rFonts w:hint="eastAsia" w:eastAsia="宋体"/>
                          <w:b/>
                          <w:bCs/>
                          <w:color w:val="000000"/>
                          <w:sz w:val="36"/>
                          <w:szCs w:val="36"/>
                          <w:lang w:eastAsia="zh-CN"/>
                        </w:rPr>
                      </w:pPr>
                    </w:p>
                    <w:p>
                      <w:pPr>
                        <w:rPr>
                          <w:rFonts w:hint="default" w:eastAsia="宋体"/>
                          <w:b/>
                          <w:bCs/>
                          <w:color w:val="FF0000"/>
                          <w:sz w:val="36"/>
                          <w:szCs w:val="36"/>
                          <w:lang w:val="en-US" w:eastAsia="zh-CN"/>
                        </w:rPr>
                      </w:pPr>
                    </w:p>
                  </w:txbxContent>
                </v:textbox>
              </v:shape>
            </w:pict>
          </mc:Fallback>
        </mc:AlternateContent>
      </w:r>
      <w:r>
        <w:rPr>
          <w:color w:val="0000FF"/>
          <w:sz w:val="21"/>
          <w:highlight w:val="none"/>
          <w:u w:val="none" w:color="auto"/>
        </w:rPr>
        <mc:AlternateContent>
          <mc:Choice Requires="wps">
            <w:drawing>
              <wp:anchor distT="0" distB="0" distL="114300" distR="114300" simplePos="0" relativeHeight="251664384" behindDoc="0" locked="0" layoutInCell="1" allowOverlap="1">
                <wp:simplePos x="0" y="0"/>
                <wp:positionH relativeFrom="column">
                  <wp:posOffset>-940435</wp:posOffset>
                </wp:positionH>
                <wp:positionV relativeFrom="paragraph">
                  <wp:posOffset>3681730</wp:posOffset>
                </wp:positionV>
                <wp:extent cx="7124700" cy="516255"/>
                <wp:effectExtent l="0" t="0" r="0" b="0"/>
                <wp:wrapNone/>
                <wp:docPr id="4" name="文本框 4"/>
                <wp:cNvGraphicFramePr/>
                <a:graphic xmlns:a="http://schemas.openxmlformats.org/drawingml/2006/main">
                  <a:graphicData uri="http://schemas.microsoft.com/office/word/2010/wordprocessingShape">
                    <wps:wsp>
                      <wps:cNvSpPr txBox="1"/>
                      <wps:spPr>
                        <a:xfrm rot="-1740000">
                          <a:off x="0" y="0"/>
                          <a:ext cx="7124700" cy="516255"/>
                        </a:xfrm>
                        <a:prstGeom prst="rect">
                          <a:avLst/>
                        </a:prstGeom>
                        <a:noFill/>
                        <a:ln w="6350">
                          <a:noFill/>
                        </a:ln>
                        <a:effectLst/>
                      </wps:spPr>
                      <wps:txbx>
                        <w:txbxContent>
                          <w:p>
                            <w:pPr>
                              <w:rPr>
                                <w:rFonts w:hint="default" w:eastAsia="宋体"/>
                                <w:b/>
                                <w:bCs/>
                                <w:color w:val="FF0000"/>
                                <w:sz w:val="36"/>
                                <w:szCs w:val="36"/>
                                <w:lang w:val="en-US" w:eastAsia="zh-CN"/>
                              </w:rPr>
                            </w:pPr>
                          </w:p>
                        </w:txbxContent>
                      </wps:txbx>
                      <wps:bodyPr vert="horz" wrap="square" anchor="t" anchorCtr="0" upright="0"/>
                    </wps:wsp>
                  </a:graphicData>
                </a:graphic>
              </wp:anchor>
            </w:drawing>
          </mc:Choice>
          <mc:Fallback>
            <w:pict>
              <v:shape id="_x0000_s1026" o:spid="_x0000_s1026" o:spt="202" type="#_x0000_t202" style="position:absolute;left:0pt;margin-left:-74.05pt;margin-top:289.9pt;height:40.65pt;width:561pt;rotation:-1900544f;z-index:251664384;mso-width-relative:page;mso-height-relative:page;" filled="f" stroked="f" coordsize="21600,21600" o:gfxdata="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dOkzNwA&#10;AAAMAQAADwAAAAAAAAABACAAAAAiAAAAZHJzL2Rvd25yZXYueG1sUEsBAhQAFAAAAAgAh07iQMPm&#10;QAHiAQAApwMAAA4AAAAAAAAAAQAgAAAAKwEAAGRycy9lMm9Eb2MueG1sUEsFBgAAAAAGAAYAWQEA&#10;AH8FAAAAAA==&#10;">
                <v:fill on="f" focussize="0,0"/>
                <v:stroke on="f" weight="0.5pt"/>
                <v:imagedata o:title=""/>
                <o:lock v:ext="edit" aspectratio="f"/>
                <v:textbox>
                  <w:txbxContent>
                    <w:p>
                      <w:pPr>
                        <w:rPr>
                          <w:rFonts w:hint="default" w:eastAsia="宋体"/>
                          <w:b/>
                          <w:bCs/>
                          <w:color w:val="FF0000"/>
                          <w:sz w:val="36"/>
                          <w:szCs w:val="36"/>
                          <w:lang w:val="en-US" w:eastAsia="zh-CN"/>
                        </w:rPr>
                      </w:pPr>
                    </w:p>
                  </w:txbxContent>
                </v:textbox>
              </v:shape>
            </w:pict>
          </mc:Fallback>
        </mc:AlternateContent>
      </w:r>
      <w:r>
        <w:rPr>
          <w:color w:val="0000FF"/>
          <w:sz w:val="21"/>
          <w:highlight w:val="none"/>
          <w:u w:val="none" w:color="auto"/>
        </w:rPr>
        <mc:AlternateContent>
          <mc:Choice Requires="wps">
            <w:drawing>
              <wp:anchor distT="0" distB="0" distL="114300" distR="114300" simplePos="0" relativeHeight="251665408" behindDoc="0" locked="0" layoutInCell="1" allowOverlap="1">
                <wp:simplePos x="0" y="0"/>
                <wp:positionH relativeFrom="column">
                  <wp:posOffset>-952500</wp:posOffset>
                </wp:positionH>
                <wp:positionV relativeFrom="paragraph">
                  <wp:posOffset>2526665</wp:posOffset>
                </wp:positionV>
                <wp:extent cx="7124700" cy="516255"/>
                <wp:effectExtent l="0" t="0" r="0" b="0"/>
                <wp:wrapNone/>
                <wp:docPr id="5" name="文本框 5"/>
                <wp:cNvGraphicFramePr/>
                <a:graphic xmlns:a="http://schemas.openxmlformats.org/drawingml/2006/main">
                  <a:graphicData uri="http://schemas.microsoft.com/office/word/2010/wordprocessingShape">
                    <wps:wsp>
                      <wps:cNvSpPr txBox="1"/>
                      <wps:spPr>
                        <a:xfrm rot="-1740000">
                          <a:off x="0" y="0"/>
                          <a:ext cx="7124700" cy="516255"/>
                        </a:xfrm>
                        <a:prstGeom prst="rect">
                          <a:avLst/>
                        </a:prstGeom>
                        <a:noFill/>
                        <a:ln w="6350">
                          <a:noFill/>
                        </a:ln>
                        <a:effectLst/>
                      </wps:spPr>
                      <wps:txbx>
                        <w:txbxContent>
                          <w:p>
                            <w:pPr>
                              <w:rPr>
                                <w:rFonts w:hint="default" w:eastAsia="宋体"/>
                                <w:b/>
                                <w:bCs/>
                                <w:color w:val="FF0000"/>
                                <w:sz w:val="36"/>
                                <w:szCs w:val="36"/>
                                <w:lang w:val="en-US" w:eastAsia="zh-CN"/>
                              </w:rPr>
                            </w:pPr>
                          </w:p>
                        </w:txbxContent>
                      </wps:txbx>
                      <wps:bodyPr vert="horz" wrap="square" anchor="t" anchorCtr="0" upright="0"/>
                    </wps:wsp>
                  </a:graphicData>
                </a:graphic>
              </wp:anchor>
            </w:drawing>
          </mc:Choice>
          <mc:Fallback>
            <w:pict>
              <v:shape id="_x0000_s1026" o:spid="_x0000_s1026" o:spt="202" type="#_x0000_t202" style="position:absolute;left:0pt;margin-left:-75pt;margin-top:198.95pt;height:40.65pt;width:561pt;rotation:-1900544f;z-index:251665408;mso-width-relative:page;mso-height-relative:page;" filled="f" stroked="f" coordsize="21600,21600" o:gfxdata="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BSA/c&#10;AAAADAEAAA8AAAAAAAAAAQAgAAAAIgAAAGRycy9kb3ducmV2LnhtbFBLAQIUABQAAAAIAIdO4kAT&#10;UW3H4wEAAKcDAAAOAAAAAAAAAAEAIAAAACsBAABkcnMvZTJvRG9jLnhtbFBLBQYAAAAABgAGAFkB&#10;AACABQAAAAA=&#10;">
                <v:fill on="f" focussize="0,0"/>
                <v:stroke on="f" weight="0.5pt"/>
                <v:imagedata o:title=""/>
                <o:lock v:ext="edit" aspectratio="f"/>
                <v:textbox>
                  <w:txbxContent>
                    <w:p>
                      <w:pPr>
                        <w:rPr>
                          <w:rFonts w:hint="default" w:eastAsia="宋体"/>
                          <w:b/>
                          <w:bCs/>
                          <w:color w:val="FF0000"/>
                          <w:sz w:val="36"/>
                          <w:szCs w:val="36"/>
                          <w:lang w:val="en-US" w:eastAsia="zh-CN"/>
                        </w:rPr>
                      </w:pPr>
                    </w:p>
                  </w:txbxContent>
                </v:textbox>
              </v:shape>
            </w:pict>
          </mc:Fallback>
        </mc:AlternateContent>
      </w:r>
    </w:p>
    <w:p>
      <w:pPr>
        <w:spacing w:before="0" w:beforeLines="0" w:after="0" w:afterLines="0" w:line="360" w:lineRule="auto"/>
        <w:ind w:left="0" w:leftChars="0" w:right="0" w:rightChars="0" w:firstLine="0" w:firstLineChars="0"/>
        <w:jc w:val="both"/>
        <w:rPr>
          <w:rFonts w:hint="default" w:ascii="Times New Roman" w:hAnsi="Times New Roman" w:cs="Times New Roman"/>
          <w:b/>
          <w:bCs/>
          <w:color w:val="auto"/>
          <w:sz w:val="28"/>
          <w:szCs w:val="28"/>
          <w:u w:val="none" w:color="auto"/>
        </w:rPr>
      </w:pPr>
      <w:bookmarkStart w:id="18" w:name="_GoBack"/>
      <w:r>
        <w:rPr>
          <w:rFonts w:hint="default" w:ascii="Times New Roman" w:hAnsi="Times New Roman" w:eastAsia="宋体" w:cs="Times New Roman"/>
          <w:b/>
          <w:bCs/>
          <w:color w:val="auto"/>
          <w:sz w:val="28"/>
          <w:szCs w:val="28"/>
          <w:u w:val="none" w:color="auto"/>
        </w:rPr>
        <w:t>目录</w:t>
      </w:r>
      <w:bookmarkEnd w:id="18"/>
    </w:p>
    <w:p>
      <w:pPr>
        <w:pStyle w:val="25"/>
        <w:tabs>
          <w:tab w:val="right" w:leader="dot" w:pos="8844"/>
        </w:tabs>
        <w:spacing w:line="360" w:lineRule="auto"/>
        <w:rPr>
          <w:rFonts w:hint="default" w:ascii="Times New Roman" w:hAnsi="Times New Roman" w:cs="Times New Roman"/>
          <w:color w:val="0000FF"/>
          <w:sz w:val="28"/>
          <w:szCs w:val="28"/>
          <w:u w:val="none" w:color="auto"/>
        </w:rPr>
      </w:pPr>
      <w:r>
        <w:rPr>
          <w:rFonts w:hint="default" w:ascii="Times New Roman" w:hAnsi="Times New Roman" w:cs="Times New Roman"/>
          <w:b w:val="0"/>
          <w:bCs w:val="0"/>
          <w:color w:val="0000FF"/>
          <w:sz w:val="28"/>
          <w:szCs w:val="28"/>
          <w:u w:val="none" w:color="auto"/>
        </w:rPr>
        <w:fldChar w:fldCharType="begin"/>
      </w:r>
      <w:r>
        <w:rPr>
          <w:rFonts w:hint="default" w:ascii="Times New Roman" w:hAnsi="Times New Roman" w:cs="Times New Roman"/>
          <w:b w:val="0"/>
          <w:bCs w:val="0"/>
          <w:color w:val="0000FF"/>
          <w:sz w:val="28"/>
          <w:szCs w:val="28"/>
          <w:u w:val="none" w:color="auto"/>
        </w:rPr>
        <w:instrText xml:space="preserve">TOC \o "1-1" \h \u </w:instrText>
      </w:r>
      <w:r>
        <w:rPr>
          <w:rFonts w:hint="default" w:ascii="Times New Roman" w:hAnsi="Times New Roman" w:cs="Times New Roman"/>
          <w:b w:val="0"/>
          <w:bCs w:val="0"/>
          <w:color w:val="0000FF"/>
          <w:sz w:val="28"/>
          <w:szCs w:val="28"/>
          <w:u w:val="none" w:color="auto"/>
        </w:rPr>
        <w:fldChar w:fldCharType="separate"/>
      </w:r>
      <w:r>
        <w:rPr>
          <w:rFonts w:hint="default" w:ascii="Times New Roman" w:hAnsi="Times New Roman" w:cs="Times New Roman"/>
          <w:bCs w:val="0"/>
          <w:color w:val="0000FF"/>
          <w:sz w:val="28"/>
          <w:szCs w:val="28"/>
          <w:u w:val="none" w:color="auto"/>
        </w:rPr>
        <w:fldChar w:fldCharType="begin"/>
      </w:r>
      <w:r>
        <w:rPr>
          <w:rFonts w:hint="default" w:ascii="Times New Roman" w:hAnsi="Times New Roman" w:cs="Times New Roman"/>
          <w:bCs w:val="0"/>
          <w:color w:val="0000FF"/>
          <w:sz w:val="28"/>
          <w:szCs w:val="28"/>
          <w:u w:val="none" w:color="auto"/>
        </w:rPr>
        <w:instrText xml:space="preserve"> HYPERLINK \l _Toc1666 </w:instrText>
      </w:r>
      <w:r>
        <w:rPr>
          <w:rFonts w:hint="default" w:ascii="Times New Roman" w:hAnsi="Times New Roman" w:cs="Times New Roman"/>
          <w:bCs w:val="0"/>
          <w:color w:val="0000FF"/>
          <w:sz w:val="28"/>
          <w:szCs w:val="28"/>
          <w:u w:val="none" w:color="auto"/>
        </w:rPr>
        <w:fldChar w:fldCharType="separate"/>
      </w:r>
      <w:r>
        <w:rPr>
          <w:rFonts w:hint="default" w:ascii="Times New Roman" w:hAnsi="Times New Roman" w:eastAsia="黑体" w:cs="Times New Roman"/>
          <w:snapToGrid w:val="0"/>
          <w:color w:val="0000FF"/>
          <w:sz w:val="28"/>
          <w:szCs w:val="28"/>
          <w:u w:val="none" w:color="auto"/>
        </w:rPr>
        <w:t>一、建设项目基本情况</w:t>
      </w:r>
      <w:r>
        <w:rPr>
          <w:rFonts w:hint="default" w:ascii="Times New Roman" w:hAnsi="Times New Roman" w:cs="Times New Roman"/>
          <w:color w:val="0000FF"/>
          <w:sz w:val="28"/>
          <w:szCs w:val="28"/>
          <w:u w:val="none" w:color="auto"/>
        </w:rPr>
        <w:tab/>
      </w:r>
      <w:r>
        <w:rPr>
          <w:rFonts w:hint="default" w:ascii="Times New Roman" w:hAnsi="Times New Roman" w:cs="Times New Roman"/>
          <w:color w:val="0000FF"/>
          <w:sz w:val="28"/>
          <w:szCs w:val="28"/>
          <w:u w:val="none" w:color="auto"/>
        </w:rPr>
        <w:fldChar w:fldCharType="begin"/>
      </w:r>
      <w:r>
        <w:rPr>
          <w:rFonts w:hint="default" w:ascii="Times New Roman" w:hAnsi="Times New Roman" w:cs="Times New Roman"/>
          <w:color w:val="0000FF"/>
          <w:sz w:val="28"/>
          <w:szCs w:val="28"/>
          <w:u w:val="none" w:color="auto"/>
        </w:rPr>
        <w:instrText xml:space="preserve"> PAGEREF _Toc1666 \h </w:instrText>
      </w:r>
      <w:r>
        <w:rPr>
          <w:rFonts w:hint="default" w:ascii="Times New Roman" w:hAnsi="Times New Roman" w:cs="Times New Roman"/>
          <w:color w:val="0000FF"/>
          <w:sz w:val="28"/>
          <w:szCs w:val="28"/>
          <w:u w:val="none" w:color="auto"/>
        </w:rPr>
        <w:fldChar w:fldCharType="separate"/>
      </w:r>
      <w:r>
        <w:rPr>
          <w:rFonts w:hint="default" w:ascii="Times New Roman" w:hAnsi="Times New Roman" w:cs="Times New Roman"/>
          <w:color w:val="0000FF"/>
          <w:sz w:val="28"/>
          <w:szCs w:val="28"/>
          <w:u w:val="none" w:color="auto"/>
        </w:rPr>
        <w:t>1</w:t>
      </w:r>
      <w:r>
        <w:rPr>
          <w:rFonts w:hint="default" w:ascii="Times New Roman" w:hAnsi="Times New Roman" w:cs="Times New Roman"/>
          <w:color w:val="0000FF"/>
          <w:sz w:val="28"/>
          <w:szCs w:val="28"/>
          <w:u w:val="none" w:color="auto"/>
        </w:rPr>
        <w:fldChar w:fldCharType="end"/>
      </w:r>
      <w:r>
        <w:rPr>
          <w:rFonts w:hint="default" w:ascii="Times New Roman" w:hAnsi="Times New Roman" w:cs="Times New Roman"/>
          <w:bCs w:val="0"/>
          <w:color w:val="0000FF"/>
          <w:sz w:val="28"/>
          <w:szCs w:val="28"/>
          <w:u w:val="none" w:color="auto"/>
        </w:rPr>
        <w:fldChar w:fldCharType="end"/>
      </w:r>
    </w:p>
    <w:p>
      <w:pPr>
        <w:pStyle w:val="25"/>
        <w:tabs>
          <w:tab w:val="right" w:leader="dot" w:pos="8844"/>
        </w:tabs>
        <w:spacing w:line="360" w:lineRule="auto"/>
        <w:rPr>
          <w:rFonts w:hint="default" w:ascii="Times New Roman" w:hAnsi="Times New Roman" w:cs="Times New Roman"/>
          <w:color w:val="0000FF"/>
          <w:sz w:val="28"/>
          <w:szCs w:val="28"/>
          <w:u w:val="none" w:color="auto"/>
        </w:rPr>
      </w:pPr>
      <w:r>
        <w:rPr>
          <w:rFonts w:hint="default" w:ascii="Times New Roman" w:hAnsi="Times New Roman" w:cs="Times New Roman"/>
          <w:bCs w:val="0"/>
          <w:color w:val="0000FF"/>
          <w:sz w:val="28"/>
          <w:szCs w:val="28"/>
          <w:u w:val="none" w:color="auto"/>
        </w:rPr>
        <w:fldChar w:fldCharType="begin"/>
      </w:r>
      <w:r>
        <w:rPr>
          <w:rFonts w:hint="default" w:ascii="Times New Roman" w:hAnsi="Times New Roman" w:cs="Times New Roman"/>
          <w:bCs w:val="0"/>
          <w:color w:val="0000FF"/>
          <w:sz w:val="28"/>
          <w:szCs w:val="28"/>
          <w:u w:val="none" w:color="auto"/>
        </w:rPr>
        <w:instrText xml:space="preserve"> HYPERLINK \l _Toc180 </w:instrText>
      </w:r>
      <w:r>
        <w:rPr>
          <w:rFonts w:hint="default" w:ascii="Times New Roman" w:hAnsi="Times New Roman" w:cs="Times New Roman"/>
          <w:bCs w:val="0"/>
          <w:color w:val="0000FF"/>
          <w:sz w:val="28"/>
          <w:szCs w:val="28"/>
          <w:u w:val="none" w:color="auto"/>
        </w:rPr>
        <w:fldChar w:fldCharType="separate"/>
      </w:r>
      <w:r>
        <w:rPr>
          <w:rFonts w:hint="default" w:ascii="Times New Roman" w:hAnsi="Times New Roman" w:eastAsia="黑体" w:cs="Times New Roman"/>
          <w:snapToGrid w:val="0"/>
          <w:color w:val="0000FF"/>
          <w:sz w:val="28"/>
          <w:szCs w:val="28"/>
          <w:u w:val="none" w:color="auto"/>
        </w:rPr>
        <w:t>二、建设项目工程分析</w:t>
      </w:r>
      <w:r>
        <w:rPr>
          <w:rFonts w:hint="default" w:ascii="Times New Roman" w:hAnsi="Times New Roman" w:cs="Times New Roman"/>
          <w:color w:val="0000FF"/>
          <w:sz w:val="28"/>
          <w:szCs w:val="28"/>
          <w:u w:val="none" w:color="auto"/>
        </w:rPr>
        <w:tab/>
      </w:r>
      <w:r>
        <w:rPr>
          <w:rFonts w:hint="default" w:ascii="Times New Roman" w:hAnsi="Times New Roman" w:cs="Times New Roman"/>
          <w:color w:val="0000FF"/>
          <w:sz w:val="28"/>
          <w:szCs w:val="28"/>
          <w:u w:val="none" w:color="auto"/>
        </w:rPr>
        <w:fldChar w:fldCharType="begin"/>
      </w:r>
      <w:r>
        <w:rPr>
          <w:rFonts w:hint="default" w:ascii="Times New Roman" w:hAnsi="Times New Roman" w:cs="Times New Roman"/>
          <w:color w:val="0000FF"/>
          <w:sz w:val="28"/>
          <w:szCs w:val="28"/>
          <w:u w:val="none" w:color="auto"/>
        </w:rPr>
        <w:instrText xml:space="preserve"> PAGEREF _Toc180 \h </w:instrText>
      </w:r>
      <w:r>
        <w:rPr>
          <w:rFonts w:hint="default" w:ascii="Times New Roman" w:hAnsi="Times New Roman" w:cs="Times New Roman"/>
          <w:color w:val="0000FF"/>
          <w:sz w:val="28"/>
          <w:szCs w:val="28"/>
          <w:u w:val="none" w:color="auto"/>
        </w:rPr>
        <w:fldChar w:fldCharType="separate"/>
      </w:r>
      <w:r>
        <w:rPr>
          <w:rFonts w:hint="default" w:ascii="Times New Roman" w:hAnsi="Times New Roman" w:cs="Times New Roman"/>
          <w:color w:val="0000FF"/>
          <w:sz w:val="28"/>
          <w:szCs w:val="28"/>
          <w:u w:val="none" w:color="auto"/>
        </w:rPr>
        <w:t>14</w:t>
      </w:r>
      <w:r>
        <w:rPr>
          <w:rFonts w:hint="default" w:ascii="Times New Roman" w:hAnsi="Times New Roman" w:cs="Times New Roman"/>
          <w:color w:val="0000FF"/>
          <w:sz w:val="28"/>
          <w:szCs w:val="28"/>
          <w:u w:val="none" w:color="auto"/>
        </w:rPr>
        <w:fldChar w:fldCharType="end"/>
      </w:r>
      <w:r>
        <w:rPr>
          <w:rFonts w:hint="default" w:ascii="Times New Roman" w:hAnsi="Times New Roman" w:cs="Times New Roman"/>
          <w:bCs w:val="0"/>
          <w:color w:val="0000FF"/>
          <w:sz w:val="28"/>
          <w:szCs w:val="28"/>
          <w:u w:val="none" w:color="auto"/>
        </w:rPr>
        <w:fldChar w:fldCharType="end"/>
      </w:r>
    </w:p>
    <w:p>
      <w:pPr>
        <w:pStyle w:val="25"/>
        <w:tabs>
          <w:tab w:val="right" w:leader="dot" w:pos="8844"/>
        </w:tabs>
        <w:spacing w:line="360" w:lineRule="auto"/>
        <w:rPr>
          <w:rFonts w:hint="default" w:ascii="Times New Roman" w:hAnsi="Times New Roman" w:cs="Times New Roman"/>
          <w:color w:val="0000FF"/>
          <w:sz w:val="28"/>
          <w:szCs w:val="28"/>
          <w:u w:val="none" w:color="auto"/>
        </w:rPr>
      </w:pPr>
      <w:r>
        <w:rPr>
          <w:rFonts w:hint="default" w:ascii="Times New Roman" w:hAnsi="Times New Roman" w:cs="Times New Roman"/>
          <w:bCs w:val="0"/>
          <w:color w:val="0000FF"/>
          <w:sz w:val="28"/>
          <w:szCs w:val="28"/>
          <w:u w:val="none" w:color="auto"/>
        </w:rPr>
        <w:fldChar w:fldCharType="begin"/>
      </w:r>
      <w:r>
        <w:rPr>
          <w:rFonts w:hint="default" w:ascii="Times New Roman" w:hAnsi="Times New Roman" w:cs="Times New Roman"/>
          <w:bCs w:val="0"/>
          <w:color w:val="0000FF"/>
          <w:sz w:val="28"/>
          <w:szCs w:val="28"/>
          <w:u w:val="none" w:color="auto"/>
        </w:rPr>
        <w:instrText xml:space="preserve"> HYPERLINK \l _Toc6363 </w:instrText>
      </w:r>
      <w:r>
        <w:rPr>
          <w:rFonts w:hint="default" w:ascii="Times New Roman" w:hAnsi="Times New Roman" w:cs="Times New Roman"/>
          <w:bCs w:val="0"/>
          <w:color w:val="0000FF"/>
          <w:sz w:val="28"/>
          <w:szCs w:val="28"/>
          <w:u w:val="none" w:color="auto"/>
        </w:rPr>
        <w:fldChar w:fldCharType="separate"/>
      </w:r>
      <w:r>
        <w:rPr>
          <w:rFonts w:hint="default" w:ascii="Times New Roman" w:hAnsi="Times New Roman" w:eastAsia="黑体" w:cs="Times New Roman"/>
          <w:snapToGrid w:val="0"/>
          <w:color w:val="0000FF"/>
          <w:sz w:val="28"/>
          <w:szCs w:val="28"/>
          <w:u w:val="none" w:color="auto"/>
        </w:rPr>
        <w:t>三、区域环境质量现状、环境保护目标及评价标准</w:t>
      </w:r>
      <w:r>
        <w:rPr>
          <w:rFonts w:hint="default" w:ascii="Times New Roman" w:hAnsi="Times New Roman" w:cs="Times New Roman"/>
          <w:color w:val="0000FF"/>
          <w:sz w:val="28"/>
          <w:szCs w:val="28"/>
          <w:u w:val="none" w:color="auto"/>
        </w:rPr>
        <w:tab/>
      </w:r>
      <w:r>
        <w:rPr>
          <w:rFonts w:hint="default" w:ascii="Times New Roman" w:hAnsi="Times New Roman" w:cs="Times New Roman"/>
          <w:color w:val="0000FF"/>
          <w:sz w:val="28"/>
          <w:szCs w:val="28"/>
          <w:u w:val="none" w:color="auto"/>
        </w:rPr>
        <w:fldChar w:fldCharType="begin"/>
      </w:r>
      <w:r>
        <w:rPr>
          <w:rFonts w:hint="default" w:ascii="Times New Roman" w:hAnsi="Times New Roman" w:cs="Times New Roman"/>
          <w:color w:val="0000FF"/>
          <w:sz w:val="28"/>
          <w:szCs w:val="28"/>
          <w:u w:val="none" w:color="auto"/>
        </w:rPr>
        <w:instrText xml:space="preserve"> PAGEREF _Toc6363 \h </w:instrText>
      </w:r>
      <w:r>
        <w:rPr>
          <w:rFonts w:hint="default" w:ascii="Times New Roman" w:hAnsi="Times New Roman" w:cs="Times New Roman"/>
          <w:color w:val="0000FF"/>
          <w:sz w:val="28"/>
          <w:szCs w:val="28"/>
          <w:u w:val="none" w:color="auto"/>
        </w:rPr>
        <w:fldChar w:fldCharType="separate"/>
      </w:r>
      <w:r>
        <w:rPr>
          <w:rFonts w:hint="default" w:ascii="Times New Roman" w:hAnsi="Times New Roman" w:cs="Times New Roman"/>
          <w:color w:val="0000FF"/>
          <w:sz w:val="28"/>
          <w:szCs w:val="28"/>
          <w:u w:val="none" w:color="auto"/>
        </w:rPr>
        <w:t>36</w:t>
      </w:r>
      <w:r>
        <w:rPr>
          <w:rFonts w:hint="default" w:ascii="Times New Roman" w:hAnsi="Times New Roman" w:cs="Times New Roman"/>
          <w:color w:val="0000FF"/>
          <w:sz w:val="28"/>
          <w:szCs w:val="28"/>
          <w:u w:val="none" w:color="auto"/>
        </w:rPr>
        <w:fldChar w:fldCharType="end"/>
      </w:r>
      <w:r>
        <w:rPr>
          <w:rFonts w:hint="default" w:ascii="Times New Roman" w:hAnsi="Times New Roman" w:cs="Times New Roman"/>
          <w:bCs w:val="0"/>
          <w:color w:val="0000FF"/>
          <w:sz w:val="28"/>
          <w:szCs w:val="28"/>
          <w:u w:val="none" w:color="auto"/>
        </w:rPr>
        <w:fldChar w:fldCharType="end"/>
      </w:r>
    </w:p>
    <w:p>
      <w:pPr>
        <w:pStyle w:val="25"/>
        <w:tabs>
          <w:tab w:val="right" w:leader="dot" w:pos="8844"/>
        </w:tabs>
        <w:spacing w:line="360" w:lineRule="auto"/>
        <w:rPr>
          <w:rFonts w:hint="default" w:ascii="Times New Roman" w:hAnsi="Times New Roman" w:cs="Times New Roman"/>
          <w:color w:val="0000FF"/>
          <w:sz w:val="28"/>
          <w:szCs w:val="28"/>
          <w:u w:val="none" w:color="auto"/>
        </w:rPr>
      </w:pPr>
      <w:r>
        <w:rPr>
          <w:rFonts w:hint="default" w:ascii="Times New Roman" w:hAnsi="Times New Roman" w:cs="Times New Roman"/>
          <w:bCs w:val="0"/>
          <w:color w:val="0000FF"/>
          <w:sz w:val="28"/>
          <w:szCs w:val="28"/>
          <w:u w:val="none" w:color="auto"/>
        </w:rPr>
        <w:fldChar w:fldCharType="begin"/>
      </w:r>
      <w:r>
        <w:rPr>
          <w:rFonts w:hint="default" w:ascii="Times New Roman" w:hAnsi="Times New Roman" w:cs="Times New Roman"/>
          <w:bCs w:val="0"/>
          <w:color w:val="0000FF"/>
          <w:sz w:val="28"/>
          <w:szCs w:val="28"/>
          <w:u w:val="none" w:color="auto"/>
        </w:rPr>
        <w:instrText xml:space="preserve"> HYPERLINK \l _Toc17372 </w:instrText>
      </w:r>
      <w:r>
        <w:rPr>
          <w:rFonts w:hint="default" w:ascii="Times New Roman" w:hAnsi="Times New Roman" w:cs="Times New Roman"/>
          <w:bCs w:val="0"/>
          <w:color w:val="0000FF"/>
          <w:sz w:val="28"/>
          <w:szCs w:val="28"/>
          <w:u w:val="none" w:color="auto"/>
        </w:rPr>
        <w:fldChar w:fldCharType="separate"/>
      </w:r>
      <w:r>
        <w:rPr>
          <w:rFonts w:hint="default" w:ascii="Times New Roman" w:hAnsi="Times New Roman" w:eastAsia="黑体" w:cs="Times New Roman"/>
          <w:snapToGrid w:val="0"/>
          <w:color w:val="0000FF"/>
          <w:sz w:val="28"/>
          <w:szCs w:val="28"/>
          <w:u w:val="none" w:color="auto"/>
        </w:rPr>
        <w:t>四、主要环境影响和保护措施</w:t>
      </w:r>
      <w:r>
        <w:rPr>
          <w:rFonts w:hint="default" w:ascii="Times New Roman" w:hAnsi="Times New Roman" w:cs="Times New Roman"/>
          <w:color w:val="0000FF"/>
          <w:sz w:val="28"/>
          <w:szCs w:val="28"/>
          <w:u w:val="none" w:color="auto"/>
        </w:rPr>
        <w:tab/>
      </w:r>
      <w:r>
        <w:rPr>
          <w:rFonts w:hint="default" w:ascii="Times New Roman" w:hAnsi="Times New Roman" w:cs="Times New Roman"/>
          <w:color w:val="0000FF"/>
          <w:sz w:val="28"/>
          <w:szCs w:val="28"/>
          <w:u w:val="none" w:color="auto"/>
        </w:rPr>
        <w:fldChar w:fldCharType="begin"/>
      </w:r>
      <w:r>
        <w:rPr>
          <w:rFonts w:hint="default" w:ascii="Times New Roman" w:hAnsi="Times New Roman" w:cs="Times New Roman"/>
          <w:color w:val="0000FF"/>
          <w:sz w:val="28"/>
          <w:szCs w:val="28"/>
          <w:u w:val="none" w:color="auto"/>
        </w:rPr>
        <w:instrText xml:space="preserve"> PAGEREF _Toc17372 \h </w:instrText>
      </w:r>
      <w:r>
        <w:rPr>
          <w:rFonts w:hint="default" w:ascii="Times New Roman" w:hAnsi="Times New Roman" w:cs="Times New Roman"/>
          <w:color w:val="0000FF"/>
          <w:sz w:val="28"/>
          <w:szCs w:val="28"/>
          <w:u w:val="none" w:color="auto"/>
        </w:rPr>
        <w:fldChar w:fldCharType="separate"/>
      </w:r>
      <w:r>
        <w:rPr>
          <w:rFonts w:hint="default" w:ascii="Times New Roman" w:hAnsi="Times New Roman" w:cs="Times New Roman"/>
          <w:color w:val="0000FF"/>
          <w:sz w:val="28"/>
          <w:szCs w:val="28"/>
          <w:u w:val="none" w:color="auto"/>
        </w:rPr>
        <w:t>41</w:t>
      </w:r>
      <w:r>
        <w:rPr>
          <w:rFonts w:hint="default" w:ascii="Times New Roman" w:hAnsi="Times New Roman" w:cs="Times New Roman"/>
          <w:color w:val="0000FF"/>
          <w:sz w:val="28"/>
          <w:szCs w:val="28"/>
          <w:u w:val="none" w:color="auto"/>
        </w:rPr>
        <w:fldChar w:fldCharType="end"/>
      </w:r>
      <w:r>
        <w:rPr>
          <w:rFonts w:hint="default" w:ascii="Times New Roman" w:hAnsi="Times New Roman" w:cs="Times New Roman"/>
          <w:bCs w:val="0"/>
          <w:color w:val="0000FF"/>
          <w:sz w:val="28"/>
          <w:szCs w:val="28"/>
          <w:u w:val="none" w:color="auto"/>
        </w:rPr>
        <w:fldChar w:fldCharType="end"/>
      </w:r>
    </w:p>
    <w:p>
      <w:pPr>
        <w:pStyle w:val="25"/>
        <w:tabs>
          <w:tab w:val="right" w:leader="dot" w:pos="8844"/>
        </w:tabs>
        <w:spacing w:line="360" w:lineRule="auto"/>
        <w:rPr>
          <w:rFonts w:hint="default" w:ascii="Times New Roman" w:hAnsi="Times New Roman" w:cs="Times New Roman"/>
          <w:color w:val="0000FF"/>
          <w:sz w:val="28"/>
          <w:szCs w:val="28"/>
          <w:u w:val="none" w:color="auto"/>
        </w:rPr>
      </w:pPr>
      <w:r>
        <w:rPr>
          <w:rFonts w:hint="default" w:ascii="Times New Roman" w:hAnsi="Times New Roman" w:cs="Times New Roman"/>
          <w:bCs w:val="0"/>
          <w:color w:val="0000FF"/>
          <w:sz w:val="28"/>
          <w:szCs w:val="28"/>
          <w:u w:val="none" w:color="auto"/>
        </w:rPr>
        <w:fldChar w:fldCharType="begin"/>
      </w:r>
      <w:r>
        <w:rPr>
          <w:rFonts w:hint="default" w:ascii="Times New Roman" w:hAnsi="Times New Roman" w:cs="Times New Roman"/>
          <w:bCs w:val="0"/>
          <w:color w:val="0000FF"/>
          <w:sz w:val="28"/>
          <w:szCs w:val="28"/>
          <w:u w:val="none" w:color="auto"/>
        </w:rPr>
        <w:instrText xml:space="preserve"> HYPERLINK \l _Toc4458 </w:instrText>
      </w:r>
      <w:r>
        <w:rPr>
          <w:rFonts w:hint="default" w:ascii="Times New Roman" w:hAnsi="Times New Roman" w:cs="Times New Roman"/>
          <w:bCs w:val="0"/>
          <w:color w:val="0000FF"/>
          <w:sz w:val="28"/>
          <w:szCs w:val="28"/>
          <w:u w:val="none" w:color="auto"/>
        </w:rPr>
        <w:fldChar w:fldCharType="separate"/>
      </w:r>
      <w:r>
        <w:rPr>
          <w:rFonts w:hint="default" w:ascii="Times New Roman" w:hAnsi="Times New Roman" w:eastAsia="黑体" w:cs="Times New Roman"/>
          <w:snapToGrid w:val="0"/>
          <w:color w:val="0000FF"/>
          <w:sz w:val="28"/>
          <w:szCs w:val="28"/>
          <w:u w:val="none" w:color="auto"/>
        </w:rPr>
        <w:t>五、环境保护措施监督检查清单</w:t>
      </w:r>
      <w:r>
        <w:rPr>
          <w:rFonts w:hint="default" w:ascii="Times New Roman" w:hAnsi="Times New Roman" w:cs="Times New Roman"/>
          <w:color w:val="0000FF"/>
          <w:sz w:val="28"/>
          <w:szCs w:val="28"/>
          <w:u w:val="none" w:color="auto"/>
        </w:rPr>
        <w:tab/>
      </w:r>
      <w:r>
        <w:rPr>
          <w:rFonts w:hint="default" w:ascii="Times New Roman" w:hAnsi="Times New Roman" w:cs="Times New Roman"/>
          <w:color w:val="0000FF"/>
          <w:sz w:val="28"/>
          <w:szCs w:val="28"/>
          <w:u w:val="none" w:color="auto"/>
        </w:rPr>
        <w:fldChar w:fldCharType="begin"/>
      </w:r>
      <w:r>
        <w:rPr>
          <w:rFonts w:hint="default" w:ascii="Times New Roman" w:hAnsi="Times New Roman" w:cs="Times New Roman"/>
          <w:color w:val="0000FF"/>
          <w:sz w:val="28"/>
          <w:szCs w:val="28"/>
          <w:u w:val="none" w:color="auto"/>
        </w:rPr>
        <w:instrText xml:space="preserve"> PAGEREF _Toc4458 \h </w:instrText>
      </w:r>
      <w:r>
        <w:rPr>
          <w:rFonts w:hint="default" w:ascii="Times New Roman" w:hAnsi="Times New Roman" w:cs="Times New Roman"/>
          <w:color w:val="0000FF"/>
          <w:sz w:val="28"/>
          <w:szCs w:val="28"/>
          <w:u w:val="none" w:color="auto"/>
        </w:rPr>
        <w:fldChar w:fldCharType="separate"/>
      </w:r>
      <w:r>
        <w:rPr>
          <w:rFonts w:hint="default" w:ascii="Times New Roman" w:hAnsi="Times New Roman" w:cs="Times New Roman"/>
          <w:color w:val="0000FF"/>
          <w:sz w:val="28"/>
          <w:szCs w:val="28"/>
          <w:u w:val="none" w:color="auto"/>
        </w:rPr>
        <w:t>57</w:t>
      </w:r>
      <w:r>
        <w:rPr>
          <w:rFonts w:hint="default" w:ascii="Times New Roman" w:hAnsi="Times New Roman" w:cs="Times New Roman"/>
          <w:color w:val="0000FF"/>
          <w:sz w:val="28"/>
          <w:szCs w:val="28"/>
          <w:u w:val="none" w:color="auto"/>
        </w:rPr>
        <w:fldChar w:fldCharType="end"/>
      </w:r>
      <w:r>
        <w:rPr>
          <w:rFonts w:hint="default" w:ascii="Times New Roman" w:hAnsi="Times New Roman" w:cs="Times New Roman"/>
          <w:bCs w:val="0"/>
          <w:color w:val="0000FF"/>
          <w:sz w:val="28"/>
          <w:szCs w:val="28"/>
          <w:u w:val="none" w:color="auto"/>
        </w:rPr>
        <w:fldChar w:fldCharType="end"/>
      </w:r>
    </w:p>
    <w:p>
      <w:pPr>
        <w:pStyle w:val="25"/>
        <w:tabs>
          <w:tab w:val="right" w:leader="dot" w:pos="8844"/>
        </w:tabs>
        <w:spacing w:line="360" w:lineRule="auto"/>
        <w:rPr>
          <w:rFonts w:hint="default" w:ascii="Times New Roman" w:hAnsi="Times New Roman" w:cs="Times New Roman"/>
          <w:color w:val="0000FF"/>
          <w:sz w:val="28"/>
          <w:szCs w:val="28"/>
          <w:u w:val="none" w:color="auto"/>
        </w:rPr>
      </w:pPr>
      <w:r>
        <w:rPr>
          <w:rFonts w:hint="default" w:ascii="Times New Roman" w:hAnsi="Times New Roman" w:cs="Times New Roman"/>
          <w:bCs w:val="0"/>
          <w:color w:val="0000FF"/>
          <w:sz w:val="28"/>
          <w:szCs w:val="28"/>
          <w:u w:val="none" w:color="auto"/>
        </w:rPr>
        <w:fldChar w:fldCharType="begin"/>
      </w:r>
      <w:r>
        <w:rPr>
          <w:rFonts w:hint="default" w:ascii="Times New Roman" w:hAnsi="Times New Roman" w:cs="Times New Roman"/>
          <w:bCs w:val="0"/>
          <w:color w:val="0000FF"/>
          <w:sz w:val="28"/>
          <w:szCs w:val="28"/>
          <w:u w:val="none" w:color="auto"/>
        </w:rPr>
        <w:instrText xml:space="preserve"> HYPERLINK \l _Toc576 </w:instrText>
      </w:r>
      <w:r>
        <w:rPr>
          <w:rFonts w:hint="default" w:ascii="Times New Roman" w:hAnsi="Times New Roman" w:cs="Times New Roman"/>
          <w:bCs w:val="0"/>
          <w:color w:val="0000FF"/>
          <w:sz w:val="28"/>
          <w:szCs w:val="28"/>
          <w:u w:val="none" w:color="auto"/>
        </w:rPr>
        <w:fldChar w:fldCharType="separate"/>
      </w:r>
      <w:r>
        <w:rPr>
          <w:rFonts w:hint="default" w:ascii="Times New Roman" w:hAnsi="Times New Roman" w:eastAsia="黑体" w:cs="Times New Roman"/>
          <w:snapToGrid w:val="0"/>
          <w:color w:val="0000FF"/>
          <w:sz w:val="28"/>
          <w:szCs w:val="28"/>
          <w:u w:val="none" w:color="auto"/>
        </w:rPr>
        <w:t>六、结论</w:t>
      </w:r>
      <w:r>
        <w:rPr>
          <w:rFonts w:hint="default" w:ascii="Times New Roman" w:hAnsi="Times New Roman" w:cs="Times New Roman"/>
          <w:color w:val="0000FF"/>
          <w:sz w:val="28"/>
          <w:szCs w:val="28"/>
          <w:u w:val="none" w:color="auto"/>
        </w:rPr>
        <w:tab/>
      </w:r>
      <w:r>
        <w:rPr>
          <w:rFonts w:hint="default" w:ascii="Times New Roman" w:hAnsi="Times New Roman" w:cs="Times New Roman"/>
          <w:color w:val="0000FF"/>
          <w:sz w:val="28"/>
          <w:szCs w:val="28"/>
          <w:u w:val="none" w:color="auto"/>
        </w:rPr>
        <w:fldChar w:fldCharType="begin"/>
      </w:r>
      <w:r>
        <w:rPr>
          <w:rFonts w:hint="default" w:ascii="Times New Roman" w:hAnsi="Times New Roman" w:cs="Times New Roman"/>
          <w:color w:val="0000FF"/>
          <w:sz w:val="28"/>
          <w:szCs w:val="28"/>
          <w:u w:val="none" w:color="auto"/>
        </w:rPr>
        <w:instrText xml:space="preserve"> PAGEREF _Toc576 \h </w:instrText>
      </w:r>
      <w:r>
        <w:rPr>
          <w:rFonts w:hint="default" w:ascii="Times New Roman" w:hAnsi="Times New Roman" w:cs="Times New Roman"/>
          <w:color w:val="0000FF"/>
          <w:sz w:val="28"/>
          <w:szCs w:val="28"/>
          <w:u w:val="none" w:color="auto"/>
        </w:rPr>
        <w:fldChar w:fldCharType="separate"/>
      </w:r>
      <w:r>
        <w:rPr>
          <w:rFonts w:hint="default" w:ascii="Times New Roman" w:hAnsi="Times New Roman" w:cs="Times New Roman"/>
          <w:color w:val="0000FF"/>
          <w:sz w:val="28"/>
          <w:szCs w:val="28"/>
          <w:u w:val="none" w:color="auto"/>
        </w:rPr>
        <w:t>59</w:t>
      </w:r>
      <w:r>
        <w:rPr>
          <w:rFonts w:hint="default" w:ascii="Times New Roman" w:hAnsi="Times New Roman" w:cs="Times New Roman"/>
          <w:color w:val="0000FF"/>
          <w:sz w:val="28"/>
          <w:szCs w:val="28"/>
          <w:u w:val="none" w:color="auto"/>
        </w:rPr>
        <w:fldChar w:fldCharType="end"/>
      </w:r>
      <w:r>
        <w:rPr>
          <w:rFonts w:hint="default" w:ascii="Times New Roman" w:hAnsi="Times New Roman" w:cs="Times New Roman"/>
          <w:bCs w:val="0"/>
          <w:color w:val="0000FF"/>
          <w:sz w:val="28"/>
          <w:szCs w:val="28"/>
          <w:u w:val="none" w:color="auto"/>
        </w:rPr>
        <w:fldChar w:fldCharType="end"/>
      </w:r>
    </w:p>
    <w:p>
      <w:pPr>
        <w:pStyle w:val="25"/>
        <w:tabs>
          <w:tab w:val="right" w:leader="dot" w:pos="8844"/>
        </w:tabs>
        <w:spacing w:line="360" w:lineRule="auto"/>
        <w:rPr>
          <w:rFonts w:hint="default" w:ascii="Times New Roman" w:hAnsi="Times New Roman" w:cs="Times New Roman"/>
          <w:color w:val="0000FF"/>
          <w:sz w:val="28"/>
          <w:szCs w:val="28"/>
          <w:u w:val="none" w:color="auto"/>
        </w:rPr>
      </w:pPr>
      <w:r>
        <w:rPr>
          <w:rFonts w:hint="default" w:ascii="Times New Roman" w:hAnsi="Times New Roman" w:cs="Times New Roman"/>
          <w:bCs w:val="0"/>
          <w:color w:val="0000FF"/>
          <w:sz w:val="28"/>
          <w:szCs w:val="28"/>
          <w:u w:val="none" w:color="auto"/>
        </w:rPr>
        <w:fldChar w:fldCharType="begin"/>
      </w:r>
      <w:r>
        <w:rPr>
          <w:rFonts w:hint="default" w:ascii="Times New Roman" w:hAnsi="Times New Roman" w:cs="Times New Roman"/>
          <w:bCs w:val="0"/>
          <w:color w:val="0000FF"/>
          <w:sz w:val="28"/>
          <w:szCs w:val="28"/>
          <w:u w:val="none" w:color="auto"/>
        </w:rPr>
        <w:instrText xml:space="preserve"> HYPERLINK \l _Toc5033 </w:instrText>
      </w:r>
      <w:r>
        <w:rPr>
          <w:rFonts w:hint="default" w:ascii="Times New Roman" w:hAnsi="Times New Roman" w:cs="Times New Roman"/>
          <w:bCs w:val="0"/>
          <w:color w:val="0000FF"/>
          <w:sz w:val="28"/>
          <w:szCs w:val="28"/>
          <w:u w:val="none" w:color="auto"/>
        </w:rPr>
        <w:fldChar w:fldCharType="separate"/>
      </w:r>
      <w:r>
        <w:rPr>
          <w:rFonts w:hint="default" w:ascii="Times New Roman" w:hAnsi="Times New Roman" w:eastAsia="方正小标宋_GBK" w:cs="Times New Roman"/>
          <w:snapToGrid w:val="0"/>
          <w:color w:val="0000FF"/>
          <w:sz w:val="28"/>
          <w:szCs w:val="28"/>
          <w:u w:val="none" w:color="auto"/>
        </w:rPr>
        <w:t>建设项目污染物排放量汇总表</w:t>
      </w:r>
      <w:r>
        <w:rPr>
          <w:rFonts w:hint="default" w:ascii="Times New Roman" w:hAnsi="Times New Roman" w:cs="Times New Roman"/>
          <w:color w:val="0000FF"/>
          <w:sz w:val="28"/>
          <w:szCs w:val="28"/>
          <w:u w:val="none" w:color="auto"/>
        </w:rPr>
        <w:tab/>
      </w:r>
      <w:r>
        <w:rPr>
          <w:rFonts w:hint="default" w:ascii="Times New Roman" w:hAnsi="Times New Roman" w:cs="Times New Roman"/>
          <w:color w:val="0000FF"/>
          <w:sz w:val="28"/>
          <w:szCs w:val="28"/>
          <w:u w:val="none" w:color="auto"/>
        </w:rPr>
        <w:fldChar w:fldCharType="begin"/>
      </w:r>
      <w:r>
        <w:rPr>
          <w:rFonts w:hint="default" w:ascii="Times New Roman" w:hAnsi="Times New Roman" w:cs="Times New Roman"/>
          <w:color w:val="0000FF"/>
          <w:sz w:val="28"/>
          <w:szCs w:val="28"/>
          <w:u w:val="none" w:color="auto"/>
        </w:rPr>
        <w:instrText xml:space="preserve"> PAGEREF _Toc5033 \h </w:instrText>
      </w:r>
      <w:r>
        <w:rPr>
          <w:rFonts w:hint="default" w:ascii="Times New Roman" w:hAnsi="Times New Roman" w:cs="Times New Roman"/>
          <w:color w:val="0000FF"/>
          <w:sz w:val="28"/>
          <w:szCs w:val="28"/>
          <w:u w:val="none" w:color="auto"/>
        </w:rPr>
        <w:fldChar w:fldCharType="separate"/>
      </w:r>
      <w:r>
        <w:rPr>
          <w:rFonts w:hint="default" w:ascii="Times New Roman" w:hAnsi="Times New Roman" w:cs="Times New Roman"/>
          <w:color w:val="0000FF"/>
          <w:sz w:val="28"/>
          <w:szCs w:val="28"/>
          <w:u w:val="none" w:color="auto"/>
        </w:rPr>
        <w:t>60</w:t>
      </w:r>
      <w:r>
        <w:rPr>
          <w:rFonts w:hint="default" w:ascii="Times New Roman" w:hAnsi="Times New Roman" w:cs="Times New Roman"/>
          <w:color w:val="0000FF"/>
          <w:sz w:val="28"/>
          <w:szCs w:val="28"/>
          <w:u w:val="none" w:color="auto"/>
        </w:rPr>
        <w:fldChar w:fldCharType="end"/>
      </w:r>
      <w:r>
        <w:rPr>
          <w:rFonts w:hint="default" w:ascii="Times New Roman" w:hAnsi="Times New Roman" w:cs="Times New Roman"/>
          <w:bCs w:val="0"/>
          <w:color w:val="0000FF"/>
          <w:sz w:val="28"/>
          <w:szCs w:val="28"/>
          <w:u w:val="none" w:color="auto"/>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4"/>
          <w:szCs w:val="24"/>
          <w:u w:val="none" w:color="auto"/>
          <w:lang w:eastAsia="zh-CN"/>
        </w:rPr>
      </w:pPr>
      <w:r>
        <w:rPr>
          <w:rFonts w:hint="default" w:ascii="Times New Roman" w:hAnsi="Times New Roman" w:cs="Times New Roman"/>
          <w:bCs w:val="0"/>
          <w:color w:val="0000FF"/>
          <w:sz w:val="28"/>
          <w:szCs w:val="28"/>
          <w:u w:val="none" w:color="auto"/>
        </w:rPr>
        <w:fldChar w:fldCharType="end"/>
      </w:r>
      <w:r>
        <w:rPr>
          <w:rFonts w:hint="eastAsia" w:ascii="Times New Roman" w:hAnsi="Times New Roman" w:eastAsia="宋体" w:cs="Times New Roman"/>
          <w:b w:val="0"/>
          <w:bCs w:val="0"/>
          <w:color w:val="auto"/>
          <w:sz w:val="24"/>
          <w:szCs w:val="24"/>
          <w:u w:val="none" w:color="auto"/>
          <w:lang w:eastAsia="zh-CN"/>
        </w:rPr>
        <w:t>附图</w:t>
      </w:r>
      <w:r>
        <w:rPr>
          <w:rFonts w:hint="eastAsia" w:cs="Times New Roman"/>
          <w:b w:val="0"/>
          <w:bCs w:val="0"/>
          <w:color w:val="auto"/>
          <w:sz w:val="24"/>
          <w:szCs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eastAsia="宋体" w:cs="Times New Roman"/>
          <w:b w:val="0"/>
          <w:bCs w:val="0"/>
          <w:color w:val="auto"/>
          <w:sz w:val="24"/>
          <w:szCs w:val="24"/>
          <w:u w:val="none" w:color="auto"/>
        </w:rPr>
      </w:pPr>
      <w:r>
        <w:rPr>
          <w:rFonts w:ascii="Times New Roman" w:hAnsi="Times New Roman" w:eastAsia="宋体" w:cs="Times New Roman"/>
          <w:b w:val="0"/>
          <w:bCs w:val="0"/>
          <w:color w:val="auto"/>
          <w:sz w:val="24"/>
          <w:szCs w:val="24"/>
          <w:u w:val="none" w:color="auto"/>
        </w:rPr>
        <w:t xml:space="preserve">附图1 </w:t>
      </w:r>
      <w:r>
        <w:rPr>
          <w:rFonts w:hint="eastAsia" w:ascii="Times New Roman" w:hAnsi="Times New Roman" w:eastAsia="宋体" w:cs="Times New Roman"/>
          <w:b w:val="0"/>
          <w:bCs w:val="0"/>
          <w:color w:val="auto"/>
          <w:sz w:val="24"/>
          <w:szCs w:val="24"/>
          <w:u w:val="none" w:color="auto"/>
          <w:lang w:eastAsia="zh-CN"/>
        </w:rPr>
        <w:t>项目</w:t>
      </w:r>
      <w:r>
        <w:rPr>
          <w:rFonts w:ascii="Times New Roman" w:hAnsi="Times New Roman" w:eastAsia="宋体" w:cs="Times New Roman"/>
          <w:b w:val="0"/>
          <w:bCs w:val="0"/>
          <w:color w:val="auto"/>
          <w:sz w:val="24"/>
          <w:szCs w:val="24"/>
          <w:u w:val="none" w:color="auto"/>
        </w:rPr>
        <w:t>地理位置图</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 xml:space="preserve">附图2 </w:t>
      </w:r>
      <w:r>
        <w:rPr>
          <w:rFonts w:hint="eastAsia" w:cs="Times New Roman"/>
          <w:b w:val="0"/>
          <w:bCs w:val="0"/>
          <w:color w:val="auto"/>
          <w:sz w:val="24"/>
          <w:szCs w:val="24"/>
          <w:u w:val="none" w:color="auto"/>
          <w:lang w:val="en-US" w:eastAsia="zh-CN"/>
        </w:rPr>
        <w:t>项目工艺流程图</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4"/>
          <w:szCs w:val="24"/>
          <w:u w:val="none" w:color="auto"/>
          <w:lang w:eastAsia="zh-CN"/>
        </w:rPr>
      </w:pPr>
      <w:r>
        <w:rPr>
          <w:rFonts w:ascii="Times New Roman" w:hAnsi="Times New Roman" w:eastAsia="宋体" w:cs="Times New Roman"/>
          <w:b w:val="0"/>
          <w:bCs w:val="0"/>
          <w:color w:val="auto"/>
          <w:sz w:val="24"/>
          <w:szCs w:val="24"/>
          <w:u w:val="none" w:color="auto"/>
        </w:rPr>
        <w:t>附图</w:t>
      </w:r>
      <w:r>
        <w:rPr>
          <w:rFonts w:hint="eastAsia" w:ascii="Times New Roman" w:hAnsi="Times New Roman" w:eastAsia="宋体" w:cs="Times New Roman"/>
          <w:b w:val="0"/>
          <w:bCs w:val="0"/>
          <w:color w:val="auto"/>
          <w:sz w:val="24"/>
          <w:szCs w:val="24"/>
          <w:u w:val="none" w:color="auto"/>
        </w:rPr>
        <w:t xml:space="preserve">3 </w:t>
      </w:r>
      <w:r>
        <w:rPr>
          <w:rFonts w:hint="eastAsia" w:cs="Times New Roman"/>
          <w:b w:val="0"/>
          <w:bCs w:val="0"/>
          <w:color w:val="auto"/>
          <w:sz w:val="24"/>
          <w:szCs w:val="24"/>
          <w:u w:val="none" w:color="auto"/>
          <w:lang w:eastAsia="zh-CN"/>
        </w:rPr>
        <w:t>本项目平面布置图</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eastAsia="宋体" w:cs="Times New Roman"/>
          <w:b w:val="0"/>
          <w:bCs w:val="0"/>
          <w:color w:val="auto"/>
          <w:sz w:val="24"/>
          <w:szCs w:val="24"/>
          <w:u w:val="none" w:color="auto"/>
        </w:rPr>
      </w:pPr>
      <w:r>
        <w:rPr>
          <w:rFonts w:ascii="Times New Roman" w:hAnsi="Times New Roman" w:eastAsia="宋体" w:cs="Times New Roman"/>
          <w:b w:val="0"/>
          <w:bCs w:val="0"/>
          <w:color w:val="auto"/>
          <w:sz w:val="24"/>
          <w:szCs w:val="24"/>
          <w:u w:val="none" w:color="auto"/>
        </w:rPr>
        <mc:AlternateContent>
          <mc:Choice Requires="wps">
            <w:drawing>
              <wp:anchor distT="0" distB="0" distL="114300" distR="114300" simplePos="0" relativeHeight="251659264" behindDoc="0" locked="0" layoutInCell="1" allowOverlap="1">
                <wp:simplePos x="0" y="0"/>
                <wp:positionH relativeFrom="column">
                  <wp:posOffset>8926195</wp:posOffset>
                </wp:positionH>
                <wp:positionV relativeFrom="paragraph">
                  <wp:posOffset>180340</wp:posOffset>
                </wp:positionV>
                <wp:extent cx="876300" cy="12382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876300" cy="1238250"/>
                        </a:xfrm>
                        <a:prstGeom prst="rect">
                          <a:avLst/>
                        </a:prstGeom>
                        <a:noFill/>
                        <a:ln w="6350">
                          <a:noFill/>
                        </a:ln>
                        <a:effectLst/>
                      </wps:spPr>
                      <wps:txbx>
                        <w:txbxContent>
                          <w:p>
                            <w:r>
                              <w:drawing>
                                <wp:inline distT="0" distB="0" distL="114300" distR="114300">
                                  <wp:extent cx="732790" cy="931545"/>
                                  <wp:effectExtent l="0" t="0" r="13970" b="1333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7"/>
                                          <a:stretch>
                                            <a:fillRect/>
                                          </a:stretch>
                                        </pic:blipFill>
                                        <pic:spPr>
                                          <a:xfrm>
                                            <a:off x="0" y="0"/>
                                            <a:ext cx="732790" cy="931545"/>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2.85pt;margin-top:14.2pt;height:97.5pt;width:69pt;z-index:251659264;mso-width-relative:page;mso-height-relative:page;" filled="f" stroked="f" coordsize="21600,21600" o:gfxdata="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0r3BXaAAAADAEAAA8AAAAAAAAAAQAg&#10;AAAAIgAAAGRycy9kb3ducmV2LnhtbFBLAQIUABQAAAAIAIdO4kCKcJAKRQIAAHgEAAAOAAAAAAAA&#10;AAEAIAAAACkBAABkcnMvZTJvRG9jLnhtbFBLBQYAAAAABgAGAFkBAADgBQAAAAA=&#10;">
                <v:fill on="f" focussize="0,0"/>
                <v:stroke on="f" weight="0.5pt"/>
                <v:imagedata o:title=""/>
                <o:lock v:ext="edit" aspectratio="f"/>
                <v:textbox style="layout-flow:vertical-ideographic;">
                  <w:txbxContent>
                    <w:p>
                      <w:r>
                        <w:drawing>
                          <wp:inline distT="0" distB="0" distL="114300" distR="114300">
                            <wp:extent cx="732790" cy="931545"/>
                            <wp:effectExtent l="0" t="0" r="13970" b="1333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7"/>
                                    <a:stretch>
                                      <a:fillRect/>
                                    </a:stretch>
                                  </pic:blipFill>
                                  <pic:spPr>
                                    <a:xfrm>
                                      <a:off x="0" y="0"/>
                                      <a:ext cx="732790" cy="931545"/>
                                    </a:xfrm>
                                    <a:prstGeom prst="rect">
                                      <a:avLst/>
                                    </a:prstGeom>
                                    <a:noFill/>
                                    <a:ln>
                                      <a:noFill/>
                                    </a:ln>
                                  </pic:spPr>
                                </pic:pic>
                              </a:graphicData>
                            </a:graphic>
                          </wp:inline>
                        </w:drawing>
                      </w:r>
                    </w:p>
                  </w:txbxContent>
                </v:textbox>
              </v:shape>
            </w:pict>
          </mc:Fallback>
        </mc:AlternateContent>
      </w:r>
      <w:r>
        <w:rPr>
          <w:rFonts w:ascii="Times New Roman" w:hAnsi="Times New Roman" w:eastAsia="宋体" w:cs="Times New Roman"/>
          <w:b w:val="0"/>
          <w:bCs w:val="0"/>
          <w:color w:val="auto"/>
          <w:sz w:val="24"/>
          <w:szCs w:val="24"/>
          <w:u w:val="none" w:color="auto"/>
        </w:rPr>
        <w:t>附图</w:t>
      </w:r>
      <w:r>
        <w:rPr>
          <w:rFonts w:hint="eastAsia" w:ascii="Times New Roman" w:hAnsi="Times New Roman" w:eastAsia="宋体" w:cs="Times New Roman"/>
          <w:b w:val="0"/>
          <w:bCs w:val="0"/>
          <w:color w:val="auto"/>
          <w:sz w:val="24"/>
          <w:szCs w:val="24"/>
          <w:u w:val="none" w:color="auto"/>
        </w:rPr>
        <w:t>4</w:t>
      </w:r>
      <w:r>
        <w:rPr>
          <w:rFonts w:hint="eastAsia" w:ascii="Times New Roman" w:hAnsi="Times New Roman" w:eastAsia="宋体" w:cs="Times New Roman"/>
          <w:b w:val="0"/>
          <w:bCs w:val="0"/>
          <w:color w:val="auto"/>
          <w:sz w:val="24"/>
          <w:szCs w:val="24"/>
          <w:u w:val="none" w:color="auto"/>
          <w:lang w:val="en-US" w:eastAsia="zh-CN"/>
        </w:rPr>
        <w:t xml:space="preserve"> 本项目与虞公港位置关系图</w:t>
      </w:r>
      <w:r>
        <w:rPr>
          <w:rFonts w:hint="eastAsia" w:ascii="Times New Roman" w:hAnsi="Times New Roman" w:eastAsia="宋体" w:cs="Times New Roman"/>
          <w:b w:val="0"/>
          <w:bCs w:val="0"/>
          <w:color w:val="auto"/>
          <w:sz w:val="24"/>
          <w:szCs w:val="24"/>
          <w:u w:val="none" w:color="auto"/>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4"/>
          <w:szCs w:val="24"/>
          <w:u w:val="none" w:color="auto"/>
          <w:lang w:val="en-US" w:eastAsia="zh-CN"/>
        </w:rPr>
      </w:pPr>
      <w:r>
        <w:rPr>
          <w:rFonts w:ascii="Times New Roman" w:hAnsi="Times New Roman" w:eastAsia="宋体" w:cs="Times New Roman"/>
          <w:b w:val="0"/>
          <w:bCs w:val="0"/>
          <w:color w:val="auto"/>
          <w:sz w:val="24"/>
          <w:szCs w:val="24"/>
          <w:u w:val="none" w:color="auto"/>
        </w:rPr>
        <w:t>附图</w:t>
      </w:r>
      <w:r>
        <w:rPr>
          <w:rFonts w:hint="eastAsia" w:ascii="Times New Roman" w:hAnsi="Times New Roman" w:eastAsia="宋体" w:cs="Times New Roman"/>
          <w:b w:val="0"/>
          <w:bCs w:val="0"/>
          <w:color w:val="auto"/>
          <w:sz w:val="24"/>
          <w:szCs w:val="24"/>
          <w:u w:val="none" w:color="auto"/>
          <w:lang w:val="en-US" w:eastAsia="zh-CN"/>
        </w:rPr>
        <w:t>5 大气环境评价范围及保护目标示意图</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附图</w:t>
      </w:r>
      <w:r>
        <w:rPr>
          <w:rFonts w:hint="eastAsia" w:ascii="Times New Roman" w:hAnsi="Times New Roman" w:eastAsia="宋体" w:cs="Times New Roman"/>
          <w:b w:val="0"/>
          <w:bCs w:val="0"/>
          <w:color w:val="auto"/>
          <w:sz w:val="24"/>
          <w:szCs w:val="24"/>
          <w:u w:val="none" w:color="auto"/>
          <w:lang w:val="en-US" w:eastAsia="zh-CN"/>
        </w:rPr>
        <w:t>6 声环境评价范围和保护目标示意图</w:t>
      </w:r>
      <w:r>
        <w:rPr>
          <w:rFonts w:hint="eastAsia" w:ascii="Times New Roman" w:hAnsi="Times New Roman" w:eastAsia="宋体" w:cs="Times New Roman"/>
          <w:b w:val="0"/>
          <w:bCs w:val="0"/>
          <w:color w:val="auto"/>
          <w:sz w:val="24"/>
          <w:szCs w:val="24"/>
          <w:u w:val="none" w:color="auto"/>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4"/>
          <w:szCs w:val="24"/>
          <w:u w:val="none" w:color="auto"/>
        </w:rPr>
      </w:pPr>
      <w:r>
        <w:rPr>
          <w:rFonts w:hint="eastAsia" w:ascii="Times New Roman" w:hAnsi="Times New Roman" w:eastAsia="宋体" w:cs="Times New Roman"/>
          <w:b w:val="0"/>
          <w:bCs w:val="0"/>
          <w:color w:val="auto"/>
          <w:sz w:val="24"/>
          <w:szCs w:val="24"/>
          <w:u w:val="none" w:color="auto"/>
        </w:rPr>
        <w:t>附图</w:t>
      </w:r>
      <w:r>
        <w:rPr>
          <w:rFonts w:hint="eastAsia" w:ascii="Times New Roman" w:hAnsi="Times New Roman" w:eastAsia="宋体" w:cs="Times New Roman"/>
          <w:b w:val="0"/>
          <w:bCs w:val="0"/>
          <w:color w:val="auto"/>
          <w:sz w:val="24"/>
          <w:szCs w:val="24"/>
          <w:u w:val="none" w:color="auto"/>
          <w:lang w:val="en-US" w:eastAsia="zh-CN"/>
        </w:rPr>
        <w:t>7</w:t>
      </w:r>
      <w:r>
        <w:rPr>
          <w:rFonts w:hint="eastAsia" w:ascii="Times New Roman" w:hAnsi="Times New Roman" w:eastAsia="宋体" w:cs="Times New Roman"/>
          <w:b w:val="0"/>
          <w:bCs w:val="0"/>
          <w:color w:val="auto"/>
          <w:sz w:val="24"/>
          <w:szCs w:val="24"/>
          <w:u w:val="none" w:color="auto"/>
        </w:rPr>
        <w:t xml:space="preserve"> 声环境监测点位图</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4"/>
          <w:szCs w:val="24"/>
          <w:u w:val="none" w:color="auto"/>
        </w:rPr>
      </w:pPr>
      <w:r>
        <w:rPr>
          <w:rFonts w:hint="eastAsia" w:ascii="Times New Roman" w:hAnsi="Times New Roman" w:eastAsia="宋体" w:cs="Times New Roman"/>
          <w:b w:val="0"/>
          <w:bCs w:val="0"/>
          <w:color w:val="auto"/>
          <w:sz w:val="24"/>
          <w:szCs w:val="24"/>
          <w:u w:val="none" w:color="auto"/>
          <w:lang w:eastAsia="zh-CN"/>
        </w:rPr>
        <w:t>附图</w:t>
      </w:r>
      <w:r>
        <w:rPr>
          <w:rFonts w:hint="eastAsia" w:ascii="Times New Roman" w:hAnsi="Times New Roman" w:eastAsia="宋体" w:cs="Times New Roman"/>
          <w:b w:val="0"/>
          <w:bCs w:val="0"/>
          <w:color w:val="auto"/>
          <w:sz w:val="24"/>
          <w:szCs w:val="24"/>
          <w:u w:val="none" w:color="auto"/>
          <w:lang w:val="en-US" w:eastAsia="zh-CN"/>
        </w:rPr>
        <w:t>8项目引用大气、地表水现状监测点位图</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4"/>
          <w:szCs w:val="24"/>
          <w:u w:val="none" w:color="auto"/>
        </w:rPr>
      </w:pPr>
      <w:r>
        <w:rPr>
          <w:rFonts w:hint="eastAsia" w:ascii="Times New Roman" w:hAnsi="Times New Roman" w:eastAsia="宋体" w:cs="Times New Roman"/>
          <w:b w:val="0"/>
          <w:bCs w:val="0"/>
          <w:color w:val="auto"/>
          <w:sz w:val="24"/>
          <w:szCs w:val="24"/>
          <w:u w:val="none" w:color="auto"/>
        </w:rPr>
        <w:t>附图</w:t>
      </w:r>
      <w:r>
        <w:rPr>
          <w:rFonts w:hint="eastAsia" w:ascii="Times New Roman" w:hAnsi="Times New Roman" w:eastAsia="宋体" w:cs="Times New Roman"/>
          <w:b w:val="0"/>
          <w:bCs w:val="0"/>
          <w:color w:val="auto"/>
          <w:sz w:val="24"/>
          <w:szCs w:val="24"/>
          <w:u w:val="none" w:color="auto"/>
          <w:lang w:val="en-US" w:eastAsia="zh-CN"/>
        </w:rPr>
        <w:t>9</w:t>
      </w:r>
      <w:r>
        <w:rPr>
          <w:rFonts w:hint="eastAsia" w:ascii="Times New Roman" w:hAnsi="Times New Roman" w:eastAsia="宋体" w:cs="Times New Roman"/>
          <w:b w:val="0"/>
          <w:bCs w:val="0"/>
          <w:color w:val="auto"/>
          <w:sz w:val="24"/>
          <w:szCs w:val="24"/>
          <w:u w:val="none" w:color="auto"/>
        </w:rPr>
        <w:t xml:space="preserve"> 本项目与虞公港作业区规划相对位置图</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rPr>
        <w:t>附图</w:t>
      </w:r>
      <w:r>
        <w:rPr>
          <w:rFonts w:hint="eastAsia" w:ascii="Times New Roman" w:hAnsi="Times New Roman" w:eastAsia="宋体" w:cs="Times New Roman"/>
          <w:b w:val="0"/>
          <w:bCs w:val="0"/>
          <w:color w:val="auto"/>
          <w:sz w:val="24"/>
          <w:szCs w:val="24"/>
          <w:u w:val="none" w:color="auto"/>
          <w:lang w:val="en-US" w:eastAsia="zh-CN"/>
        </w:rPr>
        <w:t>10</w:t>
      </w:r>
      <w:r>
        <w:rPr>
          <w:rFonts w:hint="eastAsia" w:ascii="Times New Roman" w:hAnsi="Times New Roman" w:eastAsia="宋体" w:cs="Times New Roman"/>
          <w:b w:val="0"/>
          <w:bCs w:val="0"/>
          <w:color w:val="auto"/>
          <w:sz w:val="24"/>
          <w:szCs w:val="24"/>
          <w:u w:val="none" w:color="auto"/>
        </w:rPr>
        <w:t xml:space="preserve"> 本项目与湘阴县“三区三线”套合</w:t>
      </w:r>
      <w:r>
        <w:rPr>
          <w:rFonts w:hint="eastAsia" w:cs="Times New Roman"/>
          <w:b w:val="0"/>
          <w:bCs w:val="0"/>
          <w:color w:val="auto"/>
          <w:sz w:val="24"/>
          <w:szCs w:val="24"/>
          <w:u w:val="none" w:color="auto"/>
          <w:lang w:eastAsia="zh-CN"/>
        </w:rPr>
        <w:t>图</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4"/>
          <w:szCs w:val="24"/>
          <w:u w:val="none" w:color="auto"/>
        </w:rPr>
      </w:pPr>
      <w:r>
        <w:rPr>
          <w:rFonts w:hint="eastAsia" w:ascii="Times New Roman" w:hAnsi="Times New Roman" w:eastAsia="宋体" w:cs="Times New Roman"/>
          <w:b w:val="0"/>
          <w:bCs w:val="0"/>
          <w:color w:val="auto"/>
          <w:sz w:val="24"/>
          <w:szCs w:val="24"/>
          <w:u w:val="none" w:color="auto"/>
        </w:rPr>
        <w:t>附图</w:t>
      </w:r>
      <w:r>
        <w:rPr>
          <w:rFonts w:hint="eastAsia" w:ascii="Times New Roman" w:hAnsi="Times New Roman" w:eastAsia="宋体" w:cs="Times New Roman"/>
          <w:b w:val="0"/>
          <w:bCs w:val="0"/>
          <w:color w:val="auto"/>
          <w:sz w:val="24"/>
          <w:szCs w:val="24"/>
          <w:u w:val="none" w:color="auto"/>
          <w:lang w:val="en-US" w:eastAsia="zh-CN"/>
        </w:rPr>
        <w:t>11</w:t>
      </w:r>
      <w:r>
        <w:rPr>
          <w:rFonts w:hint="eastAsia" w:ascii="Times New Roman" w:hAnsi="Times New Roman" w:eastAsia="宋体" w:cs="Times New Roman"/>
          <w:b w:val="0"/>
          <w:bCs w:val="0"/>
          <w:color w:val="auto"/>
          <w:sz w:val="24"/>
          <w:szCs w:val="24"/>
          <w:u w:val="none" w:color="auto"/>
        </w:rPr>
        <w:t>本项目与横岭湖省级自然保护区相对位置图</w:t>
      </w:r>
    </w:p>
    <w:p>
      <w:pPr>
        <w:pStyle w:val="2"/>
        <w:rPr>
          <w:rFonts w:hint="default" w:eastAsia="宋体"/>
          <w:lang w:val="en-US" w:eastAsia="zh-CN"/>
        </w:rPr>
      </w:pPr>
      <w:r>
        <w:rPr>
          <w:rFonts w:hint="eastAsia" w:cs="Times New Roman"/>
          <w:b w:val="0"/>
          <w:bCs w:val="0"/>
          <w:color w:val="auto"/>
          <w:sz w:val="24"/>
          <w:szCs w:val="24"/>
          <w:u w:val="none" w:color="auto"/>
          <w:lang w:eastAsia="zh-CN"/>
        </w:rPr>
        <w:t>附图</w:t>
      </w:r>
      <w:r>
        <w:rPr>
          <w:rFonts w:hint="eastAsia" w:cs="Times New Roman"/>
          <w:b w:val="0"/>
          <w:bCs w:val="0"/>
          <w:color w:val="auto"/>
          <w:sz w:val="24"/>
          <w:szCs w:val="24"/>
          <w:u w:val="none" w:color="auto"/>
          <w:lang w:val="en-US" w:eastAsia="zh-CN"/>
        </w:rPr>
        <w:t>12项目拟建地块现状图</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附件</w:t>
      </w:r>
      <w:r>
        <w:rPr>
          <w:rFonts w:hint="eastAsia" w:cs="Times New Roman"/>
          <w:b w:val="0"/>
          <w:bCs w:val="0"/>
          <w:color w:val="auto"/>
          <w:sz w:val="24"/>
          <w:szCs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附件1 环评委托书</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附件2 营业执照</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附件3本项目可研批复</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附件4 本项目用地预审与选址审查意见</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附件5 本项目责任主体、建设及运营单位说明材料</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附件6 依托工程（虞公港一期、二期、铁路）环评批复、验收、承诺函等相关资料</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cs="Times New Roman"/>
          <w:b w:val="0"/>
          <w:bCs w:val="0"/>
          <w:color w:val="auto"/>
          <w:sz w:val="24"/>
          <w:szCs w:val="24"/>
          <w:u w:val="none" w:color="auto"/>
          <w:lang w:val="en-US" w:eastAsia="zh-CN"/>
        </w:rPr>
      </w:pPr>
      <w:r>
        <w:rPr>
          <w:rFonts w:hint="eastAsia" w:cs="Times New Roman"/>
          <w:b w:val="0"/>
          <w:bCs w:val="0"/>
          <w:color w:val="auto"/>
          <w:sz w:val="24"/>
          <w:szCs w:val="24"/>
          <w:u w:val="none" w:color="auto"/>
          <w:lang w:val="en-US" w:eastAsia="zh-CN"/>
        </w:rPr>
        <w:t>附件7 环境质量引用数据监测报告</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仿宋_GB2312" w:eastAsia="仿宋_GB2312"/>
          <w:color w:val="0000FF"/>
          <w:sz w:val="36"/>
          <w:szCs w:val="36"/>
          <w:u w:val="none" w:color="auto"/>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cs="Times New Roman"/>
          <w:b w:val="0"/>
          <w:bCs w:val="0"/>
          <w:color w:val="auto"/>
          <w:sz w:val="24"/>
          <w:szCs w:val="24"/>
          <w:u w:val="none" w:color="auto"/>
          <w:lang w:val="en-US" w:eastAsia="zh-CN"/>
        </w:rPr>
        <w:t>附件8本项目环境质量现状监测报告</w:t>
      </w:r>
    </w:p>
    <w:p>
      <w:pPr>
        <w:pStyle w:val="28"/>
        <w:jc w:val="center"/>
        <w:outlineLvl w:val="0"/>
        <w:rPr>
          <w:rFonts w:hint="eastAsia" w:ascii="黑体" w:hAnsi="黑体" w:eastAsia="黑体"/>
          <w:snapToGrid w:val="0"/>
          <w:color w:val="auto"/>
          <w:sz w:val="30"/>
          <w:szCs w:val="30"/>
          <w:u w:val="none" w:color="auto"/>
        </w:rPr>
      </w:pPr>
      <w:bookmarkStart w:id="2" w:name="_Toc1666"/>
      <w:r>
        <w:rPr>
          <w:rFonts w:hint="eastAsia" w:ascii="黑体" w:hAnsi="黑体" w:eastAsia="黑体"/>
          <w:snapToGrid w:val="0"/>
          <w:color w:val="auto"/>
          <w:sz w:val="30"/>
          <w:szCs w:val="30"/>
          <w:u w:val="none" w:color="auto"/>
        </w:rPr>
        <w:t>一、建设项目基本情况</w:t>
      </w:r>
      <w:bookmarkEnd w:id="2"/>
    </w:p>
    <w:tbl>
      <w:tblPr>
        <w:tblStyle w:val="31"/>
        <w:tblW w:w="89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04"/>
        <w:gridCol w:w="1568"/>
        <w:gridCol w:w="2870"/>
        <w:gridCol w:w="3109"/>
        <w:gridCol w:w="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7" w:hRule="atLeast"/>
          <w:jc w:val="center"/>
        </w:trPr>
        <w:tc>
          <w:tcPr>
            <w:tcW w:w="1404" w:type="dxa"/>
            <w:noWrap w:val="0"/>
            <w:tcMar>
              <w:top w:w="16" w:type="dxa"/>
              <w:left w:w="16" w:type="dxa"/>
              <w:right w:w="16" w:type="dxa"/>
            </w:tcMar>
            <w:vAlign w:val="center"/>
          </w:tcPr>
          <w:p>
            <w:pPr>
              <w:adjustRightInd w:val="0"/>
              <w:snapToGrid w:val="0"/>
              <w:jc w:val="center"/>
              <w:rPr>
                <w:rFonts w:ascii="宋体" w:hAnsi="宋体" w:cs="宋体"/>
                <w:color w:val="auto"/>
                <w:sz w:val="21"/>
                <w:szCs w:val="21"/>
                <w:u w:val="none" w:color="auto"/>
              </w:rPr>
            </w:pPr>
            <w:r>
              <w:rPr>
                <w:rFonts w:hint="eastAsia" w:ascii="宋体" w:hAnsi="宋体" w:cs="宋体"/>
                <w:color w:val="auto"/>
                <w:sz w:val="21"/>
                <w:szCs w:val="21"/>
                <w:u w:val="none" w:color="auto"/>
              </w:rPr>
              <w:t>建设项目名称</w:t>
            </w:r>
          </w:p>
        </w:tc>
        <w:tc>
          <w:tcPr>
            <w:tcW w:w="7547" w:type="dxa"/>
            <w:gridSpan w:val="3"/>
            <w:noWrap w:val="0"/>
            <w:vAlign w:val="center"/>
          </w:tcPr>
          <w:p>
            <w:pPr>
              <w:adjustRightInd w:val="0"/>
              <w:snapToGrid w:val="0"/>
              <w:jc w:val="center"/>
              <w:rPr>
                <w:rFonts w:hint="eastAsia" w:ascii="宋体" w:hAnsi="宋体" w:eastAsia="宋体" w:cs="宋体"/>
                <w:color w:val="auto"/>
                <w:sz w:val="21"/>
                <w:szCs w:val="21"/>
                <w:u w:val="none" w:color="auto"/>
                <w:lang w:eastAsia="zh-CN"/>
              </w:rPr>
            </w:pPr>
            <w:r>
              <w:rPr>
                <w:rFonts w:hint="eastAsia" w:ascii="宋体" w:hAnsi="宋体" w:eastAsia="宋体" w:cs="宋体"/>
                <w:color w:val="auto"/>
                <w:sz w:val="21"/>
                <w:szCs w:val="21"/>
                <w:u w:val="none" w:color="auto"/>
                <w:lang w:eastAsia="zh-CN"/>
              </w:rPr>
              <w:t>中央政府煤炭储备湖南港航水利集团湘阴项目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7" w:hRule="atLeast"/>
          <w:jc w:val="center"/>
        </w:trPr>
        <w:tc>
          <w:tcPr>
            <w:tcW w:w="1404" w:type="dxa"/>
            <w:noWrap w:val="0"/>
            <w:tcMar>
              <w:top w:w="16" w:type="dxa"/>
              <w:left w:w="16" w:type="dxa"/>
              <w:right w:w="16" w:type="dxa"/>
            </w:tcMar>
            <w:vAlign w:val="center"/>
          </w:tcPr>
          <w:p>
            <w:pPr>
              <w:adjustRightInd w:val="0"/>
              <w:snapToGrid w:val="0"/>
              <w:jc w:val="center"/>
              <w:rPr>
                <w:rFonts w:hint="eastAsia" w:ascii="宋体" w:hAnsi="宋体" w:eastAsia="宋体" w:cs="宋体"/>
                <w:color w:val="auto"/>
                <w:sz w:val="21"/>
                <w:szCs w:val="21"/>
                <w:highlight w:val="none"/>
                <w:u w:val="none" w:color="auto"/>
              </w:rPr>
            </w:pPr>
            <w:r>
              <w:rPr>
                <w:rFonts w:hint="eastAsia" w:ascii="宋体" w:hAnsi="宋体" w:eastAsia="宋体" w:cs="宋体"/>
                <w:color w:val="auto"/>
                <w:sz w:val="21"/>
                <w:szCs w:val="21"/>
                <w:highlight w:val="none"/>
                <w:u w:val="none" w:color="auto"/>
              </w:rPr>
              <w:t>项目代码</w:t>
            </w:r>
          </w:p>
        </w:tc>
        <w:tc>
          <w:tcPr>
            <w:tcW w:w="7547" w:type="dxa"/>
            <w:gridSpan w:val="3"/>
            <w:noWrap w:val="0"/>
            <w:vAlign w:val="center"/>
          </w:tcPr>
          <w:p>
            <w:pPr>
              <w:adjustRightInd w:val="0"/>
              <w:snapToGrid w:val="0"/>
              <w:jc w:val="center"/>
              <w:rPr>
                <w:rFonts w:hint="default" w:ascii="宋体" w:hAnsi="宋体" w:eastAsia="宋体" w:cs="宋体"/>
                <w:color w:val="auto"/>
                <w:sz w:val="21"/>
                <w:szCs w:val="21"/>
                <w:highlight w:val="none"/>
                <w:u w:val="none" w:color="auto"/>
                <w:lang w:val="en-US" w:eastAsia="zh-CN"/>
              </w:rPr>
            </w:pPr>
            <w:r>
              <w:rPr>
                <w:rFonts w:hint="eastAsia" w:ascii="宋体" w:hAnsi="宋体" w:eastAsia="宋体" w:cs="宋体"/>
                <w:color w:val="auto"/>
                <w:sz w:val="21"/>
                <w:szCs w:val="21"/>
                <w:highlight w:val="none"/>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4" w:type="dxa"/>
            <w:noWrap w:val="0"/>
            <w:tcMar>
              <w:top w:w="16" w:type="dxa"/>
              <w:left w:w="16" w:type="dxa"/>
              <w:right w:w="16" w:type="dxa"/>
            </w:tcMar>
            <w:vAlign w:val="center"/>
          </w:tcPr>
          <w:p>
            <w:pPr>
              <w:adjustRightInd w:val="0"/>
              <w:snapToGrid w:val="0"/>
              <w:jc w:val="center"/>
              <w:rPr>
                <w:rFonts w:hint="eastAsia" w:ascii="宋体" w:hAnsi="宋体" w:cs="宋体"/>
                <w:color w:val="auto"/>
                <w:sz w:val="21"/>
                <w:szCs w:val="21"/>
                <w:u w:val="none" w:color="auto"/>
              </w:rPr>
            </w:pPr>
            <w:r>
              <w:rPr>
                <w:rFonts w:hint="eastAsia" w:ascii="宋体" w:hAnsi="宋体" w:cs="宋体"/>
                <w:color w:val="auto"/>
                <w:sz w:val="21"/>
                <w:szCs w:val="21"/>
                <w:u w:val="none" w:color="auto"/>
              </w:rPr>
              <w:t>建设单位联系人</w:t>
            </w:r>
          </w:p>
        </w:tc>
        <w:tc>
          <w:tcPr>
            <w:tcW w:w="1568" w:type="dxa"/>
            <w:noWrap w:val="0"/>
            <w:vAlign w:val="center"/>
          </w:tcPr>
          <w:p>
            <w:pPr>
              <w:adjustRightInd w:val="0"/>
              <w:snapToGrid w:val="0"/>
              <w:jc w:val="center"/>
              <w:rPr>
                <w:rFonts w:ascii="宋体" w:hAnsi="宋体" w:cs="宋体"/>
                <w:color w:val="auto"/>
                <w:sz w:val="21"/>
                <w:szCs w:val="21"/>
                <w:u w:val="none" w:color="auto"/>
              </w:rPr>
            </w:pPr>
            <w:r>
              <w:rPr>
                <w:rFonts w:hint="eastAsia" w:ascii="宋体" w:hAnsi="宋体" w:cs="宋体"/>
                <w:color w:val="auto"/>
                <w:sz w:val="21"/>
                <w:szCs w:val="21"/>
                <w:u w:val="none" w:color="auto"/>
              </w:rPr>
              <w:t>肖</w:t>
            </w:r>
          </w:p>
        </w:tc>
        <w:tc>
          <w:tcPr>
            <w:tcW w:w="2870" w:type="dxa"/>
            <w:noWrap w:val="0"/>
            <w:vAlign w:val="center"/>
          </w:tcPr>
          <w:p>
            <w:pPr>
              <w:adjustRightInd w:val="0"/>
              <w:snapToGrid w:val="0"/>
              <w:jc w:val="center"/>
              <w:rPr>
                <w:rFonts w:ascii="宋体" w:hAnsi="宋体" w:cs="宋体"/>
                <w:color w:val="auto"/>
                <w:sz w:val="21"/>
                <w:szCs w:val="21"/>
                <w:u w:val="none" w:color="auto"/>
              </w:rPr>
            </w:pPr>
            <w:r>
              <w:rPr>
                <w:rFonts w:hint="eastAsia" w:ascii="宋体" w:hAnsi="宋体" w:cs="宋体"/>
                <w:color w:val="auto"/>
                <w:sz w:val="21"/>
                <w:szCs w:val="21"/>
                <w:u w:val="none" w:color="auto"/>
              </w:rPr>
              <w:t>联系方式</w:t>
            </w:r>
          </w:p>
        </w:tc>
        <w:tc>
          <w:tcPr>
            <w:tcW w:w="3120" w:type="dxa"/>
            <w:gridSpan w:val="2"/>
            <w:noWrap w:val="0"/>
            <w:vAlign w:val="center"/>
          </w:tcPr>
          <w:p>
            <w:pPr>
              <w:adjustRightInd w:val="0"/>
              <w:snapToGrid w:val="0"/>
              <w:jc w:val="center"/>
              <w:rPr>
                <w:rFonts w:hint="default" w:ascii="宋体" w:hAnsi="宋体" w:eastAsia="宋体" w:cs="宋体"/>
                <w:color w:val="auto"/>
                <w:sz w:val="21"/>
                <w:szCs w:val="21"/>
                <w:u w:val="none" w:color="auto"/>
                <w:lang w:val="en-US" w:eastAsia="zh-CN"/>
              </w:rPr>
            </w:pPr>
            <w:r>
              <w:rPr>
                <w:rFonts w:hint="eastAsia" w:ascii="宋体" w:hAnsi="宋体" w:cs="宋体"/>
                <w:color w:val="auto"/>
                <w:sz w:val="21"/>
                <w:szCs w:val="21"/>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7" w:hRule="atLeast"/>
          <w:jc w:val="center"/>
        </w:trPr>
        <w:tc>
          <w:tcPr>
            <w:tcW w:w="1404" w:type="dxa"/>
            <w:noWrap w:val="0"/>
            <w:tcMar>
              <w:top w:w="16" w:type="dxa"/>
              <w:left w:w="16" w:type="dxa"/>
              <w:right w:w="16" w:type="dxa"/>
            </w:tcMar>
            <w:vAlign w:val="center"/>
          </w:tcPr>
          <w:p>
            <w:pPr>
              <w:adjustRightInd w:val="0"/>
              <w:snapToGrid w:val="0"/>
              <w:jc w:val="center"/>
              <w:rPr>
                <w:rFonts w:ascii="宋体" w:hAnsi="宋体" w:cs="宋体"/>
                <w:color w:val="auto"/>
                <w:sz w:val="21"/>
                <w:szCs w:val="21"/>
                <w:u w:val="none" w:color="auto"/>
              </w:rPr>
            </w:pPr>
            <w:r>
              <w:rPr>
                <w:rFonts w:hint="eastAsia" w:ascii="宋体" w:hAnsi="宋体" w:cs="宋体"/>
                <w:color w:val="auto"/>
                <w:sz w:val="21"/>
                <w:szCs w:val="21"/>
                <w:u w:val="none" w:color="auto"/>
              </w:rPr>
              <w:t>建设地点</w:t>
            </w:r>
          </w:p>
        </w:tc>
        <w:tc>
          <w:tcPr>
            <w:tcW w:w="7547" w:type="dxa"/>
            <w:gridSpan w:val="3"/>
            <w:noWrap w:val="0"/>
            <w:vAlign w:val="center"/>
          </w:tcPr>
          <w:p>
            <w:pPr>
              <w:adjustRightInd w:val="0"/>
              <w:snapToGrid w:val="0"/>
              <w:jc w:val="center"/>
              <w:rPr>
                <w:rFonts w:hint="eastAsia" w:ascii="宋体" w:hAnsi="宋体" w:eastAsia="宋体" w:cs="宋体"/>
                <w:color w:val="auto"/>
                <w:sz w:val="21"/>
                <w:szCs w:val="21"/>
                <w:u w:val="none" w:color="auto"/>
                <w:lang w:eastAsia="zh-CN"/>
              </w:rPr>
            </w:pPr>
            <w:r>
              <w:rPr>
                <w:rFonts w:hint="eastAsia" w:ascii="宋体" w:hAnsi="宋体" w:cs="宋体"/>
                <w:color w:val="auto"/>
                <w:sz w:val="21"/>
                <w:szCs w:val="21"/>
                <w:u w:val="none" w:color="auto"/>
                <w:lang w:eastAsia="zh-CN"/>
              </w:rPr>
              <w:t>湖南省岳阳市湘阴县三塘镇虞公港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7" w:hRule="atLeast"/>
          <w:jc w:val="center"/>
        </w:trPr>
        <w:tc>
          <w:tcPr>
            <w:tcW w:w="140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地理坐标</w:t>
            </w:r>
          </w:p>
        </w:tc>
        <w:tc>
          <w:tcPr>
            <w:tcW w:w="7547" w:type="dxa"/>
            <w:gridSpan w:val="3"/>
            <w:noWrap w:val="0"/>
            <w:vAlign w:val="center"/>
          </w:tcPr>
          <w:p>
            <w:pPr>
              <w:jc w:val="center"/>
              <w:rPr>
                <w:rFonts w:hint="default" w:ascii="Times New Roman" w:hAnsi="Times New Roman" w:cs="Times New Roman"/>
                <w:color w:val="auto"/>
                <w:sz w:val="21"/>
                <w:szCs w:val="21"/>
                <w:u w:val="none" w:color="auto"/>
              </w:rPr>
            </w:pPr>
            <w:r>
              <w:rPr>
                <w:rFonts w:hint="default" w:ascii="Times New Roman" w:hAnsi="Times New Roman" w:eastAsia="宋体" w:cs="Times New Roman"/>
                <w:color w:val="auto"/>
                <w:sz w:val="21"/>
                <w:szCs w:val="21"/>
                <w:u w:val="none" w:color="auto"/>
              </w:rPr>
              <w:t>东经</w:t>
            </w:r>
            <w:r>
              <w:rPr>
                <w:rFonts w:hint="default" w:ascii="Times New Roman" w:hAnsi="Times New Roman" w:eastAsia="宋体" w:cs="Times New Roman"/>
                <w:color w:val="auto"/>
                <w:sz w:val="21"/>
                <w:szCs w:val="21"/>
                <w:u w:val="none" w:color="auto"/>
                <w:lang w:val="en-US" w:eastAsia="zh-CN"/>
              </w:rPr>
              <w:t>112°53′23.15543″，北纬28°48′19.89615″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04" w:type="dxa"/>
            <w:noWrap w:val="0"/>
            <w:tcMar>
              <w:top w:w="16" w:type="dxa"/>
              <w:left w:w="16" w:type="dxa"/>
              <w:right w:w="16" w:type="dxa"/>
            </w:tcMar>
            <w:vAlign w:val="center"/>
          </w:tcPr>
          <w:p>
            <w:pPr>
              <w:adjustRightInd w:val="0"/>
              <w:snapToGrid w:val="0"/>
              <w:jc w:val="center"/>
              <w:rPr>
                <w:rFonts w:hint="eastAsia" w:ascii="宋体" w:hAnsi="宋体" w:cs="宋体"/>
                <w:color w:val="auto"/>
                <w:sz w:val="21"/>
                <w:szCs w:val="21"/>
                <w:u w:val="none" w:color="auto"/>
              </w:rPr>
            </w:pPr>
            <w:r>
              <w:rPr>
                <w:rFonts w:hint="eastAsia" w:ascii="宋体" w:hAnsi="宋体" w:cs="宋体"/>
                <w:color w:val="auto"/>
                <w:sz w:val="21"/>
                <w:szCs w:val="21"/>
                <w:u w:val="none" w:color="auto"/>
              </w:rPr>
              <w:t>国民经济</w:t>
            </w:r>
          </w:p>
          <w:p>
            <w:pPr>
              <w:adjustRightInd w:val="0"/>
              <w:snapToGrid w:val="0"/>
              <w:jc w:val="center"/>
              <w:rPr>
                <w:rFonts w:ascii="宋体" w:hAnsi="宋体" w:cs="宋体"/>
                <w:color w:val="auto"/>
                <w:sz w:val="21"/>
                <w:szCs w:val="21"/>
                <w:u w:val="none" w:color="auto"/>
              </w:rPr>
            </w:pPr>
            <w:r>
              <w:rPr>
                <w:rFonts w:hint="eastAsia" w:ascii="宋体" w:hAnsi="宋体" w:cs="宋体"/>
                <w:color w:val="auto"/>
                <w:sz w:val="21"/>
                <w:szCs w:val="21"/>
                <w:u w:val="none" w:color="auto"/>
              </w:rPr>
              <w:t>行业类别</w:t>
            </w:r>
          </w:p>
        </w:tc>
        <w:tc>
          <w:tcPr>
            <w:tcW w:w="1568" w:type="dxa"/>
            <w:noWrap w:val="0"/>
            <w:vAlign w:val="center"/>
          </w:tcPr>
          <w:p>
            <w:pPr>
              <w:adjustRightInd w:val="0"/>
              <w:snapToGrid w:val="0"/>
              <w:jc w:val="center"/>
              <w:rPr>
                <w:rFonts w:hint="default" w:ascii="宋体" w:hAnsi="宋体" w:eastAsia="宋体" w:cs="宋体"/>
                <w:color w:val="auto"/>
                <w:sz w:val="21"/>
                <w:szCs w:val="21"/>
                <w:u w:val="none" w:color="auto"/>
                <w:lang w:val="en-US" w:eastAsia="zh-CN"/>
              </w:rPr>
            </w:pPr>
            <w:r>
              <w:rPr>
                <w:rFonts w:hint="eastAsia" w:ascii="宋体" w:hAnsi="宋体" w:cs="宋体"/>
                <w:color w:val="auto"/>
                <w:sz w:val="21"/>
                <w:szCs w:val="21"/>
                <w:u w:val="none" w:color="auto"/>
                <w:lang w:val="en-US" w:eastAsia="zh-CN"/>
              </w:rPr>
              <w:t>G5990其他仓储业</w:t>
            </w:r>
          </w:p>
        </w:tc>
        <w:tc>
          <w:tcPr>
            <w:tcW w:w="2870" w:type="dxa"/>
            <w:noWrap w:val="0"/>
            <w:vAlign w:val="center"/>
          </w:tcPr>
          <w:p>
            <w:pPr>
              <w:adjustRightInd w:val="0"/>
              <w:snapToGrid w:val="0"/>
              <w:jc w:val="center"/>
              <w:rPr>
                <w:rFonts w:ascii="宋体" w:hAnsi="宋体" w:cs="宋体"/>
                <w:color w:val="auto"/>
                <w:sz w:val="21"/>
                <w:szCs w:val="21"/>
                <w:u w:val="none" w:color="auto"/>
              </w:rPr>
            </w:pPr>
            <w:bookmarkStart w:id="3" w:name="_Hlk49843745"/>
            <w:r>
              <w:rPr>
                <w:rFonts w:hint="eastAsia" w:ascii="宋体" w:hAnsi="宋体" w:cs="宋体"/>
                <w:color w:val="auto"/>
                <w:sz w:val="21"/>
                <w:szCs w:val="21"/>
                <w:u w:val="none" w:color="auto"/>
              </w:rPr>
              <w:t>建设项目</w:t>
            </w:r>
          </w:p>
          <w:p>
            <w:pPr>
              <w:adjustRightInd w:val="0"/>
              <w:snapToGrid w:val="0"/>
              <w:jc w:val="center"/>
              <w:rPr>
                <w:rFonts w:ascii="宋体" w:hAnsi="宋体" w:cs="宋体"/>
                <w:color w:val="auto"/>
                <w:sz w:val="21"/>
                <w:szCs w:val="21"/>
                <w:u w:val="none" w:color="auto"/>
              </w:rPr>
            </w:pPr>
            <w:r>
              <w:rPr>
                <w:rFonts w:hint="eastAsia" w:ascii="宋体" w:hAnsi="宋体" w:cs="宋体"/>
                <w:color w:val="auto"/>
                <w:sz w:val="21"/>
                <w:szCs w:val="21"/>
                <w:u w:val="none" w:color="auto"/>
              </w:rPr>
              <w:t>行业类别</w:t>
            </w:r>
            <w:bookmarkEnd w:id="3"/>
          </w:p>
        </w:tc>
        <w:tc>
          <w:tcPr>
            <w:tcW w:w="3120" w:type="dxa"/>
            <w:gridSpan w:val="2"/>
            <w:noWrap w:val="0"/>
            <w:vAlign w:val="center"/>
          </w:tcPr>
          <w:p>
            <w:pPr>
              <w:adjustRightInd w:val="0"/>
              <w:snapToGrid w:val="0"/>
              <w:jc w:val="center"/>
              <w:rPr>
                <w:rFonts w:ascii="宋体" w:hAnsi="宋体" w:cs="宋体"/>
                <w:color w:val="auto"/>
                <w:sz w:val="21"/>
                <w:szCs w:val="21"/>
                <w:u w:val="none" w:color="auto"/>
              </w:rPr>
            </w:pPr>
            <w:r>
              <w:rPr>
                <w:rFonts w:hint="eastAsia" w:ascii="宋体" w:hAnsi="宋体" w:cs="宋体"/>
                <w:color w:val="auto"/>
                <w:sz w:val="21"/>
                <w:szCs w:val="21"/>
                <w:u w:val="none" w:color="auto"/>
              </w:rPr>
              <w:t>四、煤炭开采和洗选业06烟煤和无烟煤开采洗选061中煤炭储存、 集运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04" w:type="dxa"/>
            <w:noWrap w:val="0"/>
            <w:tcMar>
              <w:top w:w="16" w:type="dxa"/>
              <w:left w:w="16" w:type="dxa"/>
              <w:right w:w="16" w:type="dxa"/>
            </w:tcMar>
            <w:vAlign w:val="center"/>
          </w:tcPr>
          <w:p>
            <w:pPr>
              <w:adjustRightInd w:val="0"/>
              <w:snapToGrid w:val="0"/>
              <w:jc w:val="center"/>
              <w:rPr>
                <w:rFonts w:ascii="宋体" w:hAnsi="宋体" w:cs="宋体"/>
                <w:color w:val="auto"/>
                <w:sz w:val="21"/>
                <w:szCs w:val="21"/>
                <w:u w:val="none" w:color="auto"/>
              </w:rPr>
            </w:pPr>
            <w:r>
              <w:rPr>
                <w:rFonts w:hint="eastAsia" w:ascii="宋体" w:hAnsi="宋体" w:cs="宋体"/>
                <w:color w:val="auto"/>
                <w:sz w:val="21"/>
                <w:szCs w:val="21"/>
                <w:u w:val="none" w:color="auto"/>
              </w:rPr>
              <w:t>建设性质</w:t>
            </w:r>
          </w:p>
        </w:tc>
        <w:tc>
          <w:tcPr>
            <w:tcW w:w="1568" w:type="dxa"/>
            <w:noWrap w:val="0"/>
            <w:vAlign w:val="center"/>
          </w:tcPr>
          <w:p>
            <w:pPr>
              <w:jc w:val="left"/>
              <w:rPr>
                <w:rFonts w:ascii="宋体" w:hAnsi="宋体" w:cs="宋体"/>
                <w:color w:val="auto"/>
                <w:sz w:val="21"/>
                <w:szCs w:val="21"/>
                <w:u w:val="none" w:color="auto"/>
              </w:rPr>
            </w:pPr>
            <w:r>
              <w:rPr>
                <w:rFonts w:hint="eastAsia" w:ascii="宋体" w:hAnsi="宋体" w:cs="宋体"/>
                <w:color w:val="auto"/>
                <w:sz w:val="21"/>
                <w:szCs w:val="21"/>
                <w:u w:val="none" w:color="auto"/>
                <w:lang w:eastAsia="zh-CN"/>
              </w:rPr>
              <w:t>☑</w:t>
            </w:r>
            <w:r>
              <w:rPr>
                <w:rFonts w:hint="eastAsia" w:ascii="宋体" w:hAnsi="宋体" w:cs="宋体"/>
                <w:color w:val="auto"/>
                <w:sz w:val="21"/>
                <w:szCs w:val="21"/>
                <w:u w:val="none" w:color="auto"/>
              </w:rPr>
              <w:t>新建（迁建）</w:t>
            </w:r>
          </w:p>
          <w:p>
            <w:pPr>
              <w:jc w:val="left"/>
              <w:rPr>
                <w:rFonts w:hint="eastAsia" w:ascii="宋体" w:hAnsi="宋体" w:cs="宋体"/>
                <w:color w:val="auto"/>
                <w:sz w:val="21"/>
                <w:szCs w:val="21"/>
                <w:u w:val="none" w:color="auto"/>
              </w:rPr>
            </w:pPr>
            <w:r>
              <w:rPr>
                <w:rFonts w:hint="eastAsia" w:ascii="宋体" w:hAnsi="宋体" w:cs="宋体"/>
                <w:color w:val="auto"/>
                <w:sz w:val="21"/>
                <w:szCs w:val="21"/>
                <w:u w:val="none" w:color="auto"/>
                <w:lang w:eastAsia="zh-CN"/>
              </w:rPr>
              <w:t>□</w:t>
            </w:r>
            <w:r>
              <w:rPr>
                <w:rFonts w:hint="eastAsia" w:ascii="宋体" w:hAnsi="宋体" w:cs="宋体"/>
                <w:color w:val="auto"/>
                <w:sz w:val="21"/>
                <w:szCs w:val="21"/>
                <w:u w:val="none" w:color="auto"/>
              </w:rPr>
              <w:t>改建</w:t>
            </w:r>
          </w:p>
          <w:p>
            <w:pPr>
              <w:jc w:val="left"/>
              <w:rPr>
                <w:rFonts w:hint="eastAsia" w:ascii="宋体" w:hAnsi="宋体" w:cs="宋体"/>
                <w:color w:val="auto"/>
                <w:sz w:val="21"/>
                <w:szCs w:val="21"/>
                <w:u w:val="none" w:color="auto"/>
              </w:rPr>
            </w:pPr>
            <w:r>
              <w:rPr>
                <w:rFonts w:hint="eastAsia" w:ascii="宋体" w:hAnsi="宋体" w:cs="宋体"/>
                <w:color w:val="auto"/>
                <w:sz w:val="21"/>
                <w:szCs w:val="21"/>
                <w:u w:val="none" w:color="auto"/>
              </w:rPr>
              <w:t>□扩建</w:t>
            </w:r>
          </w:p>
          <w:p>
            <w:pPr>
              <w:jc w:val="left"/>
              <w:rPr>
                <w:rFonts w:ascii="宋体" w:hAnsi="宋体" w:cs="宋体"/>
                <w:color w:val="auto"/>
                <w:sz w:val="21"/>
                <w:szCs w:val="21"/>
                <w:u w:val="none" w:color="auto"/>
              </w:rPr>
            </w:pPr>
            <w:r>
              <w:rPr>
                <w:rFonts w:hint="eastAsia" w:ascii="宋体" w:hAnsi="宋体" w:cs="宋体"/>
                <w:color w:val="auto"/>
                <w:sz w:val="21"/>
                <w:szCs w:val="21"/>
                <w:u w:val="none" w:color="auto"/>
              </w:rPr>
              <w:t>□技术改造</w:t>
            </w:r>
          </w:p>
        </w:tc>
        <w:tc>
          <w:tcPr>
            <w:tcW w:w="2870" w:type="dxa"/>
            <w:noWrap w:val="0"/>
            <w:vAlign w:val="center"/>
          </w:tcPr>
          <w:p>
            <w:pPr>
              <w:adjustRightInd w:val="0"/>
              <w:snapToGrid w:val="0"/>
              <w:jc w:val="center"/>
              <w:rPr>
                <w:rFonts w:hint="eastAsia" w:ascii="宋体" w:hAnsi="宋体" w:cs="宋体"/>
                <w:color w:val="auto"/>
                <w:sz w:val="21"/>
                <w:szCs w:val="21"/>
                <w:u w:val="none" w:color="auto"/>
              </w:rPr>
            </w:pPr>
            <w:r>
              <w:rPr>
                <w:rFonts w:hint="eastAsia" w:ascii="宋体" w:hAnsi="宋体" w:cs="宋体"/>
                <w:color w:val="auto"/>
                <w:sz w:val="21"/>
                <w:szCs w:val="21"/>
                <w:u w:val="none" w:color="auto"/>
              </w:rPr>
              <w:t>建设项目</w:t>
            </w:r>
          </w:p>
          <w:p>
            <w:pPr>
              <w:adjustRightInd w:val="0"/>
              <w:snapToGrid w:val="0"/>
              <w:jc w:val="center"/>
              <w:rPr>
                <w:rFonts w:ascii="宋体" w:hAnsi="宋体" w:cs="宋体"/>
                <w:color w:val="auto"/>
                <w:sz w:val="21"/>
                <w:szCs w:val="21"/>
                <w:u w:val="none" w:color="auto"/>
              </w:rPr>
            </w:pPr>
            <w:r>
              <w:rPr>
                <w:rFonts w:hint="eastAsia" w:ascii="宋体" w:hAnsi="宋体" w:cs="宋体"/>
                <w:color w:val="auto"/>
                <w:sz w:val="21"/>
                <w:szCs w:val="21"/>
                <w:u w:val="none" w:color="auto"/>
              </w:rPr>
              <w:t>申报情形</w:t>
            </w:r>
          </w:p>
        </w:tc>
        <w:tc>
          <w:tcPr>
            <w:tcW w:w="3120" w:type="dxa"/>
            <w:gridSpan w:val="2"/>
            <w:noWrap w:val="0"/>
            <w:vAlign w:val="center"/>
          </w:tcPr>
          <w:p>
            <w:pPr>
              <w:jc w:val="left"/>
              <w:rPr>
                <w:rFonts w:ascii="宋体" w:hAnsi="宋体" w:cs="宋体"/>
                <w:color w:val="auto"/>
                <w:sz w:val="21"/>
                <w:szCs w:val="21"/>
                <w:u w:val="none" w:color="auto"/>
              </w:rPr>
            </w:pPr>
            <w:r>
              <w:rPr>
                <w:rFonts w:hint="eastAsia" w:ascii="宋体" w:hAnsi="宋体" w:cs="宋体"/>
                <w:color w:val="auto"/>
                <w:sz w:val="21"/>
                <w:szCs w:val="21"/>
                <w:u w:val="none" w:color="auto"/>
              </w:rPr>
              <w:sym w:font="Wingdings 2" w:char="0052"/>
            </w:r>
            <w:r>
              <w:rPr>
                <w:rFonts w:hint="eastAsia" w:ascii="宋体" w:hAnsi="宋体" w:cs="宋体"/>
                <w:color w:val="auto"/>
                <w:sz w:val="21"/>
                <w:szCs w:val="21"/>
                <w:u w:val="none" w:color="auto"/>
              </w:rPr>
              <w:t>首次申报项目</w:t>
            </w:r>
            <w:r>
              <w:rPr>
                <w:rFonts w:ascii="宋体" w:hAnsi="宋体" w:cs="宋体"/>
                <w:color w:val="auto"/>
                <w:sz w:val="21"/>
                <w:szCs w:val="21"/>
                <w:u w:val="none" w:color="auto"/>
              </w:rPr>
              <w:t xml:space="preserve">             </w:t>
            </w:r>
          </w:p>
          <w:p>
            <w:pPr>
              <w:jc w:val="left"/>
              <w:rPr>
                <w:rFonts w:ascii="宋体" w:hAnsi="宋体" w:cs="宋体"/>
                <w:color w:val="auto"/>
                <w:sz w:val="21"/>
                <w:szCs w:val="21"/>
                <w:u w:val="none" w:color="auto"/>
              </w:rPr>
            </w:pPr>
            <w:r>
              <w:rPr>
                <w:rFonts w:hint="eastAsia" w:ascii="宋体" w:hAnsi="宋体" w:cs="宋体"/>
                <w:color w:val="auto"/>
                <w:sz w:val="21"/>
                <w:szCs w:val="21"/>
                <w:u w:val="none" w:color="auto"/>
              </w:rPr>
              <w:t>□不予批准后再次申报项目</w:t>
            </w:r>
          </w:p>
          <w:p>
            <w:pPr>
              <w:jc w:val="left"/>
              <w:rPr>
                <w:rFonts w:ascii="宋体" w:hAnsi="宋体" w:cs="宋体"/>
                <w:color w:val="auto"/>
                <w:sz w:val="21"/>
                <w:szCs w:val="21"/>
                <w:u w:val="none" w:color="auto"/>
              </w:rPr>
            </w:pPr>
            <w:r>
              <w:rPr>
                <w:rFonts w:hint="eastAsia" w:ascii="宋体" w:hAnsi="宋体" w:cs="宋体"/>
                <w:color w:val="auto"/>
                <w:sz w:val="21"/>
                <w:szCs w:val="21"/>
                <w:u w:val="none" w:color="auto"/>
              </w:rPr>
              <w:sym w:font="Wingdings 2" w:char="00A3"/>
            </w:r>
            <w:r>
              <w:rPr>
                <w:rFonts w:hint="eastAsia" w:ascii="宋体" w:hAnsi="宋体" w:cs="宋体"/>
                <w:color w:val="auto"/>
                <w:sz w:val="21"/>
                <w:szCs w:val="21"/>
                <w:u w:val="none" w:color="auto"/>
              </w:rPr>
              <w:t>超五年重新审核项目</w:t>
            </w:r>
            <w:r>
              <w:rPr>
                <w:rFonts w:ascii="宋体" w:hAnsi="宋体" w:cs="宋体"/>
                <w:color w:val="auto"/>
                <w:sz w:val="21"/>
                <w:szCs w:val="21"/>
                <w:u w:val="none" w:color="auto"/>
              </w:rPr>
              <w:t xml:space="preserve">     </w:t>
            </w:r>
          </w:p>
          <w:p>
            <w:pPr>
              <w:jc w:val="left"/>
              <w:rPr>
                <w:rFonts w:ascii="宋体" w:hAnsi="宋体" w:cs="宋体"/>
                <w:color w:val="auto"/>
                <w:sz w:val="21"/>
                <w:szCs w:val="21"/>
                <w:u w:val="none" w:color="auto"/>
              </w:rPr>
            </w:pPr>
            <w:r>
              <w:rPr>
                <w:rFonts w:hint="eastAsia" w:ascii="宋体" w:hAnsi="宋体" w:cs="宋体"/>
                <w:color w:val="auto"/>
                <w:sz w:val="21"/>
                <w:szCs w:val="21"/>
                <w:u w:val="none" w:color="auto"/>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04" w:type="dxa"/>
            <w:noWrap w:val="0"/>
            <w:tcMar>
              <w:top w:w="16" w:type="dxa"/>
              <w:left w:w="16" w:type="dxa"/>
              <w:right w:w="16" w:type="dxa"/>
            </w:tcMar>
            <w:vAlign w:val="center"/>
          </w:tcPr>
          <w:p>
            <w:pPr>
              <w:adjustRightInd w:val="0"/>
              <w:snapToGrid w:val="0"/>
              <w:jc w:val="center"/>
              <w:rPr>
                <w:rFonts w:ascii="宋体" w:hAnsi="宋体" w:cs="宋体"/>
                <w:color w:val="auto"/>
                <w:sz w:val="21"/>
                <w:szCs w:val="21"/>
                <w:highlight w:val="none"/>
                <w:u w:val="none" w:color="auto"/>
              </w:rPr>
            </w:pPr>
            <w:r>
              <w:rPr>
                <w:rFonts w:hint="eastAsia" w:ascii="宋体" w:hAnsi="宋体" w:cs="宋体"/>
                <w:color w:val="auto"/>
                <w:sz w:val="21"/>
                <w:szCs w:val="21"/>
                <w:highlight w:val="none"/>
                <w:u w:val="none" w:color="auto"/>
              </w:rPr>
              <w:t>项目审批（核准</w:t>
            </w:r>
            <w:r>
              <w:rPr>
                <w:rFonts w:ascii="宋体" w:hAnsi="宋体" w:cs="宋体"/>
                <w:color w:val="auto"/>
                <w:sz w:val="21"/>
                <w:szCs w:val="21"/>
                <w:highlight w:val="none"/>
                <w:u w:val="none" w:color="auto"/>
              </w:rPr>
              <w:t>/</w:t>
            </w:r>
            <w:r>
              <w:rPr>
                <w:rFonts w:hint="eastAsia" w:ascii="宋体" w:hAnsi="宋体" w:cs="宋体"/>
                <w:color w:val="auto"/>
                <w:sz w:val="21"/>
                <w:szCs w:val="21"/>
                <w:highlight w:val="none"/>
                <w:u w:val="none" w:color="auto"/>
              </w:rPr>
              <w:t>备案）部门（选填）</w:t>
            </w:r>
          </w:p>
        </w:tc>
        <w:tc>
          <w:tcPr>
            <w:tcW w:w="1568" w:type="dxa"/>
            <w:noWrap w:val="0"/>
            <w:vAlign w:val="center"/>
          </w:tcPr>
          <w:p>
            <w:pPr>
              <w:adjustRightInd w:val="0"/>
              <w:snapToGrid w:val="0"/>
              <w:jc w:val="center"/>
              <w:rPr>
                <w:rFonts w:hint="eastAsia" w:ascii="宋体" w:hAnsi="宋体" w:eastAsia="宋体" w:cs="宋体"/>
                <w:color w:val="auto"/>
                <w:sz w:val="21"/>
                <w:szCs w:val="21"/>
                <w:highlight w:val="none"/>
                <w:u w:val="none" w:color="auto"/>
                <w:lang w:val="en-US" w:eastAsia="zh-CN"/>
              </w:rPr>
            </w:pPr>
            <w:r>
              <w:rPr>
                <w:rFonts w:hint="eastAsia" w:ascii="宋体" w:hAnsi="宋体" w:cs="宋体"/>
                <w:color w:val="auto"/>
                <w:sz w:val="21"/>
                <w:szCs w:val="21"/>
                <w:highlight w:val="none"/>
                <w:u w:val="none" w:color="auto"/>
                <w:lang w:val="en-US" w:eastAsia="zh-CN"/>
              </w:rPr>
              <w:t>国家发展和改革委员会</w:t>
            </w:r>
          </w:p>
        </w:tc>
        <w:tc>
          <w:tcPr>
            <w:tcW w:w="2870" w:type="dxa"/>
            <w:noWrap w:val="0"/>
            <w:vAlign w:val="center"/>
          </w:tcPr>
          <w:p>
            <w:pPr>
              <w:adjustRightInd w:val="0"/>
              <w:snapToGrid w:val="0"/>
              <w:jc w:val="center"/>
              <w:rPr>
                <w:rFonts w:hint="eastAsia" w:ascii="宋体" w:hAnsi="宋体" w:cs="宋体"/>
                <w:color w:val="auto"/>
                <w:sz w:val="21"/>
                <w:szCs w:val="21"/>
                <w:highlight w:val="none"/>
                <w:u w:val="none" w:color="auto"/>
              </w:rPr>
            </w:pPr>
            <w:r>
              <w:rPr>
                <w:rFonts w:hint="eastAsia" w:ascii="宋体" w:hAnsi="宋体" w:cs="宋体"/>
                <w:color w:val="auto"/>
                <w:sz w:val="21"/>
                <w:szCs w:val="21"/>
                <w:highlight w:val="none"/>
                <w:u w:val="none" w:color="auto"/>
              </w:rPr>
              <w:t>项目审批（核准</w:t>
            </w:r>
            <w:r>
              <w:rPr>
                <w:rFonts w:ascii="宋体" w:hAnsi="宋体" w:cs="宋体"/>
                <w:color w:val="auto"/>
                <w:sz w:val="21"/>
                <w:szCs w:val="21"/>
                <w:highlight w:val="none"/>
                <w:u w:val="none" w:color="auto"/>
              </w:rPr>
              <w:t>/</w:t>
            </w:r>
          </w:p>
          <w:p>
            <w:pPr>
              <w:adjustRightInd w:val="0"/>
              <w:snapToGrid w:val="0"/>
              <w:jc w:val="center"/>
              <w:rPr>
                <w:rFonts w:hint="eastAsia" w:ascii="宋体" w:hAnsi="宋体" w:cs="宋体"/>
                <w:color w:val="auto"/>
                <w:sz w:val="21"/>
                <w:szCs w:val="21"/>
                <w:highlight w:val="none"/>
                <w:u w:val="none" w:color="auto"/>
              </w:rPr>
            </w:pPr>
            <w:r>
              <w:rPr>
                <w:rFonts w:hint="eastAsia" w:ascii="宋体" w:hAnsi="宋体" w:cs="宋体"/>
                <w:color w:val="auto"/>
                <w:sz w:val="21"/>
                <w:szCs w:val="21"/>
                <w:highlight w:val="none"/>
                <w:u w:val="none" w:color="auto"/>
              </w:rPr>
              <w:t>备案）文号（选填）</w:t>
            </w:r>
          </w:p>
        </w:tc>
        <w:tc>
          <w:tcPr>
            <w:tcW w:w="3120" w:type="dxa"/>
            <w:gridSpan w:val="2"/>
            <w:noWrap w:val="0"/>
            <w:vAlign w:val="center"/>
          </w:tcPr>
          <w:p>
            <w:pPr>
              <w:adjustRightInd w:val="0"/>
              <w:snapToGrid w:val="0"/>
              <w:jc w:val="center"/>
              <w:rPr>
                <w:rFonts w:hint="default" w:ascii="宋体" w:hAnsi="宋体" w:eastAsia="宋体" w:cs="宋体"/>
                <w:color w:val="auto"/>
                <w:sz w:val="21"/>
                <w:szCs w:val="21"/>
                <w:highlight w:val="none"/>
                <w:u w:val="none" w:color="auto"/>
                <w:lang w:val="en-US" w:eastAsia="zh-CN"/>
              </w:rPr>
            </w:pPr>
            <w:r>
              <w:rPr>
                <w:rFonts w:hint="eastAsia" w:ascii="宋体" w:hAnsi="宋体" w:cs="宋体"/>
                <w:color w:val="auto"/>
                <w:sz w:val="21"/>
                <w:szCs w:val="21"/>
                <w:highlight w:val="none"/>
                <w:u w:val="none" w:color="auto"/>
                <w:lang w:val="en-US" w:eastAsia="zh-CN"/>
              </w:rPr>
              <w:t>发改运行[2025]1778号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4" w:type="dxa"/>
            <w:noWrap w:val="0"/>
            <w:tcMar>
              <w:top w:w="16" w:type="dxa"/>
              <w:left w:w="16" w:type="dxa"/>
              <w:right w:w="16" w:type="dxa"/>
            </w:tcMar>
            <w:vAlign w:val="center"/>
          </w:tcPr>
          <w:p>
            <w:pPr>
              <w:adjustRightInd w:val="0"/>
              <w:snapToGrid w:val="0"/>
              <w:jc w:val="center"/>
              <w:rPr>
                <w:rFonts w:ascii="宋体" w:hAnsi="宋体" w:cs="宋体"/>
                <w:color w:val="auto"/>
                <w:sz w:val="21"/>
                <w:szCs w:val="21"/>
                <w:u w:val="none" w:color="auto"/>
              </w:rPr>
            </w:pPr>
            <w:r>
              <w:rPr>
                <w:rFonts w:hint="eastAsia" w:ascii="宋体" w:hAnsi="宋体" w:cs="宋体"/>
                <w:color w:val="auto"/>
                <w:sz w:val="21"/>
                <w:szCs w:val="21"/>
                <w:u w:val="none" w:color="auto"/>
              </w:rPr>
              <w:t>总投资（万元）</w:t>
            </w:r>
          </w:p>
        </w:tc>
        <w:tc>
          <w:tcPr>
            <w:tcW w:w="1568" w:type="dxa"/>
            <w:noWrap w:val="0"/>
            <w:vAlign w:val="center"/>
          </w:tcPr>
          <w:p>
            <w:pPr>
              <w:adjustRightInd w:val="0"/>
              <w:snapToGrid w:val="0"/>
              <w:jc w:val="center"/>
              <w:rPr>
                <w:rFonts w:hint="default" w:ascii="宋体" w:hAnsi="宋体" w:eastAsia="宋体" w:cs="宋体"/>
                <w:color w:val="auto"/>
                <w:sz w:val="21"/>
                <w:szCs w:val="21"/>
                <w:u w:val="none" w:color="auto"/>
                <w:lang w:val="en-US" w:eastAsia="zh-CN"/>
              </w:rPr>
            </w:pPr>
            <w:r>
              <w:rPr>
                <w:rFonts w:hint="eastAsia" w:ascii="宋体" w:hAnsi="宋体" w:cs="宋体"/>
                <w:color w:val="auto"/>
                <w:sz w:val="21"/>
                <w:szCs w:val="21"/>
                <w:u w:val="none" w:color="auto"/>
                <w:lang w:val="en-US" w:eastAsia="zh-CN"/>
              </w:rPr>
              <w:t>49504.56</w:t>
            </w:r>
          </w:p>
        </w:tc>
        <w:tc>
          <w:tcPr>
            <w:tcW w:w="2870" w:type="dxa"/>
            <w:noWrap w:val="0"/>
            <w:tcMar>
              <w:top w:w="16" w:type="dxa"/>
              <w:left w:w="16" w:type="dxa"/>
              <w:right w:w="16" w:type="dxa"/>
            </w:tcMar>
            <w:vAlign w:val="center"/>
          </w:tcPr>
          <w:p>
            <w:pPr>
              <w:adjustRightInd w:val="0"/>
              <w:snapToGrid w:val="0"/>
              <w:jc w:val="center"/>
              <w:rPr>
                <w:rFonts w:ascii="宋体" w:hAnsi="宋体" w:cs="宋体"/>
                <w:color w:val="auto"/>
                <w:sz w:val="21"/>
                <w:szCs w:val="21"/>
                <w:u w:val="none" w:color="auto"/>
              </w:rPr>
            </w:pPr>
            <w:r>
              <w:rPr>
                <w:rFonts w:hint="eastAsia" w:ascii="宋体" w:hAnsi="宋体" w:cs="宋体"/>
                <w:color w:val="auto"/>
                <w:sz w:val="21"/>
                <w:szCs w:val="21"/>
                <w:u w:val="none" w:color="auto"/>
              </w:rPr>
              <w:t>环保投资（万元）</w:t>
            </w:r>
          </w:p>
        </w:tc>
        <w:tc>
          <w:tcPr>
            <w:tcW w:w="3120" w:type="dxa"/>
            <w:gridSpan w:val="2"/>
            <w:noWrap w:val="0"/>
            <w:vAlign w:val="center"/>
          </w:tcPr>
          <w:p>
            <w:pPr>
              <w:adjustRightInd w:val="0"/>
              <w:snapToGrid w:val="0"/>
              <w:jc w:val="center"/>
              <w:rPr>
                <w:rFonts w:hint="default" w:ascii="宋体" w:hAnsi="宋体" w:eastAsia="宋体" w:cs="宋体"/>
                <w:color w:val="auto"/>
                <w:sz w:val="21"/>
                <w:szCs w:val="21"/>
                <w:u w:val="none" w:color="auto"/>
                <w:lang w:val="en-US" w:eastAsia="zh-CN"/>
              </w:rPr>
            </w:pPr>
            <w:r>
              <w:rPr>
                <w:rFonts w:hint="eastAsia" w:ascii="宋体" w:hAnsi="宋体" w:cs="宋体"/>
                <w:color w:val="auto"/>
                <w:sz w:val="21"/>
                <w:szCs w:val="21"/>
                <w:u w:val="none" w:color="auto"/>
                <w:lang w:val="en-US" w:eastAsia="zh-CN"/>
              </w:rPr>
              <w:t>386.55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4" w:type="dxa"/>
            <w:noWrap w:val="0"/>
            <w:tcMar>
              <w:top w:w="16" w:type="dxa"/>
              <w:left w:w="16" w:type="dxa"/>
              <w:right w:w="16" w:type="dxa"/>
            </w:tcMar>
            <w:vAlign w:val="center"/>
          </w:tcPr>
          <w:p>
            <w:pPr>
              <w:adjustRightInd w:val="0"/>
              <w:snapToGrid w:val="0"/>
              <w:jc w:val="center"/>
              <w:rPr>
                <w:rFonts w:ascii="宋体" w:hAnsi="宋体" w:cs="宋体"/>
                <w:color w:val="auto"/>
                <w:sz w:val="21"/>
                <w:szCs w:val="21"/>
                <w:u w:val="none" w:color="auto"/>
              </w:rPr>
            </w:pPr>
            <w:r>
              <w:rPr>
                <w:rFonts w:hint="eastAsia" w:ascii="宋体" w:hAnsi="宋体" w:cs="宋体"/>
                <w:color w:val="auto"/>
                <w:sz w:val="21"/>
                <w:szCs w:val="21"/>
                <w:u w:val="none" w:color="auto"/>
              </w:rPr>
              <w:t>环保投资占比（</w:t>
            </w:r>
            <w:r>
              <w:rPr>
                <w:rFonts w:ascii="宋体" w:hAnsi="宋体" w:cs="宋体"/>
                <w:color w:val="auto"/>
                <w:sz w:val="21"/>
                <w:szCs w:val="21"/>
                <w:u w:val="none" w:color="auto"/>
              </w:rPr>
              <w:t>%</w:t>
            </w:r>
            <w:r>
              <w:rPr>
                <w:rFonts w:hint="eastAsia" w:ascii="宋体" w:hAnsi="宋体" w:cs="宋体"/>
                <w:color w:val="auto"/>
                <w:sz w:val="21"/>
                <w:szCs w:val="21"/>
                <w:u w:val="none" w:color="auto"/>
              </w:rPr>
              <w:t>）</w:t>
            </w:r>
          </w:p>
        </w:tc>
        <w:tc>
          <w:tcPr>
            <w:tcW w:w="1568" w:type="dxa"/>
            <w:noWrap w:val="0"/>
            <w:vAlign w:val="center"/>
          </w:tcPr>
          <w:p>
            <w:pPr>
              <w:adjustRightInd w:val="0"/>
              <w:snapToGrid w:val="0"/>
              <w:jc w:val="center"/>
              <w:rPr>
                <w:rFonts w:hint="default" w:ascii="宋体" w:hAnsi="宋体" w:eastAsia="宋体" w:cs="宋体"/>
                <w:color w:val="auto"/>
                <w:sz w:val="21"/>
                <w:szCs w:val="21"/>
                <w:u w:val="none" w:color="auto"/>
                <w:lang w:val="en-US" w:eastAsia="zh-CN"/>
              </w:rPr>
            </w:pPr>
            <w:r>
              <w:rPr>
                <w:rFonts w:hint="eastAsia" w:ascii="宋体" w:hAnsi="宋体" w:cs="宋体"/>
                <w:color w:val="auto"/>
                <w:sz w:val="21"/>
                <w:szCs w:val="21"/>
                <w:u w:val="none" w:color="auto"/>
                <w:lang w:val="en-US" w:eastAsia="zh-CN"/>
              </w:rPr>
              <w:t>0.78</w:t>
            </w:r>
          </w:p>
        </w:tc>
        <w:tc>
          <w:tcPr>
            <w:tcW w:w="2870" w:type="dxa"/>
            <w:noWrap w:val="0"/>
            <w:tcMar>
              <w:top w:w="16" w:type="dxa"/>
              <w:left w:w="16" w:type="dxa"/>
              <w:right w:w="16" w:type="dxa"/>
            </w:tcMar>
            <w:vAlign w:val="center"/>
          </w:tcPr>
          <w:p>
            <w:pPr>
              <w:adjustRightInd w:val="0"/>
              <w:snapToGrid w:val="0"/>
              <w:jc w:val="center"/>
              <w:rPr>
                <w:rFonts w:ascii="宋体" w:hAnsi="宋体" w:cs="宋体"/>
                <w:color w:val="auto"/>
                <w:sz w:val="21"/>
                <w:szCs w:val="21"/>
                <w:u w:val="none" w:color="auto"/>
              </w:rPr>
            </w:pPr>
            <w:r>
              <w:rPr>
                <w:rFonts w:hint="eastAsia" w:ascii="宋体" w:hAnsi="宋体" w:cs="宋体"/>
                <w:color w:val="auto"/>
                <w:sz w:val="21"/>
                <w:szCs w:val="21"/>
                <w:u w:val="none" w:color="auto"/>
              </w:rPr>
              <w:t>施工工期</w:t>
            </w:r>
          </w:p>
        </w:tc>
        <w:tc>
          <w:tcPr>
            <w:tcW w:w="3120" w:type="dxa"/>
            <w:gridSpan w:val="2"/>
            <w:noWrap w:val="0"/>
            <w:vAlign w:val="center"/>
          </w:tcPr>
          <w:p>
            <w:pPr>
              <w:adjustRightInd w:val="0"/>
              <w:snapToGrid w:val="0"/>
              <w:jc w:val="center"/>
              <w:rPr>
                <w:rFonts w:hint="default" w:ascii="宋体" w:hAnsi="宋体" w:eastAsia="宋体" w:cs="宋体"/>
                <w:color w:val="auto"/>
                <w:sz w:val="21"/>
                <w:szCs w:val="21"/>
                <w:u w:val="none" w:color="auto"/>
                <w:lang w:val="en-US" w:eastAsia="zh-CN"/>
              </w:rPr>
            </w:pPr>
            <w:r>
              <w:rPr>
                <w:rFonts w:hint="eastAsia" w:ascii="宋体" w:hAnsi="宋体" w:cs="宋体"/>
                <w:color w:val="auto"/>
                <w:sz w:val="21"/>
                <w:szCs w:val="21"/>
                <w:u w:val="none" w:color="auto"/>
                <w:lang w:val="en-US" w:eastAsia="zh-CN"/>
              </w:rPr>
              <w:t>15个月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4" w:type="dxa"/>
            <w:noWrap w:val="0"/>
            <w:tcMar>
              <w:top w:w="16" w:type="dxa"/>
              <w:left w:w="16" w:type="dxa"/>
              <w:right w:w="16" w:type="dxa"/>
            </w:tcMar>
            <w:vAlign w:val="center"/>
          </w:tcPr>
          <w:p>
            <w:pPr>
              <w:adjustRightInd w:val="0"/>
              <w:snapToGrid w:val="0"/>
              <w:jc w:val="center"/>
              <w:rPr>
                <w:rFonts w:hint="eastAsia" w:ascii="宋体" w:hAnsi="宋体" w:cs="宋体"/>
                <w:color w:val="auto"/>
                <w:sz w:val="21"/>
                <w:szCs w:val="21"/>
                <w:u w:val="none" w:color="auto"/>
              </w:rPr>
            </w:pPr>
            <w:r>
              <w:rPr>
                <w:rFonts w:hint="eastAsia" w:ascii="宋体" w:hAnsi="宋体" w:cs="宋体"/>
                <w:color w:val="auto"/>
                <w:sz w:val="21"/>
                <w:szCs w:val="21"/>
                <w:u w:val="none" w:color="auto"/>
              </w:rPr>
              <w:t>是否开工建设</w:t>
            </w:r>
          </w:p>
        </w:tc>
        <w:tc>
          <w:tcPr>
            <w:tcW w:w="1568" w:type="dxa"/>
            <w:noWrap w:val="0"/>
            <w:vAlign w:val="center"/>
          </w:tcPr>
          <w:p>
            <w:pPr>
              <w:adjustRightInd w:val="0"/>
              <w:snapToGrid w:val="0"/>
              <w:rPr>
                <w:rFonts w:ascii="宋体" w:hAnsi="宋体" w:cs="宋体"/>
                <w:color w:val="auto"/>
                <w:sz w:val="21"/>
                <w:szCs w:val="21"/>
                <w:u w:val="none" w:color="auto"/>
              </w:rPr>
            </w:pPr>
            <w:r>
              <w:rPr>
                <w:rFonts w:hint="eastAsia" w:ascii="宋体" w:hAnsi="宋体" w:cs="宋体"/>
                <w:color w:val="auto"/>
                <w:sz w:val="21"/>
                <w:szCs w:val="21"/>
                <w:u w:val="none" w:color="auto"/>
              </w:rPr>
              <w:sym w:font="Wingdings 2" w:char="0052"/>
            </w:r>
            <w:r>
              <w:rPr>
                <w:rFonts w:hint="eastAsia" w:ascii="宋体" w:hAnsi="宋体" w:cs="宋体"/>
                <w:color w:val="auto"/>
                <w:sz w:val="21"/>
                <w:szCs w:val="21"/>
                <w:u w:val="none" w:color="auto"/>
              </w:rPr>
              <w:t>否</w:t>
            </w:r>
          </w:p>
          <w:p>
            <w:pPr>
              <w:adjustRightInd w:val="0"/>
              <w:snapToGrid w:val="0"/>
              <w:rPr>
                <w:rFonts w:ascii="宋体" w:hAnsi="宋体" w:cs="宋体"/>
                <w:color w:val="auto"/>
                <w:sz w:val="21"/>
                <w:szCs w:val="21"/>
                <w:u w:val="none" w:color="auto"/>
              </w:rPr>
            </w:pPr>
            <w:r>
              <w:rPr>
                <w:rFonts w:hint="eastAsia" w:ascii="宋体" w:hAnsi="宋体" w:cs="宋体"/>
                <w:color w:val="auto"/>
                <w:sz w:val="21"/>
                <w:szCs w:val="21"/>
                <w:u w:val="none" w:color="auto"/>
              </w:rPr>
              <w:sym w:font="Wingdings 2" w:char="00A3"/>
            </w:r>
            <w:r>
              <w:rPr>
                <w:rFonts w:hint="eastAsia" w:ascii="宋体" w:hAnsi="宋体" w:cs="宋体"/>
                <w:color w:val="auto"/>
                <w:sz w:val="21"/>
                <w:szCs w:val="21"/>
                <w:u w:val="none" w:color="auto"/>
              </w:rPr>
              <w:t xml:space="preserve">是：             </w:t>
            </w:r>
          </w:p>
        </w:tc>
        <w:tc>
          <w:tcPr>
            <w:tcW w:w="2870" w:type="dxa"/>
            <w:noWrap w:val="0"/>
            <w:tcMar>
              <w:top w:w="16" w:type="dxa"/>
              <w:left w:w="16" w:type="dxa"/>
              <w:right w:w="16" w:type="dxa"/>
            </w:tcMar>
            <w:vAlign w:val="center"/>
          </w:tcPr>
          <w:p>
            <w:pPr>
              <w:adjustRightInd w:val="0"/>
              <w:snapToGrid w:val="0"/>
              <w:jc w:val="center"/>
              <w:rPr>
                <w:rFonts w:ascii="宋体" w:hAnsi="宋体" w:cs="宋体"/>
                <w:color w:val="auto"/>
                <w:spacing w:val="-6"/>
                <w:sz w:val="21"/>
                <w:szCs w:val="21"/>
                <w:u w:val="none" w:color="auto"/>
              </w:rPr>
            </w:pPr>
            <w:r>
              <w:rPr>
                <w:rFonts w:hint="eastAsia" w:ascii="宋体" w:hAnsi="宋体" w:cs="宋体"/>
                <w:color w:val="auto"/>
                <w:spacing w:val="-6"/>
                <w:sz w:val="21"/>
                <w:szCs w:val="21"/>
                <w:u w:val="none" w:color="auto"/>
              </w:rPr>
              <w:t>用地（用海）</w:t>
            </w:r>
          </w:p>
          <w:p>
            <w:pPr>
              <w:adjustRightInd w:val="0"/>
              <w:snapToGrid w:val="0"/>
              <w:jc w:val="center"/>
              <w:rPr>
                <w:rFonts w:hint="eastAsia" w:ascii="宋体" w:hAnsi="宋体" w:cs="宋体"/>
                <w:color w:val="auto"/>
                <w:sz w:val="21"/>
                <w:szCs w:val="21"/>
                <w:u w:val="none" w:color="auto"/>
              </w:rPr>
            </w:pPr>
            <w:r>
              <w:rPr>
                <w:rFonts w:hint="eastAsia" w:ascii="宋体" w:hAnsi="宋体" w:cs="宋体"/>
                <w:color w:val="auto"/>
                <w:spacing w:val="-6"/>
                <w:sz w:val="21"/>
                <w:szCs w:val="21"/>
                <w:u w:val="none" w:color="auto"/>
              </w:rPr>
              <w:t>面积（</w:t>
            </w:r>
            <w:r>
              <w:rPr>
                <w:rFonts w:ascii="宋体" w:hAnsi="宋体" w:cs="宋体"/>
                <w:color w:val="auto"/>
                <w:spacing w:val="-6"/>
                <w:sz w:val="21"/>
                <w:szCs w:val="21"/>
                <w:u w:val="none" w:color="auto"/>
              </w:rPr>
              <w:t>m</w:t>
            </w:r>
            <w:r>
              <w:rPr>
                <w:rFonts w:ascii="宋体" w:hAnsi="宋体" w:cs="宋体"/>
                <w:color w:val="auto"/>
                <w:spacing w:val="-6"/>
                <w:sz w:val="21"/>
                <w:szCs w:val="21"/>
                <w:u w:val="none" w:color="auto"/>
                <w:vertAlign w:val="superscript"/>
              </w:rPr>
              <w:t>2</w:t>
            </w:r>
            <w:r>
              <w:rPr>
                <w:rFonts w:hint="eastAsia" w:ascii="宋体" w:hAnsi="宋体" w:cs="宋体"/>
                <w:color w:val="auto"/>
                <w:spacing w:val="-6"/>
                <w:sz w:val="21"/>
                <w:szCs w:val="21"/>
                <w:u w:val="none" w:color="auto"/>
              </w:rPr>
              <w:t>）</w:t>
            </w:r>
          </w:p>
        </w:tc>
        <w:tc>
          <w:tcPr>
            <w:tcW w:w="3120" w:type="dxa"/>
            <w:gridSpan w:val="2"/>
            <w:noWrap w:val="0"/>
            <w:vAlign w:val="center"/>
          </w:tcPr>
          <w:p>
            <w:pPr>
              <w:adjustRightInd w:val="0"/>
              <w:snapToGrid w:val="0"/>
              <w:jc w:val="center"/>
              <w:rPr>
                <w:rFonts w:hint="default" w:ascii="宋体" w:hAnsi="宋体" w:eastAsia="宋体" w:cs="宋体"/>
                <w:color w:val="auto"/>
                <w:sz w:val="21"/>
                <w:szCs w:val="21"/>
                <w:u w:val="none" w:color="auto"/>
                <w:lang w:val="en-US" w:eastAsia="zh-CN"/>
              </w:rPr>
            </w:pPr>
            <w:r>
              <w:rPr>
                <w:rFonts w:hint="eastAsia" w:ascii="宋体" w:hAnsi="宋体" w:cs="宋体"/>
                <w:color w:val="auto"/>
                <w:sz w:val="21"/>
                <w:szCs w:val="21"/>
                <w:u w:val="none" w:color="auto"/>
                <w:lang w:val="en-US" w:eastAsia="zh-CN"/>
              </w:rPr>
              <w:t>15.1734万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021" w:hRule="atLeast"/>
          <w:jc w:val="center"/>
        </w:trPr>
        <w:tc>
          <w:tcPr>
            <w:tcW w:w="1404" w:type="dxa"/>
            <w:noWrap w:val="0"/>
            <w:vAlign w:val="center"/>
          </w:tcPr>
          <w:p>
            <w:pPr>
              <w:autoSpaceDE w:val="0"/>
              <w:autoSpaceDN w:val="0"/>
              <w:adjustRightInd w:val="0"/>
              <w:snapToGrid w:val="0"/>
              <w:jc w:val="center"/>
              <w:rPr>
                <w:rFonts w:ascii="宋体" w:hAnsi="宋体" w:cs="宋体"/>
                <w:color w:val="auto"/>
                <w:kern w:val="0"/>
                <w:sz w:val="21"/>
                <w:szCs w:val="21"/>
                <w:u w:val="none" w:color="auto"/>
              </w:rPr>
            </w:pPr>
            <w:r>
              <w:rPr>
                <w:rFonts w:hint="eastAsia" w:ascii="宋体" w:hAnsi="宋体" w:cs="宋体"/>
                <w:color w:val="auto"/>
                <w:kern w:val="0"/>
                <w:sz w:val="21"/>
                <w:szCs w:val="21"/>
                <w:u w:val="none" w:color="auto"/>
              </w:rPr>
              <w:t>专项评价设置情况</w:t>
            </w:r>
          </w:p>
        </w:tc>
        <w:tc>
          <w:tcPr>
            <w:tcW w:w="7547" w:type="dxa"/>
            <w:gridSpan w:val="3"/>
            <w:noWrap w:val="0"/>
            <w:vAlign w:val="center"/>
          </w:tcPr>
          <w:p>
            <w:pPr>
              <w:adjustRightInd w:val="0"/>
              <w:snapToGrid w:val="0"/>
              <w:jc w:val="center"/>
              <w:rPr>
                <w:rFonts w:hint="eastAsia" w:ascii="Times New Roman" w:hAnsi="Times New Roman" w:eastAsia="宋体" w:cs="宋体"/>
                <w:b/>
                <w:color w:val="auto"/>
                <w:sz w:val="21"/>
                <w:szCs w:val="21"/>
                <w:u w:val="none" w:color="auto"/>
                <w:lang w:val="en-US" w:eastAsia="zh-CN"/>
              </w:rPr>
            </w:pPr>
            <w:r>
              <w:rPr>
                <w:rFonts w:hint="eastAsia" w:ascii="Times New Roman" w:hAnsi="Times New Roman" w:eastAsia="宋体" w:cs="宋体"/>
                <w:b/>
                <w:color w:val="auto"/>
                <w:sz w:val="21"/>
                <w:szCs w:val="21"/>
                <w:u w:val="none" w:color="auto"/>
                <w:lang w:val="en-US" w:eastAsia="zh-CN"/>
              </w:rPr>
              <w:t>表1-1专项评价设置原则说明表</w:t>
            </w:r>
          </w:p>
          <w:tbl>
            <w:tblPr>
              <w:tblStyle w:val="61"/>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9"/>
              <w:gridCol w:w="3015"/>
              <w:gridCol w:w="1764"/>
              <w:gridCol w:w="17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80" w:type="dxa"/>
                  <w:tcBorders>
                    <w:top w:val="single" w:color="auto" w:sz="4" w:space="0"/>
                    <w:left w:val="single" w:color="auto" w:sz="0"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u w:val="none" w:color="auto"/>
                    </w:rPr>
                  </w:pPr>
                  <w:r>
                    <w:rPr>
                      <w:rFonts w:hint="eastAsia" w:ascii="Times New Roman" w:hAnsi="Times New Roman" w:eastAsia="宋体" w:cs="Times New Roman"/>
                      <w:b/>
                      <w:bCs/>
                      <w:color w:val="auto"/>
                      <w:sz w:val="21"/>
                      <w:szCs w:val="21"/>
                      <w:highlight w:val="none"/>
                      <w:u w:val="none" w:color="auto"/>
                    </w:rPr>
                    <w:t>专项评价类别</w:t>
                  </w:r>
                </w:p>
              </w:tc>
              <w:tc>
                <w:tcPr>
                  <w:tcW w:w="3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u w:val="none" w:color="auto"/>
                    </w:rPr>
                  </w:pPr>
                  <w:r>
                    <w:rPr>
                      <w:rFonts w:hint="eastAsia" w:ascii="Times New Roman" w:hAnsi="Times New Roman" w:eastAsia="宋体" w:cs="Times New Roman"/>
                      <w:b/>
                      <w:bCs/>
                      <w:color w:val="auto"/>
                      <w:sz w:val="21"/>
                      <w:szCs w:val="21"/>
                      <w:highlight w:val="none"/>
                      <w:u w:val="none" w:color="auto"/>
                    </w:rPr>
                    <w:t>设置原则</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u w:val="none" w:color="auto"/>
                      <w:lang w:eastAsia="zh-CN"/>
                    </w:rPr>
                  </w:pPr>
                  <w:r>
                    <w:rPr>
                      <w:rFonts w:hint="eastAsia" w:cs="Times New Roman"/>
                      <w:b/>
                      <w:bCs/>
                      <w:color w:val="auto"/>
                      <w:sz w:val="21"/>
                      <w:szCs w:val="21"/>
                      <w:highlight w:val="none"/>
                      <w:u w:val="none" w:color="auto"/>
                      <w:lang w:eastAsia="zh-CN"/>
                    </w:rPr>
                    <w:t>本项目情况</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u w:val="none" w:color="auto"/>
                    </w:rPr>
                  </w:pPr>
                  <w:r>
                    <w:rPr>
                      <w:rFonts w:hint="eastAsia" w:ascii="Times New Roman" w:hAnsi="Times New Roman" w:eastAsia="宋体" w:cs="Times New Roman"/>
                      <w:b/>
                      <w:bCs/>
                      <w:color w:val="auto"/>
                      <w:sz w:val="21"/>
                      <w:szCs w:val="21"/>
                      <w:highlight w:val="none"/>
                      <w:u w:val="none" w:color="auto"/>
                    </w:rPr>
                    <w:t>是否涉及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大气</w:t>
                  </w:r>
                </w:p>
              </w:tc>
              <w:tc>
                <w:tcPr>
                  <w:tcW w:w="3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排放废气含有有毒有害污染物、二噁英、苯并[a]芘、氰化物、氯气且厂界外500米范围内有环境空气保护目标的建设项目</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eastAsia="zh-CN"/>
                    </w:rPr>
                    <w:t>本项目废气污染物主要为颗粒物</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48" w:beforeLines="20" w:after="48" w:afterLines="20"/>
                    <w:jc w:val="center"/>
                    <w:rPr>
                      <w:rFonts w:hint="eastAsia" w:ascii="Times New Roman" w:hAnsi="Times New Roman" w:eastAsia="宋体" w:cs="Times New Roman"/>
                      <w:color w:val="auto"/>
                      <w:sz w:val="21"/>
                      <w:szCs w:val="21"/>
                      <w:highlight w:val="none"/>
                      <w:u w:val="none" w:color="auto"/>
                    </w:rPr>
                  </w:pPr>
                  <w:r>
                    <w:rPr>
                      <w:rFonts w:hint="eastAsia"/>
                      <w:color w:val="auto"/>
                      <w:sz w:val="21"/>
                      <w:szCs w:val="21"/>
                      <w:u w:val="none" w:color="auto"/>
                      <w:lang w:val="en-US" w:eastAsia="zh-CN"/>
                    </w:rPr>
                    <w:t>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地表水</w:t>
                  </w:r>
                </w:p>
              </w:tc>
              <w:tc>
                <w:tcPr>
                  <w:tcW w:w="3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新增工业废水直排建设项目（槽罐车送污水处理厂除外）；新增废水直排的污水集中处理厂</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本项目生产、生活废水经处理后回用，不外排</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48" w:beforeLines="20" w:after="48" w:afterLines="20"/>
                    <w:jc w:val="center"/>
                    <w:rPr>
                      <w:rFonts w:hint="eastAsia" w:ascii="Times New Roman" w:hAnsi="Times New Roman" w:eastAsia="宋体" w:cs="Times New Roman"/>
                      <w:color w:val="auto"/>
                      <w:sz w:val="21"/>
                      <w:szCs w:val="21"/>
                      <w:highlight w:val="none"/>
                      <w:u w:val="none" w:color="auto"/>
                      <w:lang w:val="en-US" w:eastAsia="zh-CN"/>
                    </w:rPr>
                  </w:pPr>
                  <w:r>
                    <w:rPr>
                      <w:rFonts w:hint="eastAsia"/>
                      <w:color w:val="auto"/>
                      <w:sz w:val="21"/>
                      <w:szCs w:val="21"/>
                      <w:u w:val="none" w:color="auto"/>
                      <w:lang w:val="en-US" w:eastAsia="zh-CN"/>
                    </w:rPr>
                    <w:t>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环境风险</w:t>
                  </w:r>
                </w:p>
              </w:tc>
              <w:tc>
                <w:tcPr>
                  <w:tcW w:w="3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有毒有害和易燃易爆危险物质存储量超过临界量的建设项目</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eastAsia="zh-CN"/>
                    </w:rPr>
                    <w:t>本</w:t>
                  </w:r>
                  <w:r>
                    <w:rPr>
                      <w:rFonts w:hint="eastAsia" w:ascii="Times New Roman" w:hAnsi="Times New Roman" w:eastAsia="宋体" w:cs="Times New Roman"/>
                      <w:color w:val="auto"/>
                      <w:sz w:val="21"/>
                      <w:szCs w:val="21"/>
                      <w:highlight w:val="none"/>
                      <w:u w:val="none" w:color="auto"/>
                      <w:lang w:eastAsia="zh-CN"/>
                    </w:rPr>
                    <w:t>项目危险物质未超过临界量</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48" w:beforeLines="20" w:after="48" w:afterLines="20"/>
                    <w:jc w:val="center"/>
                    <w:rPr>
                      <w:rFonts w:hint="default" w:ascii="Times New Roman" w:hAnsi="Times New Roman" w:eastAsia="宋体" w:cs="Times New Roman"/>
                      <w:color w:val="auto"/>
                      <w:sz w:val="21"/>
                      <w:szCs w:val="21"/>
                      <w:highlight w:val="none"/>
                      <w:u w:val="none" w:color="auto"/>
                      <w:lang w:val="en-US" w:eastAsia="zh-CN"/>
                    </w:rPr>
                  </w:pPr>
                  <w:r>
                    <w:rPr>
                      <w:rFonts w:hint="eastAsia"/>
                      <w:color w:val="auto"/>
                      <w:sz w:val="21"/>
                      <w:szCs w:val="21"/>
                      <w:highlight w:val="none"/>
                      <w:u w:val="none" w:color="auto"/>
                      <w:lang w:val="en-US" w:eastAsia="zh-CN"/>
                    </w:rPr>
                    <w:t>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生态</w:t>
                  </w:r>
                </w:p>
              </w:tc>
              <w:tc>
                <w:tcPr>
                  <w:tcW w:w="3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取水口下游500米范围内有重要水生生物的自然产卵场、索饵场越冬场和洄游通道的新增河道取水的污染类建设项目</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eastAsia="zh-CN"/>
                    </w:rPr>
                    <w:t>本项目无河道取水口</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48" w:beforeLines="20" w:after="48" w:afterLines="20"/>
                    <w:jc w:val="center"/>
                    <w:rPr>
                      <w:rFonts w:hint="eastAsia" w:ascii="Times New Roman" w:hAnsi="Times New Roman" w:eastAsia="宋体" w:cs="Times New Roman"/>
                      <w:color w:val="auto"/>
                      <w:sz w:val="21"/>
                      <w:szCs w:val="21"/>
                      <w:highlight w:val="none"/>
                      <w:u w:val="none" w:color="auto"/>
                    </w:rPr>
                  </w:pPr>
                  <w:r>
                    <w:rPr>
                      <w:rFonts w:hint="eastAsia"/>
                      <w:color w:val="auto"/>
                      <w:sz w:val="21"/>
                      <w:szCs w:val="21"/>
                      <w:u w:val="none" w:color="auto"/>
                      <w:lang w:val="en-US" w:eastAsia="zh-CN"/>
                    </w:rPr>
                    <w:t>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海洋</w:t>
                  </w:r>
                </w:p>
              </w:tc>
              <w:tc>
                <w:tcPr>
                  <w:tcW w:w="3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直接</w:t>
                  </w:r>
                  <w:r>
                    <w:rPr>
                      <w:rFonts w:hint="eastAsia" w:cs="Times New Roman"/>
                      <w:color w:val="auto"/>
                      <w:sz w:val="21"/>
                      <w:szCs w:val="21"/>
                      <w:highlight w:val="none"/>
                      <w:u w:val="none" w:color="auto"/>
                      <w:lang w:eastAsia="zh-CN"/>
                    </w:rPr>
                    <w:t>向</w:t>
                  </w:r>
                  <w:r>
                    <w:rPr>
                      <w:rFonts w:hint="eastAsia" w:ascii="Times New Roman" w:hAnsi="Times New Roman" w:eastAsia="宋体" w:cs="Times New Roman"/>
                      <w:color w:val="auto"/>
                      <w:sz w:val="21"/>
                      <w:szCs w:val="21"/>
                      <w:highlight w:val="none"/>
                      <w:u w:val="none" w:color="auto"/>
                    </w:rPr>
                    <w:t>海排放污染物的海洋工程建设项目</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eastAsia="zh-CN"/>
                    </w:rPr>
                    <w:t>本项目不属于海洋工程建设项目</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48" w:beforeLines="20" w:after="48" w:afterLines="20"/>
                    <w:jc w:val="center"/>
                    <w:rPr>
                      <w:rFonts w:hint="eastAsia" w:ascii="Times New Roman" w:hAnsi="Times New Roman" w:eastAsia="宋体" w:cs="Times New Roman"/>
                      <w:color w:val="auto"/>
                      <w:sz w:val="21"/>
                      <w:szCs w:val="21"/>
                      <w:highlight w:val="none"/>
                      <w:u w:val="none" w:color="auto"/>
                    </w:rPr>
                  </w:pPr>
                  <w:r>
                    <w:rPr>
                      <w:rFonts w:hint="eastAsia"/>
                      <w:color w:val="auto"/>
                      <w:sz w:val="21"/>
                      <w:szCs w:val="21"/>
                      <w:u w:val="none" w:color="auto"/>
                      <w:lang w:val="en-US" w:eastAsia="zh-CN"/>
                    </w:rPr>
                    <w:t>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地下水</w:t>
                  </w:r>
                </w:p>
              </w:tc>
              <w:tc>
                <w:tcPr>
                  <w:tcW w:w="3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eastAsia="zh-CN"/>
                    </w:rPr>
                    <w:t>涉及</w:t>
                  </w:r>
                  <w:r>
                    <w:rPr>
                      <w:rFonts w:hint="eastAsia" w:ascii="Times New Roman" w:hAnsi="Times New Roman" w:eastAsia="宋体" w:cs="Times New Roman"/>
                      <w:color w:val="auto"/>
                      <w:sz w:val="21"/>
                      <w:szCs w:val="21"/>
                      <w:highlight w:val="none"/>
                      <w:u w:val="none" w:color="auto"/>
                    </w:rPr>
                    <w:t>集中式饮用水水源和热水、矿泉水、温泉等特殊地下水资源保护区的</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eastAsia="zh-CN"/>
                    </w:rPr>
                    <w:t>本项目不涉及</w:t>
                  </w:r>
                  <w:r>
                    <w:rPr>
                      <w:rFonts w:hint="eastAsia" w:ascii="Times New Roman" w:hAnsi="Times New Roman" w:eastAsia="宋体" w:cs="Times New Roman"/>
                      <w:color w:val="auto"/>
                      <w:sz w:val="21"/>
                      <w:szCs w:val="21"/>
                      <w:highlight w:val="none"/>
                      <w:u w:val="none" w:color="auto"/>
                    </w:rPr>
                    <w:t>集中式饮用水水源和热水、矿泉水、温泉等特殊地下水资源保护区</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48" w:beforeLines="20" w:after="48" w:afterLines="20"/>
                    <w:jc w:val="center"/>
                    <w:rPr>
                      <w:rFonts w:hint="eastAsia" w:ascii="Times New Roman" w:hAnsi="Times New Roman" w:eastAsia="宋体" w:cs="Times New Roman"/>
                      <w:color w:val="auto"/>
                      <w:sz w:val="21"/>
                      <w:szCs w:val="21"/>
                      <w:highlight w:val="none"/>
                      <w:u w:val="none" w:color="auto"/>
                    </w:rPr>
                  </w:pPr>
                  <w:r>
                    <w:rPr>
                      <w:rFonts w:hint="eastAsia"/>
                      <w:color w:val="auto"/>
                      <w:sz w:val="21"/>
                      <w:szCs w:val="21"/>
                      <w:u w:val="none" w:color="auto"/>
                      <w:lang w:val="en-US" w:eastAsia="zh-CN"/>
                    </w:rPr>
                    <w:t>不涉及</w:t>
                  </w:r>
                </w:p>
              </w:tc>
            </w:tr>
          </w:tbl>
          <w:p>
            <w:pPr>
              <w:autoSpaceDE w:val="0"/>
              <w:autoSpaceDN w:val="0"/>
              <w:adjustRightInd w:val="0"/>
              <w:snapToGrid w:val="0"/>
              <w:jc w:val="center"/>
              <w:rPr>
                <w:rFonts w:ascii="宋体" w:hAnsi="宋体" w:cs="宋体"/>
                <w:color w:val="auto"/>
                <w:kern w:val="0"/>
                <w:sz w:val="21"/>
                <w:szCs w:val="21"/>
                <w:u w:val="none" w:color="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01" w:hRule="atLeast"/>
          <w:jc w:val="center"/>
        </w:trPr>
        <w:tc>
          <w:tcPr>
            <w:tcW w:w="1404" w:type="dxa"/>
            <w:noWrap w:val="0"/>
            <w:vAlign w:val="center"/>
          </w:tcPr>
          <w:p>
            <w:pPr>
              <w:keepNext w:val="0"/>
              <w:keepLines w:val="0"/>
              <w:pageBreakBefore w:val="0"/>
              <w:widowControl w:val="0"/>
              <w:numPr>
                <w:ilvl w:val="0"/>
                <w:numId w:val="0"/>
              </w:numPr>
              <w:suppressLineNumbers w:val="0"/>
              <w:tabs>
                <w:tab w:val="left" w:pos="3705"/>
                <w:tab w:val="left" w:pos="4680"/>
              </w:tabs>
              <w:kinsoku/>
              <w:wordWrap/>
              <w:overflowPunct/>
              <w:topLinePunct w:val="0"/>
              <w:autoSpaceDE w:val="0"/>
              <w:autoSpaceDN w:val="0"/>
              <w:bidi w:val="0"/>
              <w:adjustRightInd/>
              <w:snapToGrid/>
              <w:spacing w:before="0" w:beforeAutospacing="0" w:after="0" w:afterAutospacing="0" w:line="360" w:lineRule="auto"/>
              <w:ind w:right="0" w:rightChars="0"/>
              <w:jc w:val="center"/>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rPr>
              <w:t>规划情况</w:t>
            </w:r>
          </w:p>
        </w:tc>
        <w:tc>
          <w:tcPr>
            <w:tcW w:w="7547" w:type="dxa"/>
            <w:gridSpan w:val="3"/>
            <w:noWrap w:val="0"/>
            <w:vAlign w:val="center"/>
          </w:tcPr>
          <w:p>
            <w:pPr>
              <w:keepNext w:val="0"/>
              <w:keepLines w:val="0"/>
              <w:pageBreakBefore w:val="0"/>
              <w:widowControl w:val="0"/>
              <w:numPr>
                <w:ilvl w:val="0"/>
                <w:numId w:val="0"/>
              </w:numPr>
              <w:suppressLineNumbers w:val="0"/>
              <w:tabs>
                <w:tab w:val="left" w:pos="3705"/>
                <w:tab w:val="left" w:pos="4680"/>
              </w:tabs>
              <w:kinsoku/>
              <w:wordWrap/>
              <w:overflowPunct/>
              <w:topLinePunct w:val="0"/>
              <w:autoSpaceDE w:val="0"/>
              <w:autoSpaceDN w:val="0"/>
              <w:bidi w:val="0"/>
              <w:adjustRightInd/>
              <w:snapToGrid/>
              <w:spacing w:before="0" w:beforeAutospacing="0" w:after="0" w:afterAutospacing="0" w:line="360" w:lineRule="auto"/>
              <w:ind w:right="0" w:rightChars="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《湖南省“十四五”煤炭清洁开发与利用规划》（湘发改能源规〔2022〕458号）；《岳阳港总体规划》（2017-2035年）；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021" w:hRule="atLeast"/>
          <w:jc w:val="center"/>
        </w:trPr>
        <w:tc>
          <w:tcPr>
            <w:tcW w:w="1404" w:type="dxa"/>
            <w:noWrap w:val="0"/>
            <w:vAlign w:val="center"/>
          </w:tcPr>
          <w:p>
            <w:pPr>
              <w:autoSpaceDE w:val="0"/>
              <w:autoSpaceDN w:val="0"/>
              <w:adjustRightInd w:val="0"/>
              <w:snapToGrid w:val="0"/>
              <w:jc w:val="center"/>
              <w:rPr>
                <w:rFonts w:hint="eastAsia" w:ascii="Times New Roman" w:hAnsi="Times New Roman" w:cs="Times New Roman"/>
                <w:color w:val="auto"/>
                <w:highlight w:val="none"/>
              </w:rPr>
            </w:pPr>
            <w:r>
              <w:rPr>
                <w:rFonts w:hint="eastAsia" w:ascii="宋体" w:hAnsi="宋体" w:cs="宋体"/>
                <w:color w:val="auto"/>
                <w:kern w:val="0"/>
                <w:sz w:val="21"/>
                <w:szCs w:val="21"/>
                <w:u w:val="none" w:color="auto"/>
              </w:rPr>
              <w:t>规划环境影响评价情况</w:t>
            </w:r>
          </w:p>
        </w:tc>
        <w:tc>
          <w:tcPr>
            <w:tcW w:w="7547" w:type="dxa"/>
            <w:gridSpan w:val="3"/>
            <w:noWrap w:val="0"/>
            <w:vAlign w:val="center"/>
          </w:tcPr>
          <w:p>
            <w:pPr>
              <w:keepNext w:val="0"/>
              <w:keepLines w:val="0"/>
              <w:pageBreakBefore w:val="0"/>
              <w:widowControl w:val="0"/>
              <w:numPr>
                <w:ilvl w:val="0"/>
                <w:numId w:val="0"/>
              </w:numPr>
              <w:suppressLineNumbers w:val="0"/>
              <w:tabs>
                <w:tab w:val="left" w:pos="3705"/>
                <w:tab w:val="left" w:pos="4680"/>
              </w:tabs>
              <w:kinsoku/>
              <w:wordWrap/>
              <w:overflowPunct/>
              <w:topLinePunct w:val="0"/>
              <w:autoSpaceDE w:val="0"/>
              <w:autoSpaceDN w:val="0"/>
              <w:bidi w:val="0"/>
              <w:adjustRightInd/>
              <w:snapToGrid/>
              <w:spacing w:before="0" w:beforeAutospacing="0" w:after="0" w:afterAutospacing="0" w:line="360" w:lineRule="auto"/>
              <w:ind w:right="0" w:rightChars="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规划环评文件名称：《岳阳港总体规划环境影响报告书》；</w:t>
            </w:r>
          </w:p>
          <w:p>
            <w:pPr>
              <w:keepNext w:val="0"/>
              <w:keepLines w:val="0"/>
              <w:pageBreakBefore w:val="0"/>
              <w:widowControl w:val="0"/>
              <w:numPr>
                <w:ilvl w:val="0"/>
                <w:numId w:val="0"/>
              </w:numPr>
              <w:suppressLineNumbers w:val="0"/>
              <w:tabs>
                <w:tab w:val="left" w:pos="3705"/>
                <w:tab w:val="left" w:pos="4680"/>
              </w:tabs>
              <w:kinsoku/>
              <w:wordWrap/>
              <w:overflowPunct/>
              <w:topLinePunct w:val="0"/>
              <w:autoSpaceDE w:val="0"/>
              <w:autoSpaceDN w:val="0"/>
              <w:bidi w:val="0"/>
              <w:adjustRightInd/>
              <w:snapToGrid/>
              <w:spacing w:before="0" w:beforeAutospacing="0" w:after="0" w:afterAutospacing="0" w:line="360" w:lineRule="auto"/>
              <w:ind w:right="0" w:rightChars="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审查机关：生态环境部；</w:t>
            </w:r>
          </w:p>
          <w:p>
            <w:pPr>
              <w:keepNext w:val="0"/>
              <w:keepLines w:val="0"/>
              <w:pageBreakBefore w:val="0"/>
              <w:widowControl w:val="0"/>
              <w:numPr>
                <w:ilvl w:val="0"/>
                <w:numId w:val="0"/>
              </w:numPr>
              <w:suppressLineNumbers w:val="0"/>
              <w:tabs>
                <w:tab w:val="left" w:pos="3705"/>
                <w:tab w:val="left" w:pos="4680"/>
              </w:tabs>
              <w:kinsoku/>
              <w:wordWrap/>
              <w:overflowPunct/>
              <w:topLinePunct w:val="0"/>
              <w:autoSpaceDE w:val="0"/>
              <w:autoSpaceDN w:val="0"/>
              <w:bidi w:val="0"/>
              <w:adjustRightInd/>
              <w:snapToGrid/>
              <w:spacing w:before="0" w:beforeAutospacing="0" w:after="0" w:afterAutospacing="0" w:line="360" w:lineRule="auto"/>
              <w:ind w:right="0" w:rightChars="0"/>
              <w:jc w:val="both"/>
              <w:textAlignment w:val="auto"/>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审查文号：</w:t>
            </w:r>
            <w:r>
              <w:rPr>
                <w:rFonts w:hint="eastAsia" w:ascii="Times New Roman" w:hAnsi="Times New Roman" w:cs="Times New Roman"/>
                <w:color w:val="auto"/>
                <w:highlight w:val="none"/>
              </w:rPr>
              <w:t>环审〔</w:t>
            </w:r>
            <w:r>
              <w:rPr>
                <w:rFonts w:ascii="Times New Roman" w:hAnsi="Times New Roman" w:cs="Times New Roman"/>
                <w:color w:val="auto"/>
                <w:highlight w:val="none"/>
              </w:rPr>
              <w:t>2020</w:t>
            </w:r>
            <w:r>
              <w:rPr>
                <w:rFonts w:hint="eastAsia" w:ascii="Times New Roman" w:hAnsi="Times New Roman" w:cs="Times New Roman"/>
                <w:color w:val="auto"/>
                <w:highlight w:val="none"/>
              </w:rPr>
              <w:t>〕65号</w:t>
            </w:r>
            <w:r>
              <w:rPr>
                <w:rFonts w:hint="eastAsia" w:ascii="Times New Roman" w:hAnsi="Times New Roman" w:cs="Times New Roman"/>
                <w:color w:val="auto"/>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90" w:hRule="atLeast"/>
          <w:jc w:val="center"/>
        </w:trPr>
        <w:tc>
          <w:tcPr>
            <w:tcW w:w="1404" w:type="dxa"/>
            <w:noWrap w:val="0"/>
            <w:vAlign w:val="center"/>
          </w:tcPr>
          <w:p>
            <w:pPr>
              <w:autoSpaceDE w:val="0"/>
              <w:autoSpaceDN w:val="0"/>
              <w:adjustRightInd w:val="0"/>
              <w:snapToGrid w:val="0"/>
              <w:jc w:val="center"/>
              <w:rPr>
                <w:rFonts w:hint="eastAsia" w:ascii="宋体" w:hAnsi="宋体" w:cs="宋体"/>
                <w:color w:val="auto"/>
                <w:kern w:val="0"/>
                <w:sz w:val="21"/>
                <w:szCs w:val="21"/>
                <w:u w:val="none" w:color="auto"/>
              </w:rPr>
            </w:pPr>
            <w:r>
              <w:rPr>
                <w:rFonts w:hint="eastAsia" w:ascii="宋体" w:hAnsi="宋体" w:cs="宋体"/>
                <w:color w:val="auto"/>
                <w:kern w:val="0"/>
                <w:sz w:val="21"/>
                <w:szCs w:val="21"/>
                <w:u w:val="none" w:color="auto"/>
              </w:rPr>
              <w:t>规划及规划环境</w:t>
            </w:r>
          </w:p>
          <w:p>
            <w:pPr>
              <w:autoSpaceDE w:val="0"/>
              <w:autoSpaceDN w:val="0"/>
              <w:adjustRightInd w:val="0"/>
              <w:snapToGrid w:val="0"/>
              <w:jc w:val="center"/>
              <w:rPr>
                <w:rFonts w:ascii="宋体" w:hAnsi="宋体" w:cs="宋体"/>
                <w:color w:val="0000FF"/>
                <w:kern w:val="0"/>
                <w:sz w:val="21"/>
                <w:szCs w:val="21"/>
                <w:u w:val="none" w:color="auto"/>
              </w:rPr>
            </w:pPr>
            <w:r>
              <w:rPr>
                <w:rFonts w:hint="eastAsia" w:ascii="宋体" w:hAnsi="宋体" w:cs="宋体"/>
                <w:color w:val="auto"/>
                <w:kern w:val="0"/>
                <w:sz w:val="21"/>
                <w:szCs w:val="21"/>
                <w:u w:val="none" w:color="auto"/>
              </w:rPr>
              <w:t>影响评价符合性分析</w:t>
            </w:r>
          </w:p>
        </w:tc>
        <w:tc>
          <w:tcPr>
            <w:tcW w:w="7547" w:type="dxa"/>
            <w:gridSpan w:val="3"/>
            <w:noWrap w:val="0"/>
            <w:vAlign w:val="center"/>
          </w:tcPr>
          <w:p>
            <w:pPr>
              <w:keepNext w:val="0"/>
              <w:keepLines w:val="0"/>
              <w:pageBreakBefore w:val="0"/>
              <w:widowControl w:val="0"/>
              <w:numPr>
                <w:ilvl w:val="0"/>
                <w:numId w:val="7"/>
              </w:numPr>
              <w:suppressLineNumbers w:val="0"/>
              <w:tabs>
                <w:tab w:val="left" w:pos="3705"/>
                <w:tab w:val="left" w:pos="4680"/>
              </w:tabs>
              <w:kinsoku/>
              <w:wordWrap/>
              <w:overflowPunct/>
              <w:topLinePunct w:val="0"/>
              <w:autoSpaceDE w:val="0"/>
              <w:autoSpaceDN w:val="0"/>
              <w:bidi w:val="0"/>
              <w:adjustRightInd/>
              <w:snapToGrid/>
              <w:spacing w:before="0" w:beforeAutospacing="0" w:after="0" w:afterAutospacing="0" w:line="360" w:lineRule="auto"/>
              <w:ind w:left="0" w:right="0" w:firstLine="422" w:firstLineChars="200"/>
              <w:textAlignment w:val="auto"/>
              <w:rPr>
                <w:rFonts w:hint="eastAsia" w:cs="Times New Roman"/>
                <w:b/>
                <w:bCs/>
                <w:color w:val="auto"/>
                <w:kern w:val="2"/>
                <w:sz w:val="21"/>
                <w:szCs w:val="21"/>
                <w:u w:val="none" w:color="auto"/>
                <w:lang w:val="en-US" w:eastAsia="zh-CN" w:bidi="ar-SA"/>
              </w:rPr>
            </w:pPr>
            <w:r>
              <w:rPr>
                <w:rFonts w:hint="eastAsia" w:cs="Times New Roman"/>
                <w:b/>
                <w:bCs/>
                <w:color w:val="auto"/>
                <w:kern w:val="2"/>
                <w:sz w:val="21"/>
                <w:szCs w:val="21"/>
                <w:u w:val="none" w:color="auto"/>
                <w:lang w:val="en-US" w:eastAsia="zh-CN" w:bidi="ar-SA"/>
              </w:rPr>
              <w:t>与</w:t>
            </w:r>
            <w:r>
              <w:rPr>
                <w:rFonts w:hint="eastAsia"/>
                <w:b/>
                <w:bCs/>
                <w:color w:val="auto"/>
                <w:sz w:val="21"/>
                <w:szCs w:val="21"/>
                <w:u w:val="none" w:color="auto"/>
                <w:lang w:val="en-US" w:eastAsia="zh-CN"/>
              </w:rPr>
              <w:t>《岳阳港总体规划》（2017-2035年）符合性分析</w:t>
            </w:r>
          </w:p>
          <w:p>
            <w:pPr>
              <w:keepNext w:val="0"/>
              <w:keepLines w:val="0"/>
              <w:pageBreakBefore w:val="0"/>
              <w:widowControl w:val="0"/>
              <w:numPr>
                <w:ilvl w:val="0"/>
                <w:numId w:val="0"/>
              </w:numPr>
              <w:suppressLineNumbers w:val="0"/>
              <w:tabs>
                <w:tab w:val="left" w:pos="3705"/>
                <w:tab w:val="left" w:pos="4680"/>
              </w:tabs>
              <w:kinsoku/>
              <w:wordWrap/>
              <w:overflowPunct/>
              <w:topLinePunct w:val="0"/>
              <w:autoSpaceDE w:val="0"/>
              <w:autoSpaceDN w:val="0"/>
              <w:bidi w:val="0"/>
              <w:adjustRightInd/>
              <w:snapToGrid/>
              <w:spacing w:before="0" w:beforeAutospacing="0" w:after="0" w:afterAutospacing="0" w:line="360" w:lineRule="auto"/>
              <w:ind w:right="0" w:rightChars="0" w:firstLine="420" w:firstLineChars="200"/>
              <w:jc w:val="both"/>
              <w:textAlignment w:val="auto"/>
              <w:rPr>
                <w:rFonts w:hint="eastAsia" w:cs="Times New Roman"/>
                <w:color w:val="auto"/>
                <w:highlight w:val="none"/>
              </w:rPr>
            </w:pPr>
            <w:r>
              <w:rPr>
                <w:rFonts w:cs="Times New Roman"/>
                <w:color w:val="auto"/>
                <w:highlight w:val="none"/>
              </w:rPr>
              <w:t>根据《岳阳港总体规划》（2017-2035年）</w:t>
            </w:r>
            <w:r>
              <w:rPr>
                <w:rFonts w:hint="eastAsia" w:cs="Times New Roman"/>
                <w:color w:val="auto"/>
                <w:highlight w:val="none"/>
                <w:lang w:eastAsia="zh-CN"/>
              </w:rPr>
              <w:t>，</w:t>
            </w:r>
            <w:r>
              <w:rPr>
                <w:rFonts w:hint="eastAsia" w:cs="Times New Roman"/>
                <w:color w:val="auto"/>
                <w:highlight w:val="none"/>
              </w:rPr>
              <w:t>规划岳阳港港口岸线共40250米。其中，规划长江港口岸线25050米，占自然岸线的15%，已利用10345米；湘江港口岸线10900米，已利用3200米；华容河港口岸线1500米、藕池河港口岸线1500米、汨罗江港口岸线400米、新墙河港口岸线200米、资江港口岸线500米、横岭湖港口岸线200米。全港分为城陵矶（核心港区）、华容、君山、云溪、湘阴（重要港区）、临湘、岳阳县、汨罗（一般港区）等8个港区。其中湘阴港区规划规划虞公港、港口村、岭北3个作业区，以及金港、南湖洲镇、湘滨镇货运港点和鹤龙湖镇、青山岛客运港点。规划以件杂货、干散货、集装箱运输为主，兼有旅游客运，主要为湘阴县及湘江新区经济发展和城市建设服务。</w:t>
            </w:r>
          </w:p>
          <w:p>
            <w:pPr>
              <w:keepNext w:val="0"/>
              <w:keepLines w:val="0"/>
              <w:pageBreakBefore w:val="0"/>
              <w:widowControl w:val="0"/>
              <w:numPr>
                <w:ilvl w:val="0"/>
                <w:numId w:val="0"/>
              </w:numPr>
              <w:suppressLineNumbers w:val="0"/>
              <w:tabs>
                <w:tab w:val="left" w:pos="3705"/>
                <w:tab w:val="left" w:pos="4680"/>
              </w:tabs>
              <w:kinsoku/>
              <w:wordWrap/>
              <w:overflowPunct/>
              <w:topLinePunct w:val="0"/>
              <w:autoSpaceDE w:val="0"/>
              <w:autoSpaceDN w:val="0"/>
              <w:bidi w:val="0"/>
              <w:adjustRightInd/>
              <w:snapToGrid/>
              <w:spacing w:before="0" w:beforeAutospacing="0" w:after="0" w:afterAutospacing="0" w:line="360" w:lineRule="auto"/>
              <w:ind w:right="0" w:rightChars="0" w:firstLine="420" w:firstLineChars="200"/>
              <w:jc w:val="both"/>
              <w:textAlignment w:val="auto"/>
              <w:rPr>
                <w:rFonts w:hint="eastAsia"/>
                <w:color w:val="auto"/>
                <w:sz w:val="21"/>
                <w:szCs w:val="21"/>
                <w:u w:val="none" w:color="auto"/>
                <w:lang w:val="en-US" w:eastAsia="zh-CN"/>
              </w:rPr>
            </w:pPr>
            <w:r>
              <w:rPr>
                <w:rFonts w:hint="eastAsia" w:cs="Times New Roman"/>
                <w:color w:val="auto"/>
                <w:highlight w:val="none"/>
              </w:rPr>
              <w:t>湘阴港区虞公港作业区规划岸线长度1620m，布置12个5000吨级泊位及1个支持保障性泊位。虞公港总体规划面积20 km</w:t>
            </w:r>
            <w:r>
              <w:rPr>
                <w:rFonts w:hint="eastAsia" w:cs="Times New Roman"/>
                <w:color w:val="auto"/>
                <w:highlight w:val="none"/>
                <w:vertAlign w:val="superscript"/>
              </w:rPr>
              <w:t>2</w:t>
            </w:r>
            <w:r>
              <w:rPr>
                <w:rFonts w:hint="eastAsia" w:cs="Times New Roman"/>
                <w:color w:val="auto"/>
                <w:highlight w:val="none"/>
              </w:rPr>
              <w:t>，4km</w:t>
            </w:r>
            <w:r>
              <w:rPr>
                <w:rFonts w:hint="eastAsia" w:cs="Times New Roman"/>
                <w:color w:val="auto"/>
                <w:highlight w:val="none"/>
                <w:vertAlign w:val="superscript"/>
              </w:rPr>
              <w:t>2</w:t>
            </w:r>
            <w:r>
              <w:rPr>
                <w:rFonts w:hint="eastAsia" w:cs="Times New Roman"/>
                <w:color w:val="auto"/>
                <w:highlight w:val="none"/>
              </w:rPr>
              <w:t>纳入湘江新区核心区。虞公港将着力打造成岳阳城陵矶港的延伸港、大宗散货集散中转港和服务长株潭地区的深水港。本项目位于虞公港作业区的陆域</w:t>
            </w:r>
            <w:r>
              <w:rPr>
                <w:rFonts w:hint="eastAsia" w:cs="Times New Roman"/>
                <w:color w:val="auto"/>
                <w:highlight w:val="none"/>
                <w:lang w:eastAsia="zh-CN"/>
              </w:rPr>
              <w:t>散货泊位</w:t>
            </w:r>
            <w:r>
              <w:rPr>
                <w:rFonts w:hint="eastAsia" w:cs="Times New Roman"/>
                <w:color w:val="auto"/>
                <w:highlight w:val="none"/>
              </w:rPr>
              <w:t>区</w:t>
            </w:r>
            <w:r>
              <w:rPr>
                <w:rFonts w:hint="eastAsia" w:cs="Times New Roman"/>
                <w:color w:val="auto"/>
                <w:highlight w:val="none"/>
                <w:lang w:eastAsia="zh-CN"/>
              </w:rPr>
              <w:t>（附图</w:t>
            </w:r>
            <w:r>
              <w:rPr>
                <w:rFonts w:hint="eastAsia" w:cs="Times New Roman"/>
                <w:color w:val="auto"/>
                <w:highlight w:val="none"/>
                <w:lang w:val="en-US" w:eastAsia="zh-CN"/>
              </w:rPr>
              <w:t>9</w:t>
            </w:r>
            <w:r>
              <w:rPr>
                <w:rFonts w:hint="eastAsia" w:cs="Times New Roman"/>
                <w:color w:val="auto"/>
                <w:highlight w:val="none"/>
                <w:lang w:eastAsia="zh-CN"/>
              </w:rPr>
              <w:t>）</w:t>
            </w:r>
            <w:r>
              <w:rPr>
                <w:rFonts w:hint="eastAsia" w:cs="Times New Roman"/>
                <w:color w:val="auto"/>
                <w:highlight w:val="none"/>
              </w:rPr>
              <w:t>，</w:t>
            </w:r>
            <w:r>
              <w:rPr>
                <w:rFonts w:hint="eastAsia" w:cs="Times New Roman"/>
                <w:color w:val="auto"/>
                <w:highlight w:val="none"/>
                <w:lang w:eastAsia="zh-CN"/>
              </w:rPr>
              <w:t>为中央煤炭储备项目，</w:t>
            </w:r>
            <w:r>
              <w:rPr>
                <w:rFonts w:hint="eastAsia" w:cs="Times New Roman"/>
                <w:color w:val="auto"/>
                <w:highlight w:val="none"/>
              </w:rPr>
              <w:t>符合港口总体规划。</w:t>
            </w:r>
          </w:p>
          <w:p>
            <w:pPr>
              <w:keepNext w:val="0"/>
              <w:keepLines w:val="0"/>
              <w:pageBreakBefore w:val="0"/>
              <w:widowControl w:val="0"/>
              <w:numPr>
                <w:ilvl w:val="0"/>
                <w:numId w:val="7"/>
              </w:numPr>
              <w:suppressLineNumbers w:val="0"/>
              <w:tabs>
                <w:tab w:val="left" w:pos="3705"/>
                <w:tab w:val="left" w:pos="4680"/>
              </w:tabs>
              <w:kinsoku/>
              <w:wordWrap/>
              <w:overflowPunct/>
              <w:topLinePunct w:val="0"/>
              <w:autoSpaceDE w:val="0"/>
              <w:autoSpaceDN w:val="0"/>
              <w:bidi w:val="0"/>
              <w:adjustRightInd/>
              <w:snapToGrid/>
              <w:spacing w:before="0" w:beforeAutospacing="0" w:after="0" w:afterAutospacing="0" w:line="360" w:lineRule="auto"/>
              <w:ind w:left="0" w:right="0" w:firstLine="422" w:firstLineChars="200"/>
              <w:textAlignment w:val="auto"/>
              <w:rPr>
                <w:rFonts w:hint="eastAsia" w:ascii="Times New Roman" w:hAnsi="Times New Roman" w:cs="Times New Roman"/>
                <w:b/>
                <w:bCs/>
                <w:color w:val="auto"/>
                <w:kern w:val="2"/>
                <w:sz w:val="21"/>
                <w:szCs w:val="21"/>
                <w:u w:val="none" w:color="auto"/>
                <w:lang w:val="en-US" w:bidi="ar-SA"/>
              </w:rPr>
            </w:pPr>
            <w:r>
              <w:rPr>
                <w:rFonts w:hint="eastAsia" w:ascii="Times New Roman" w:hAnsi="Times New Roman" w:cs="Times New Roman"/>
                <w:b/>
                <w:bCs/>
                <w:color w:val="auto"/>
                <w:kern w:val="2"/>
                <w:sz w:val="21"/>
                <w:szCs w:val="21"/>
                <w:u w:val="none" w:color="auto"/>
                <w:lang w:val="en-US" w:bidi="ar-SA"/>
              </w:rPr>
              <w:t>与《岳阳港总体规划环境影响报告书》</w:t>
            </w:r>
            <w:r>
              <w:rPr>
                <w:rFonts w:hint="eastAsia" w:cs="Times New Roman"/>
                <w:b/>
                <w:bCs/>
                <w:color w:val="auto"/>
                <w:kern w:val="2"/>
                <w:sz w:val="21"/>
                <w:szCs w:val="21"/>
                <w:u w:val="none" w:color="auto"/>
                <w:lang w:val="en-US" w:eastAsia="zh-CN" w:bidi="ar-SA"/>
              </w:rPr>
              <w:t>及</w:t>
            </w:r>
            <w:r>
              <w:rPr>
                <w:rFonts w:hint="eastAsia" w:ascii="Times New Roman" w:hAnsi="Times New Roman" w:cs="Times New Roman"/>
                <w:b/>
                <w:bCs/>
                <w:color w:val="auto"/>
                <w:kern w:val="2"/>
                <w:sz w:val="21"/>
                <w:szCs w:val="21"/>
                <w:u w:val="none" w:color="auto"/>
                <w:lang w:val="en-US" w:bidi="ar-SA"/>
              </w:rPr>
              <w:t>审查意见符合性分析</w:t>
            </w:r>
          </w:p>
          <w:p>
            <w:pPr>
              <w:keepNext w:val="0"/>
              <w:keepLines w:val="0"/>
              <w:pageBreakBefore w:val="0"/>
              <w:widowControl w:val="0"/>
              <w:numPr>
                <w:ilvl w:val="0"/>
                <w:numId w:val="0"/>
              </w:numPr>
              <w:suppressLineNumbers w:val="0"/>
              <w:tabs>
                <w:tab w:val="left" w:pos="3705"/>
                <w:tab w:val="left" w:pos="4680"/>
              </w:tabs>
              <w:kinsoku/>
              <w:wordWrap/>
              <w:overflowPunct/>
              <w:topLinePunct w:val="0"/>
              <w:autoSpaceDE w:val="0"/>
              <w:autoSpaceDN w:val="0"/>
              <w:bidi w:val="0"/>
              <w:adjustRightInd/>
              <w:snapToGrid/>
              <w:spacing w:before="0" w:beforeAutospacing="0" w:after="0" w:afterAutospacing="0" w:line="360" w:lineRule="auto"/>
              <w:ind w:right="0" w:rightChars="0" w:firstLine="420" w:firstLineChars="200"/>
              <w:jc w:val="both"/>
              <w:textAlignment w:val="auto"/>
              <w:rPr>
                <w:rFonts w:hint="eastAsia" w:cs="Times New Roman"/>
                <w:color w:val="auto"/>
                <w:highlight w:val="none"/>
              </w:rPr>
            </w:pPr>
            <w:r>
              <w:rPr>
                <w:rFonts w:hint="eastAsia" w:cs="Times New Roman"/>
                <w:color w:val="auto"/>
                <w:highlight w:val="none"/>
              </w:rPr>
              <w:t>2020年5月，《岳阳港总体规划环境影响报告书》通过了生态环境部评审，并取得了审查意见（环审〔2020〕65号），对照该审查意见相关要求，本项目的符合性分析见下表。</w:t>
            </w:r>
          </w:p>
          <w:p>
            <w:pPr>
              <w:pStyle w:val="109"/>
              <w:numPr>
                <w:ilvl w:val="0"/>
                <w:numId w:val="0"/>
              </w:numPr>
              <w:rPr>
                <w:highlight w:val="none"/>
              </w:rPr>
            </w:pPr>
            <w:r>
              <w:rPr>
                <w:rFonts w:hint="eastAsia"/>
                <w:highlight w:val="none"/>
              </w:rPr>
              <w:t>表</w:t>
            </w:r>
            <w:r>
              <w:rPr>
                <w:rFonts w:hint="eastAsia"/>
                <w:highlight w:val="none"/>
                <w:lang w:val="en-US" w:eastAsia="zh-CN"/>
              </w:rPr>
              <w:t>1</w:t>
            </w:r>
            <w:r>
              <w:rPr>
                <w:highlight w:val="none"/>
              </w:rPr>
              <w:t>-</w:t>
            </w:r>
            <w:r>
              <w:rPr>
                <w:rFonts w:hint="eastAsia"/>
                <w:highlight w:val="none"/>
                <w:lang w:val="en-US" w:eastAsia="zh-CN"/>
              </w:rPr>
              <w:t>2</w:t>
            </w:r>
            <w:r>
              <w:rPr>
                <w:highlight w:val="none"/>
              </w:rPr>
              <w:t>与岳阳港总体规划</w:t>
            </w:r>
            <w:r>
              <w:rPr>
                <w:rFonts w:hint="eastAsia"/>
                <w:highlight w:val="none"/>
              </w:rPr>
              <w:t>环评</w:t>
            </w:r>
            <w:r>
              <w:rPr>
                <w:highlight w:val="none"/>
              </w:rPr>
              <w:t>审查意见的符合性分析表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3369"/>
              <w:gridCol w:w="3335"/>
              <w:gridCol w:w="5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jc w:val="center"/>
              </w:trPr>
              <w:tc>
                <w:tcPr>
                  <w:tcW w:w="3369" w:type="dxa"/>
                  <w:tcBorders>
                    <w:tl2br w:val="nil"/>
                    <w:tr2bl w:val="nil"/>
                  </w:tcBorders>
                  <w:noWrap w:val="0"/>
                  <w:vAlign w:val="center"/>
                </w:tcPr>
                <w:p>
                  <w:pPr>
                    <w:pStyle w:val="5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审查意见相关要求</w:t>
                  </w:r>
                </w:p>
              </w:tc>
              <w:tc>
                <w:tcPr>
                  <w:tcW w:w="3335" w:type="dxa"/>
                  <w:tcBorders>
                    <w:tl2br w:val="nil"/>
                    <w:tr2bl w:val="nil"/>
                  </w:tcBorders>
                  <w:noWrap w:val="0"/>
                  <w:vAlign w:val="center"/>
                </w:tcPr>
                <w:p>
                  <w:pPr>
                    <w:pStyle w:val="5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本项目情况</w:t>
                  </w:r>
                </w:p>
              </w:tc>
              <w:tc>
                <w:tcPr>
                  <w:tcW w:w="597" w:type="dxa"/>
                  <w:tcBorders>
                    <w:tl2br w:val="nil"/>
                    <w:tr2bl w:val="nil"/>
                  </w:tcBorders>
                  <w:noWrap w:val="0"/>
                  <w:vAlign w:val="center"/>
                </w:tcPr>
                <w:p>
                  <w:pPr>
                    <w:pStyle w:val="5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jc w:val="center"/>
              </w:trPr>
              <w:tc>
                <w:tcPr>
                  <w:tcW w:w="3369" w:type="dxa"/>
                  <w:tcBorders>
                    <w:tl2br w:val="nil"/>
                    <w:tr2bl w:val="nil"/>
                  </w:tcBorders>
                  <w:noWrap w:val="0"/>
                  <w:vAlign w:val="center"/>
                </w:tcPr>
                <w:p>
                  <w:pPr>
                    <w:pStyle w:val="52"/>
                    <w:tabs>
                      <w:tab w:val="left" w:pos="480"/>
                    </w:tabs>
                    <w:spacing w:line="24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优化岸线布局。……湘阴港区新增虞公岸线应避让横岭湖省级自然保护区范围，不得占用自然保护区。</w:t>
                  </w:r>
                </w:p>
              </w:tc>
              <w:tc>
                <w:tcPr>
                  <w:tcW w:w="3335" w:type="dxa"/>
                  <w:tcBorders>
                    <w:tl2br w:val="nil"/>
                    <w:tr2bl w:val="nil"/>
                  </w:tcBorders>
                  <w:noWrap w:val="0"/>
                  <w:vAlign w:val="center"/>
                </w:tcPr>
                <w:p>
                  <w:pPr>
                    <w:pStyle w:val="52"/>
                    <w:tabs>
                      <w:tab w:val="left" w:pos="480"/>
                    </w:tabs>
                    <w:spacing w:line="24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eastAsia="zh-CN"/>
                    </w:rPr>
                    <w:t>离</w:t>
                  </w:r>
                  <w:r>
                    <w:rPr>
                      <w:rFonts w:hint="default" w:ascii="Times New Roman" w:hAnsi="Times New Roman" w:eastAsia="宋体" w:cs="Times New Roman"/>
                      <w:color w:val="auto"/>
                      <w:sz w:val="21"/>
                      <w:szCs w:val="21"/>
                      <w:highlight w:val="none"/>
                    </w:rPr>
                    <w:t>横岭湖省级自然保护区</w:t>
                  </w:r>
                  <w:r>
                    <w:rPr>
                      <w:rFonts w:hint="default" w:ascii="Times New Roman" w:hAnsi="Times New Roman" w:eastAsia="宋体" w:cs="Times New Roman"/>
                      <w:color w:val="auto"/>
                      <w:sz w:val="21"/>
                      <w:szCs w:val="21"/>
                      <w:highlight w:val="none"/>
                      <w:lang w:eastAsia="zh-CN"/>
                    </w:rPr>
                    <w:t>约</w:t>
                  </w:r>
                  <w:r>
                    <w:rPr>
                      <w:rFonts w:hint="eastAsia" w:ascii="Times New Roman" w:hAnsi="Times New Roman" w:eastAsia="宋体" w:cs="Times New Roman"/>
                      <w:color w:val="auto"/>
                      <w:sz w:val="21"/>
                      <w:szCs w:val="21"/>
                      <w:highlight w:val="none"/>
                      <w:lang w:val="en-US" w:eastAsia="zh-CN"/>
                    </w:rPr>
                    <w:t>330</w:t>
                  </w:r>
                  <w:r>
                    <w:rPr>
                      <w:rFonts w:hint="default" w:ascii="Times New Roman" w:hAnsi="Times New Roman" w:eastAsia="宋体" w:cs="Times New Roman"/>
                      <w:color w:val="auto"/>
                      <w:sz w:val="21"/>
                      <w:szCs w:val="21"/>
                      <w:highlight w:val="none"/>
                      <w:lang w:val="en-US" w:eastAsia="zh-CN"/>
                    </w:rPr>
                    <w:t>m，不在其保护区</w:t>
                  </w:r>
                  <w:r>
                    <w:rPr>
                      <w:rFonts w:hint="default" w:ascii="Times New Roman" w:hAnsi="Times New Roman" w:eastAsia="宋体" w:cs="Times New Roman"/>
                      <w:color w:val="auto"/>
                      <w:sz w:val="21"/>
                      <w:szCs w:val="21"/>
                      <w:highlight w:val="none"/>
                    </w:rPr>
                    <w:t>范围内。</w:t>
                  </w:r>
                </w:p>
              </w:tc>
              <w:tc>
                <w:tcPr>
                  <w:tcW w:w="597" w:type="dxa"/>
                  <w:tcBorders>
                    <w:tl2br w:val="nil"/>
                    <w:tr2bl w:val="nil"/>
                  </w:tcBorders>
                  <w:noWrap w:val="0"/>
                  <w:vAlign w:val="center"/>
                </w:tcPr>
                <w:p>
                  <w:pPr>
                    <w:pStyle w:val="5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jc w:val="center"/>
              </w:trPr>
              <w:tc>
                <w:tcPr>
                  <w:tcW w:w="3369" w:type="dxa"/>
                  <w:tcBorders>
                    <w:tl2br w:val="nil"/>
                    <w:tr2bl w:val="nil"/>
                  </w:tcBorders>
                  <w:noWrap w:val="0"/>
                  <w:vAlign w:val="center"/>
                </w:tcPr>
                <w:p>
                  <w:pPr>
                    <w:pStyle w:val="52"/>
                    <w:tabs>
                      <w:tab w:val="left" w:pos="480"/>
                    </w:tabs>
                    <w:spacing w:line="24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环境风险防范。落实环境风险防范的主体责任，强化环境风险防范体系建设，建设与各港区环境风险相匹配的应急能力，制定环境污染事故应急预案，严格执行应急报告制度。各港区应配备充足的环境风险防范物资和设备，明确责任主体，加大船舶航行安全保障和风险防范力度，健全与区域、流域的应急联动机制。</w:t>
                  </w:r>
                </w:p>
              </w:tc>
              <w:tc>
                <w:tcPr>
                  <w:tcW w:w="3335" w:type="dxa"/>
                  <w:tcBorders>
                    <w:tl2br w:val="nil"/>
                    <w:tr2bl w:val="nil"/>
                  </w:tcBorders>
                  <w:noWrap w:val="0"/>
                  <w:vAlign w:val="center"/>
                </w:tcPr>
                <w:p>
                  <w:pPr>
                    <w:pStyle w:val="52"/>
                    <w:tabs>
                      <w:tab w:val="left" w:pos="480"/>
                    </w:tabs>
                    <w:spacing w:line="24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w:t>
                  </w:r>
                  <w:r>
                    <w:rPr>
                      <w:rFonts w:hint="eastAsia" w:ascii="Times New Roman" w:hAnsi="Times New Roman" w:eastAsia="宋体" w:cs="Times New Roman"/>
                      <w:color w:val="auto"/>
                      <w:sz w:val="21"/>
                      <w:szCs w:val="21"/>
                      <w:highlight w:val="none"/>
                      <w:lang w:eastAsia="zh-CN"/>
                    </w:rPr>
                    <w:t>评价要求建设单位根据相关要求</w:t>
                  </w:r>
                  <w:r>
                    <w:rPr>
                      <w:rFonts w:hint="eastAsia" w:ascii="Times New Roman" w:hAnsi="Times New Roman" w:cs="Times New Roman"/>
                      <w:color w:val="auto"/>
                      <w:sz w:val="21"/>
                      <w:szCs w:val="21"/>
                      <w:highlight w:val="none"/>
                      <w:lang w:eastAsia="zh-CN"/>
                    </w:rPr>
                    <w:t>制定</w:t>
                  </w:r>
                  <w:r>
                    <w:rPr>
                      <w:rFonts w:hint="eastAsia" w:ascii="Times New Roman" w:hAnsi="Times New Roman" w:eastAsia="宋体" w:cs="Times New Roman"/>
                      <w:color w:val="auto"/>
                      <w:sz w:val="21"/>
                      <w:szCs w:val="21"/>
                      <w:highlight w:val="none"/>
                      <w:lang w:eastAsia="zh-CN"/>
                    </w:rPr>
                    <w:t>环境风险应急预案，配备相应防护物资。</w:t>
                  </w:r>
                </w:p>
              </w:tc>
              <w:tc>
                <w:tcPr>
                  <w:tcW w:w="597" w:type="dxa"/>
                  <w:tcBorders>
                    <w:tl2br w:val="nil"/>
                    <w:tr2bl w:val="nil"/>
                  </w:tcBorders>
                  <w:noWrap w:val="0"/>
                  <w:vAlign w:val="center"/>
                </w:tcPr>
                <w:p>
                  <w:pPr>
                    <w:pStyle w:val="5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jc w:val="center"/>
              </w:trPr>
              <w:tc>
                <w:tcPr>
                  <w:tcW w:w="3369" w:type="dxa"/>
                  <w:tcBorders>
                    <w:tl2br w:val="nil"/>
                    <w:tr2bl w:val="nil"/>
                  </w:tcBorders>
                  <w:noWrap w:val="0"/>
                  <w:vAlign w:val="center"/>
                </w:tcPr>
                <w:p>
                  <w:pPr>
                    <w:pStyle w:val="52"/>
                    <w:tabs>
                      <w:tab w:val="left" w:pos="480"/>
                    </w:tabs>
                    <w:spacing w:line="24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强化并落实污染防治措施。优先解决现有港口、锚地等生态环境问题。优化污水收集处理方案，落实船舶油污水、洗舱水等船舶污染物接收、转运及处置措施，并加强全过程监管，确保船舶污染物得到充分有效处置。针对城市基础设施未完全覆盖的港区，应采取有效可行的污水、固体废物污染防治措施，依法依规妥善处置危险废物。严格控制船舶大气污染物排放，码头建设应同步配套岸电设施，优化设计绿色、低碳的集疏运体系。干散货装卸、储运应优先采取封闭措施防治扬尘污染，油品及液体化学品码头及其罐区应采取措施控制无组织排放，切实防治大气污染。</w:t>
                  </w:r>
                </w:p>
              </w:tc>
              <w:tc>
                <w:tcPr>
                  <w:tcW w:w="3335" w:type="dxa"/>
                  <w:tcBorders>
                    <w:tl2br w:val="nil"/>
                    <w:tr2bl w:val="nil"/>
                  </w:tcBorders>
                  <w:noWrap w:val="0"/>
                  <w:vAlign w:val="center"/>
                </w:tcPr>
                <w:p>
                  <w:pPr>
                    <w:pStyle w:val="52"/>
                    <w:tabs>
                      <w:tab w:val="left" w:pos="480"/>
                    </w:tabs>
                    <w:spacing w:line="24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1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eastAsia="zh-CN"/>
                    </w:rPr>
                    <w:t>本项目储煤场全封闭，储煤棚采用固定式远程射雾器抑尘；带式输送机采用全封闭式，煤炭运输转载点全封闭式，装载点采用干雾除尘装置降尘；②</w:t>
                  </w:r>
                  <w:r>
                    <w:rPr>
                      <w:rFonts w:hint="eastAsia" w:cs="Times New Roman"/>
                      <w:bCs/>
                      <w:color w:val="auto"/>
                      <w:sz w:val="21"/>
                      <w:szCs w:val="21"/>
                      <w:highlight w:val="none"/>
                      <w:u w:val="none" w:color="auto"/>
                      <w:lang w:val="en-US" w:eastAsia="zh-CN" w:bidi="ar"/>
                    </w:rPr>
                    <w:t>地面冲洗废水经集水坑收集经泵提升至虞公港生产废水处理站处理后，全部回用于厂区喷洒降尘、绿化，不外排。初期雨水经雨水沟收集进入初期雨水沉淀池沉淀，沉淀处理后经泵提升至虞公港生产废水处理站处理后，全部回用于厂区喷洒降尘、绿化等，不外排。</w:t>
                  </w:r>
                  <w:r>
                    <w:rPr>
                      <w:rFonts w:hint="eastAsia" w:cs="Times New Roman"/>
                      <w:color w:val="auto"/>
                      <w:kern w:val="0"/>
                      <w:sz w:val="21"/>
                      <w:szCs w:val="21"/>
                      <w:u w:val="none" w:color="auto"/>
                      <w:lang w:val="en-US" w:eastAsia="zh-CN" w:bidi="ar"/>
                    </w:rPr>
                    <w:t>生活污水经自建一体化生活污水处理站处理后回用于厂区绿化，不外排。③生产废水处理站煤泥脱水后进入煤棚，掺入原煤外售；生活垃圾交由环卫部门处理；机电设备维修产生废润滑油、含油抹布、手套等，依托虞公港危废暂存间储存，交由资质单位进行处理。</w:t>
                  </w:r>
                </w:p>
              </w:tc>
              <w:tc>
                <w:tcPr>
                  <w:tcW w:w="597" w:type="dxa"/>
                  <w:tcBorders>
                    <w:tl2br w:val="nil"/>
                    <w:tr2bl w:val="nil"/>
                  </w:tcBorders>
                  <w:noWrap w:val="0"/>
                  <w:vAlign w:val="center"/>
                </w:tcPr>
                <w:p>
                  <w:pPr>
                    <w:pStyle w:val="5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jc w:val="center"/>
              </w:trPr>
              <w:tc>
                <w:tcPr>
                  <w:tcW w:w="3369" w:type="dxa"/>
                  <w:tcBorders>
                    <w:tl2br w:val="nil"/>
                    <w:tr2bl w:val="nil"/>
                  </w:tcBorders>
                  <w:noWrap w:val="0"/>
                  <w:vAlign w:val="center"/>
                </w:tcPr>
                <w:p>
                  <w:pPr>
                    <w:pStyle w:val="52"/>
                    <w:tabs>
                      <w:tab w:val="left" w:pos="480"/>
                    </w:tabs>
                    <w:spacing w:line="24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生态保护和修复。优化《规划》涉及水域船舶吨位、船舶密度、锚地靠泊等通航管理对策措施，加强对江湖连通水域江豚及鱼类的洄游通道、江湖符合生态系统等的保护。根据相关研究成果和进展，将早期鱼类资源集中水域、江豚等保护动物密集分布等纳入优先保护河段，尽量避免占用。港口建设与运营应选用对生态影响较小的结构、材料、装卸工艺和储运方式，并采取严格的水生生物保护措施，加强对湿地和鸟类的保护，实施生态补偿和修复，减缓不良影响。</w:t>
                  </w:r>
                </w:p>
              </w:tc>
              <w:tc>
                <w:tcPr>
                  <w:tcW w:w="3335" w:type="dxa"/>
                  <w:tcBorders>
                    <w:tl2br w:val="nil"/>
                    <w:tr2bl w:val="nil"/>
                  </w:tcBorders>
                  <w:noWrap w:val="0"/>
                  <w:vAlign w:val="center"/>
                </w:tcPr>
                <w:p>
                  <w:pPr>
                    <w:pStyle w:val="52"/>
                    <w:tabs>
                      <w:tab w:val="left" w:pos="480"/>
                    </w:tabs>
                    <w:spacing w:line="240" w:lineRule="auto"/>
                    <w:ind w:firstLine="0" w:firstLineChars="0"/>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eastAsia="zh-CN"/>
                    </w:rPr>
                    <w:t>在虞公港作业区的陆域散货泊位</w:t>
                  </w:r>
                  <w:r>
                    <w:rPr>
                      <w:rFonts w:hint="eastAsia" w:ascii="Times New Roman" w:hAnsi="Times New Roman" w:eastAsia="宋体" w:cs="Times New Roman"/>
                      <w:color w:val="auto"/>
                      <w:sz w:val="21"/>
                      <w:szCs w:val="21"/>
                      <w:highlight w:val="none"/>
                    </w:rPr>
                    <w:t>区</w:t>
                  </w:r>
                  <w:r>
                    <w:rPr>
                      <w:rFonts w:hint="eastAsia" w:ascii="Times New Roman" w:hAnsi="Times New Roman" w:eastAsia="宋体" w:cs="Times New Roman"/>
                      <w:color w:val="auto"/>
                      <w:sz w:val="21"/>
                      <w:szCs w:val="21"/>
                      <w:highlight w:val="none"/>
                      <w:lang w:eastAsia="zh-CN"/>
                    </w:rPr>
                    <w:t>，不涉及水域工程建设内容。</w:t>
                  </w:r>
                </w:p>
              </w:tc>
              <w:tc>
                <w:tcPr>
                  <w:tcW w:w="597" w:type="dxa"/>
                  <w:tcBorders>
                    <w:tl2br w:val="nil"/>
                    <w:tr2bl w:val="nil"/>
                  </w:tcBorders>
                  <w:noWrap w:val="0"/>
                  <w:vAlign w:val="center"/>
                </w:tcPr>
                <w:p>
                  <w:pPr>
                    <w:pStyle w:val="5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jc w:val="center"/>
              </w:trPr>
              <w:tc>
                <w:tcPr>
                  <w:tcW w:w="3369" w:type="dxa"/>
                  <w:tcBorders>
                    <w:tl2br w:val="nil"/>
                    <w:tr2bl w:val="nil"/>
                  </w:tcBorders>
                  <w:noWrap w:val="0"/>
                  <w:vAlign w:val="center"/>
                </w:tcPr>
                <w:p>
                  <w:pPr>
                    <w:pStyle w:val="52"/>
                    <w:tabs>
                      <w:tab w:val="left" w:pos="480"/>
                    </w:tabs>
                    <w:spacing w:line="24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建立健全生态环境长期监测体系。建立常态化大气、水、生态、渔业资源等监测体系，根据区域、流域生态环境质量变化情况，及时优化港区建设和运营管理方案，完善相应生态保护措施。</w:t>
                  </w:r>
                </w:p>
              </w:tc>
              <w:tc>
                <w:tcPr>
                  <w:tcW w:w="3335" w:type="dxa"/>
                  <w:tcBorders>
                    <w:tl2br w:val="nil"/>
                    <w:tr2bl w:val="nil"/>
                  </w:tcBorders>
                  <w:noWrap w:val="0"/>
                  <w:vAlign w:val="center"/>
                </w:tcPr>
                <w:p>
                  <w:pPr>
                    <w:pStyle w:val="52"/>
                    <w:tabs>
                      <w:tab w:val="left" w:pos="480"/>
                    </w:tabs>
                    <w:spacing w:line="24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项目制定了大气、</w:t>
                  </w:r>
                  <w:r>
                    <w:rPr>
                      <w:rFonts w:hint="eastAsia" w:ascii="Times New Roman" w:hAnsi="Times New Roman" w:eastAsia="宋体" w:cs="Times New Roman"/>
                      <w:color w:val="auto"/>
                      <w:sz w:val="21"/>
                      <w:szCs w:val="21"/>
                      <w:highlight w:val="none"/>
                      <w:lang w:eastAsia="zh-CN"/>
                    </w:rPr>
                    <w:t>噪声</w:t>
                  </w:r>
                  <w:r>
                    <w:rPr>
                      <w:rFonts w:hint="default" w:ascii="Times New Roman" w:hAnsi="Times New Roman" w:eastAsia="宋体" w:cs="Times New Roman"/>
                      <w:color w:val="auto"/>
                      <w:sz w:val="21"/>
                      <w:szCs w:val="21"/>
                      <w:highlight w:val="none"/>
                    </w:rPr>
                    <w:t>等环境监测计划，为完善相应生态保护措施提供数据支撑。</w:t>
                  </w:r>
                </w:p>
              </w:tc>
              <w:tc>
                <w:tcPr>
                  <w:tcW w:w="597" w:type="dxa"/>
                  <w:tcBorders>
                    <w:tl2br w:val="nil"/>
                    <w:tr2bl w:val="nil"/>
                  </w:tcBorders>
                  <w:noWrap w:val="0"/>
                  <w:vAlign w:val="center"/>
                </w:tcPr>
                <w:p>
                  <w:pPr>
                    <w:pStyle w:val="5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keepNext w:val="0"/>
              <w:keepLines w:val="0"/>
              <w:suppressLineNumbers w:val="0"/>
              <w:tabs>
                <w:tab w:val="left" w:pos="3705"/>
                <w:tab w:val="left" w:pos="4680"/>
              </w:tabs>
              <w:spacing w:before="0" w:beforeAutospacing="0" w:after="0" w:afterAutospacing="0" w:line="360" w:lineRule="auto"/>
              <w:ind w:left="0" w:right="0" w:firstLine="420" w:firstLineChars="200"/>
              <w:rPr>
                <w:rFonts w:hint="eastAsia"/>
                <w:highlight w:val="none"/>
                <w:lang w:eastAsia="zh-CN"/>
              </w:rPr>
            </w:pPr>
            <w:r>
              <w:rPr>
                <w:szCs w:val="21"/>
                <w:highlight w:val="none"/>
              </w:rPr>
              <w:t>经上述分析，</w:t>
            </w:r>
            <w:r>
              <w:rPr>
                <w:rFonts w:hint="eastAsia"/>
                <w:szCs w:val="21"/>
                <w:highlight w:val="none"/>
              </w:rPr>
              <w:t>本</w:t>
            </w:r>
            <w:r>
              <w:rPr>
                <w:rFonts w:hint="eastAsia"/>
                <w:highlight w:val="none"/>
              </w:rPr>
              <w:t>项目</w:t>
            </w:r>
            <w:r>
              <w:rPr>
                <w:rFonts w:hint="eastAsia"/>
                <w:szCs w:val="21"/>
                <w:highlight w:val="none"/>
              </w:rPr>
              <w:t>符合</w:t>
            </w:r>
            <w:r>
              <w:rPr>
                <w:highlight w:val="none"/>
              </w:rPr>
              <w:t>《岳阳港总体规划环境影响报告书》</w:t>
            </w:r>
            <w:r>
              <w:rPr>
                <w:rFonts w:hint="eastAsia"/>
                <w:highlight w:val="none"/>
              </w:rPr>
              <w:t>及审查意见要求</w:t>
            </w:r>
            <w:r>
              <w:rPr>
                <w:rFonts w:hint="eastAsia"/>
                <w:highlight w:val="none"/>
                <w:lang w:eastAsia="zh-CN"/>
              </w:rPr>
              <w:t>。</w:t>
            </w:r>
          </w:p>
          <w:p>
            <w:pPr>
              <w:keepNext w:val="0"/>
              <w:keepLines w:val="0"/>
              <w:suppressLineNumbers w:val="0"/>
              <w:tabs>
                <w:tab w:val="left" w:pos="3705"/>
                <w:tab w:val="left" w:pos="4680"/>
              </w:tabs>
              <w:spacing w:before="0" w:beforeAutospacing="0" w:after="0" w:afterAutospacing="0" w:line="360" w:lineRule="auto"/>
              <w:ind w:left="0" w:right="0" w:firstLine="422" w:firstLineChars="200"/>
              <w:rPr>
                <w:rFonts w:hint="eastAsia" w:cs="Times New Roman"/>
                <w:color w:val="auto"/>
                <w:kern w:val="2"/>
                <w:sz w:val="21"/>
                <w:szCs w:val="21"/>
                <w:u w:val="none" w:color="auto"/>
                <w:lang w:val="en-US" w:eastAsia="zh-CN" w:bidi="ar-SA"/>
              </w:rPr>
            </w:pPr>
            <w:r>
              <w:rPr>
                <w:rFonts w:hint="eastAsia" w:cs="Times New Roman"/>
                <w:b/>
                <w:bCs/>
                <w:color w:val="auto"/>
                <w:kern w:val="2"/>
                <w:sz w:val="21"/>
                <w:szCs w:val="21"/>
                <w:u w:val="none" w:color="auto"/>
                <w:lang w:val="en-US" w:eastAsia="zh-CN" w:bidi="ar-SA"/>
              </w:rPr>
              <w:t>3、与《湖南省“十四五”煤炭清洁开发与利用规划》（湘发改能源规〔2022〕458号）</w:t>
            </w:r>
            <w:r>
              <w:rPr>
                <w:rFonts w:hint="eastAsia"/>
                <w:b/>
                <w:bCs/>
                <w:color w:val="auto"/>
                <w:sz w:val="21"/>
                <w:szCs w:val="21"/>
                <w:u w:val="none" w:color="auto"/>
                <w:lang w:val="en-US" w:eastAsia="zh-CN"/>
              </w:rPr>
              <w:t>符合性分析</w:t>
            </w:r>
          </w:p>
          <w:p>
            <w:pPr>
              <w:keepNext w:val="0"/>
              <w:keepLines w:val="0"/>
              <w:pageBreakBefore w:val="0"/>
              <w:widowControl w:val="0"/>
              <w:numPr>
                <w:ilvl w:val="0"/>
                <w:numId w:val="0"/>
              </w:numPr>
              <w:suppressLineNumbers w:val="0"/>
              <w:tabs>
                <w:tab w:val="left" w:pos="3705"/>
                <w:tab w:val="left" w:pos="4680"/>
              </w:tabs>
              <w:kinsoku/>
              <w:wordWrap/>
              <w:overflowPunct/>
              <w:topLinePunct w:val="0"/>
              <w:autoSpaceDE w:val="0"/>
              <w:autoSpaceDN w:val="0"/>
              <w:bidi w:val="0"/>
              <w:adjustRightInd/>
              <w:snapToGrid/>
              <w:spacing w:before="0" w:beforeAutospacing="0" w:after="0" w:afterAutospacing="0" w:line="360" w:lineRule="auto"/>
              <w:ind w:right="0" w:rightChars="0" w:firstLine="420" w:firstLineChars="200"/>
              <w:textAlignment w:val="auto"/>
              <w:rPr>
                <w:rFonts w:hint="eastAsia" w:ascii="Times New Roman" w:hAnsi="Times New Roman" w:eastAsia="宋体" w:cs="Times New Roman"/>
                <w:highlight w:val="none"/>
                <w:lang w:val="en-US" w:eastAsia="zh-CN"/>
              </w:rPr>
            </w:pPr>
            <w:r>
              <w:rPr>
                <w:rFonts w:hint="eastAsia"/>
                <w:highlight w:val="none"/>
              </w:rPr>
              <w:t>202</w:t>
            </w:r>
            <w:r>
              <w:rPr>
                <w:rFonts w:hint="eastAsia"/>
                <w:highlight w:val="none"/>
                <w:lang w:val="en-US" w:eastAsia="zh-CN"/>
              </w:rPr>
              <w:t>2</w:t>
            </w:r>
            <w:r>
              <w:rPr>
                <w:rFonts w:hint="eastAsia"/>
                <w:highlight w:val="none"/>
              </w:rPr>
              <w:t>年</w:t>
            </w:r>
            <w:r>
              <w:rPr>
                <w:rFonts w:hint="eastAsia"/>
                <w:highlight w:val="none"/>
                <w:lang w:val="en-US" w:eastAsia="zh-CN"/>
              </w:rPr>
              <w:t>6</w:t>
            </w:r>
            <w:r>
              <w:rPr>
                <w:rFonts w:hint="eastAsia"/>
                <w:highlight w:val="none"/>
              </w:rPr>
              <w:t>月</w:t>
            </w:r>
            <w:r>
              <w:rPr>
                <w:rFonts w:hint="eastAsia"/>
                <w:highlight w:val="none"/>
                <w:lang w:val="en-US" w:eastAsia="zh-CN"/>
              </w:rPr>
              <w:t>13日湖南省发展和改革委员会印发《湖南省“十四五”煤炭清洁开发与利用规划》，提出“存在的突出问题”：煤炭储销体系建设滞后。大型储备基地尚未建成，铁路接卸、储备能力不足。储配场地的运输能力和翻装能力较小，自动化水平较低。海进江煤因岳阳港区中转作业能力不足，以及湘、资、沅等沿线专业</w:t>
            </w:r>
            <w:r>
              <w:rPr>
                <w:rFonts w:hint="eastAsia" w:ascii="Times New Roman" w:hAnsi="Times New Roman" w:eastAsia="宋体" w:cs="Times New Roman"/>
                <w:highlight w:val="none"/>
                <w:lang w:val="en-US" w:eastAsia="zh-CN"/>
              </w:rPr>
              <w:t>煤炭港口较少，致使煤炭应急供应能力不强。</w:t>
            </w:r>
          </w:p>
          <w:p>
            <w:pPr>
              <w:keepNext w:val="0"/>
              <w:keepLines w:val="0"/>
              <w:pageBreakBefore w:val="0"/>
              <w:widowControl w:val="0"/>
              <w:numPr>
                <w:ilvl w:val="0"/>
                <w:numId w:val="0"/>
              </w:numPr>
              <w:suppressLineNumbers w:val="0"/>
              <w:tabs>
                <w:tab w:val="left" w:pos="3705"/>
                <w:tab w:val="left" w:pos="4680"/>
              </w:tabs>
              <w:kinsoku/>
              <w:wordWrap/>
              <w:overflowPunct/>
              <w:topLinePunct w:val="0"/>
              <w:autoSpaceDE w:val="0"/>
              <w:autoSpaceDN w:val="0"/>
              <w:bidi w:val="0"/>
              <w:adjustRightInd/>
              <w:snapToGrid/>
              <w:spacing w:before="0" w:beforeAutospacing="0" w:after="0" w:afterAutospacing="0" w:line="360" w:lineRule="auto"/>
              <w:ind w:right="0" w:rightChars="0" w:firstLine="420" w:firstLineChars="200"/>
              <w:textAlignment w:val="auto"/>
              <w:rPr>
                <w:rFonts w:hint="eastAsia" w:ascii="Times New Roman" w:hAnsi="Times New Roman" w:eastAsia="宋体" w:cs="Times New Roman"/>
                <w:highlight w:val="none"/>
              </w:rPr>
            </w:pPr>
            <w:r>
              <w:rPr>
                <w:rFonts w:hint="eastAsia" w:ascii="Times New Roman" w:hAnsi="Times New Roman" w:eastAsia="宋体" w:cs="Times New Roman"/>
                <w:highlight w:val="none"/>
                <w:lang w:val="en-US" w:eastAsia="zh-CN"/>
              </w:rPr>
              <w:t>“重点任务”中（一）优化产供储销布局。优化调入为主、生产为辅的保障体系，构建“434”产供储销格局。巩固提升娄底、衡阳、株洲、郴州等四处煤炭生产基地。打通煤炭运输通道，充分发挥岳阳的区位交通优势，建设省级多式联运的煤炭疏运储备中心，布局岳阳、华容、华能三处煤炭铁水联运储备基地。布局建设湘北、湘中、湘南、长株潭等四个区域煤炭应急储备基地。严格落实最低煤炭库存制度，动态调整煤炭储备规模。</w:t>
            </w:r>
            <w:bookmarkStart w:id="4" w:name="_Toc1054651998"/>
            <w:r>
              <w:rPr>
                <w:rFonts w:hint="eastAsia" w:ascii="Times New Roman" w:hAnsi="Times New Roman" w:eastAsia="宋体" w:cs="Times New Roman"/>
                <w:highlight w:val="none"/>
              </w:rPr>
              <w:t>（三）提升煤炭保供能力</w:t>
            </w:r>
            <w:bookmarkEnd w:id="4"/>
            <w:r>
              <w:rPr>
                <w:rFonts w:hint="eastAsia" w:ascii="Times New Roman" w:hAnsi="Times New Roman" w:eastAsia="宋体" w:cs="Times New Roman"/>
                <w:highlight w:val="none"/>
                <w:lang w:eastAsia="zh-CN"/>
              </w:rPr>
              <w:t>。</w:t>
            </w:r>
            <w:bookmarkStart w:id="5" w:name="_Toc898"/>
            <w:r>
              <w:rPr>
                <w:rFonts w:hint="eastAsia" w:ascii="Times New Roman" w:hAnsi="Times New Roman" w:eastAsia="宋体" w:cs="Times New Roman"/>
                <w:highlight w:val="none"/>
              </w:rPr>
              <w:t>加强煤炭应急储备设施建设</w:t>
            </w:r>
            <w:bookmarkEnd w:id="5"/>
            <w:r>
              <w:rPr>
                <w:rFonts w:hint="eastAsia" w:ascii="Times New Roman" w:hAnsi="Times New Roman" w:eastAsia="宋体" w:cs="Times New Roman"/>
                <w:highlight w:val="none"/>
              </w:rPr>
              <w:t>。加快建成“三码头、四基地”，提升我省煤炭应急储备能力。积极推进岳阳、华容、华能煤炭铁水联运储备基地建设，加快永耒、娄底、新化和桃江等煤炭储备基地建设，承担区域性的战略储备和应急调剂；鼓励省内统调电厂和大型冶金、建材、化工企业利用其已有场地设施等有利条件，推进多式联运型和干支衔接型应急储配基地建设。全省形成400万吨以上的政府可调度煤炭储备规模。</w:t>
            </w:r>
          </w:p>
          <w:p>
            <w:pPr>
              <w:keepNext w:val="0"/>
              <w:keepLines w:val="0"/>
              <w:pageBreakBefore w:val="0"/>
              <w:widowControl w:val="0"/>
              <w:numPr>
                <w:ilvl w:val="0"/>
                <w:numId w:val="0"/>
              </w:numPr>
              <w:suppressLineNumbers w:val="0"/>
              <w:tabs>
                <w:tab w:val="left" w:pos="3705"/>
                <w:tab w:val="left" w:pos="4680"/>
              </w:tabs>
              <w:kinsoku/>
              <w:wordWrap/>
              <w:overflowPunct/>
              <w:topLinePunct w:val="0"/>
              <w:autoSpaceDE w:val="0"/>
              <w:autoSpaceDN w:val="0"/>
              <w:bidi w:val="0"/>
              <w:adjustRightInd/>
              <w:snapToGrid/>
              <w:spacing w:before="0" w:beforeAutospacing="0" w:after="0" w:afterAutospacing="0" w:line="360" w:lineRule="auto"/>
              <w:ind w:right="0" w:rightChars="0" w:firstLine="420" w:firstLineChars="200"/>
              <w:textAlignment w:val="auto"/>
              <w:rPr>
                <w:rFonts w:ascii="宋体" w:hAnsi="宋体" w:cs="宋体"/>
                <w:color w:val="0000FF"/>
                <w:kern w:val="0"/>
                <w:sz w:val="21"/>
                <w:szCs w:val="21"/>
                <w:u w:val="none" w:color="auto"/>
              </w:rPr>
            </w:pPr>
            <w:r>
              <w:rPr>
                <w:rFonts w:hint="eastAsia"/>
                <w:highlight w:val="none"/>
              </w:rPr>
              <w:t>本项目</w:t>
            </w:r>
            <w:r>
              <w:rPr>
                <w:rFonts w:hint="eastAsia"/>
                <w:highlight w:val="none"/>
                <w:lang w:eastAsia="zh-CN"/>
              </w:rPr>
              <w:t>的</w:t>
            </w:r>
            <w:r>
              <w:rPr>
                <w:rFonts w:hint="eastAsia"/>
                <w:highlight w:val="none"/>
              </w:rPr>
              <w:t>建设</w:t>
            </w:r>
            <w:r>
              <w:rPr>
                <w:rFonts w:hint="eastAsia"/>
                <w:highlight w:val="none"/>
                <w:lang w:eastAsia="zh-CN"/>
              </w:rPr>
              <w:t>是根据湖南省政府关于建设煤炭应急储备基地的总体部署，按照相关规划建设的，属于岳阳煤炭铁水联运储备基地，承担着煤炭储备和中转调剂功能，能大大提升煤炭储存、</w:t>
            </w:r>
            <w:r>
              <w:rPr>
                <w:rFonts w:hint="eastAsia"/>
                <w:highlight w:val="none"/>
              </w:rPr>
              <w:t>卸运能力，</w:t>
            </w:r>
            <w:r>
              <w:rPr>
                <w:rFonts w:hint="eastAsia"/>
                <w:highlight w:val="none"/>
                <w:lang w:eastAsia="zh-CN"/>
              </w:rPr>
              <w:t>提升煤炭保供能力，有效保障地区煤炭应急供应。因此本项目的建设</w:t>
            </w:r>
            <w:r>
              <w:rPr>
                <w:rFonts w:hint="eastAsia"/>
                <w:highlight w:val="none"/>
              </w:rPr>
              <w:t>符合《湖南省“十四五”煤炭清洁开发与利用规划》（湘发改能源规〔2022〕</w:t>
            </w:r>
            <w:r>
              <w:rPr>
                <w:rFonts w:hint="eastAsia"/>
                <w:highlight w:val="none"/>
                <w:lang w:eastAsia="zh-CN"/>
              </w:rPr>
              <w:t>要求</w:t>
            </w:r>
            <w:r>
              <w:rPr>
                <w:rFonts w:hint="eastAsia"/>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021" w:hRule="atLeast"/>
          <w:jc w:val="center"/>
        </w:trPr>
        <w:tc>
          <w:tcPr>
            <w:tcW w:w="1404" w:type="dxa"/>
            <w:noWrap w:val="0"/>
            <w:vAlign w:val="center"/>
          </w:tcPr>
          <w:p>
            <w:pPr>
              <w:autoSpaceDE w:val="0"/>
              <w:autoSpaceDN w:val="0"/>
              <w:adjustRightInd w:val="0"/>
              <w:snapToGrid w:val="0"/>
              <w:jc w:val="center"/>
              <w:rPr>
                <w:rFonts w:hint="eastAsia" w:ascii="宋体" w:hAnsi="宋体" w:cs="宋体"/>
                <w:color w:val="0000FF"/>
                <w:kern w:val="0"/>
                <w:sz w:val="21"/>
                <w:szCs w:val="21"/>
                <w:u w:val="none" w:color="auto"/>
              </w:rPr>
            </w:pPr>
            <w:r>
              <w:rPr>
                <w:rFonts w:hint="eastAsia" w:ascii="宋体" w:hAnsi="宋体" w:cs="宋体"/>
                <w:color w:val="auto"/>
                <w:kern w:val="0"/>
                <w:sz w:val="21"/>
                <w:szCs w:val="21"/>
                <w:u w:val="none" w:color="auto"/>
              </w:rPr>
              <w:t>其他符合性分析</w:t>
            </w:r>
          </w:p>
        </w:tc>
        <w:tc>
          <w:tcPr>
            <w:tcW w:w="7547" w:type="dxa"/>
            <w:gridSpan w:val="3"/>
            <w:noWrap w:val="0"/>
            <w:vAlign w:val="center"/>
          </w:tcPr>
          <w:p>
            <w:pPr>
              <w:keepNext w:val="0"/>
              <w:keepLines w:val="0"/>
              <w:suppressLineNumbers w:val="0"/>
              <w:tabs>
                <w:tab w:val="left" w:pos="3705"/>
                <w:tab w:val="left" w:pos="4680"/>
              </w:tabs>
              <w:spacing w:before="0" w:beforeAutospacing="0" w:after="0" w:afterAutospacing="0" w:line="360" w:lineRule="auto"/>
              <w:ind w:left="0" w:right="0" w:firstLine="422" w:firstLineChars="200"/>
              <w:rPr>
                <w:rFonts w:hint="eastAsia" w:cs="Times New Roman"/>
                <w:b/>
                <w:bCs/>
                <w:color w:val="auto"/>
                <w:kern w:val="2"/>
                <w:sz w:val="21"/>
                <w:szCs w:val="21"/>
                <w:u w:val="none" w:color="auto"/>
                <w:lang w:val="en-US" w:eastAsia="zh-CN" w:bidi="ar-SA"/>
              </w:rPr>
            </w:pPr>
            <w:r>
              <w:rPr>
                <w:rFonts w:hint="eastAsia" w:cs="Times New Roman"/>
                <w:b/>
                <w:bCs/>
                <w:color w:val="auto"/>
                <w:kern w:val="2"/>
                <w:sz w:val="21"/>
                <w:szCs w:val="21"/>
                <w:u w:val="none" w:color="auto"/>
                <w:lang w:val="en-US" w:eastAsia="zh-CN" w:bidi="ar-SA"/>
              </w:rPr>
              <w:t>1、生态环境分区管控相符性分析</w:t>
            </w:r>
          </w:p>
          <w:p>
            <w:pPr>
              <w:pStyle w:val="100"/>
              <w:bidi w:val="0"/>
              <w:rPr>
                <w:rFonts w:hint="eastAsia"/>
                <w:b/>
                <w:bCs/>
                <w:color w:val="auto"/>
                <w:lang w:val="en-US" w:eastAsia="zh-CN"/>
              </w:rPr>
            </w:pPr>
            <w:r>
              <w:rPr>
                <w:rFonts w:hint="eastAsia"/>
                <w:b w:val="0"/>
                <w:bCs w:val="0"/>
                <w:color w:val="auto"/>
                <w:lang w:val="en-US" w:eastAsia="zh-CN"/>
              </w:rPr>
              <w:t>①生态保护红线</w:t>
            </w:r>
          </w:p>
          <w:p>
            <w:pPr>
              <w:pStyle w:val="100"/>
              <w:bidi w:val="0"/>
              <w:rPr>
                <w:rFonts w:hint="eastAsia"/>
                <w:color w:val="auto"/>
                <w:lang w:val="en-US" w:eastAsia="zh-CN"/>
              </w:rPr>
            </w:pPr>
            <w:r>
              <w:rPr>
                <w:rFonts w:hint="eastAsia"/>
                <w:color w:val="auto"/>
                <w:lang w:val="en-US" w:eastAsia="zh-CN"/>
              </w:rPr>
              <w:t>本项目位于</w:t>
            </w:r>
            <w:r>
              <w:rPr>
                <w:rFonts w:hint="eastAsia" w:ascii="宋体" w:hAnsi="宋体" w:cs="宋体"/>
                <w:color w:val="auto"/>
                <w:sz w:val="21"/>
                <w:szCs w:val="21"/>
                <w:u w:val="none" w:color="auto"/>
                <w:lang w:eastAsia="zh-CN"/>
              </w:rPr>
              <w:t>湖南省岳阳市湘阴县三塘镇虞公港</w:t>
            </w:r>
            <w:r>
              <w:rPr>
                <w:rFonts w:hint="eastAsia"/>
                <w:color w:val="auto"/>
                <w:lang w:val="en-US" w:eastAsia="zh-CN"/>
              </w:rPr>
              <w:t>，根据本项目与湘阴县“三区三线”划定成果套合示意图，本项目用地范围不涉及生态保护红线（附图10）。</w:t>
            </w:r>
          </w:p>
          <w:p>
            <w:pPr>
              <w:pStyle w:val="100"/>
              <w:bidi w:val="0"/>
              <w:rPr>
                <w:rFonts w:hint="eastAsia"/>
                <w:b w:val="0"/>
                <w:bCs w:val="0"/>
                <w:color w:val="auto"/>
                <w:lang w:val="en-US" w:eastAsia="zh-CN"/>
              </w:rPr>
            </w:pPr>
            <w:r>
              <w:rPr>
                <w:rFonts w:hint="eastAsia"/>
                <w:b w:val="0"/>
                <w:bCs w:val="0"/>
                <w:color w:val="auto"/>
                <w:lang w:val="en-US" w:eastAsia="zh-CN"/>
              </w:rPr>
              <w:t>②环境质量底线</w:t>
            </w:r>
          </w:p>
          <w:p>
            <w:pPr>
              <w:pStyle w:val="100"/>
              <w:bidi w:val="0"/>
              <w:rPr>
                <w:rFonts w:hint="eastAsia"/>
                <w:color w:val="auto"/>
                <w:lang w:val="en-US" w:eastAsia="zh-CN"/>
              </w:rPr>
            </w:pPr>
            <w:r>
              <w:rPr>
                <w:rFonts w:hint="eastAsia"/>
                <w:color w:val="auto"/>
                <w:lang w:val="en-US" w:eastAsia="zh-CN"/>
              </w:rPr>
              <w:t>根据区域环境质量现状监测数据，本项目所在地环境空气质量满足《环境空气质量标准》（GB3095-2012）二级标准要求；项目周边水体</w:t>
            </w:r>
            <w:r>
              <w:rPr>
                <w:rFonts w:hint="eastAsia"/>
                <w:color w:val="auto"/>
                <w:highlight w:val="none"/>
                <w:lang w:eastAsia="zh-CN"/>
              </w:rPr>
              <w:t>湘江、南湖</w:t>
            </w:r>
            <w:r>
              <w:rPr>
                <w:rFonts w:hint="eastAsia"/>
                <w:color w:val="auto"/>
                <w:highlight w:val="none"/>
              </w:rPr>
              <w:t>2个监测断面各项监测因子均能满足《地表水环境质量标准》（GB3838-2002）Ⅲ类标准</w:t>
            </w:r>
            <w:r>
              <w:rPr>
                <w:rFonts w:hint="eastAsia"/>
                <w:color w:val="auto"/>
                <w:highlight w:val="none"/>
                <w:lang w:eastAsia="zh-CN"/>
              </w:rPr>
              <w:t>；</w:t>
            </w:r>
            <w:r>
              <w:rPr>
                <w:rFonts w:hint="eastAsia"/>
                <w:color w:val="auto"/>
                <w:highlight w:val="none"/>
                <w:lang w:val="en-US" w:eastAsia="zh-CN"/>
              </w:rPr>
              <w:t>项目评价范围内敏</w:t>
            </w:r>
            <w:r>
              <w:rPr>
                <w:rFonts w:hint="eastAsia"/>
                <w:highlight w:val="none"/>
                <w:lang w:val="en-US" w:eastAsia="zh-CN"/>
              </w:rPr>
              <w:t>感目标昼间、夜间</w:t>
            </w:r>
            <w:r>
              <w:rPr>
                <w:rFonts w:hint="default"/>
                <w:highlight w:val="none"/>
                <w:lang w:val="en-US" w:eastAsia="zh-CN"/>
              </w:rPr>
              <w:t>声环境质量现</w:t>
            </w:r>
            <w:r>
              <w:rPr>
                <w:rFonts w:hint="default"/>
                <w:lang w:val="en-US" w:eastAsia="zh-CN"/>
              </w:rPr>
              <w:t>状满足</w:t>
            </w:r>
            <w:r>
              <w:rPr>
                <w:rFonts w:hint="default"/>
              </w:rPr>
              <w:t>《声环境质量标准》（GB3096-200</w:t>
            </w:r>
            <w:r>
              <w:rPr>
                <w:rFonts w:hint="default"/>
                <w:color w:val="auto"/>
              </w:rPr>
              <w:t>8）中</w:t>
            </w:r>
            <w:r>
              <w:rPr>
                <w:rFonts w:hint="eastAsia"/>
                <w:color w:val="auto"/>
                <w:lang w:val="en-US" w:eastAsia="zh-CN"/>
              </w:rPr>
              <w:t>2</w:t>
            </w:r>
            <w:r>
              <w:rPr>
                <w:rFonts w:hint="default"/>
                <w:color w:val="auto"/>
                <w:lang w:val="en-US" w:eastAsia="zh-CN"/>
              </w:rPr>
              <w:t>类标准限值</w:t>
            </w:r>
            <w:r>
              <w:rPr>
                <w:rFonts w:hint="eastAsia"/>
                <w:color w:val="auto"/>
                <w:lang w:val="en-US" w:eastAsia="zh-CN"/>
              </w:rPr>
              <w:t>要求。本项目施工、营运期采取相应的环保治理措施和技术，污染物能够达标排放，项目运行后对区域内环境影响较小，环境质量可以保持现有水平，因此符合环境质量底线要求。</w:t>
            </w:r>
          </w:p>
          <w:p>
            <w:pPr>
              <w:pStyle w:val="100"/>
              <w:bidi w:val="0"/>
              <w:rPr>
                <w:rFonts w:hint="eastAsia"/>
                <w:b w:val="0"/>
                <w:bCs w:val="0"/>
                <w:color w:val="auto"/>
                <w:lang w:val="en-US" w:eastAsia="zh-CN"/>
              </w:rPr>
            </w:pPr>
            <w:r>
              <w:rPr>
                <w:rFonts w:hint="eastAsia"/>
                <w:b w:val="0"/>
                <w:bCs w:val="0"/>
                <w:color w:val="auto"/>
                <w:lang w:val="en-US" w:eastAsia="zh-CN"/>
              </w:rPr>
              <w:t>③资源利用上线</w:t>
            </w:r>
          </w:p>
          <w:p>
            <w:pPr>
              <w:pStyle w:val="100"/>
              <w:bidi w:val="0"/>
              <w:rPr>
                <w:rFonts w:hint="eastAsia"/>
                <w:color w:val="auto"/>
                <w:lang w:val="en-US" w:eastAsia="zh-CN"/>
              </w:rPr>
            </w:pPr>
            <w:r>
              <w:rPr>
                <w:rFonts w:hint="eastAsia"/>
                <w:color w:val="auto"/>
                <w:lang w:val="en-US" w:eastAsia="zh-CN"/>
              </w:rPr>
              <w:t>本项目属于中央政府煤炭储备项目，可保障区域煤炭资源的供应。项目运营过程消耗的能源主要为水、电等，用水经处理后全部回用，不外排，符合资源利用上线要求。</w:t>
            </w:r>
          </w:p>
          <w:p>
            <w:pPr>
              <w:pStyle w:val="100"/>
              <w:bidi w:val="0"/>
              <w:rPr>
                <w:rFonts w:hint="eastAsia"/>
                <w:b w:val="0"/>
                <w:bCs w:val="0"/>
                <w:color w:val="auto"/>
                <w:lang w:val="en-US" w:eastAsia="zh-CN"/>
              </w:rPr>
            </w:pPr>
            <w:r>
              <w:rPr>
                <w:rFonts w:hint="eastAsia"/>
                <w:b w:val="0"/>
                <w:bCs w:val="0"/>
                <w:color w:val="auto"/>
                <w:lang w:val="en-US" w:eastAsia="zh-CN"/>
              </w:rPr>
              <w:t>④生态环境准入清单</w:t>
            </w:r>
          </w:p>
          <w:p>
            <w:pPr>
              <w:keepNext w:val="0"/>
              <w:keepLines w:val="0"/>
              <w:suppressLineNumbers w:val="0"/>
              <w:tabs>
                <w:tab w:val="left" w:pos="3705"/>
                <w:tab w:val="left" w:pos="4680"/>
              </w:tabs>
              <w:spacing w:before="0" w:beforeAutospacing="0" w:after="0" w:afterAutospacing="0" w:line="360" w:lineRule="auto"/>
              <w:ind w:left="0" w:right="0" w:firstLine="420" w:firstLineChars="200"/>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2024年12月17日</w:t>
            </w:r>
            <w:r>
              <w:rPr>
                <w:rFonts w:hint="eastAsia" w:cs="Times New Roman"/>
                <w:color w:val="auto"/>
                <w:kern w:val="2"/>
                <w:sz w:val="21"/>
                <w:szCs w:val="21"/>
                <w:u w:val="none" w:color="auto"/>
                <w:lang w:val="en-US" w:eastAsia="zh-CN" w:bidi="ar-SA"/>
              </w:rPr>
              <w:t>岳阳市生态环境局发布了</w:t>
            </w:r>
            <w:r>
              <w:rPr>
                <w:rFonts w:hint="eastAsia" w:ascii="Times New Roman" w:hAnsi="Times New Roman" w:eastAsia="宋体" w:cs="Times New Roman"/>
                <w:color w:val="auto"/>
                <w:kern w:val="2"/>
                <w:sz w:val="21"/>
                <w:szCs w:val="21"/>
                <w:u w:val="none" w:color="auto"/>
                <w:lang w:val="en-US" w:eastAsia="zh-CN" w:bidi="ar-SA"/>
              </w:rPr>
              <w:t>《岳阳市生态环境分区管控动态更新成果（2023年版）》</w:t>
            </w:r>
            <w:r>
              <w:rPr>
                <w:rFonts w:hint="eastAsia" w:cs="Times New Roman"/>
                <w:color w:val="auto"/>
                <w:kern w:val="2"/>
                <w:sz w:val="21"/>
                <w:szCs w:val="21"/>
                <w:u w:val="none" w:color="auto"/>
                <w:lang w:val="en-US" w:eastAsia="zh-CN" w:bidi="ar-SA"/>
              </w:rPr>
              <w:t>，</w:t>
            </w:r>
            <w:r>
              <w:rPr>
                <w:rFonts w:hint="eastAsia" w:ascii="宋体" w:hAnsi="宋体" w:cs="宋体"/>
                <w:color w:val="auto"/>
                <w:sz w:val="21"/>
                <w:szCs w:val="21"/>
                <w:u w:val="none" w:color="auto"/>
                <w:lang w:eastAsia="zh-CN"/>
              </w:rPr>
              <w:t>本项目位于湖南省岳阳市湘阴县三塘镇，属于</w:t>
            </w:r>
            <w:r>
              <w:rPr>
                <w:rFonts w:hint="eastAsia"/>
                <w:color w:val="auto"/>
                <w:highlight w:val="none"/>
                <w:shd w:val="clear" w:color="auto" w:fill="FFFFFF"/>
              </w:rPr>
              <w:t>优先保护单元（管控单元</w:t>
            </w:r>
            <w:r>
              <w:rPr>
                <w:rFonts w:hint="eastAsia"/>
                <w:highlight w:val="none"/>
                <w:shd w:val="clear" w:color="auto" w:fill="FFFFFF"/>
              </w:rPr>
              <w:t>编号：</w:t>
            </w:r>
            <w:r>
              <w:rPr>
                <w:highlight w:val="none"/>
                <w:shd w:val="clear" w:color="auto" w:fill="FFFFFF"/>
              </w:rPr>
              <w:t>ZH43062410001</w:t>
            </w:r>
            <w:r>
              <w:rPr>
                <w:rFonts w:hint="eastAsia"/>
                <w:highlight w:val="none"/>
                <w:shd w:val="clear" w:color="auto" w:fill="FFFFFF"/>
              </w:rPr>
              <w:t>），</w:t>
            </w:r>
            <w:r>
              <w:rPr>
                <w:rFonts w:hint="eastAsia"/>
                <w:highlight w:val="none"/>
                <w:shd w:val="clear" w:color="auto" w:fill="FFFFFF"/>
                <w:lang w:eastAsia="zh-CN"/>
              </w:rPr>
              <w:t>区域主体功能定位为城市化地区。</w:t>
            </w:r>
            <w:r>
              <w:rPr>
                <w:rFonts w:hint="eastAsia"/>
                <w:bCs/>
                <w:spacing w:val="6"/>
                <w:highlight w:val="none"/>
              </w:rPr>
              <w:t>本项目与湘阴县三塘镇管控要求符合性分析见下表。</w:t>
            </w:r>
          </w:p>
          <w:p>
            <w:pPr>
              <w:pStyle w:val="66"/>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表1-</w:t>
            </w:r>
            <w:r>
              <w:rPr>
                <w:rFonts w:hint="eastAsia" w:cs="Times New Roman"/>
                <w:color w:val="auto"/>
                <w:highlight w:val="none"/>
                <w:u w:val="none"/>
                <w:lang w:val="en-US" w:eastAsia="zh-CN"/>
              </w:rPr>
              <w:t>3</w:t>
            </w:r>
            <w:r>
              <w:rPr>
                <w:rFonts w:hint="eastAsia"/>
                <w:color w:val="auto"/>
                <w:highlight w:val="none"/>
              </w:rPr>
              <w:t>本项目与湘阴县三塘镇</w:t>
            </w:r>
            <w:r>
              <w:rPr>
                <w:rFonts w:hint="eastAsia"/>
                <w:color w:val="auto"/>
                <w:highlight w:val="none"/>
                <w:shd w:val="clear" w:color="auto" w:fill="FFFFFF"/>
              </w:rPr>
              <w:t>生态环境分区管控</w:t>
            </w:r>
            <w:r>
              <w:rPr>
                <w:rFonts w:hint="eastAsia"/>
                <w:color w:val="auto"/>
                <w:highlight w:val="none"/>
              </w:rPr>
              <w:t>要求符合性分析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2"/>
              <w:gridCol w:w="4145"/>
              <w:gridCol w:w="2007"/>
              <w:gridCol w:w="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2" w:type="dxa"/>
                  <w:noWrap w:val="0"/>
                  <w:vAlign w:val="center"/>
                </w:tcPr>
                <w:p>
                  <w:pPr>
                    <w:pStyle w:val="110"/>
                    <w:bidi w:val="0"/>
                    <w:rPr>
                      <w:rFonts w:hint="default"/>
                      <w:color w:val="auto"/>
                      <w:lang w:val="en-US" w:eastAsia="zh-CN"/>
                    </w:rPr>
                  </w:pPr>
                  <w:r>
                    <w:rPr>
                      <w:rFonts w:hint="eastAsia"/>
                      <w:color w:val="auto"/>
                      <w:lang w:val="en-US" w:eastAsia="zh-CN"/>
                    </w:rPr>
                    <w:t>单元编码</w:t>
                  </w:r>
                </w:p>
              </w:tc>
              <w:tc>
                <w:tcPr>
                  <w:tcW w:w="6609" w:type="dxa"/>
                  <w:gridSpan w:val="3"/>
                  <w:noWrap w:val="0"/>
                  <w:vAlign w:val="center"/>
                </w:tcPr>
                <w:p>
                  <w:pPr>
                    <w:pStyle w:val="110"/>
                    <w:bidi w:val="0"/>
                    <w:rPr>
                      <w:rFonts w:hint="default"/>
                      <w:color w:val="auto"/>
                    </w:rPr>
                  </w:pPr>
                  <w:r>
                    <w:rPr>
                      <w:rFonts w:ascii="宋体" w:hAnsi="宋体" w:eastAsia="宋体" w:cs="Times New Roman"/>
                      <w:color w:val="auto"/>
                      <w:szCs w:val="21"/>
                      <w:highlight w:val="none"/>
                    </w:rPr>
                    <w:t>ZH43062410001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2" w:type="dxa"/>
                  <w:noWrap w:val="0"/>
                  <w:vAlign w:val="center"/>
                </w:tcPr>
                <w:p>
                  <w:pPr>
                    <w:pStyle w:val="110"/>
                    <w:bidi w:val="0"/>
                    <w:rPr>
                      <w:rFonts w:hint="default"/>
                      <w:color w:val="auto"/>
                      <w:lang w:val="en-US" w:eastAsia="zh-CN"/>
                    </w:rPr>
                  </w:pPr>
                  <w:r>
                    <w:rPr>
                      <w:rFonts w:hint="eastAsia"/>
                      <w:color w:val="auto"/>
                      <w:lang w:val="en-US" w:eastAsia="zh-CN"/>
                    </w:rPr>
                    <w:t>单元分类</w:t>
                  </w:r>
                </w:p>
              </w:tc>
              <w:tc>
                <w:tcPr>
                  <w:tcW w:w="6609" w:type="dxa"/>
                  <w:gridSpan w:val="3"/>
                  <w:noWrap w:val="0"/>
                  <w:vAlign w:val="center"/>
                </w:tcPr>
                <w:p>
                  <w:pPr>
                    <w:pStyle w:val="110"/>
                    <w:bidi w:val="0"/>
                    <w:rPr>
                      <w:rFonts w:hint="default"/>
                      <w:color w:val="auto"/>
                      <w:lang w:val="en-US" w:eastAsia="zh-CN"/>
                    </w:rPr>
                  </w:pPr>
                  <w:r>
                    <w:rPr>
                      <w:rFonts w:ascii="宋体" w:hAnsi="宋体" w:eastAsia="宋体" w:cs="Times New Roman"/>
                      <w:color w:val="auto"/>
                      <w:szCs w:val="21"/>
                      <w:highlight w:val="none"/>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2" w:type="dxa"/>
                  <w:noWrap w:val="0"/>
                  <w:vAlign w:val="center"/>
                </w:tcPr>
                <w:p>
                  <w:pPr>
                    <w:pStyle w:val="110"/>
                    <w:bidi w:val="0"/>
                    <w:rPr>
                      <w:rFonts w:hint="default"/>
                      <w:color w:val="auto"/>
                    </w:rPr>
                  </w:pPr>
                  <w:r>
                    <w:rPr>
                      <w:rFonts w:hint="default"/>
                      <w:color w:val="auto"/>
                    </w:rPr>
                    <w:t>管控维度</w:t>
                  </w:r>
                </w:p>
              </w:tc>
              <w:tc>
                <w:tcPr>
                  <w:tcW w:w="4145" w:type="dxa"/>
                  <w:noWrap w:val="0"/>
                  <w:vAlign w:val="center"/>
                </w:tcPr>
                <w:p>
                  <w:pPr>
                    <w:pStyle w:val="110"/>
                    <w:bidi w:val="0"/>
                    <w:rPr>
                      <w:rFonts w:hint="default"/>
                      <w:color w:val="auto"/>
                    </w:rPr>
                  </w:pPr>
                  <w:r>
                    <w:rPr>
                      <w:rFonts w:hint="default"/>
                      <w:color w:val="auto"/>
                    </w:rPr>
                    <w:t>管控要求</w:t>
                  </w:r>
                </w:p>
              </w:tc>
              <w:tc>
                <w:tcPr>
                  <w:tcW w:w="2007" w:type="dxa"/>
                  <w:noWrap w:val="0"/>
                  <w:vAlign w:val="center"/>
                </w:tcPr>
                <w:p>
                  <w:pPr>
                    <w:pStyle w:val="110"/>
                    <w:bidi w:val="0"/>
                    <w:rPr>
                      <w:rFonts w:hint="default"/>
                      <w:color w:val="auto"/>
                    </w:rPr>
                  </w:pPr>
                  <w:r>
                    <w:rPr>
                      <w:rFonts w:hint="default"/>
                      <w:color w:val="auto"/>
                    </w:rPr>
                    <w:t>本项目情况</w:t>
                  </w:r>
                </w:p>
              </w:tc>
              <w:tc>
                <w:tcPr>
                  <w:tcW w:w="457" w:type="dxa"/>
                  <w:noWrap w:val="0"/>
                  <w:vAlign w:val="center"/>
                </w:tcPr>
                <w:p>
                  <w:pPr>
                    <w:pStyle w:val="110"/>
                    <w:bidi w:val="0"/>
                    <w:rPr>
                      <w:rFonts w:hint="default"/>
                      <w:color w:val="auto"/>
                    </w:rPr>
                  </w:pPr>
                  <w:r>
                    <w:rPr>
                      <w:rFonts w:hint="default"/>
                      <w:color w:val="auto"/>
                    </w:rPr>
                    <w:t>是否</w:t>
                  </w:r>
                </w:p>
                <w:p>
                  <w:pPr>
                    <w:pStyle w:val="110"/>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2" w:type="dxa"/>
                  <w:noWrap w:val="0"/>
                  <w:vAlign w:val="center"/>
                </w:tcPr>
                <w:p>
                  <w:pPr>
                    <w:pStyle w:val="111"/>
                    <w:snapToGrid/>
                    <w:ind w:firstLine="0" w:firstLineChars="0"/>
                    <w:rPr>
                      <w:rFonts w:hint="default"/>
                      <w:color w:val="auto"/>
                    </w:rPr>
                  </w:pPr>
                  <w:r>
                    <w:rPr>
                      <w:rFonts w:ascii="宋体" w:hAnsi="宋体" w:eastAsia="宋体" w:cs="Times New Roman"/>
                      <w:color w:val="auto"/>
                      <w:szCs w:val="21"/>
                      <w:highlight w:val="none"/>
                    </w:rPr>
                    <w:t>空间布局约束</w:t>
                  </w:r>
                </w:p>
              </w:tc>
              <w:tc>
                <w:tcPr>
                  <w:tcW w:w="4145" w:type="dxa"/>
                  <w:noWrap w:val="0"/>
                  <w:vAlign w:val="top"/>
                </w:tcPr>
                <w:p>
                  <w:pPr>
                    <w:pStyle w:val="111"/>
                    <w:snapToGrid/>
                    <w:ind w:firstLine="0" w:firstLineChars="0"/>
                    <w:rPr>
                      <w:rFonts w:hint="eastAsia"/>
                      <w:color w:val="auto"/>
                      <w:lang w:eastAsia="zh-CN"/>
                    </w:rPr>
                  </w:pPr>
                  <w:r>
                    <w:rPr>
                      <w:rFonts w:ascii="宋体" w:hAnsi="宋体" w:eastAsia="宋体" w:cs="Times New Roman"/>
                      <w:color w:val="auto"/>
                      <w:szCs w:val="21"/>
                      <w:highlight w:val="none"/>
                    </w:rPr>
                    <w:t>（1.1）严格执行畜禽禁养区、适养区的管理规定，落实“三区”管控政策，严格控制区域畜禽养殖种类、总量，加强禁养区日常监管。（1.2）积极推广水产生态健康养殖模式。实施池塘标准化改造，推进养殖尾水稳定达标排放和节水减排。</w:t>
                  </w:r>
                </w:p>
              </w:tc>
              <w:tc>
                <w:tcPr>
                  <w:tcW w:w="2007" w:type="dxa"/>
                  <w:noWrap w:val="0"/>
                  <w:vAlign w:val="top"/>
                </w:tcPr>
                <w:p>
                  <w:pPr>
                    <w:tabs>
                      <w:tab w:val="left" w:pos="480"/>
                    </w:tabs>
                    <w:autoSpaceDE w:val="0"/>
                    <w:autoSpaceDN w:val="0"/>
                    <w:adjustRightInd w:val="0"/>
                    <w:snapToGrid w:val="0"/>
                    <w:spacing w:line="240" w:lineRule="auto"/>
                    <w:ind w:firstLine="0" w:firstLineChars="0"/>
                    <w:rPr>
                      <w:rFonts w:hint="eastAsia" w:eastAsia="宋体"/>
                      <w:color w:val="auto"/>
                      <w:lang w:val="en-US" w:eastAsia="zh-CN"/>
                    </w:rPr>
                  </w:pPr>
                  <w:r>
                    <w:rPr>
                      <w:rFonts w:hint="eastAsia" w:ascii="Calibri" w:hAnsi="Calibri" w:eastAsia="宋体" w:cs="Times New Roman"/>
                      <w:color w:val="auto"/>
                      <w:kern w:val="0"/>
                      <w:sz w:val="21"/>
                      <w:szCs w:val="21"/>
                      <w:highlight w:val="none"/>
                      <w:lang w:eastAsia="zh-CN"/>
                    </w:rPr>
                    <w:t>本项目不属于养殖类项目。</w:t>
                  </w:r>
                </w:p>
              </w:tc>
              <w:tc>
                <w:tcPr>
                  <w:tcW w:w="457" w:type="dxa"/>
                  <w:noWrap w:val="0"/>
                  <w:vAlign w:val="center"/>
                </w:tcPr>
                <w:p>
                  <w:pPr>
                    <w:pStyle w:val="110"/>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2" w:type="dxa"/>
                  <w:noWrap w:val="0"/>
                  <w:vAlign w:val="center"/>
                </w:tcPr>
                <w:p>
                  <w:pPr>
                    <w:pStyle w:val="111"/>
                    <w:snapToGrid/>
                    <w:ind w:firstLine="0" w:firstLineChars="0"/>
                    <w:rPr>
                      <w:rFonts w:hint="default"/>
                      <w:color w:val="auto"/>
                    </w:rPr>
                  </w:pPr>
                  <w:r>
                    <w:rPr>
                      <w:rFonts w:ascii="宋体" w:hAnsi="宋体" w:eastAsia="宋体" w:cs="Times New Roman"/>
                      <w:color w:val="auto"/>
                      <w:szCs w:val="21"/>
                      <w:highlight w:val="none"/>
                    </w:rPr>
                    <w:t>污染物排放管控</w:t>
                  </w:r>
                </w:p>
              </w:tc>
              <w:tc>
                <w:tcPr>
                  <w:tcW w:w="4145" w:type="dxa"/>
                  <w:noWrap w:val="0"/>
                  <w:vAlign w:val="top"/>
                </w:tcPr>
                <w:p>
                  <w:pPr>
                    <w:tabs>
                      <w:tab w:val="left" w:pos="480"/>
                    </w:tabs>
                    <w:spacing w:line="240" w:lineRule="auto"/>
                    <w:ind w:firstLine="0" w:firstLineChars="0"/>
                    <w:rPr>
                      <w:rFonts w:ascii="宋体" w:hAnsi="宋体" w:eastAsia="宋体" w:cs="Times New Roman"/>
                      <w:color w:val="auto"/>
                      <w:sz w:val="21"/>
                      <w:szCs w:val="21"/>
                      <w:highlight w:val="none"/>
                    </w:rPr>
                  </w:pPr>
                  <w:r>
                    <w:rPr>
                      <w:rFonts w:ascii="宋体" w:hAnsi="宋体" w:eastAsia="宋体" w:cs="Times New Roman"/>
                      <w:color w:val="auto"/>
                      <w:sz w:val="21"/>
                      <w:szCs w:val="21"/>
                      <w:highlight w:val="none"/>
                    </w:rPr>
                    <w:t>（2.1）废气</w:t>
                  </w:r>
                </w:p>
                <w:p>
                  <w:pPr>
                    <w:tabs>
                      <w:tab w:val="left" w:pos="480"/>
                    </w:tabs>
                    <w:spacing w:line="240" w:lineRule="auto"/>
                    <w:ind w:firstLine="0" w:firstLineChars="0"/>
                    <w:rPr>
                      <w:rFonts w:ascii="宋体" w:hAnsi="宋体" w:eastAsia="宋体" w:cs="Times New Roman"/>
                      <w:color w:val="auto"/>
                      <w:sz w:val="21"/>
                      <w:szCs w:val="21"/>
                      <w:highlight w:val="none"/>
                    </w:rPr>
                  </w:pPr>
                  <w:r>
                    <w:rPr>
                      <w:rFonts w:ascii="宋体" w:hAnsi="宋体" w:eastAsia="宋体" w:cs="Times New Roman"/>
                      <w:color w:val="auto"/>
                      <w:sz w:val="21"/>
                      <w:szCs w:val="21"/>
                      <w:highlight w:val="none"/>
                    </w:rPr>
                    <w:t>（2.1.1）持续开展建筑工地扬尘污染专项整治，确保建筑工地严格落实“六个百分百”扬尘防治要求；加密城市道路清洗频次，城郊结合部裸露地面要全硬化、全绿化；渣土运输车严禁带泥上路。</w:t>
                  </w:r>
                </w:p>
                <w:p>
                  <w:pPr>
                    <w:tabs>
                      <w:tab w:val="left" w:pos="480"/>
                    </w:tabs>
                    <w:spacing w:line="240" w:lineRule="auto"/>
                    <w:ind w:firstLine="0" w:firstLineChars="0"/>
                    <w:rPr>
                      <w:rFonts w:ascii="宋体" w:hAnsi="宋体" w:eastAsia="宋体" w:cs="Times New Roman"/>
                      <w:color w:val="auto"/>
                      <w:sz w:val="21"/>
                      <w:szCs w:val="21"/>
                      <w:highlight w:val="none"/>
                    </w:rPr>
                  </w:pPr>
                  <w:r>
                    <w:rPr>
                      <w:rFonts w:ascii="宋体" w:hAnsi="宋体" w:eastAsia="宋体" w:cs="Times New Roman"/>
                      <w:color w:val="auto"/>
                      <w:sz w:val="21"/>
                      <w:szCs w:val="21"/>
                      <w:highlight w:val="none"/>
                    </w:rPr>
                    <w:t>（2.1.4）加强机动车和非道路移动机械环保达标监管，加强对机动车尾气排放检验检测机构的执法监督检查工作。</w:t>
                  </w:r>
                </w:p>
                <w:p>
                  <w:pPr>
                    <w:tabs>
                      <w:tab w:val="left" w:pos="480"/>
                    </w:tabs>
                    <w:spacing w:line="240" w:lineRule="auto"/>
                    <w:ind w:firstLine="0" w:firstLineChars="0"/>
                    <w:rPr>
                      <w:rFonts w:ascii="宋体" w:hAnsi="宋体" w:eastAsia="宋体" w:cs="Times New Roman"/>
                      <w:color w:val="auto"/>
                      <w:sz w:val="21"/>
                      <w:szCs w:val="21"/>
                      <w:highlight w:val="none"/>
                    </w:rPr>
                  </w:pPr>
                  <w:r>
                    <w:rPr>
                      <w:rFonts w:ascii="宋体" w:hAnsi="宋体" w:eastAsia="宋体" w:cs="Times New Roman"/>
                      <w:color w:val="auto"/>
                      <w:sz w:val="21"/>
                      <w:szCs w:val="21"/>
                      <w:highlight w:val="none"/>
                    </w:rPr>
                    <w:t>（2.2）废水</w:t>
                  </w:r>
                </w:p>
                <w:p>
                  <w:pPr>
                    <w:tabs>
                      <w:tab w:val="left" w:pos="480"/>
                    </w:tabs>
                    <w:spacing w:line="240" w:lineRule="auto"/>
                    <w:ind w:firstLine="0" w:firstLineChars="0"/>
                    <w:rPr>
                      <w:rFonts w:ascii="宋体" w:hAnsi="宋体" w:eastAsia="宋体" w:cs="Times New Roman"/>
                      <w:color w:val="auto"/>
                      <w:sz w:val="21"/>
                      <w:szCs w:val="21"/>
                      <w:highlight w:val="none"/>
                    </w:rPr>
                  </w:pPr>
                  <w:r>
                    <w:rPr>
                      <w:rFonts w:ascii="宋体" w:hAnsi="宋体" w:eastAsia="宋体" w:cs="Times New Roman"/>
                      <w:color w:val="auto"/>
                      <w:sz w:val="21"/>
                      <w:szCs w:val="21"/>
                      <w:highlight w:val="none"/>
                    </w:rPr>
                    <w:t>（2.2.1）按照“一河（湖）一策”的要求，综合采取截污、治污、清淤、修复等措施，深入推进洞庭湖等重点河湖的系统治理。</w:t>
                  </w:r>
                </w:p>
                <w:p>
                  <w:pPr>
                    <w:tabs>
                      <w:tab w:val="left" w:pos="480"/>
                    </w:tabs>
                    <w:spacing w:line="240" w:lineRule="auto"/>
                    <w:ind w:firstLine="0" w:firstLineChars="0"/>
                    <w:rPr>
                      <w:rFonts w:ascii="宋体" w:hAnsi="宋体" w:eastAsia="宋体" w:cs="Times New Roman"/>
                      <w:color w:val="auto"/>
                      <w:sz w:val="21"/>
                      <w:szCs w:val="21"/>
                      <w:highlight w:val="none"/>
                    </w:rPr>
                  </w:pPr>
                  <w:r>
                    <w:rPr>
                      <w:rFonts w:ascii="宋体" w:hAnsi="宋体" w:eastAsia="宋体" w:cs="Times New Roman"/>
                      <w:color w:val="auto"/>
                      <w:sz w:val="21"/>
                      <w:szCs w:val="21"/>
                      <w:highlight w:val="none"/>
                    </w:rPr>
                    <w:t>（2.2.2）扎实推进各项污染治理工程，推进长江内河主要港口船舶污染物接收转运处置。深化长江“三磷排查整治，认真实施“十年禁渔”。</w:t>
                  </w:r>
                </w:p>
                <w:p>
                  <w:pPr>
                    <w:tabs>
                      <w:tab w:val="left" w:pos="480"/>
                    </w:tabs>
                    <w:spacing w:line="240" w:lineRule="auto"/>
                    <w:ind w:firstLine="0" w:firstLineChars="0"/>
                    <w:rPr>
                      <w:rFonts w:ascii="宋体" w:hAnsi="宋体" w:eastAsia="宋体" w:cs="Times New Roman"/>
                      <w:color w:val="auto"/>
                      <w:sz w:val="21"/>
                      <w:szCs w:val="21"/>
                      <w:highlight w:val="none"/>
                    </w:rPr>
                  </w:pPr>
                  <w:r>
                    <w:rPr>
                      <w:rFonts w:ascii="宋体" w:hAnsi="宋体" w:eastAsia="宋体" w:cs="Times New Roman"/>
                      <w:color w:val="auto"/>
                      <w:sz w:val="21"/>
                      <w:szCs w:val="21"/>
                      <w:highlight w:val="none"/>
                    </w:rPr>
                    <w:t>（2.3）固体废物：以县域为单元统筹推进农村生活垃圾分类收集，加快推进农村生活垃圾源头分类减量，减少垃圾出村量。</w:t>
                  </w:r>
                </w:p>
                <w:p>
                  <w:pPr>
                    <w:pStyle w:val="111"/>
                    <w:snapToGrid/>
                    <w:ind w:firstLine="0" w:firstLineChars="0"/>
                    <w:rPr>
                      <w:rFonts w:hint="eastAsia"/>
                      <w:color w:val="auto"/>
                      <w:lang w:eastAsia="zh-CN"/>
                    </w:rPr>
                  </w:pPr>
                </w:p>
              </w:tc>
              <w:tc>
                <w:tcPr>
                  <w:tcW w:w="2007" w:type="dxa"/>
                  <w:noWrap w:val="0"/>
                  <w:vAlign w:val="top"/>
                </w:tcPr>
                <w:p>
                  <w:pPr>
                    <w:pStyle w:val="52"/>
                    <w:tabs>
                      <w:tab w:val="left" w:pos="480"/>
                    </w:tabs>
                    <w:spacing w:line="240" w:lineRule="auto"/>
                    <w:ind w:left="0" w:leftChars="0" w:firstLine="0" w:firstLineChars="0"/>
                    <w:jc w:val="both"/>
                    <w:rPr>
                      <w:rFonts w:ascii="宋体" w:hAnsi="宋体" w:eastAsia="宋体" w:cs="Times New Roman"/>
                      <w:color w:val="auto"/>
                      <w:sz w:val="21"/>
                      <w:szCs w:val="21"/>
                      <w:highlight w:val="none"/>
                    </w:rPr>
                  </w:pPr>
                  <w:r>
                    <w:rPr>
                      <w:rFonts w:hint="eastAsia" w:ascii="Times New Roman" w:hAnsi="Calibri" w:eastAsia="宋体" w:cs="Times New Roman"/>
                      <w:color w:val="auto"/>
                      <w:sz w:val="21"/>
                      <w:szCs w:val="21"/>
                      <w:highlight w:val="none"/>
                      <w:lang w:eastAsia="zh-CN"/>
                    </w:rPr>
                    <w:t>①项目施工期严格</w:t>
                  </w:r>
                  <w:r>
                    <w:rPr>
                      <w:rFonts w:ascii="宋体" w:hAnsi="宋体" w:eastAsia="宋体" w:cs="Times New Roman"/>
                      <w:color w:val="auto"/>
                      <w:sz w:val="21"/>
                      <w:szCs w:val="21"/>
                      <w:highlight w:val="none"/>
                    </w:rPr>
                    <w:t>落实“六个百分百”扬尘防治要求。</w:t>
                  </w:r>
                </w:p>
                <w:p>
                  <w:pPr>
                    <w:pStyle w:val="52"/>
                    <w:tabs>
                      <w:tab w:val="left" w:pos="480"/>
                    </w:tabs>
                    <w:spacing w:line="240" w:lineRule="auto"/>
                    <w:ind w:left="0" w:leftChars="0" w:firstLine="0" w:firstLineChars="0"/>
                    <w:jc w:val="both"/>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②储煤场全封闭，储煤棚采用固定式远程射雾器抑尘；带式输送机采用全封闭式，煤炭运输转载点全封闭式，装载点采用干雾除尘装置降尘；</w:t>
                  </w:r>
                </w:p>
                <w:p>
                  <w:pPr>
                    <w:pStyle w:val="52"/>
                    <w:tabs>
                      <w:tab w:val="left" w:pos="480"/>
                    </w:tabs>
                    <w:spacing w:line="240" w:lineRule="auto"/>
                    <w:ind w:left="0" w:leftChars="0" w:firstLine="0" w:firstLineChars="0"/>
                    <w:jc w:val="both"/>
                    <w:rPr>
                      <w:rFonts w:hint="eastAsia" w:cs="Times New Roman"/>
                      <w:bCs/>
                      <w:color w:val="auto"/>
                      <w:sz w:val="21"/>
                      <w:szCs w:val="21"/>
                      <w:highlight w:val="none"/>
                      <w:u w:val="none" w:color="auto"/>
                      <w:lang w:val="en-US" w:eastAsia="zh-CN" w:bidi="ar"/>
                    </w:rPr>
                  </w:pPr>
                  <w:r>
                    <w:rPr>
                      <w:rFonts w:hint="eastAsia" w:cs="Times New Roman"/>
                      <w:bCs/>
                      <w:color w:val="auto"/>
                      <w:sz w:val="21"/>
                      <w:szCs w:val="21"/>
                      <w:highlight w:val="none"/>
                      <w:u w:val="none" w:color="auto"/>
                      <w:lang w:val="en-US" w:eastAsia="zh-CN" w:bidi="ar"/>
                    </w:rPr>
                    <w:t>③地面冲洗废水经集水坑收集、初期雨水经初期雨水池沉淀后，经泵提升至虞公港生产废水处理站处理后，全部回用于厂区喷洒降尘、绿化，不外排。</w:t>
                  </w:r>
                </w:p>
                <w:p>
                  <w:pPr>
                    <w:pStyle w:val="52"/>
                    <w:tabs>
                      <w:tab w:val="left" w:pos="480"/>
                    </w:tabs>
                    <w:spacing w:line="240" w:lineRule="auto"/>
                    <w:ind w:left="0" w:leftChars="0" w:firstLine="0" w:firstLineChars="0"/>
                    <w:jc w:val="both"/>
                    <w:rPr>
                      <w:rFonts w:ascii="宋体" w:hAnsi="宋体" w:eastAsia="宋体" w:cs="Times New Roman"/>
                      <w:color w:val="auto"/>
                      <w:sz w:val="21"/>
                      <w:szCs w:val="21"/>
                      <w:highlight w:val="none"/>
                    </w:rPr>
                  </w:pPr>
                  <w:r>
                    <w:rPr>
                      <w:rFonts w:hint="eastAsia" w:cs="Times New Roman"/>
                      <w:color w:val="auto"/>
                      <w:kern w:val="0"/>
                      <w:sz w:val="21"/>
                      <w:szCs w:val="21"/>
                      <w:u w:val="none" w:color="auto"/>
                      <w:lang w:val="en-US" w:eastAsia="zh-CN" w:bidi="ar"/>
                    </w:rPr>
                    <w:t>④生产废水处理站煤泥脱水后进入煤棚，掺入原煤外售；生活垃圾交由环卫部门处理；机电设备维修产生废润滑油、含油抹布、手套等，依托虞公港危废暂存间储存，交由资质单位进行处理。</w:t>
                  </w:r>
                </w:p>
                <w:p>
                  <w:pPr>
                    <w:pStyle w:val="111"/>
                    <w:snapToGrid/>
                    <w:ind w:firstLine="0" w:firstLineChars="0"/>
                    <w:rPr>
                      <w:rFonts w:hint="default"/>
                      <w:color w:val="auto"/>
                      <w:lang w:val="en-US" w:eastAsia="zh-CN"/>
                    </w:rPr>
                  </w:pPr>
                  <w:r>
                    <w:rPr>
                      <w:rFonts w:hint="eastAsia" w:ascii="Calibri" w:hAnsi="Calibri" w:eastAsia="宋体" w:cs="Times New Roman"/>
                      <w:color w:val="auto"/>
                      <w:szCs w:val="21"/>
                      <w:highlight w:val="none"/>
                      <w:lang w:eastAsia="zh-CN"/>
                    </w:rPr>
                    <w:t>采取以上措施后，</w:t>
                  </w:r>
                  <w:r>
                    <w:rPr>
                      <w:rFonts w:ascii="Calibri" w:hAnsi="Calibri" w:eastAsia="宋体" w:cs="Times New Roman"/>
                      <w:color w:val="auto"/>
                      <w:szCs w:val="21"/>
                      <w:highlight w:val="none"/>
                    </w:rPr>
                    <w:t>各污染物均能实现达标排放</w:t>
                  </w:r>
                  <w:r>
                    <w:rPr>
                      <w:rFonts w:hint="eastAsia" w:ascii="Calibri" w:hAnsi="Calibri" w:eastAsia="宋体" w:cs="Times New Roman"/>
                      <w:color w:val="auto"/>
                      <w:szCs w:val="21"/>
                      <w:highlight w:val="none"/>
                    </w:rPr>
                    <w:t>，</w:t>
                  </w:r>
                  <w:r>
                    <w:rPr>
                      <w:rFonts w:ascii="Calibri" w:hAnsi="Calibri" w:eastAsia="宋体" w:cs="Times New Roman"/>
                      <w:color w:val="auto"/>
                      <w:szCs w:val="21"/>
                      <w:highlight w:val="none"/>
                    </w:rPr>
                    <w:t>符合污染物排放管控要求。</w:t>
                  </w:r>
                </w:p>
              </w:tc>
              <w:tc>
                <w:tcPr>
                  <w:tcW w:w="457" w:type="dxa"/>
                  <w:noWrap w:val="0"/>
                  <w:vAlign w:val="center"/>
                </w:tcPr>
                <w:p>
                  <w:pPr>
                    <w:pStyle w:val="110"/>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2" w:type="dxa"/>
                  <w:noWrap w:val="0"/>
                  <w:vAlign w:val="center"/>
                </w:tcPr>
                <w:p>
                  <w:pPr>
                    <w:pStyle w:val="111"/>
                    <w:snapToGrid/>
                    <w:ind w:firstLine="0" w:firstLineChars="0"/>
                    <w:rPr>
                      <w:rFonts w:hint="default"/>
                      <w:color w:val="auto"/>
                    </w:rPr>
                  </w:pPr>
                  <w:r>
                    <w:rPr>
                      <w:rFonts w:ascii="宋体" w:hAnsi="宋体" w:eastAsia="宋体" w:cs="Times New Roman"/>
                      <w:color w:val="auto"/>
                      <w:szCs w:val="21"/>
                      <w:highlight w:val="none"/>
                    </w:rPr>
                    <w:t>环境风险防控</w:t>
                  </w:r>
                </w:p>
              </w:tc>
              <w:tc>
                <w:tcPr>
                  <w:tcW w:w="4145" w:type="dxa"/>
                  <w:noWrap w:val="0"/>
                  <w:vAlign w:val="top"/>
                </w:tcPr>
                <w:p>
                  <w:pPr>
                    <w:tabs>
                      <w:tab w:val="left" w:pos="480"/>
                    </w:tabs>
                    <w:spacing w:line="240" w:lineRule="auto"/>
                    <w:ind w:firstLine="0" w:firstLineChars="0"/>
                    <w:rPr>
                      <w:rFonts w:ascii="宋体" w:hAnsi="宋体" w:eastAsia="宋体" w:cs="Times New Roman"/>
                      <w:color w:val="auto"/>
                      <w:sz w:val="21"/>
                      <w:szCs w:val="21"/>
                      <w:highlight w:val="none"/>
                    </w:rPr>
                  </w:pPr>
                  <w:r>
                    <w:rPr>
                      <w:rFonts w:ascii="宋体" w:hAnsi="宋体" w:eastAsia="宋体" w:cs="Times New Roman"/>
                      <w:color w:val="auto"/>
                      <w:sz w:val="21"/>
                      <w:szCs w:val="21"/>
                      <w:highlight w:val="none"/>
                    </w:rPr>
                    <w:t>（3.1）对重点领域、重点行业、重点区域全面开展生态环境风险隐患排查，分类建立环境风险隐患清单。制定风险隐息问题整改措施，实行台账管理，加强动态评估和预警预报，严格实施分级管控，全面降低环境风险，消除环境安全隐患。</w:t>
                  </w:r>
                </w:p>
                <w:p>
                  <w:pPr>
                    <w:tabs>
                      <w:tab w:val="left" w:pos="480"/>
                    </w:tabs>
                    <w:spacing w:line="240" w:lineRule="auto"/>
                    <w:ind w:firstLine="0" w:firstLineChars="0"/>
                    <w:rPr>
                      <w:rFonts w:ascii="宋体" w:hAnsi="宋体" w:eastAsia="宋体" w:cs="Times New Roman"/>
                      <w:color w:val="auto"/>
                      <w:sz w:val="21"/>
                      <w:szCs w:val="21"/>
                      <w:highlight w:val="none"/>
                    </w:rPr>
                  </w:pPr>
                  <w:r>
                    <w:rPr>
                      <w:rFonts w:ascii="宋体" w:hAnsi="宋体" w:eastAsia="宋体" w:cs="Times New Roman"/>
                      <w:color w:val="auto"/>
                      <w:sz w:val="21"/>
                      <w:szCs w:val="21"/>
                      <w:highlight w:val="none"/>
                    </w:rPr>
                    <w:t>（3.2）加强土壤污染源头防控，持续推进受污染耕地安全利用，严格管控耕地土壤环境风险，提升农产品质量安全保障水平。</w:t>
                  </w:r>
                </w:p>
                <w:p>
                  <w:pPr>
                    <w:tabs>
                      <w:tab w:val="left" w:pos="480"/>
                    </w:tabs>
                    <w:spacing w:line="240" w:lineRule="auto"/>
                    <w:ind w:firstLine="0" w:firstLineChars="0"/>
                    <w:rPr>
                      <w:rFonts w:ascii="宋体" w:hAnsi="宋体" w:eastAsia="宋体" w:cs="Times New Roman"/>
                      <w:color w:val="auto"/>
                      <w:sz w:val="21"/>
                      <w:szCs w:val="21"/>
                      <w:highlight w:val="none"/>
                    </w:rPr>
                  </w:pPr>
                  <w:r>
                    <w:rPr>
                      <w:rFonts w:ascii="宋体" w:hAnsi="宋体" w:eastAsia="宋体" w:cs="Times New Roman"/>
                      <w:color w:val="auto"/>
                      <w:sz w:val="21"/>
                      <w:szCs w:val="21"/>
                      <w:highlight w:val="none"/>
                    </w:rPr>
                    <w:t>（3.3）推进农用地土壤污染防治和安全利用。配合省生态环境厅开展受污染耕地土壤重金属成因排查试点，督促开展污染源头风险管控。</w:t>
                  </w:r>
                </w:p>
                <w:p>
                  <w:pPr>
                    <w:tabs>
                      <w:tab w:val="left" w:pos="480"/>
                    </w:tabs>
                    <w:spacing w:line="240" w:lineRule="auto"/>
                    <w:ind w:firstLine="0" w:firstLineChars="0"/>
                    <w:rPr>
                      <w:rFonts w:ascii="宋体" w:hAnsi="宋体" w:eastAsia="宋体" w:cs="Times New Roman"/>
                      <w:color w:val="auto"/>
                      <w:sz w:val="21"/>
                      <w:szCs w:val="21"/>
                      <w:highlight w:val="none"/>
                    </w:rPr>
                  </w:pPr>
                  <w:r>
                    <w:rPr>
                      <w:rFonts w:ascii="宋体" w:hAnsi="宋体" w:eastAsia="宋体" w:cs="Times New Roman"/>
                      <w:color w:val="auto"/>
                      <w:sz w:val="21"/>
                      <w:szCs w:val="21"/>
                      <w:highlight w:val="none"/>
                    </w:rPr>
                    <w:t>（3.4）有效管控建设用地土壤污染风险。配合省、市开展重点行业企业用地调查和典型行业周边土壤环境调查。</w:t>
                  </w:r>
                </w:p>
                <w:p>
                  <w:pPr>
                    <w:pStyle w:val="111"/>
                    <w:snapToGrid/>
                    <w:ind w:firstLine="0" w:firstLineChars="0"/>
                    <w:rPr>
                      <w:rFonts w:hint="eastAsia"/>
                      <w:color w:val="auto"/>
                      <w:lang w:eastAsia="zh-CN"/>
                    </w:rPr>
                  </w:pPr>
                  <w:r>
                    <w:rPr>
                      <w:rFonts w:ascii="宋体" w:hAnsi="宋体" w:eastAsia="宋体" w:cs="Times New Roman"/>
                      <w:color w:val="auto"/>
                      <w:szCs w:val="21"/>
                      <w:highlight w:val="none"/>
                    </w:rPr>
                    <w:t>（3.5）强化在产企业土壤和地</w:t>
                  </w:r>
                  <w:r>
                    <w:rPr>
                      <w:rFonts w:hint="eastAsia" w:ascii="宋体" w:hAnsi="宋体" w:eastAsia="宋体" w:cs="Times New Roman"/>
                      <w:color w:val="auto"/>
                      <w:szCs w:val="21"/>
                      <w:highlight w:val="none"/>
                    </w:rPr>
                    <w:t>下</w:t>
                  </w:r>
                  <w:r>
                    <w:rPr>
                      <w:rFonts w:ascii="宋体" w:hAnsi="宋体" w:eastAsia="宋体" w:cs="Times New Roman"/>
                      <w:color w:val="auto"/>
                      <w:szCs w:val="21"/>
                      <w:highlight w:val="none"/>
                    </w:rPr>
                    <w:t>水污染源头管控，启动地下水污染防治重点区划定工作。加强地下水环境监测监管能力建设，推进地下水污染预防、风险管控与修复试点，加强地下水型饮用水水源安全保障工作。</w:t>
                  </w:r>
                </w:p>
              </w:tc>
              <w:tc>
                <w:tcPr>
                  <w:tcW w:w="2007" w:type="dxa"/>
                  <w:noWrap w:val="0"/>
                  <w:vAlign w:val="top"/>
                </w:tcPr>
                <w:p>
                  <w:pPr>
                    <w:pStyle w:val="111"/>
                    <w:snapToGrid/>
                    <w:ind w:firstLine="0" w:firstLineChars="0"/>
                    <w:rPr>
                      <w:rFonts w:hint="default"/>
                      <w:color w:val="auto"/>
                      <w:lang w:val="en-US" w:eastAsia="zh-CN"/>
                    </w:rPr>
                  </w:pPr>
                  <w:r>
                    <w:rPr>
                      <w:rFonts w:hint="eastAsia" w:ascii="Calibri" w:hAnsi="Calibri" w:eastAsia="宋体" w:cs="Times New Roman"/>
                      <w:color w:val="auto"/>
                      <w:szCs w:val="21"/>
                      <w:highlight w:val="none"/>
                    </w:rPr>
                    <w:t>本报告要求建设单位采取必要的风险防范措施，加强管理，制定环境风险应急预案，并准备必要的防护物资，减少事故发生时的环境危害。</w:t>
                  </w:r>
                </w:p>
              </w:tc>
              <w:tc>
                <w:tcPr>
                  <w:tcW w:w="457" w:type="dxa"/>
                  <w:noWrap w:val="0"/>
                  <w:vAlign w:val="center"/>
                </w:tcPr>
                <w:p>
                  <w:pPr>
                    <w:pStyle w:val="110"/>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2" w:type="dxa"/>
                  <w:noWrap w:val="0"/>
                  <w:vAlign w:val="center"/>
                </w:tcPr>
                <w:p>
                  <w:pPr>
                    <w:pStyle w:val="111"/>
                    <w:snapToGrid/>
                    <w:ind w:firstLine="0" w:firstLineChars="0"/>
                    <w:rPr>
                      <w:rFonts w:hint="default"/>
                      <w:color w:val="auto"/>
                    </w:rPr>
                  </w:pPr>
                  <w:r>
                    <w:rPr>
                      <w:rFonts w:ascii="宋体" w:hAnsi="宋体" w:eastAsia="宋体" w:cs="Times New Roman"/>
                      <w:color w:val="auto"/>
                      <w:szCs w:val="21"/>
                      <w:highlight w:val="none"/>
                    </w:rPr>
                    <w:t>资源开发效率要求</w:t>
                  </w:r>
                </w:p>
              </w:tc>
              <w:tc>
                <w:tcPr>
                  <w:tcW w:w="4145" w:type="dxa"/>
                  <w:noWrap w:val="0"/>
                  <w:vAlign w:val="top"/>
                </w:tcPr>
                <w:p>
                  <w:pPr>
                    <w:pStyle w:val="111"/>
                    <w:snapToGrid/>
                    <w:ind w:firstLine="0" w:firstLineChars="0"/>
                    <w:rPr>
                      <w:rFonts w:hint="eastAsia"/>
                      <w:color w:val="auto"/>
                      <w:lang w:eastAsia="zh-CN"/>
                    </w:rPr>
                  </w:pPr>
                  <w:r>
                    <w:rPr>
                      <w:rFonts w:ascii="宋体" w:hAnsi="宋体" w:eastAsia="宋体" w:cs="Times New Roman"/>
                      <w:color w:val="auto"/>
                      <w:szCs w:val="21"/>
                      <w:highlight w:val="none"/>
                    </w:rPr>
                    <w:t>（4.1）水资源：2025年，湘阴县用水总量控制在3.455亿立方米，万元地区生产总值用水量比2020年下降21.26%，万元工业增加值用水量比2020年下降21.55%，农田灌溉水有效利用系数为0.565。（4.2）能源：湘阴县“十四五”能耗强度降低基本目标16%，激励目标16.5%。推动煤炭清洁高效利用，严格控制主要用煤行业煤炭消费；全面推动天然气消费应用，引导居民高效用气。（4.3）土地资源：三塘镇：到2035年，耕地保有量不低于1952.66公顷，永久基本农田保护面积不低于1478.93公顷，生态保护红线面积不低于2250.25公顷；城镇开发边界规模控制在304.91公顷以内，村庄建设用地控制在515.41公顷以内。</w:t>
                  </w:r>
                </w:p>
              </w:tc>
              <w:tc>
                <w:tcPr>
                  <w:tcW w:w="2007" w:type="dxa"/>
                  <w:noWrap w:val="0"/>
                  <w:vAlign w:val="top"/>
                </w:tcPr>
                <w:p>
                  <w:pPr>
                    <w:pStyle w:val="111"/>
                    <w:snapToGrid/>
                    <w:ind w:firstLine="0" w:firstLineChars="0"/>
                    <w:rPr>
                      <w:rFonts w:hint="default"/>
                      <w:color w:val="auto"/>
                      <w:lang w:val="en-US" w:eastAsia="zh-CN"/>
                    </w:rPr>
                  </w:pPr>
                  <w:r>
                    <w:rPr>
                      <w:rFonts w:ascii="Calibri" w:hAnsi="Calibri" w:eastAsia="宋体" w:cs="Times New Roman"/>
                      <w:color w:val="auto"/>
                      <w:szCs w:val="21"/>
                      <w:highlight w:val="none"/>
                    </w:rPr>
                    <w:t>本项目为</w:t>
                  </w:r>
                  <w:r>
                    <w:rPr>
                      <w:rFonts w:hint="eastAsia" w:ascii="Times New Roman" w:hAnsi="Times New Roman" w:eastAsia="宋体" w:cs="Times New Roman"/>
                      <w:color w:val="auto"/>
                      <w:sz w:val="21"/>
                      <w:szCs w:val="21"/>
                      <w:highlight w:val="none"/>
                      <w:lang w:eastAsia="zh-CN"/>
                    </w:rPr>
                    <w:t>储煤场</w:t>
                  </w:r>
                  <w:r>
                    <w:rPr>
                      <w:rFonts w:ascii="Calibri" w:hAnsi="Calibri" w:eastAsia="宋体" w:cs="Times New Roman"/>
                      <w:color w:val="auto"/>
                      <w:szCs w:val="21"/>
                      <w:highlight w:val="none"/>
                    </w:rPr>
                    <w:t>项目，</w:t>
                  </w:r>
                  <w:r>
                    <w:rPr>
                      <w:rFonts w:hint="eastAsia" w:ascii="Calibri" w:hAnsi="Calibri" w:eastAsia="宋体" w:cs="Times New Roman"/>
                      <w:color w:val="auto"/>
                      <w:szCs w:val="21"/>
                      <w:highlight w:val="none"/>
                      <w:lang w:eastAsia="zh-CN"/>
                    </w:rPr>
                    <w:t>生活、生产废水均经处理后回用，</w:t>
                  </w:r>
                  <w:r>
                    <w:rPr>
                      <w:rFonts w:ascii="Calibri" w:hAnsi="Calibri" w:eastAsia="宋体" w:cs="Times New Roman"/>
                      <w:color w:val="auto"/>
                      <w:szCs w:val="21"/>
                      <w:highlight w:val="none"/>
                    </w:rPr>
                    <w:t>有利于水资源的保护。</w:t>
                  </w:r>
                  <w:r>
                    <w:rPr>
                      <w:rFonts w:hint="eastAsia" w:ascii="Calibri" w:hAnsi="Calibri" w:eastAsia="宋体" w:cs="Times New Roman"/>
                      <w:color w:val="auto"/>
                      <w:szCs w:val="21"/>
                      <w:highlight w:val="none"/>
                    </w:rPr>
                    <w:t>项目能耗主要为电力和柴油，符合能耗要求。</w:t>
                  </w:r>
                  <w:r>
                    <w:rPr>
                      <w:rFonts w:ascii="Calibri" w:hAnsi="Calibri" w:eastAsia="宋体" w:cs="Times New Roman"/>
                      <w:color w:val="auto"/>
                      <w:szCs w:val="21"/>
                      <w:highlight w:val="none"/>
                    </w:rPr>
                    <w:t>项目</w:t>
                  </w:r>
                  <w:r>
                    <w:rPr>
                      <w:rFonts w:hint="eastAsia" w:ascii="Calibri" w:hAnsi="Calibri" w:eastAsia="宋体" w:cs="Times New Roman"/>
                      <w:color w:val="auto"/>
                      <w:szCs w:val="21"/>
                      <w:highlight w:val="none"/>
                    </w:rPr>
                    <w:t>用地办理了用地手续，</w:t>
                  </w:r>
                  <w:r>
                    <w:rPr>
                      <w:rFonts w:hint="eastAsia" w:ascii="Calibri" w:hAnsi="Calibri" w:eastAsia="宋体" w:cs="Times New Roman"/>
                      <w:color w:val="auto"/>
                      <w:szCs w:val="21"/>
                      <w:highlight w:val="none"/>
                      <w:lang w:eastAsia="zh-CN"/>
                    </w:rPr>
                    <w:t>不涉及永久基本农田，</w:t>
                  </w:r>
                  <w:r>
                    <w:rPr>
                      <w:rFonts w:hint="eastAsia" w:ascii="Calibri" w:hAnsi="Calibri" w:eastAsia="宋体" w:cs="Times New Roman"/>
                      <w:color w:val="auto"/>
                      <w:szCs w:val="21"/>
                      <w:highlight w:val="none"/>
                    </w:rPr>
                    <w:t>符合土地利用要求</w:t>
                  </w:r>
                  <w:r>
                    <w:rPr>
                      <w:rFonts w:ascii="Calibri" w:hAnsi="Calibri" w:eastAsia="宋体" w:cs="Times New Roman"/>
                      <w:color w:val="auto"/>
                      <w:szCs w:val="21"/>
                      <w:highlight w:val="none"/>
                    </w:rPr>
                    <w:t>。</w:t>
                  </w:r>
                </w:p>
              </w:tc>
              <w:tc>
                <w:tcPr>
                  <w:tcW w:w="457" w:type="dxa"/>
                  <w:noWrap w:val="0"/>
                  <w:vAlign w:val="center"/>
                </w:tcPr>
                <w:p>
                  <w:pPr>
                    <w:pStyle w:val="110"/>
                    <w:bidi w:val="0"/>
                    <w:rPr>
                      <w:rFonts w:hint="default"/>
                      <w:color w:val="auto"/>
                    </w:rPr>
                  </w:pPr>
                  <w:r>
                    <w:rPr>
                      <w:rFonts w:hint="default"/>
                      <w:color w:val="auto"/>
                    </w:rPr>
                    <w:t>符合</w:t>
                  </w:r>
                </w:p>
              </w:tc>
            </w:tr>
          </w:tbl>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kern w:val="0"/>
                <w:sz w:val="21"/>
                <w:szCs w:val="21"/>
                <w:u w:val="none" w:color="auto"/>
                <w:lang w:val="zh-CN" w:bidi="zh-CN"/>
              </w:rPr>
            </w:pPr>
            <w:r>
              <w:rPr>
                <w:rFonts w:hint="eastAsia"/>
                <w:color w:val="auto"/>
                <w:lang w:val="en-US" w:eastAsia="zh-CN"/>
              </w:rPr>
              <w:t>综上所述，本项目符合</w:t>
            </w:r>
            <w:r>
              <w:rPr>
                <w:rFonts w:hint="default" w:ascii="Times New Roman" w:hAnsi="Times New Roman" w:eastAsia="宋体" w:cs="Times New Roman"/>
                <w:color w:val="auto"/>
                <w:kern w:val="2"/>
                <w:sz w:val="21"/>
                <w:szCs w:val="21"/>
                <w:u w:val="none" w:color="auto"/>
                <w:lang w:val="en-US" w:eastAsia="zh-CN" w:bidi="ar-SA"/>
              </w:rPr>
              <w:t>《岳阳市生态环境分区管控动态更新成果（2023年版）》</w:t>
            </w:r>
            <w:r>
              <w:rPr>
                <w:rFonts w:hint="eastAsia"/>
                <w:color w:val="auto"/>
                <w:lang w:val="en-US" w:eastAsia="zh-CN"/>
              </w:rPr>
              <w:t>的要求。</w:t>
            </w:r>
          </w:p>
          <w:p>
            <w:pPr>
              <w:keepNext w:val="0"/>
              <w:keepLines w:val="0"/>
              <w:suppressLineNumbers w:val="0"/>
              <w:tabs>
                <w:tab w:val="left" w:pos="3705"/>
                <w:tab w:val="left" w:pos="4680"/>
              </w:tabs>
              <w:autoSpaceDE w:val="0"/>
              <w:autoSpaceDN w:val="0"/>
              <w:spacing w:before="0" w:beforeAutospacing="0" w:after="0" w:afterAutospacing="0" w:line="360" w:lineRule="auto"/>
              <w:ind w:left="0" w:right="0" w:firstLine="422" w:firstLineChars="200"/>
              <w:jc w:val="both"/>
              <w:rPr>
                <w:rFonts w:hint="default" w:ascii="Times New Roman" w:hAnsi="Times New Roman" w:eastAsia="宋体" w:cs="Times New Roman"/>
                <w:b/>
                <w:bCs/>
                <w:color w:val="auto"/>
                <w:kern w:val="2"/>
                <w:sz w:val="21"/>
                <w:szCs w:val="21"/>
                <w:u w:val="none" w:color="auto"/>
                <w:lang w:val="en-US" w:eastAsia="zh-CN" w:bidi="ar-SA"/>
              </w:rPr>
            </w:pPr>
            <w:r>
              <w:rPr>
                <w:rFonts w:hint="eastAsia" w:cs="Times New Roman"/>
                <w:b/>
                <w:bCs/>
                <w:color w:val="auto"/>
                <w:kern w:val="2"/>
                <w:sz w:val="21"/>
                <w:szCs w:val="21"/>
                <w:u w:val="none" w:color="auto"/>
                <w:lang w:val="en-US" w:eastAsia="zh-CN" w:bidi="ar-SA"/>
              </w:rPr>
              <w:t>2</w:t>
            </w:r>
            <w:r>
              <w:rPr>
                <w:rFonts w:hint="eastAsia" w:ascii="Times New Roman" w:hAnsi="Times New Roman" w:eastAsia="宋体" w:cs="Times New Roman"/>
                <w:b/>
                <w:bCs/>
                <w:color w:val="auto"/>
                <w:kern w:val="2"/>
                <w:sz w:val="21"/>
                <w:szCs w:val="21"/>
                <w:u w:val="none" w:color="auto"/>
                <w:lang w:val="en-US" w:eastAsia="zh-CN" w:bidi="ar-SA"/>
              </w:rPr>
              <w:t>、</w:t>
            </w:r>
            <w:r>
              <w:rPr>
                <w:rFonts w:hint="default" w:ascii="Times New Roman" w:hAnsi="Times New Roman" w:eastAsia="宋体" w:cs="Times New Roman"/>
                <w:b/>
                <w:bCs/>
                <w:color w:val="auto"/>
                <w:kern w:val="2"/>
                <w:sz w:val="21"/>
                <w:szCs w:val="21"/>
                <w:u w:val="none" w:color="auto"/>
                <w:lang w:val="en-US" w:eastAsia="zh-CN" w:bidi="ar-SA"/>
              </w:rPr>
              <w:t>产业政策相符性</w:t>
            </w:r>
          </w:p>
          <w:p>
            <w:pPr>
              <w:keepNext w:val="0"/>
              <w:keepLines w:val="0"/>
              <w:suppressLineNumbers w:val="0"/>
              <w:tabs>
                <w:tab w:val="left" w:pos="3705"/>
                <w:tab w:val="left" w:pos="4680"/>
              </w:tabs>
              <w:autoSpaceDE w:val="0"/>
              <w:autoSpaceDN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根据《产业结构调整指导目录（2024年本）》，本项目</w:t>
            </w:r>
            <w:r>
              <w:rPr>
                <w:rFonts w:hint="eastAsia" w:cs="Times New Roman"/>
                <w:color w:val="auto"/>
                <w:kern w:val="2"/>
                <w:sz w:val="21"/>
                <w:szCs w:val="21"/>
                <w:u w:val="none" w:color="auto"/>
                <w:lang w:val="en-US" w:eastAsia="zh-CN" w:bidi="ar-SA"/>
              </w:rPr>
              <w:t>为煤炭储备项目，属于</w:t>
            </w:r>
            <w:r>
              <w:rPr>
                <w:rFonts w:hint="eastAsia" w:ascii="Times New Roman" w:hAnsi="Times New Roman" w:eastAsia="宋体" w:cs="Times New Roman"/>
                <w:color w:val="auto"/>
                <w:kern w:val="2"/>
                <w:sz w:val="21"/>
                <w:szCs w:val="21"/>
                <w:u w:val="none" w:color="auto"/>
                <w:lang w:val="en-US" w:eastAsia="zh-CN" w:bidi="ar-SA"/>
              </w:rPr>
              <w:t>鼓励类第三项煤炭第1条“煤炭跨区域运输通道和集疏运体系：管道输煤，大型煤炭储运中心、煤炭交易市场建设，储煤设施建设和环保改造”</w:t>
            </w:r>
            <w:r>
              <w:rPr>
                <w:rFonts w:hint="eastAsia" w:cs="Times New Roman"/>
                <w:color w:val="auto"/>
                <w:kern w:val="2"/>
                <w:sz w:val="21"/>
                <w:szCs w:val="21"/>
                <w:u w:val="none" w:color="auto"/>
                <w:lang w:val="en-US" w:eastAsia="zh-CN" w:bidi="ar-SA"/>
              </w:rPr>
              <w:t>，</w:t>
            </w:r>
            <w:r>
              <w:rPr>
                <w:rFonts w:hint="eastAsia" w:ascii="Times New Roman" w:hAnsi="Times New Roman" w:eastAsia="宋体" w:cs="Times New Roman"/>
                <w:color w:val="auto"/>
                <w:kern w:val="2"/>
                <w:sz w:val="21"/>
                <w:szCs w:val="21"/>
                <w:u w:val="none" w:color="auto"/>
                <w:lang w:val="en-US" w:eastAsia="zh-CN" w:bidi="ar-SA"/>
              </w:rPr>
              <w:t>符合国家产业政策。</w:t>
            </w:r>
          </w:p>
          <w:p>
            <w:pPr>
              <w:keepNext w:val="0"/>
              <w:keepLines w:val="0"/>
              <w:suppressLineNumbers w:val="0"/>
              <w:tabs>
                <w:tab w:val="left" w:pos="3705"/>
                <w:tab w:val="left" w:pos="4680"/>
              </w:tabs>
              <w:autoSpaceDE w:val="0"/>
              <w:autoSpaceDN w:val="0"/>
              <w:spacing w:before="0" w:beforeAutospacing="0" w:after="0" w:afterAutospacing="0" w:line="360" w:lineRule="auto"/>
              <w:ind w:left="0" w:right="0" w:firstLine="422" w:firstLineChars="200"/>
              <w:jc w:val="both"/>
              <w:rPr>
                <w:rFonts w:hint="default" w:ascii="Times New Roman" w:hAnsi="Times New Roman" w:eastAsia="宋体" w:cs="Times New Roman"/>
                <w:b w:val="0"/>
                <w:bCs/>
                <w:color w:val="auto"/>
                <w:sz w:val="21"/>
                <w:szCs w:val="21"/>
                <w:u w:val="none" w:color="auto"/>
                <w:lang w:val="zh-CN" w:eastAsia="zh-CN" w:bidi="zh-CN"/>
              </w:rPr>
            </w:pPr>
            <w:r>
              <w:rPr>
                <w:rFonts w:hint="eastAsia" w:cs="Times New Roman"/>
                <w:b/>
                <w:bCs/>
                <w:color w:val="auto"/>
                <w:kern w:val="2"/>
                <w:sz w:val="21"/>
                <w:szCs w:val="21"/>
                <w:u w:val="none" w:color="auto"/>
                <w:lang w:val="en-US" w:eastAsia="zh-CN" w:bidi="ar-SA"/>
              </w:rPr>
              <w:t>3</w:t>
            </w:r>
            <w:r>
              <w:rPr>
                <w:rFonts w:hint="default" w:cs="Times New Roman"/>
                <w:b/>
                <w:bCs/>
                <w:color w:val="auto"/>
                <w:kern w:val="2"/>
                <w:sz w:val="21"/>
                <w:szCs w:val="21"/>
                <w:u w:val="none" w:color="auto"/>
                <w:lang w:val="en-US" w:eastAsia="zh-CN" w:bidi="ar-SA"/>
              </w:rPr>
              <w:t>、项目选址可行性</w:t>
            </w:r>
            <w:r>
              <w:rPr>
                <w:rFonts w:hint="default" w:cs="Times New Roman"/>
                <w:b/>
                <w:bCs/>
                <w:color w:val="auto"/>
                <w:kern w:val="2"/>
                <w:sz w:val="21"/>
                <w:szCs w:val="21"/>
                <w:u w:val="none" w:color="auto"/>
                <w:lang w:val="zh-CN" w:eastAsia="zh-CN" w:bidi="ar-SA"/>
              </w:rPr>
              <w:t>分析</w:t>
            </w:r>
          </w:p>
          <w:p>
            <w:pPr>
              <w:spacing w:line="360" w:lineRule="auto"/>
              <w:ind w:firstLine="420" w:firstLineChars="200"/>
              <w:rPr>
                <w:rFonts w:hint="eastAsia" w:cs="Times New Roman"/>
                <w:color w:val="auto"/>
                <w:kern w:val="0"/>
                <w:highlight w:val="none"/>
                <w:u w:val="none" w:color="auto"/>
                <w:lang w:val="en-US" w:eastAsia="zh-CN"/>
              </w:rPr>
            </w:pPr>
            <w:r>
              <w:rPr>
                <w:rFonts w:hint="eastAsia" w:cs="Times New Roman"/>
                <w:color w:val="auto"/>
                <w:sz w:val="21"/>
                <w:szCs w:val="21"/>
                <w:u w:val="none" w:color="auto"/>
                <w:lang w:val="en-US" w:eastAsia="zh-CN"/>
              </w:rPr>
              <w:t>本项目选址位于</w:t>
            </w:r>
            <w:r>
              <w:rPr>
                <w:rFonts w:hint="eastAsia" w:ascii="宋体" w:hAnsi="宋体" w:cs="宋体"/>
                <w:color w:val="auto"/>
                <w:sz w:val="21"/>
                <w:szCs w:val="21"/>
                <w:u w:val="none" w:color="auto"/>
                <w:lang w:eastAsia="zh-CN"/>
              </w:rPr>
              <w:t>湖南省岳阳市湘阴县三塘镇，位于虞公港散货泊位区（附图</w:t>
            </w:r>
            <w:r>
              <w:rPr>
                <w:rFonts w:hint="eastAsia" w:ascii="宋体" w:hAnsi="宋体" w:cs="宋体"/>
                <w:color w:val="auto"/>
                <w:sz w:val="21"/>
                <w:szCs w:val="21"/>
                <w:u w:val="none" w:color="auto"/>
                <w:lang w:val="en-US" w:eastAsia="zh-CN"/>
              </w:rPr>
              <w:t>9</w:t>
            </w:r>
            <w:r>
              <w:rPr>
                <w:rFonts w:hint="eastAsia" w:ascii="宋体" w:hAnsi="宋体" w:cs="宋体"/>
                <w:color w:val="auto"/>
                <w:sz w:val="21"/>
                <w:szCs w:val="21"/>
                <w:u w:val="none" w:color="auto"/>
                <w:lang w:eastAsia="zh-CN"/>
              </w:rPr>
              <w:t>）。根据国家粮食和物资储备局</w:t>
            </w:r>
            <w:r>
              <w:rPr>
                <w:rFonts w:hint="eastAsia" w:ascii="宋体" w:hAnsi="宋体" w:cs="宋体"/>
                <w:color w:val="auto"/>
                <w:sz w:val="21"/>
                <w:szCs w:val="21"/>
                <w:u w:val="none" w:color="auto"/>
                <w:lang w:val="en-US" w:eastAsia="zh-CN"/>
              </w:rPr>
              <w:t>2026年1月26日印发的</w:t>
            </w:r>
            <w:r>
              <w:rPr>
                <w:rFonts w:hint="eastAsia" w:ascii="宋体" w:hAnsi="宋体" w:cs="宋体"/>
                <w:color w:val="auto"/>
                <w:sz w:val="21"/>
                <w:szCs w:val="21"/>
                <w:u w:val="none" w:color="auto"/>
                <w:lang w:eastAsia="zh-CN"/>
              </w:rPr>
              <w:t>《关于转发中央政府煤炭储备中煤广元等</w:t>
            </w:r>
            <w:r>
              <w:rPr>
                <w:rFonts w:hint="eastAsia" w:ascii="宋体" w:hAnsi="宋体" w:cs="宋体"/>
                <w:color w:val="auto"/>
                <w:sz w:val="21"/>
                <w:szCs w:val="21"/>
                <w:u w:val="none" w:color="auto"/>
                <w:lang w:val="en-US" w:eastAsia="zh-CN"/>
              </w:rPr>
              <w:t>9个项目可行性研究报告批复的通知</w:t>
            </w:r>
            <w:r>
              <w:rPr>
                <w:rFonts w:hint="eastAsia" w:ascii="宋体" w:hAnsi="宋体" w:cs="宋体"/>
                <w:color w:val="auto"/>
                <w:sz w:val="21"/>
                <w:szCs w:val="21"/>
                <w:u w:val="none" w:color="auto"/>
                <w:lang w:eastAsia="zh-CN"/>
              </w:rPr>
              <w:t>》相关内容（附件</w:t>
            </w:r>
            <w:r>
              <w:rPr>
                <w:rFonts w:hint="eastAsia" w:ascii="宋体" w:hAnsi="宋体" w:cs="宋体"/>
                <w:color w:val="auto"/>
                <w:sz w:val="21"/>
                <w:szCs w:val="21"/>
                <w:u w:val="none" w:color="auto"/>
                <w:lang w:val="en-US" w:eastAsia="zh-CN"/>
              </w:rPr>
              <w:t>3</w:t>
            </w:r>
            <w:r>
              <w:rPr>
                <w:rFonts w:hint="eastAsia" w:ascii="宋体" w:hAnsi="宋体" w:cs="宋体"/>
                <w:color w:val="auto"/>
                <w:sz w:val="21"/>
                <w:szCs w:val="21"/>
                <w:u w:val="none" w:color="auto"/>
                <w:lang w:eastAsia="zh-CN"/>
              </w:rPr>
              <w:t>），本项目</w:t>
            </w:r>
            <w:r>
              <w:rPr>
                <w:rFonts w:hint="eastAsia" w:cs="Times New Roman"/>
                <w:color w:val="auto"/>
                <w:sz w:val="21"/>
                <w:szCs w:val="21"/>
                <w:highlight w:val="none"/>
                <w:u w:val="none" w:color="auto"/>
                <w:lang w:val="en-US" w:eastAsia="zh-CN"/>
              </w:rPr>
              <w:t>总占地面积</w:t>
            </w:r>
            <w:r>
              <w:rPr>
                <w:rFonts w:hint="eastAsia" w:cs="Times New Roman"/>
                <w:color w:val="auto"/>
                <w:kern w:val="0"/>
                <w:highlight w:val="none"/>
                <w:u w:val="none" w:color="auto"/>
                <w:lang w:eastAsia="zh-CN"/>
              </w:rPr>
              <w:t>15.1734</w:t>
            </w:r>
            <w:r>
              <w:rPr>
                <w:rFonts w:hint="eastAsia" w:cs="Times New Roman"/>
                <w:color w:val="auto"/>
                <w:kern w:val="0"/>
                <w:highlight w:val="none"/>
                <w:u w:val="none" w:color="auto"/>
                <w:lang w:val="en-US" w:eastAsia="zh-CN"/>
              </w:rPr>
              <w:t>hm</w:t>
            </w:r>
            <w:r>
              <w:rPr>
                <w:rFonts w:hint="eastAsia" w:cs="Times New Roman"/>
                <w:color w:val="auto"/>
                <w:kern w:val="0"/>
                <w:highlight w:val="none"/>
                <w:u w:val="none" w:color="auto"/>
                <w:vertAlign w:val="superscript"/>
                <w:lang w:val="en-US" w:eastAsia="zh-CN"/>
              </w:rPr>
              <w:t>2</w:t>
            </w:r>
            <w:r>
              <w:rPr>
                <w:rFonts w:hint="eastAsia" w:cs="Times New Roman"/>
                <w:color w:val="auto"/>
                <w:kern w:val="0"/>
                <w:highlight w:val="none"/>
                <w:u w:val="none" w:color="auto"/>
                <w:lang w:val="en-US" w:eastAsia="zh-CN"/>
              </w:rPr>
              <w:t>。</w:t>
            </w:r>
          </w:p>
          <w:p>
            <w:pPr>
              <w:spacing w:line="360" w:lineRule="auto"/>
              <w:ind w:firstLine="420" w:firstLineChars="200"/>
              <w:rPr>
                <w:rFonts w:hint="default" w:ascii="Times New Roman" w:hAnsi="Times New Roman" w:cs="Times New Roman"/>
                <w:color w:val="auto"/>
                <w:sz w:val="21"/>
                <w:szCs w:val="21"/>
                <w:highlight w:val="none"/>
                <w:u w:val="none" w:color="auto"/>
                <w:lang w:eastAsia="zh-CN"/>
              </w:rPr>
            </w:pPr>
            <w:r>
              <w:rPr>
                <w:rFonts w:hint="eastAsia" w:cs="Times New Roman"/>
                <w:color w:val="auto"/>
                <w:kern w:val="0"/>
                <w:highlight w:val="none"/>
                <w:u w:val="none" w:color="auto"/>
                <w:lang w:val="en-US" w:eastAsia="zh-CN"/>
              </w:rPr>
              <w:t>本项目</w:t>
            </w:r>
            <w:r>
              <w:rPr>
                <w:rFonts w:hint="eastAsia" w:ascii="Times New Roman" w:hAnsi="Times New Roman" w:eastAsia="宋体" w:cs="Times New Roman"/>
                <w:color w:val="auto"/>
                <w:kern w:val="0"/>
                <w:sz w:val="21"/>
                <w:szCs w:val="24"/>
                <w:highlight w:val="none"/>
                <w:u w:val="none" w:color="auto"/>
                <w:lang w:val="en-US" w:eastAsia="zh-CN" w:bidi="ar-SA"/>
              </w:rPr>
              <w:t>用地类型主要为耕地、园地、林地、其他农用地、建设用地等。</w:t>
            </w:r>
            <w:r>
              <w:rPr>
                <w:rFonts w:hint="eastAsia"/>
                <w:color w:val="auto"/>
                <w:lang w:val="en-US" w:eastAsia="zh-CN"/>
              </w:rPr>
              <w:t>根据本项目与湘阴县“三区三线”划定成果套合示意图，本项目用地范围不涉及生态保护红线、永久基本农田和河湖界限（附图10）。</w:t>
            </w:r>
          </w:p>
          <w:p>
            <w:pPr>
              <w:spacing w:line="360" w:lineRule="auto"/>
              <w:ind w:firstLine="420" w:firstLineChars="200"/>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根据湘阴县自然资源局于2025年6月11日出具的《关于中央政府煤炭储备湖南港航水利集团湘阴项目用地预审与选址审查意见》（附件4），本项目地块红线面积包含于已获湖南省自然资源厅核发的《</w:t>
            </w:r>
            <w:r>
              <w:rPr>
                <w:rFonts w:hint="eastAsia" w:ascii="Times New Roman" w:hAnsi="Times New Roman" w:cs="Times New Roman"/>
                <w:color w:val="auto"/>
                <w:sz w:val="21"/>
                <w:szCs w:val="21"/>
                <w:u w:val="none" w:color="auto"/>
                <w:lang w:val="en-US" w:eastAsia="zh-CN"/>
              </w:rPr>
              <w:t>虞公港二期工程用地预审与选址意见书</w:t>
            </w:r>
            <w:r>
              <w:rPr>
                <w:rFonts w:hint="eastAsia" w:cs="Times New Roman"/>
                <w:color w:val="auto"/>
                <w:sz w:val="21"/>
                <w:szCs w:val="21"/>
                <w:u w:val="none" w:color="auto"/>
                <w:lang w:val="en-US" w:eastAsia="zh-CN"/>
              </w:rPr>
              <w:t>》（用字第4306242025XS0002S00号）地块范围内，无需重复预审，同意项目选址。</w:t>
            </w:r>
          </w:p>
          <w:p>
            <w:pPr>
              <w:spacing w:line="360" w:lineRule="auto"/>
              <w:ind w:firstLine="420" w:firstLineChars="200"/>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根据湖南省自然资源厅2025年5月28日出具的《湘阴</w:t>
            </w:r>
            <w:r>
              <w:rPr>
                <w:rFonts w:hint="eastAsia" w:ascii="Times New Roman" w:hAnsi="Times New Roman" w:cs="Times New Roman"/>
                <w:color w:val="auto"/>
                <w:sz w:val="21"/>
                <w:szCs w:val="21"/>
                <w:u w:val="none" w:color="auto"/>
                <w:lang w:val="en-US" w:eastAsia="zh-CN"/>
              </w:rPr>
              <w:t>虞公港二期工程建设项目用地预审与选址意见</w:t>
            </w:r>
            <w:r>
              <w:rPr>
                <w:rFonts w:hint="eastAsia" w:cs="Times New Roman"/>
                <w:color w:val="auto"/>
                <w:sz w:val="21"/>
                <w:szCs w:val="21"/>
                <w:u w:val="none" w:color="auto"/>
                <w:lang w:val="en-US" w:eastAsia="zh-CN"/>
              </w:rPr>
              <w:t>》及2025年5月28日核发的《</w:t>
            </w:r>
            <w:r>
              <w:rPr>
                <w:rFonts w:hint="eastAsia" w:ascii="Times New Roman" w:hAnsi="Times New Roman" w:cs="Times New Roman"/>
                <w:color w:val="auto"/>
                <w:sz w:val="21"/>
                <w:szCs w:val="21"/>
                <w:u w:val="none" w:color="auto"/>
                <w:lang w:val="en-US" w:eastAsia="zh-CN"/>
              </w:rPr>
              <w:t>虞公港二期工程用地预审与选址意见书</w:t>
            </w:r>
            <w:r>
              <w:rPr>
                <w:rFonts w:hint="eastAsia" w:cs="Times New Roman"/>
                <w:color w:val="auto"/>
                <w:sz w:val="21"/>
                <w:szCs w:val="21"/>
                <w:u w:val="none" w:color="auto"/>
                <w:lang w:val="en-US" w:eastAsia="zh-CN"/>
              </w:rPr>
              <w:t>》（用字第4306242025XS0002S00号）（附件4），本项目用地符合《湘阴县国土空间总体规划（2021-2035年）》（湘政函[2024]75号），不涉及各级自然保护区，不涉及生态保护红线，不涉及永久基本农田，符合城镇开发边界管控规则。</w:t>
            </w:r>
          </w:p>
          <w:p>
            <w:pPr>
              <w:keepNext w:val="0"/>
              <w:keepLines w:val="0"/>
              <w:suppressLineNumbers w:val="0"/>
              <w:tabs>
                <w:tab w:val="left" w:pos="3705"/>
                <w:tab w:val="left" w:pos="4680"/>
              </w:tabs>
              <w:autoSpaceDE w:val="0"/>
              <w:autoSpaceDN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本</w:t>
            </w:r>
            <w:r>
              <w:rPr>
                <w:rFonts w:hint="eastAsia" w:ascii="Times New Roman" w:hAnsi="Times New Roman" w:eastAsia="宋体" w:cs="Times New Roman"/>
                <w:color w:val="auto"/>
                <w:kern w:val="2"/>
                <w:sz w:val="21"/>
                <w:szCs w:val="21"/>
                <w:u w:val="none" w:color="auto"/>
                <w:lang w:val="en-US" w:eastAsia="zh-CN" w:bidi="ar-SA"/>
              </w:rPr>
              <w:t>项目建设场地场区地形平坦，地势开阔，地貌类型单一，场地稳定性好，适宜于本工程建设。本项目位于虞公港，</w:t>
            </w:r>
            <w:r>
              <w:rPr>
                <w:rFonts w:hint="eastAsia" w:cs="Times New Roman"/>
                <w:color w:val="auto"/>
                <w:kern w:val="2"/>
                <w:sz w:val="21"/>
                <w:szCs w:val="21"/>
                <w:u w:val="none" w:color="auto"/>
                <w:lang w:val="en-US" w:eastAsia="zh-CN" w:bidi="ar-SA"/>
              </w:rPr>
              <w:t>本项目煤炭输送可依托虞公港工程，</w:t>
            </w:r>
            <w:r>
              <w:rPr>
                <w:rFonts w:hint="eastAsia" w:ascii="Times New Roman" w:hAnsi="Times New Roman" w:eastAsia="宋体" w:cs="Times New Roman"/>
                <w:color w:val="auto"/>
                <w:kern w:val="2"/>
                <w:sz w:val="21"/>
                <w:szCs w:val="21"/>
                <w:u w:val="none" w:color="auto"/>
                <w:lang w:val="en-US" w:eastAsia="zh-CN" w:bidi="ar-SA"/>
              </w:rPr>
              <w:t>所需的水、电、路、通信可依托</w:t>
            </w:r>
            <w:r>
              <w:rPr>
                <w:rFonts w:hint="eastAsia" w:cs="Times New Roman"/>
                <w:color w:val="auto"/>
                <w:kern w:val="2"/>
                <w:sz w:val="21"/>
                <w:szCs w:val="21"/>
                <w:u w:val="none" w:color="auto"/>
                <w:lang w:val="en-US" w:eastAsia="zh-CN" w:bidi="ar-SA"/>
              </w:rPr>
              <w:t>虞公港</w:t>
            </w:r>
            <w:r>
              <w:rPr>
                <w:rFonts w:hint="eastAsia" w:ascii="Times New Roman" w:hAnsi="Times New Roman" w:eastAsia="宋体" w:cs="Times New Roman"/>
                <w:color w:val="auto"/>
                <w:kern w:val="2"/>
                <w:sz w:val="21"/>
                <w:szCs w:val="21"/>
                <w:u w:val="none" w:color="auto"/>
                <w:lang w:val="en-US" w:eastAsia="zh-CN" w:bidi="ar-SA"/>
              </w:rPr>
              <w:t>已建工程现有接入条件</w:t>
            </w:r>
            <w:r>
              <w:rPr>
                <w:rFonts w:hint="eastAsia" w:cs="Times New Roman"/>
                <w:color w:val="auto"/>
                <w:kern w:val="2"/>
                <w:sz w:val="21"/>
                <w:szCs w:val="21"/>
                <w:u w:val="none" w:color="auto"/>
                <w:lang w:val="en-US" w:eastAsia="zh-CN" w:bidi="ar-SA"/>
              </w:rPr>
              <w:t>。</w:t>
            </w:r>
            <w:r>
              <w:rPr>
                <w:rFonts w:hint="eastAsia" w:ascii="Times New Roman" w:hAnsi="Times New Roman" w:eastAsia="宋体" w:cs="Times New Roman"/>
                <w:color w:val="auto"/>
                <w:kern w:val="2"/>
                <w:sz w:val="21"/>
                <w:szCs w:val="21"/>
                <w:u w:val="none" w:color="auto"/>
                <w:lang w:val="en-US" w:eastAsia="zh-CN" w:bidi="ar-SA"/>
              </w:rPr>
              <w:t>因此，项目选址合理</w:t>
            </w:r>
            <w:r>
              <w:rPr>
                <w:rFonts w:hint="eastAsia" w:cs="Times New Roman"/>
                <w:color w:val="auto"/>
                <w:kern w:val="2"/>
                <w:sz w:val="21"/>
                <w:szCs w:val="21"/>
                <w:u w:val="none" w:color="auto"/>
                <w:lang w:val="en-US" w:eastAsia="zh-CN" w:bidi="ar-SA"/>
              </w:rPr>
              <w:t>可行</w:t>
            </w:r>
            <w:r>
              <w:rPr>
                <w:rFonts w:hint="eastAsia" w:ascii="Times New Roman" w:hAnsi="Times New Roman" w:eastAsia="宋体" w:cs="Times New Roman"/>
                <w:color w:val="auto"/>
                <w:kern w:val="2"/>
                <w:sz w:val="21"/>
                <w:szCs w:val="21"/>
                <w:u w:val="none" w:color="auto"/>
                <w:lang w:val="en-US" w:eastAsia="zh-CN" w:bidi="ar-SA"/>
              </w:rPr>
              <w:t>。</w:t>
            </w:r>
          </w:p>
          <w:p>
            <w:pPr>
              <w:keepNext w:val="0"/>
              <w:keepLines w:val="0"/>
              <w:suppressLineNumbers w:val="0"/>
              <w:tabs>
                <w:tab w:val="left" w:pos="3705"/>
                <w:tab w:val="left" w:pos="4680"/>
              </w:tabs>
              <w:autoSpaceDE w:val="0"/>
              <w:autoSpaceDN w:val="0"/>
              <w:spacing w:before="0" w:beforeAutospacing="0" w:after="0" w:afterAutospacing="0" w:line="360" w:lineRule="auto"/>
              <w:ind w:left="0" w:right="0" w:firstLine="422" w:firstLineChars="200"/>
              <w:jc w:val="both"/>
              <w:rPr>
                <w:rFonts w:hint="eastAsia" w:ascii="Times New Roman" w:hAnsi="Times New Roman" w:eastAsia="宋体" w:cs="Times New Roman"/>
                <w:b w:val="0"/>
                <w:bCs w:val="0"/>
                <w:color w:val="auto"/>
                <w:sz w:val="21"/>
                <w:szCs w:val="21"/>
                <w:u w:val="none" w:color="auto"/>
                <w:lang w:val="en-US" w:eastAsia="zh-CN" w:bidi="zh-CN"/>
              </w:rPr>
            </w:pPr>
            <w:r>
              <w:rPr>
                <w:rFonts w:hint="eastAsia" w:cs="Times New Roman"/>
                <w:b/>
                <w:bCs/>
                <w:color w:val="auto"/>
                <w:kern w:val="2"/>
                <w:sz w:val="21"/>
                <w:szCs w:val="21"/>
                <w:u w:val="none" w:color="auto"/>
                <w:lang w:val="en-US" w:eastAsia="zh-CN" w:bidi="ar-SA"/>
              </w:rPr>
              <w:t>4、与《岳阳市生态环境保护“十四五”规划（2021-2025）》的符合性分析</w:t>
            </w:r>
          </w:p>
          <w:p>
            <w:pPr>
              <w:adjustRightInd w:val="0"/>
              <w:snapToGrid w:val="0"/>
              <w:jc w:val="center"/>
              <w:rPr>
                <w:rFonts w:hint="default" w:ascii="Times New Roman" w:hAnsi="Times New Roman" w:eastAsia="宋体" w:cs="宋体"/>
                <w:b/>
                <w:color w:val="auto"/>
                <w:sz w:val="21"/>
                <w:szCs w:val="21"/>
                <w:u w:val="none" w:color="auto"/>
                <w:lang w:val="en-US" w:eastAsia="zh-CN"/>
              </w:rPr>
            </w:pPr>
            <w:r>
              <w:rPr>
                <w:rFonts w:hint="eastAsia" w:ascii="Times New Roman" w:hAnsi="Times New Roman" w:eastAsia="宋体" w:cs="宋体"/>
                <w:b/>
                <w:color w:val="auto"/>
                <w:sz w:val="21"/>
                <w:szCs w:val="21"/>
                <w:u w:val="none" w:color="auto"/>
                <w:lang w:val="en-US" w:eastAsia="zh-CN"/>
              </w:rPr>
              <w:t>表1-</w:t>
            </w:r>
            <w:r>
              <w:rPr>
                <w:rFonts w:hint="eastAsia" w:cs="宋体"/>
                <w:b/>
                <w:color w:val="auto"/>
                <w:sz w:val="21"/>
                <w:szCs w:val="21"/>
                <w:u w:val="none" w:color="auto"/>
                <w:lang w:val="en-US" w:eastAsia="zh-CN"/>
              </w:rPr>
              <w:t>4</w:t>
            </w:r>
            <w:r>
              <w:rPr>
                <w:rFonts w:hint="eastAsia" w:ascii="Times New Roman" w:hAnsi="Times New Roman" w:eastAsia="宋体" w:cs="宋体"/>
                <w:b/>
                <w:color w:val="auto"/>
                <w:sz w:val="21"/>
                <w:szCs w:val="21"/>
                <w:u w:val="none" w:color="auto"/>
                <w:lang w:val="en-US" w:eastAsia="zh-CN"/>
              </w:rPr>
              <w:t>与《岳阳市生态环境保护“十四五”规划（2021-2025）》符合性分析表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949"/>
              <w:gridCol w:w="2945"/>
              <w:gridCol w:w="2836"/>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4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bidi="zh-CN"/>
                    </w:rPr>
                  </w:pPr>
                  <w:r>
                    <w:rPr>
                      <w:rFonts w:hint="eastAsia" w:cs="Times New Roman"/>
                      <w:b/>
                      <w:bCs/>
                      <w:color w:val="auto"/>
                      <w:sz w:val="21"/>
                      <w:szCs w:val="21"/>
                      <w:u w:val="none" w:color="auto"/>
                      <w:vertAlign w:val="baseline"/>
                      <w:lang w:val="en-US" w:eastAsia="zh-CN" w:bidi="zh-CN"/>
                    </w:rPr>
                    <w:t>条款</w:t>
                  </w:r>
                </w:p>
              </w:tc>
              <w:tc>
                <w:tcPr>
                  <w:tcW w:w="2012"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bidi="zh-CN"/>
                    </w:rPr>
                  </w:pPr>
                  <w:r>
                    <w:rPr>
                      <w:rFonts w:hint="eastAsia" w:cs="Times New Roman"/>
                      <w:b/>
                      <w:bCs/>
                      <w:color w:val="auto"/>
                      <w:sz w:val="21"/>
                      <w:szCs w:val="21"/>
                      <w:u w:val="none" w:color="auto"/>
                      <w:vertAlign w:val="baseline"/>
                      <w:lang w:val="en-US" w:eastAsia="zh-CN" w:bidi="zh-CN"/>
                    </w:rPr>
                    <w:t>规划相关内容摘录</w:t>
                  </w:r>
                </w:p>
              </w:tc>
              <w:tc>
                <w:tcPr>
                  <w:tcW w:w="1937"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bidi="zh-CN"/>
                    </w:rPr>
                  </w:pPr>
                  <w:r>
                    <w:rPr>
                      <w:rFonts w:hint="default" w:ascii="Times New Roman" w:hAnsi="Times New Roman" w:eastAsia="宋体" w:cs="Times New Roman"/>
                      <w:b/>
                      <w:bCs/>
                      <w:color w:val="auto"/>
                      <w:sz w:val="21"/>
                      <w:szCs w:val="21"/>
                      <w:u w:val="none" w:color="auto"/>
                      <w:vertAlign w:val="baseline"/>
                      <w:lang w:val="en-US" w:eastAsia="zh-CN" w:bidi="zh-CN"/>
                    </w:rPr>
                    <w:t>项目情况</w:t>
                  </w:r>
                </w:p>
              </w:tc>
              <w:tc>
                <w:tcPr>
                  <w:tcW w:w="401"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bidi="zh-CN"/>
                    </w:rPr>
                  </w:pPr>
                  <w:r>
                    <w:rPr>
                      <w:rFonts w:hint="default" w:ascii="Times New Roman" w:hAnsi="Times New Roman" w:eastAsia="宋体" w:cs="Times New Roman"/>
                      <w:b/>
                      <w:bCs/>
                      <w:color w:val="auto"/>
                      <w:sz w:val="21"/>
                      <w:szCs w:val="21"/>
                      <w:u w:val="none" w:color="auto"/>
                      <w:vertAlign w:val="baseline"/>
                      <w:lang w:val="en-US" w:eastAsia="zh-CN" w:bidi="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48" w:type="pct"/>
                  <w:noWrap w:val="0"/>
                  <w:vAlign w:val="center"/>
                </w:tcPr>
                <w:p>
                  <w:pPr>
                    <w:keepNext w:val="0"/>
                    <w:keepLines w:val="0"/>
                    <w:pageBreakBefore w:val="0"/>
                    <w:widowControl w:val="0"/>
                    <w:numPr>
                      <w:ilvl w:val="0"/>
                      <w:numId w:val="8"/>
                    </w:numPr>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积极推进碳达峰碳中和，助推绿色发展</w:t>
                  </w:r>
                  <w:r>
                    <w:rPr>
                      <w:rFonts w:hint="eastAsia" w:ascii="Times New Roman" w:hAnsi="Times New Roman" w:eastAsia="宋体" w:cs="Times New Roman"/>
                      <w:color w:val="auto"/>
                      <w:sz w:val="21"/>
                      <w:szCs w:val="21"/>
                      <w:u w:val="none" w:color="auto"/>
                      <w:vertAlign w:val="baseline"/>
                      <w:lang w:val="en-US" w:eastAsia="zh-CN" w:bidi="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p>
              </w:tc>
              <w:tc>
                <w:tcPr>
                  <w:tcW w:w="2012"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Chars="0" w:right="0" w:rightChars="0" w:firstLine="420" w:firstLineChars="20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强化生态环境分区管控。严格落实岳阳市“三线一单”生态环境总体管控要求，将生态保护红线、环境质量底线、资源利用上线和生态环境准入清单作为硬约束落实到环境管控单元。</w:t>
                  </w:r>
                </w:p>
              </w:tc>
              <w:tc>
                <w:tcPr>
                  <w:tcW w:w="1937"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eastAsia" w:cs="Times New Roman"/>
                      <w:color w:val="auto"/>
                      <w:sz w:val="21"/>
                      <w:szCs w:val="21"/>
                      <w:u w:val="none" w:color="auto"/>
                      <w:vertAlign w:val="baseline"/>
                      <w:lang w:val="en-US" w:eastAsia="zh-CN" w:bidi="zh-CN"/>
                    </w:rPr>
                    <w:t>根据上文分析，本项目符合岳阳市</w:t>
                  </w:r>
                  <w:r>
                    <w:rPr>
                      <w:rFonts w:hint="default" w:ascii="Times New Roman" w:hAnsi="Times New Roman" w:eastAsia="宋体" w:cs="Times New Roman"/>
                      <w:color w:val="auto"/>
                      <w:sz w:val="21"/>
                      <w:szCs w:val="21"/>
                      <w:u w:val="none" w:color="auto"/>
                      <w:vertAlign w:val="baseline"/>
                      <w:lang w:val="en-US" w:eastAsia="zh-CN" w:bidi="zh-CN"/>
                    </w:rPr>
                    <w:t>岳阳市“三线一单”生态环境总体管控要求</w:t>
                  </w:r>
                  <w:r>
                    <w:rPr>
                      <w:rFonts w:hint="eastAsia" w:ascii="Times New Roman" w:hAnsi="Times New Roman" w:eastAsia="宋体" w:cs="Times New Roman"/>
                      <w:color w:val="auto"/>
                      <w:sz w:val="21"/>
                      <w:szCs w:val="21"/>
                      <w:u w:val="none" w:color="auto"/>
                      <w:vertAlign w:val="baseline"/>
                      <w:lang w:val="en-US" w:eastAsia="zh-CN" w:bidi="zh-CN"/>
                    </w:rPr>
                    <w:t>。</w:t>
                  </w:r>
                </w:p>
              </w:tc>
              <w:tc>
                <w:tcPr>
                  <w:tcW w:w="401"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48" w:type="pct"/>
                  <w:vMerge w:val="restart"/>
                  <w:noWrap w:val="0"/>
                  <w:vAlign w:val="center"/>
                </w:tcPr>
                <w:p>
                  <w:pPr>
                    <w:keepNext w:val="0"/>
                    <w:keepLines w:val="0"/>
                    <w:pageBreakBefore w:val="0"/>
                    <w:widowControl w:val="0"/>
                    <w:numPr>
                      <w:ilvl w:val="0"/>
                      <w:numId w:val="8"/>
                    </w:numPr>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深入打好污染防治攻坚战，持续改善环境质量</w:t>
                  </w:r>
                  <w:r>
                    <w:rPr>
                      <w:rFonts w:hint="eastAsia" w:ascii="Times New Roman" w:hAnsi="Times New Roman" w:eastAsia="宋体" w:cs="Times New Roman"/>
                      <w:color w:val="auto"/>
                      <w:sz w:val="21"/>
                      <w:szCs w:val="21"/>
                      <w:u w:val="none" w:color="auto"/>
                      <w:vertAlign w:val="baseline"/>
                      <w:lang w:val="en-US" w:eastAsia="zh-CN" w:bidi="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p>
              </w:tc>
              <w:tc>
                <w:tcPr>
                  <w:tcW w:w="2012" w:type="pct"/>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right="0" w:right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加强重点领域水污染治理。加快城乡生活源治理。</w:t>
                  </w:r>
                </w:p>
              </w:tc>
              <w:tc>
                <w:tcPr>
                  <w:tcW w:w="1937"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eastAsia" w:cs="Times New Roman"/>
                      <w:color w:val="auto"/>
                      <w:sz w:val="21"/>
                      <w:szCs w:val="21"/>
                      <w:u w:val="none" w:color="auto"/>
                      <w:vertAlign w:val="baseline"/>
                      <w:lang w:val="en-US" w:eastAsia="zh-CN" w:bidi="zh-CN"/>
                    </w:rPr>
                  </w:pPr>
                  <w:r>
                    <w:rPr>
                      <w:rFonts w:hint="eastAsia" w:cs="Times New Roman"/>
                      <w:color w:val="auto"/>
                      <w:sz w:val="21"/>
                      <w:szCs w:val="21"/>
                      <w:u w:val="none" w:color="auto"/>
                      <w:vertAlign w:val="baseline"/>
                      <w:lang w:val="en-US" w:eastAsia="zh-CN" w:bidi="zh-CN"/>
                    </w:rPr>
                    <w:t>项目地面冲洗废水经集水坑收集、初期雨水经初期雨水池沉淀后，经泵提升至虞公港生产废水处理站处理后，全部回用于厂区喷洒降尘、绿化，不外排。</w:t>
                  </w:r>
                </w:p>
              </w:tc>
              <w:tc>
                <w:tcPr>
                  <w:tcW w:w="401"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符合</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48" w:type="pct"/>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p>
              </w:tc>
              <w:tc>
                <w:tcPr>
                  <w:tcW w:w="2012"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加强细颗粒物和臭氧协同控制。</w:t>
                  </w:r>
                </w:p>
              </w:tc>
              <w:tc>
                <w:tcPr>
                  <w:tcW w:w="1937"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eastAsia" w:cs="Times New Roman"/>
                      <w:color w:val="auto"/>
                      <w:sz w:val="21"/>
                      <w:szCs w:val="21"/>
                      <w:u w:val="none" w:color="auto"/>
                      <w:vertAlign w:val="baseline"/>
                      <w:lang w:val="en-US" w:eastAsia="zh-CN" w:bidi="zh-CN"/>
                    </w:rPr>
                  </w:pPr>
                  <w:r>
                    <w:rPr>
                      <w:rFonts w:hint="eastAsia" w:ascii="Times New Roman" w:hAnsi="Times New Roman" w:eastAsia="宋体" w:cs="Times New Roman"/>
                      <w:color w:val="auto"/>
                      <w:sz w:val="21"/>
                      <w:szCs w:val="21"/>
                      <w:highlight w:val="none"/>
                      <w:lang w:eastAsia="zh-CN"/>
                    </w:rPr>
                    <w:t>本项目储煤场全封闭，储煤棚采用固定式远程射雾器抑尘；带式输送机采用全封闭式，煤炭运输转载点全封闭式，装载点采用干雾除尘装置降尘。</w:t>
                  </w:r>
                </w:p>
              </w:tc>
              <w:tc>
                <w:tcPr>
                  <w:tcW w:w="401"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48" w:type="pct"/>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p>
              </w:tc>
              <w:tc>
                <w:tcPr>
                  <w:tcW w:w="2012"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强化建筑扬尘综合治理。建成区内房屋建筑和市政基础设施工程施工工地严格落实扬尘防控“六个 100%”，全面推行绿色施工，将绿色施工纳入企业资质评价、信用评价。</w:t>
                  </w:r>
                </w:p>
              </w:tc>
              <w:tc>
                <w:tcPr>
                  <w:tcW w:w="1937" w:type="pct"/>
                  <w:noWrap w:val="0"/>
                  <w:vAlign w:val="center"/>
                </w:tcPr>
                <w:p>
                  <w:pPr>
                    <w:pStyle w:val="52"/>
                    <w:tabs>
                      <w:tab w:val="left" w:pos="480"/>
                    </w:tabs>
                    <w:spacing w:line="240" w:lineRule="auto"/>
                    <w:ind w:left="0" w:leftChars="0" w:firstLine="0" w:firstLineChars="0"/>
                    <w:jc w:val="both"/>
                    <w:rPr>
                      <w:rFonts w:hint="eastAsia" w:cs="Times New Roman"/>
                      <w:color w:val="auto"/>
                      <w:sz w:val="21"/>
                      <w:szCs w:val="21"/>
                      <w:u w:val="none" w:color="auto"/>
                      <w:vertAlign w:val="baseline"/>
                      <w:lang w:val="en-US" w:eastAsia="zh-CN" w:bidi="zh-CN"/>
                    </w:rPr>
                  </w:pPr>
                  <w:r>
                    <w:rPr>
                      <w:rFonts w:hint="eastAsia" w:ascii="Times New Roman" w:hAnsi="Calibri" w:eastAsia="宋体" w:cs="Times New Roman"/>
                      <w:color w:val="auto"/>
                      <w:sz w:val="21"/>
                      <w:szCs w:val="21"/>
                      <w:highlight w:val="none"/>
                      <w:lang w:eastAsia="zh-CN"/>
                    </w:rPr>
                    <w:t>项目施工期严格</w:t>
                  </w:r>
                  <w:r>
                    <w:rPr>
                      <w:rFonts w:ascii="宋体" w:hAnsi="宋体" w:eastAsia="宋体" w:cs="Times New Roman"/>
                      <w:color w:val="auto"/>
                      <w:sz w:val="21"/>
                      <w:szCs w:val="21"/>
                      <w:highlight w:val="none"/>
                    </w:rPr>
                    <w:t>落实“六个百分百”扬尘防治要求。</w:t>
                  </w:r>
                </w:p>
              </w:tc>
              <w:tc>
                <w:tcPr>
                  <w:tcW w:w="401"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48" w:type="pct"/>
                  <w:vMerge w:val="restar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（四）强化环境风险防范，严守环境安全底线</w:t>
                  </w:r>
                </w:p>
              </w:tc>
              <w:tc>
                <w:tcPr>
                  <w:tcW w:w="2012"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控制工业固体废物产生、收集和贮存过程。强化岳阳市新建项目固废源头管理，对工业固体废物无法就近处置的项目从严把关审批。</w:t>
                  </w:r>
                </w:p>
              </w:tc>
              <w:tc>
                <w:tcPr>
                  <w:tcW w:w="1937" w:type="pct"/>
                  <w:noWrap w:val="0"/>
                  <w:vAlign w:val="center"/>
                </w:tcPr>
                <w:p>
                  <w:pPr>
                    <w:pStyle w:val="52"/>
                    <w:tabs>
                      <w:tab w:val="left" w:pos="480"/>
                    </w:tabs>
                    <w:spacing w:line="240" w:lineRule="auto"/>
                    <w:ind w:left="0" w:leftChars="0" w:firstLine="0" w:firstLineChars="0"/>
                    <w:jc w:val="both"/>
                    <w:rPr>
                      <w:rFonts w:hint="default" w:ascii="Times New Roman" w:hAnsi="Times New Roman" w:eastAsia="宋体" w:cs="Times New Roman"/>
                      <w:color w:val="auto"/>
                      <w:sz w:val="21"/>
                      <w:szCs w:val="21"/>
                      <w:u w:val="none" w:color="auto"/>
                      <w:vertAlign w:val="baseline"/>
                      <w:lang w:val="en-US" w:eastAsia="zh-CN" w:bidi="zh-CN"/>
                    </w:rPr>
                  </w:pPr>
                  <w:r>
                    <w:rPr>
                      <w:rFonts w:hint="eastAsia" w:ascii="Times New Roman" w:hAnsi="Calibri" w:eastAsia="宋体" w:cs="Times New Roman"/>
                      <w:color w:val="auto"/>
                      <w:sz w:val="21"/>
                      <w:szCs w:val="21"/>
                      <w:highlight w:val="none"/>
                      <w:lang w:eastAsia="zh-CN"/>
                    </w:rPr>
                    <w:t>项目</w:t>
                  </w:r>
                  <w:r>
                    <w:rPr>
                      <w:rFonts w:hint="eastAsia" w:cs="Times New Roman"/>
                      <w:color w:val="auto"/>
                      <w:kern w:val="0"/>
                      <w:sz w:val="21"/>
                      <w:szCs w:val="21"/>
                      <w:u w:val="none" w:color="auto"/>
                      <w:lang w:val="en-US" w:eastAsia="zh-CN" w:bidi="ar"/>
                    </w:rPr>
                    <w:t>生产废水处理站煤泥脱水后进入煤棚，掺入原煤外售；生活垃圾交由环卫部门处理。</w:t>
                  </w:r>
                </w:p>
              </w:tc>
              <w:tc>
                <w:tcPr>
                  <w:tcW w:w="401"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48" w:type="pct"/>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p>
              </w:tc>
              <w:tc>
                <w:tcPr>
                  <w:tcW w:w="2012"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加强危险废物风险防控。</w:t>
                  </w:r>
                </w:p>
              </w:tc>
              <w:tc>
                <w:tcPr>
                  <w:tcW w:w="1937"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both"/>
                    <w:textAlignment w:val="auto"/>
                    <w:rPr>
                      <w:rFonts w:hint="eastAsia" w:cs="Times New Roman"/>
                      <w:color w:val="auto"/>
                      <w:highlight w:val="none"/>
                      <w:u w:val="none" w:color="auto"/>
                      <w:vertAlign w:val="baseline"/>
                      <w:lang w:val="en-US" w:eastAsia="zh-CN"/>
                    </w:rPr>
                  </w:pPr>
                  <w:r>
                    <w:rPr>
                      <w:rFonts w:hint="eastAsia" w:ascii="Times New Roman" w:hAnsi="Calibri" w:eastAsia="宋体" w:cs="Times New Roman"/>
                      <w:color w:val="auto"/>
                      <w:sz w:val="21"/>
                      <w:szCs w:val="21"/>
                      <w:highlight w:val="none"/>
                      <w:lang w:eastAsia="zh-CN"/>
                    </w:rPr>
                    <w:t>项目</w:t>
                  </w:r>
                  <w:r>
                    <w:rPr>
                      <w:rFonts w:hint="eastAsia" w:cs="Times New Roman"/>
                      <w:color w:val="auto"/>
                      <w:kern w:val="0"/>
                      <w:sz w:val="21"/>
                      <w:szCs w:val="21"/>
                      <w:u w:val="none" w:color="auto"/>
                      <w:lang w:val="en-US" w:eastAsia="zh-CN" w:bidi="ar"/>
                    </w:rPr>
                    <w:t>机电设备维修产生废润滑油、含油抹布、手套等，依托虞公港危废暂存间储存，交由资质单位进行处理。</w:t>
                  </w:r>
                </w:p>
              </w:tc>
              <w:tc>
                <w:tcPr>
                  <w:tcW w:w="401"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符合</w:t>
                  </w:r>
                </w:p>
              </w:tc>
            </w:tr>
          </w:tbl>
          <w:p>
            <w:pPr>
              <w:keepNext w:val="0"/>
              <w:keepLines w:val="0"/>
              <w:suppressLineNumbers w:val="0"/>
              <w:tabs>
                <w:tab w:val="left" w:pos="3705"/>
                <w:tab w:val="left" w:pos="4680"/>
              </w:tabs>
              <w:autoSpaceDE w:val="0"/>
              <w:autoSpaceDN w:val="0"/>
              <w:spacing w:before="0" w:beforeAutospacing="0" w:after="0" w:afterAutospacing="0" w:line="360" w:lineRule="auto"/>
              <w:ind w:left="0" w:right="0" w:firstLine="422" w:firstLineChars="200"/>
              <w:jc w:val="both"/>
              <w:rPr>
                <w:rFonts w:hint="eastAsia" w:cs="Times New Roman"/>
                <w:b/>
                <w:bCs/>
                <w:color w:val="auto"/>
                <w:kern w:val="2"/>
                <w:sz w:val="21"/>
                <w:szCs w:val="21"/>
                <w:u w:val="none" w:color="auto"/>
                <w:lang w:val="en-US" w:eastAsia="zh-CN" w:bidi="ar-SA"/>
              </w:rPr>
            </w:pPr>
            <w:r>
              <w:rPr>
                <w:rFonts w:hint="eastAsia" w:cs="Times New Roman"/>
                <w:b/>
                <w:bCs/>
                <w:color w:val="auto"/>
                <w:kern w:val="2"/>
                <w:sz w:val="21"/>
                <w:szCs w:val="21"/>
                <w:u w:val="none" w:color="auto"/>
                <w:lang w:val="en-US" w:eastAsia="zh-CN" w:bidi="ar-SA"/>
              </w:rPr>
              <w:t>5、与《湖南省“十四五”生态环境保护规划》符合性分析</w:t>
            </w:r>
          </w:p>
          <w:p>
            <w:pPr>
              <w:adjustRightInd w:val="0"/>
              <w:snapToGrid w:val="0"/>
              <w:jc w:val="center"/>
              <w:rPr>
                <w:rFonts w:hint="default" w:ascii="Times New Roman" w:hAnsi="Times New Roman" w:eastAsia="宋体" w:cs="宋体"/>
                <w:b/>
                <w:color w:val="auto"/>
                <w:sz w:val="21"/>
                <w:szCs w:val="21"/>
                <w:u w:val="none" w:color="auto"/>
                <w:lang w:val="en-US" w:eastAsia="zh-CN"/>
              </w:rPr>
            </w:pPr>
            <w:r>
              <w:rPr>
                <w:rFonts w:hint="default" w:ascii="Times New Roman" w:hAnsi="Times New Roman" w:eastAsia="宋体" w:cs="宋体"/>
                <w:b/>
                <w:color w:val="auto"/>
                <w:sz w:val="21"/>
                <w:szCs w:val="21"/>
                <w:u w:val="none" w:color="auto"/>
                <w:lang w:val="en-US" w:eastAsia="zh-CN"/>
              </w:rPr>
              <w:t>表1-</w:t>
            </w:r>
            <w:r>
              <w:rPr>
                <w:rFonts w:hint="eastAsia" w:cs="宋体"/>
                <w:b/>
                <w:color w:val="auto"/>
                <w:sz w:val="21"/>
                <w:szCs w:val="21"/>
                <w:u w:val="none" w:color="auto"/>
                <w:lang w:val="en-US" w:eastAsia="zh-CN"/>
              </w:rPr>
              <w:t>5</w:t>
            </w:r>
            <w:r>
              <w:rPr>
                <w:rFonts w:hint="default" w:ascii="Times New Roman" w:hAnsi="Times New Roman" w:eastAsia="宋体" w:cs="宋体"/>
                <w:b/>
                <w:color w:val="auto"/>
                <w:sz w:val="21"/>
                <w:szCs w:val="21"/>
                <w:u w:val="none" w:color="auto"/>
                <w:lang w:val="en-US" w:eastAsia="zh-CN"/>
              </w:rPr>
              <w:t>与《湖南省“十四五”生态环境保护规划》符合性分析</w:t>
            </w:r>
            <w:r>
              <w:rPr>
                <w:rFonts w:hint="eastAsia" w:ascii="Times New Roman" w:hAnsi="Times New Roman" w:eastAsia="宋体" w:cs="宋体"/>
                <w:b/>
                <w:color w:val="auto"/>
                <w:sz w:val="21"/>
                <w:szCs w:val="21"/>
                <w:u w:val="none" w:color="auto"/>
                <w:lang w:val="en-US" w:eastAsia="zh-CN"/>
              </w:rPr>
              <w:t>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3276"/>
              <w:gridCol w:w="2717"/>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bidi="zh-CN"/>
                    </w:rPr>
                  </w:pPr>
                  <w:r>
                    <w:rPr>
                      <w:rFonts w:hint="default" w:ascii="Times New Roman" w:hAnsi="Times New Roman" w:eastAsia="宋体" w:cs="Times New Roman"/>
                      <w:b/>
                      <w:bCs/>
                      <w:color w:val="auto"/>
                      <w:sz w:val="21"/>
                      <w:szCs w:val="21"/>
                      <w:u w:val="none" w:color="auto"/>
                      <w:vertAlign w:val="baseline"/>
                      <w:lang w:val="en-US" w:eastAsia="zh-CN" w:bidi="zh-CN"/>
                    </w:rPr>
                    <w:t>序号</w:t>
                  </w:r>
                </w:p>
              </w:tc>
              <w:tc>
                <w:tcPr>
                  <w:tcW w:w="223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bidi="zh-CN"/>
                    </w:rPr>
                  </w:pPr>
                  <w:r>
                    <w:rPr>
                      <w:rFonts w:hint="default" w:ascii="Times New Roman" w:hAnsi="Times New Roman" w:eastAsia="宋体" w:cs="Times New Roman"/>
                      <w:b/>
                      <w:bCs/>
                      <w:color w:val="auto"/>
                      <w:sz w:val="21"/>
                      <w:szCs w:val="21"/>
                      <w:u w:val="none" w:color="auto"/>
                      <w:vertAlign w:val="baseline"/>
                      <w:lang w:val="en-US" w:eastAsia="zh-CN" w:bidi="zh-CN"/>
                    </w:rPr>
                    <w:t>规划要求</w:t>
                  </w:r>
                </w:p>
              </w:tc>
              <w:tc>
                <w:tcPr>
                  <w:tcW w:w="1856"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bidi="zh-CN"/>
                    </w:rPr>
                  </w:pPr>
                  <w:r>
                    <w:rPr>
                      <w:rFonts w:hint="default" w:ascii="Times New Roman" w:hAnsi="Times New Roman" w:eastAsia="宋体" w:cs="Times New Roman"/>
                      <w:b/>
                      <w:bCs/>
                      <w:color w:val="auto"/>
                      <w:sz w:val="21"/>
                      <w:szCs w:val="21"/>
                      <w:u w:val="none" w:color="auto"/>
                      <w:vertAlign w:val="baseline"/>
                      <w:lang w:val="en-US" w:eastAsia="zh-CN" w:bidi="zh-CN"/>
                    </w:rPr>
                    <w:t>项目情况</w:t>
                  </w:r>
                </w:p>
              </w:tc>
              <w:tc>
                <w:tcPr>
                  <w:tcW w:w="566"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bidi="zh-CN"/>
                    </w:rPr>
                  </w:pPr>
                  <w:r>
                    <w:rPr>
                      <w:rFonts w:hint="default" w:ascii="Times New Roman" w:hAnsi="Times New Roman" w:eastAsia="宋体" w:cs="Times New Roman"/>
                      <w:b/>
                      <w:bCs/>
                      <w:color w:val="auto"/>
                      <w:sz w:val="21"/>
                      <w:szCs w:val="21"/>
                      <w:u w:val="none" w:color="auto"/>
                      <w:vertAlign w:val="baseline"/>
                      <w:lang w:val="en-US" w:eastAsia="zh-CN" w:bidi="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eastAsia" w:ascii="Times New Roman" w:hAnsi="Times New Roman" w:eastAsia="宋体" w:cs="Times New Roman"/>
                      <w:color w:val="auto"/>
                      <w:sz w:val="21"/>
                      <w:szCs w:val="21"/>
                      <w:u w:val="none" w:color="auto"/>
                      <w:vertAlign w:val="baseline"/>
                      <w:lang w:val="en-US" w:eastAsia="zh-CN" w:bidi="zh-CN"/>
                    </w:rPr>
                    <w:t>1</w:t>
                  </w:r>
                </w:p>
              </w:tc>
              <w:tc>
                <w:tcPr>
                  <w:tcW w:w="223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深化重点领域水污染治理。以企业和工业聚集区为重点，推进工业园区污水处理设施分类管理、分期升级改造，实施省级及以上工业园区专项整治行动，实现省级及以上工业园区污水管网全覆盖、污水全收集、污水集中处理设施稳定达标运行、进出水水质在线监控并联网正常，规范设置园区集中污水处理设施排污口，建立园区水环境管理“一园一档”。加强涉重金属行业企业废水治理，推进重点行业氨氮和总磷排放总量控制。</w:t>
                  </w:r>
                </w:p>
              </w:tc>
              <w:tc>
                <w:tcPr>
                  <w:tcW w:w="1856"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cs="Times New Roman"/>
                      <w:color w:val="auto"/>
                      <w:kern w:val="0"/>
                      <w:sz w:val="21"/>
                      <w:szCs w:val="21"/>
                      <w:u w:val="none" w:color="auto"/>
                      <w:lang w:val="en-US" w:eastAsia="zh-CN" w:bidi="ar"/>
                    </w:rPr>
                  </w:pPr>
                  <w:r>
                    <w:rPr>
                      <w:rFonts w:hint="eastAsia" w:cs="Times New Roman"/>
                      <w:color w:val="auto"/>
                      <w:sz w:val="21"/>
                      <w:szCs w:val="21"/>
                      <w:u w:val="none" w:color="auto"/>
                      <w:vertAlign w:val="baseline"/>
                      <w:lang w:val="en-US" w:eastAsia="zh-CN" w:bidi="zh-CN"/>
                    </w:rPr>
                    <w:t>项目地面冲洗废水经集水坑收集、初期雨水经初期雨水池沉淀后，经泵提升至虞公港生产废水处理站处理后，全部回用于厂区喷洒降尘、绿化，不外排。</w:t>
                  </w:r>
                </w:p>
              </w:tc>
              <w:tc>
                <w:tcPr>
                  <w:tcW w:w="566"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eastAsia" w:ascii="Times New Roman" w:hAnsi="Times New Roman" w:eastAsia="宋体" w:cs="Times New Roman"/>
                      <w:color w:val="auto"/>
                      <w:sz w:val="21"/>
                      <w:szCs w:val="21"/>
                      <w:u w:val="none" w:color="auto"/>
                      <w:vertAlign w:val="baseline"/>
                      <w:lang w:val="en-US" w:eastAsia="zh-CN" w:bidi="zh-CN"/>
                    </w:rPr>
                    <w:t>2</w:t>
                  </w:r>
                </w:p>
              </w:tc>
              <w:tc>
                <w:tcPr>
                  <w:tcW w:w="223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推进PM2.5与臭氧协同治理。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强化扬尘污染精准科学管控。县级以上城市建成区内房屋建筑和市政基础设施工程施工工地严格落实扬尘防控“六个100%”，全面推行绿色施工，将绿色施工纳入企业资质评价、信用评价。推进低尘机械化湿式清扫作业，加大城市出入口、城乡结合部等重要路段冲洗保洁力度，渣土车实施硬覆盖与全密闭运输，强化道路绿化用地扬尘治理。加强码头作业扬尘控制，煤炭、矿石及干散货码头应全面完成防风抑尘设施建设，码头堆场应采用封闭方式进行堆存。</w:t>
                  </w:r>
                </w:p>
              </w:tc>
              <w:tc>
                <w:tcPr>
                  <w:tcW w:w="1856"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Calibri" w:eastAsia="宋体" w:cs="Times New Roman"/>
                      <w:color w:val="auto"/>
                      <w:sz w:val="21"/>
                      <w:szCs w:val="21"/>
                      <w:highlight w:val="none"/>
                      <w:lang w:eastAsia="zh-CN"/>
                    </w:rPr>
                    <w:t>①项目施工期严格</w:t>
                  </w:r>
                  <w:r>
                    <w:rPr>
                      <w:rFonts w:ascii="宋体" w:hAnsi="宋体" w:eastAsia="宋体" w:cs="Times New Roman"/>
                      <w:color w:val="auto"/>
                      <w:sz w:val="21"/>
                      <w:szCs w:val="21"/>
                      <w:highlight w:val="none"/>
                    </w:rPr>
                    <w:t>落实“六个百分百”扬尘防治要求。</w:t>
                  </w:r>
                  <w:r>
                    <w:rPr>
                      <w:rFonts w:hint="eastAsia" w:ascii="宋体" w:hAnsi="宋体" w:eastAsia="宋体" w:cs="Times New Roman"/>
                      <w:color w:val="auto"/>
                      <w:sz w:val="21"/>
                      <w:szCs w:val="21"/>
                      <w:highlight w:val="none"/>
                      <w:lang w:eastAsia="zh-CN"/>
                    </w:rPr>
                    <w:t>②项目</w:t>
                  </w:r>
                  <w:r>
                    <w:rPr>
                      <w:rFonts w:hint="eastAsia" w:ascii="Times New Roman" w:hAnsi="Times New Roman" w:eastAsia="宋体" w:cs="Times New Roman"/>
                      <w:color w:val="auto"/>
                      <w:sz w:val="21"/>
                      <w:szCs w:val="21"/>
                      <w:highlight w:val="none"/>
                      <w:lang w:eastAsia="zh-CN"/>
                    </w:rPr>
                    <w:t>采用固定式远程射雾器抑尘；带式输送机采用全封闭式，煤炭运输转载点全封闭式，装载点采用干雾除尘装置降尘。</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p>
              </w:tc>
              <w:tc>
                <w:tcPr>
                  <w:tcW w:w="566"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eastAsia" w:ascii="Times New Roman" w:hAnsi="Times New Roman" w:eastAsia="宋体" w:cs="Times New Roman"/>
                      <w:color w:val="auto"/>
                      <w:sz w:val="21"/>
                      <w:szCs w:val="21"/>
                      <w:u w:val="none" w:color="auto"/>
                      <w:vertAlign w:val="baseline"/>
                      <w:lang w:val="en-US" w:eastAsia="zh-CN" w:bidi="zh-CN"/>
                    </w:rPr>
                    <w:t>3</w:t>
                  </w:r>
                </w:p>
              </w:tc>
              <w:tc>
                <w:tcPr>
                  <w:tcW w:w="223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加强危险废物全过程监管。坚持“省外从严、省内盘活”原则，建立危险废物环境管理长效机制，完善危险废物环境管理体系，推进分级分类管理制度。</w:t>
                  </w:r>
                </w:p>
              </w:tc>
              <w:tc>
                <w:tcPr>
                  <w:tcW w:w="1856"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eastAsia" w:ascii="Times New Roman" w:hAnsi="Calibri" w:eastAsia="宋体" w:cs="Times New Roman"/>
                      <w:color w:val="auto"/>
                      <w:sz w:val="21"/>
                      <w:szCs w:val="21"/>
                      <w:highlight w:val="none"/>
                      <w:lang w:eastAsia="zh-CN"/>
                    </w:rPr>
                    <w:t>项目</w:t>
                  </w:r>
                  <w:r>
                    <w:rPr>
                      <w:rFonts w:hint="eastAsia" w:cs="Times New Roman"/>
                      <w:color w:val="auto"/>
                      <w:kern w:val="0"/>
                      <w:sz w:val="21"/>
                      <w:szCs w:val="21"/>
                      <w:u w:val="none" w:color="auto"/>
                      <w:lang w:val="en-US" w:eastAsia="zh-CN" w:bidi="ar"/>
                    </w:rPr>
                    <w:t>机电设备维修产生废润滑油、含油抹布、手套等，依托虞公港危废暂存间储存，交由资质单位进行处理。</w:t>
                  </w:r>
                </w:p>
              </w:tc>
              <w:tc>
                <w:tcPr>
                  <w:tcW w:w="566"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eastAsia" w:ascii="Times New Roman" w:hAnsi="Times New Roman" w:eastAsia="宋体" w:cs="Times New Roman"/>
                      <w:color w:val="auto"/>
                      <w:sz w:val="21"/>
                      <w:szCs w:val="21"/>
                      <w:u w:val="none" w:color="auto"/>
                      <w:vertAlign w:val="baseline"/>
                      <w:lang w:val="en-US" w:eastAsia="zh-CN" w:bidi="zh-CN"/>
                    </w:rPr>
                    <w:t>4</w:t>
                  </w:r>
                </w:p>
              </w:tc>
              <w:tc>
                <w:tcPr>
                  <w:tcW w:w="223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加强永久基本农田保护，对土壤污染详查严格管控类的永久基本农田进行核实整改补足，确保面积不减、质量提升、布局稳定。</w:t>
                  </w:r>
                </w:p>
              </w:tc>
              <w:tc>
                <w:tcPr>
                  <w:tcW w:w="1856"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eastAsia" w:ascii="Times New Roman" w:hAnsi="Times New Roman" w:eastAsia="宋体" w:cs="Times New Roman"/>
                      <w:color w:val="auto"/>
                      <w:sz w:val="21"/>
                      <w:szCs w:val="21"/>
                      <w:u w:val="none" w:color="auto"/>
                      <w:vertAlign w:val="baseline"/>
                      <w:lang w:val="en-US" w:eastAsia="zh-CN" w:bidi="zh-CN"/>
                    </w:rPr>
                    <w:t>本项目不占用永久基本农田。</w:t>
                  </w:r>
                </w:p>
              </w:tc>
              <w:tc>
                <w:tcPr>
                  <w:tcW w:w="566"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eastAsia" w:cs="Times New Roman"/>
                      <w:color w:val="auto"/>
                      <w:sz w:val="21"/>
                      <w:szCs w:val="21"/>
                      <w:u w:val="none" w:color="auto"/>
                      <w:vertAlign w:val="baseline"/>
                      <w:lang w:val="en-US" w:eastAsia="zh-CN" w:bidi="zh-CN"/>
                    </w:rPr>
                    <w:t>5</w:t>
                  </w:r>
                </w:p>
              </w:tc>
              <w:tc>
                <w:tcPr>
                  <w:tcW w:w="223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严格落实湖南省“三线一单”生态环境分区管控要求，将生态保护红线、环境质量底线、资源利用上线和生态环境准入清单作为硬约束落实到环境管控单元。</w:t>
                  </w:r>
                </w:p>
              </w:tc>
              <w:tc>
                <w:tcPr>
                  <w:tcW w:w="1856"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本项目符合</w:t>
                  </w:r>
                  <w:r>
                    <w:rPr>
                      <w:rFonts w:hint="eastAsia" w:cs="Times New Roman"/>
                      <w:color w:val="auto"/>
                      <w:sz w:val="21"/>
                      <w:szCs w:val="21"/>
                      <w:u w:val="none" w:color="auto"/>
                      <w:vertAlign w:val="baseline"/>
                      <w:lang w:val="en-US" w:eastAsia="zh-CN" w:bidi="zh-CN"/>
                    </w:rPr>
                    <w:t>岳阳市</w:t>
                  </w:r>
                  <w:r>
                    <w:rPr>
                      <w:rFonts w:hint="default" w:ascii="Times New Roman" w:hAnsi="Times New Roman" w:eastAsia="宋体" w:cs="Times New Roman"/>
                      <w:color w:val="auto"/>
                      <w:sz w:val="21"/>
                      <w:szCs w:val="21"/>
                      <w:u w:val="none" w:color="auto"/>
                      <w:vertAlign w:val="baseline"/>
                      <w:lang w:val="en-US" w:eastAsia="zh-CN" w:bidi="zh-CN"/>
                    </w:rPr>
                    <w:t>岳阳市“三线一单”生态环境总体管控要求</w:t>
                  </w:r>
                  <w:r>
                    <w:rPr>
                      <w:rFonts w:hint="eastAsia" w:ascii="Times New Roman" w:hAnsi="Times New Roman" w:eastAsia="宋体" w:cs="Times New Roman"/>
                      <w:color w:val="auto"/>
                      <w:sz w:val="21"/>
                      <w:szCs w:val="21"/>
                      <w:u w:val="none" w:color="auto"/>
                      <w:vertAlign w:val="baseline"/>
                      <w:lang w:val="en-US" w:eastAsia="zh-CN" w:bidi="zh-CN"/>
                    </w:rPr>
                    <w:t>。</w:t>
                  </w:r>
                </w:p>
              </w:tc>
              <w:tc>
                <w:tcPr>
                  <w:tcW w:w="566"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bidi="zh-CN"/>
                    </w:rPr>
                  </w:pPr>
                  <w:r>
                    <w:rPr>
                      <w:rFonts w:hint="default" w:ascii="Times New Roman" w:hAnsi="Times New Roman" w:eastAsia="宋体" w:cs="Times New Roman"/>
                      <w:color w:val="auto"/>
                      <w:sz w:val="21"/>
                      <w:szCs w:val="21"/>
                      <w:u w:val="none" w:color="auto"/>
                      <w:vertAlign w:val="baseline"/>
                      <w:lang w:val="en-US" w:eastAsia="zh-CN" w:bidi="zh-CN"/>
                    </w:rPr>
                    <w:t>符合</w:t>
                  </w:r>
                </w:p>
              </w:tc>
            </w:tr>
          </w:tbl>
          <w:p>
            <w:pPr>
              <w:keepNext w:val="0"/>
              <w:keepLines w:val="0"/>
              <w:suppressLineNumbers w:val="0"/>
              <w:tabs>
                <w:tab w:val="left" w:pos="3705"/>
                <w:tab w:val="left" w:pos="4680"/>
              </w:tabs>
              <w:autoSpaceDE w:val="0"/>
              <w:autoSpaceDN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由上表可知，本项目建设与《湖南省</w:t>
            </w:r>
            <w:r>
              <w:rPr>
                <w:rFonts w:hint="default" w:ascii="Times New Roman" w:hAnsi="Times New Roman" w:eastAsia="宋体" w:cs="Times New Roman"/>
                <w:color w:val="auto"/>
                <w:kern w:val="2"/>
                <w:sz w:val="21"/>
                <w:szCs w:val="21"/>
                <w:u w:val="none" w:color="auto"/>
                <w:lang w:val="en-US" w:eastAsia="zh-CN" w:bidi="ar-SA"/>
              </w:rPr>
              <w:t>“</w:t>
            </w:r>
            <w:r>
              <w:rPr>
                <w:rFonts w:hint="eastAsia" w:ascii="Times New Roman" w:hAnsi="Times New Roman" w:eastAsia="宋体" w:cs="Times New Roman"/>
                <w:color w:val="auto"/>
                <w:kern w:val="2"/>
                <w:sz w:val="21"/>
                <w:szCs w:val="21"/>
                <w:u w:val="none" w:color="auto"/>
                <w:lang w:val="en-US" w:eastAsia="zh-CN" w:bidi="ar-SA"/>
              </w:rPr>
              <w:t>十四五</w:t>
            </w:r>
            <w:r>
              <w:rPr>
                <w:rFonts w:hint="default" w:ascii="Times New Roman" w:hAnsi="Times New Roman" w:eastAsia="宋体" w:cs="Times New Roman"/>
                <w:color w:val="auto"/>
                <w:kern w:val="2"/>
                <w:sz w:val="21"/>
                <w:szCs w:val="21"/>
                <w:u w:val="none" w:color="auto"/>
                <w:lang w:val="en-US" w:eastAsia="zh-CN" w:bidi="ar-SA"/>
              </w:rPr>
              <w:t>”</w:t>
            </w:r>
            <w:r>
              <w:rPr>
                <w:rFonts w:hint="eastAsia" w:ascii="Times New Roman" w:hAnsi="Times New Roman" w:eastAsia="宋体" w:cs="Times New Roman"/>
                <w:color w:val="auto"/>
                <w:kern w:val="2"/>
                <w:sz w:val="21"/>
                <w:szCs w:val="21"/>
                <w:u w:val="none" w:color="auto"/>
                <w:lang w:val="en-US" w:eastAsia="zh-CN" w:bidi="ar-SA"/>
              </w:rPr>
              <w:t>生态环境保护规划》（湘政办发〔</w:t>
            </w:r>
            <w:r>
              <w:rPr>
                <w:rFonts w:hint="default" w:ascii="Times New Roman" w:hAnsi="Times New Roman" w:eastAsia="宋体" w:cs="Times New Roman"/>
                <w:color w:val="auto"/>
                <w:kern w:val="2"/>
                <w:sz w:val="21"/>
                <w:szCs w:val="21"/>
                <w:u w:val="none" w:color="auto"/>
                <w:lang w:val="en-US" w:eastAsia="zh-CN" w:bidi="ar-SA"/>
              </w:rPr>
              <w:t>2021</w:t>
            </w:r>
            <w:r>
              <w:rPr>
                <w:rFonts w:hint="eastAsia" w:ascii="Times New Roman" w:hAnsi="Times New Roman" w:eastAsia="宋体" w:cs="Times New Roman"/>
                <w:color w:val="auto"/>
                <w:kern w:val="2"/>
                <w:sz w:val="21"/>
                <w:szCs w:val="21"/>
                <w:u w:val="none" w:color="auto"/>
                <w:lang w:val="en-US" w:eastAsia="zh-CN" w:bidi="ar-SA"/>
              </w:rPr>
              <w:t>〕</w:t>
            </w:r>
            <w:r>
              <w:rPr>
                <w:rFonts w:hint="default" w:ascii="Times New Roman" w:hAnsi="Times New Roman" w:eastAsia="宋体" w:cs="Times New Roman"/>
                <w:color w:val="auto"/>
                <w:kern w:val="2"/>
                <w:sz w:val="21"/>
                <w:szCs w:val="21"/>
                <w:u w:val="none" w:color="auto"/>
                <w:lang w:val="en-US" w:eastAsia="zh-CN" w:bidi="ar-SA"/>
              </w:rPr>
              <w:t>61</w:t>
            </w:r>
            <w:r>
              <w:rPr>
                <w:rFonts w:hint="eastAsia" w:ascii="Times New Roman" w:hAnsi="Times New Roman" w:eastAsia="宋体" w:cs="Times New Roman"/>
                <w:color w:val="auto"/>
                <w:kern w:val="2"/>
                <w:sz w:val="21"/>
                <w:szCs w:val="21"/>
                <w:u w:val="none" w:color="auto"/>
                <w:lang w:val="en-US" w:eastAsia="zh-CN" w:bidi="ar-SA"/>
              </w:rPr>
              <w:t>号）要求相符。</w:t>
            </w:r>
          </w:p>
          <w:p>
            <w:pPr>
              <w:keepNext w:val="0"/>
              <w:keepLines w:val="0"/>
              <w:widowControl w:val="0"/>
              <w:suppressLineNumbers w:val="0"/>
              <w:autoSpaceDE w:val="0"/>
              <w:autoSpaceDN w:val="0"/>
              <w:spacing w:before="158" w:beforeAutospacing="0" w:after="0" w:afterAutospacing="0" w:line="364" w:lineRule="auto"/>
              <w:ind w:left="0" w:right="-44" w:firstLine="420" w:firstLineChars="200"/>
              <w:rPr>
                <w:rFonts w:ascii="宋体" w:hAnsi="宋体" w:cs="宋体"/>
                <w:color w:val="0000FF"/>
                <w:kern w:val="0"/>
                <w:sz w:val="21"/>
                <w:szCs w:val="21"/>
                <w:u w:val="none" w:color="auto"/>
              </w:rPr>
            </w:pPr>
          </w:p>
        </w:tc>
      </w:tr>
    </w:tbl>
    <w:p>
      <w:pPr>
        <w:spacing w:line="360" w:lineRule="auto"/>
        <w:outlineLvl w:val="0"/>
        <w:rPr>
          <w:rFonts w:eastAsia="黑体"/>
          <w:color w:val="0000FF"/>
          <w:sz w:val="30"/>
          <w:u w:val="none" w:color="auto"/>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8"/>
        <w:jc w:val="center"/>
        <w:outlineLvl w:val="0"/>
        <w:rPr>
          <w:rFonts w:ascii="黑体" w:hAnsi="黑体" w:eastAsia="黑体"/>
          <w:snapToGrid w:val="0"/>
          <w:color w:val="auto"/>
          <w:sz w:val="30"/>
          <w:szCs w:val="30"/>
          <w:u w:val="none" w:color="auto"/>
        </w:rPr>
      </w:pPr>
      <w:bookmarkStart w:id="6" w:name="_Toc180"/>
      <w:r>
        <w:rPr>
          <w:rFonts w:hint="eastAsia" w:ascii="黑体" w:hAnsi="黑体" w:eastAsia="黑体"/>
          <w:snapToGrid w:val="0"/>
          <w:color w:val="auto"/>
          <w:sz w:val="30"/>
          <w:szCs w:val="30"/>
          <w:u w:val="none" w:color="auto"/>
        </w:rPr>
        <w:t>二、建设项目工程分析</w:t>
      </w:r>
      <w:bookmarkEnd w:id="6"/>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7"/>
        <w:gridCol w:w="86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dxa"/>
            <w:noWrap w:val="0"/>
            <w:vAlign w:val="center"/>
          </w:tcPr>
          <w:p>
            <w:pPr>
              <w:pStyle w:val="28"/>
              <w:adjustRightInd w:val="0"/>
              <w:snapToGrid w:val="0"/>
              <w:spacing w:before="0" w:beforeAutospacing="0" w:after="0" w:afterAutospacing="0"/>
              <w:jc w:val="center"/>
              <w:rPr>
                <w:rFonts w:hint="default" w:ascii="Times New Roman" w:hAnsi="Times New Roman" w:cs="Times New Roman"/>
                <w:color w:val="0000FF"/>
                <w:sz w:val="21"/>
                <w:szCs w:val="21"/>
                <w:u w:val="none" w:color="auto"/>
              </w:rPr>
            </w:pPr>
            <w:r>
              <w:rPr>
                <w:rFonts w:hint="default" w:ascii="Times New Roman" w:hAnsi="Times New Roman" w:cs="Times New Roman"/>
                <w:color w:val="auto"/>
                <w:sz w:val="21"/>
                <w:szCs w:val="21"/>
                <w:u w:val="none" w:color="auto"/>
              </w:rPr>
              <w:t>建设内容</w:t>
            </w:r>
          </w:p>
        </w:tc>
        <w:tc>
          <w:tcPr>
            <w:tcW w:w="8673" w:type="dxa"/>
            <w:noWrap w:val="0"/>
            <w:vAlign w:val="top"/>
          </w:tcPr>
          <w:p>
            <w:pPr>
              <w:pStyle w:val="64"/>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 xml:space="preserve">    1、</w:t>
            </w:r>
            <w:r>
              <w:rPr>
                <w:rFonts w:hint="default" w:ascii="Times New Roman" w:hAnsi="Times New Roman" w:cs="Times New Roman"/>
                <w:color w:val="auto"/>
                <w:u w:val="none" w:color="auto"/>
                <w:lang w:val="en-US" w:eastAsia="zh-CN"/>
              </w:rPr>
              <w:t>项目由来</w:t>
            </w:r>
          </w:p>
          <w:p>
            <w:pPr>
              <w:pStyle w:val="65"/>
              <w:bidi w:val="0"/>
              <w:outlineLvl w:val="9"/>
              <w:rPr>
                <w:rFonts w:hint="eastAsia" w:cs="Times New Roman"/>
                <w:color w:val="auto"/>
                <w:szCs w:val="21"/>
                <w:u w:val="none" w:color="auto"/>
                <w:lang w:val="en-US" w:eastAsia="zh-CN"/>
              </w:rPr>
            </w:pPr>
            <w:r>
              <w:rPr>
                <w:rFonts w:hint="eastAsia" w:cs="Times New Roman"/>
                <w:color w:val="auto"/>
                <w:szCs w:val="21"/>
                <w:u w:val="none" w:color="auto"/>
                <w:lang w:val="en-US" w:eastAsia="zh-CN"/>
              </w:rPr>
              <w:t>根据湖南省人民政府办公厅印发的《关于&lt;湖南省强化“三力”支撑规划（2022—2025年）&gt;的通知》，加强煤炭储备和天燃气供应能力建设。积极推进煤炭铁水联运储备基地建设，加快建成一批煤炭储备基地，提升煤炭储备和应急调剂能力。</w:t>
            </w:r>
          </w:p>
          <w:p>
            <w:pPr>
              <w:pStyle w:val="65"/>
              <w:bidi w:val="0"/>
              <w:outlineLvl w:val="9"/>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为深入贯彻落实国家能源安全战略部署，落实湖南省政府关于建设煤炭应急储备基地的总体部署，湖南省港航水利集团有限公司申请拟建“中央政府煤炭储备湖南港航水利集团湘阴项目”，取得了国家发展和改革委员会关于项目的可研批复（附件3），并授权其三级子公司湖南省虞公港建设投资有限公司作为项目的建设及运营单位（附件5）。项目</w:t>
            </w:r>
            <w:r>
              <w:rPr>
                <w:rFonts w:hint="default" w:ascii="Times New Roman" w:hAnsi="Times New Roman" w:eastAsia="宋体" w:cs="Times New Roman"/>
                <w:color w:val="auto"/>
                <w:szCs w:val="21"/>
                <w:u w:val="none" w:color="auto"/>
                <w:lang w:val="en-US" w:eastAsia="zh-CN"/>
              </w:rPr>
              <w:t>依托虞公港进行建设和运营，立足国家储备功能定位和作业特点，遵循平战结合、讲究实效的原则，建设一个中等规模、设施配套、技术先进、经济适用、安全可靠、管理方便的煤炭储备系统，战略服务湘江流域五大主力火电厂（如大唐华银湘潭电厂、华润电厂等）及区域龙头水泥企业（如海螺水泥、华润水泥），聚焦其稳定供煤、成本优化及应急储备需求。</w:t>
            </w:r>
          </w:p>
          <w:p>
            <w:pPr>
              <w:spacing w:line="360" w:lineRule="auto"/>
              <w:ind w:firstLine="420" w:firstLineChars="200"/>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根据《建设项目环境影响评价分类管理名录（2021年版）》（生态环境部令第16号），</w:t>
            </w:r>
            <w:r>
              <w:rPr>
                <w:rFonts w:hint="default" w:ascii="Times New Roman" w:hAnsi="Times New Roman" w:cs="Times New Roman"/>
                <w:color w:val="auto"/>
                <w:kern w:val="28"/>
                <w:sz w:val="21"/>
                <w:szCs w:val="21"/>
                <w:u w:val="none" w:color="auto"/>
              </w:rPr>
              <w:t>本项目属于</w:t>
            </w:r>
            <w:r>
              <w:rPr>
                <w:rFonts w:hint="eastAsia" w:ascii="Times New Roman" w:hAnsi="Times New Roman" w:cs="Times New Roman"/>
                <w:color w:val="auto"/>
                <w:kern w:val="28"/>
                <w:sz w:val="21"/>
                <w:szCs w:val="21"/>
                <w:u w:val="none" w:color="auto"/>
                <w:lang w:eastAsia="zh-CN"/>
              </w:rPr>
              <w:t>“</w:t>
            </w:r>
            <w:r>
              <w:rPr>
                <w:rFonts w:hint="default" w:ascii="Times New Roman" w:hAnsi="Times New Roman" w:cs="Times New Roman"/>
                <w:color w:val="auto"/>
                <w:sz w:val="21"/>
                <w:szCs w:val="21"/>
                <w:u w:val="none" w:color="auto"/>
              </w:rPr>
              <w:t>四、煤炭开采和洗选业06烟煤和无烟煤开采洗选061</w:t>
            </w:r>
            <w:r>
              <w:rPr>
                <w:rFonts w:hint="eastAsia" w:ascii="Times New Roman" w:hAnsi="Times New Roman" w:cs="Times New Roman"/>
                <w:color w:val="auto"/>
                <w:sz w:val="21"/>
                <w:szCs w:val="21"/>
                <w:u w:val="none" w:color="auto"/>
                <w:lang w:eastAsia="zh-CN"/>
              </w:rPr>
              <w:t>”</w:t>
            </w:r>
            <w:r>
              <w:rPr>
                <w:rFonts w:hint="default" w:ascii="Times New Roman" w:hAnsi="Times New Roman" w:cs="Times New Roman"/>
                <w:color w:val="auto"/>
                <w:sz w:val="21"/>
                <w:szCs w:val="21"/>
                <w:u w:val="none" w:color="auto"/>
              </w:rPr>
              <w:t>中</w:t>
            </w:r>
            <w:r>
              <w:rPr>
                <w:rFonts w:hint="eastAsia" w:ascii="Times New Roman" w:hAnsi="Times New Roman" w:cs="Times New Roman"/>
                <w:color w:val="auto"/>
                <w:sz w:val="21"/>
                <w:szCs w:val="21"/>
                <w:u w:val="none" w:color="auto"/>
                <w:lang w:eastAsia="zh-CN"/>
              </w:rPr>
              <w:t>“</w:t>
            </w:r>
            <w:r>
              <w:rPr>
                <w:rFonts w:hint="default" w:ascii="Times New Roman" w:hAnsi="Times New Roman" w:cs="Times New Roman"/>
                <w:color w:val="auto"/>
                <w:sz w:val="21"/>
                <w:szCs w:val="21"/>
                <w:u w:val="none" w:color="auto"/>
              </w:rPr>
              <w:t>煤炭储存、 集运</w:t>
            </w:r>
            <w:r>
              <w:rPr>
                <w:rFonts w:hint="eastAsia" w:ascii="Times New Roman" w:hAnsi="Times New Roman" w:cs="Times New Roman"/>
                <w:color w:val="auto"/>
                <w:kern w:val="28"/>
                <w:sz w:val="21"/>
                <w:szCs w:val="21"/>
                <w:u w:val="none" w:color="auto"/>
                <w:lang w:eastAsia="zh-CN"/>
              </w:rPr>
              <w:t>”</w:t>
            </w:r>
            <w:r>
              <w:rPr>
                <w:rFonts w:hint="eastAsia" w:cs="Times New Roman"/>
                <w:color w:val="auto"/>
                <w:kern w:val="28"/>
                <w:sz w:val="21"/>
                <w:szCs w:val="21"/>
                <w:u w:val="none" w:color="auto"/>
                <w:lang w:eastAsia="zh-CN"/>
              </w:rPr>
              <w:t>，</w:t>
            </w:r>
            <w:r>
              <w:rPr>
                <w:rFonts w:hint="default" w:ascii="Times New Roman" w:hAnsi="Times New Roman" w:cs="Times New Roman"/>
                <w:color w:val="auto"/>
                <w:sz w:val="21"/>
                <w:szCs w:val="21"/>
                <w:u w:val="none" w:color="auto"/>
                <w:lang w:val="en-US" w:eastAsia="zh-CN"/>
              </w:rPr>
              <w:t>需编制环境影响评价报告表。</w:t>
            </w:r>
            <w:r>
              <w:rPr>
                <w:rFonts w:hint="default" w:ascii="Times New Roman" w:hAnsi="Times New Roman" w:cs="Times New Roman"/>
                <w:color w:val="auto"/>
                <w:sz w:val="21"/>
                <w:szCs w:val="21"/>
                <w:u w:val="none" w:color="auto"/>
              </w:rPr>
              <w:t>受湖南省虞公港建设投资有限公司的委托，</w:t>
            </w:r>
            <w:r>
              <w:rPr>
                <w:rFonts w:hint="default" w:ascii="Times New Roman" w:hAnsi="Times New Roman" w:cs="Times New Roman"/>
                <w:color w:val="auto"/>
                <w:u w:val="none" w:color="auto"/>
              </w:rPr>
              <w:t>湖南</w:t>
            </w:r>
            <w:r>
              <w:rPr>
                <w:rFonts w:hint="default" w:ascii="Times New Roman" w:hAnsi="Times New Roman" w:cs="Times New Roman"/>
                <w:color w:val="auto"/>
                <w:u w:val="none" w:color="auto"/>
                <w:lang w:eastAsia="zh-CN"/>
              </w:rPr>
              <w:t>汇美环保</w:t>
            </w:r>
            <w:r>
              <w:rPr>
                <w:rFonts w:hint="default" w:ascii="Times New Roman" w:hAnsi="Times New Roman" w:cs="Times New Roman"/>
                <w:color w:val="auto"/>
                <w:u w:val="none" w:color="auto"/>
              </w:rPr>
              <w:t>发展有限公司</w:t>
            </w:r>
            <w:r>
              <w:rPr>
                <w:rFonts w:hint="default" w:ascii="Times New Roman" w:hAnsi="Times New Roman" w:cs="Times New Roman"/>
                <w:color w:val="auto"/>
                <w:sz w:val="21"/>
                <w:szCs w:val="21"/>
                <w:u w:val="none" w:color="auto"/>
              </w:rPr>
              <w:t>承担了本项目的环境影响评价工作。评价单位接受委托后，在认真调查研究及收集有关数据、资料基础上，结合项目所在区域的环境特点，依据</w:t>
            </w:r>
            <w:r>
              <w:rPr>
                <w:rFonts w:hint="eastAsia" w:ascii="Times New Roman" w:hAnsi="Times New Roman" w:cs="Times New Roman"/>
                <w:color w:val="auto"/>
                <w:sz w:val="21"/>
                <w:szCs w:val="21"/>
                <w:u w:val="none" w:color="auto"/>
                <w:lang w:eastAsia="zh-CN"/>
              </w:rPr>
              <w:t>相关指南及</w:t>
            </w:r>
            <w:r>
              <w:rPr>
                <w:rFonts w:hint="default" w:ascii="Times New Roman" w:hAnsi="Times New Roman" w:cs="Times New Roman"/>
                <w:color w:val="auto"/>
                <w:sz w:val="21"/>
                <w:szCs w:val="21"/>
                <w:u w:val="none" w:color="auto"/>
              </w:rPr>
              <w:t>规范，编制了本报告表。</w:t>
            </w:r>
          </w:p>
          <w:p>
            <w:pPr>
              <w:pStyle w:val="64"/>
              <w:bidi w:val="0"/>
              <w:ind w:firstLine="422" w:firstLineChars="200"/>
              <w:rPr>
                <w:rFonts w:hint="eastAsia" w:ascii="Times New Roman" w:hAnsi="Times New Roman" w:eastAsia="宋体" w:cs="Times New Roman"/>
                <w:color w:val="auto"/>
                <w:u w:val="none" w:color="auto"/>
                <w:lang w:eastAsia="zh-CN"/>
              </w:rPr>
            </w:pPr>
            <w:r>
              <w:rPr>
                <w:rFonts w:hint="eastAsia" w:cs="Times New Roman"/>
                <w:color w:val="auto"/>
                <w:u w:val="none" w:color="auto"/>
                <w:lang w:val="en-US" w:eastAsia="zh-CN"/>
              </w:rPr>
              <w:t>2、</w:t>
            </w:r>
            <w:r>
              <w:rPr>
                <w:rFonts w:hint="default" w:ascii="Times New Roman" w:hAnsi="Times New Roman" w:cs="Times New Roman"/>
                <w:color w:val="auto"/>
                <w:u w:val="none" w:color="auto"/>
              </w:rPr>
              <w:t>项目</w:t>
            </w:r>
            <w:r>
              <w:rPr>
                <w:rFonts w:hint="eastAsia" w:cs="Times New Roman"/>
                <w:color w:val="auto"/>
                <w:u w:val="none" w:color="auto"/>
                <w:lang w:eastAsia="zh-CN"/>
              </w:rPr>
              <w:t>建设内容</w:t>
            </w:r>
          </w:p>
          <w:p>
            <w:pPr>
              <w:pStyle w:val="65"/>
              <w:bidi w:val="0"/>
              <w:rPr>
                <w:rFonts w:hint="default" w:ascii="Times New Roman" w:hAnsi="Times New Roman" w:cs="Times New Roman"/>
                <w:color w:val="0000FF"/>
                <w:sz w:val="21"/>
                <w:szCs w:val="21"/>
                <w:highlight w:val="none"/>
                <w:u w:val="none" w:color="auto"/>
                <w:lang w:eastAsia="zh-CN"/>
              </w:rPr>
            </w:pPr>
            <w:r>
              <w:rPr>
                <w:rFonts w:hint="eastAsia" w:cs="Times New Roman"/>
                <w:color w:val="auto"/>
                <w:sz w:val="21"/>
                <w:szCs w:val="21"/>
                <w:highlight w:val="none"/>
                <w:u w:val="none" w:color="auto"/>
                <w:lang w:eastAsia="zh-CN"/>
              </w:rPr>
              <w:t>本</w:t>
            </w:r>
            <w:r>
              <w:rPr>
                <w:rFonts w:hint="default" w:ascii="Times New Roman" w:hAnsi="Times New Roman" w:cs="Times New Roman"/>
                <w:color w:val="auto"/>
                <w:sz w:val="21"/>
                <w:szCs w:val="21"/>
                <w:highlight w:val="none"/>
                <w:u w:val="none" w:color="auto"/>
                <w:lang w:eastAsia="zh-CN"/>
              </w:rPr>
              <w:t>项目位于湘阴虞公港</w:t>
            </w:r>
            <w:r>
              <w:rPr>
                <w:rFonts w:hint="eastAsia" w:cs="Times New Roman"/>
                <w:color w:val="auto"/>
                <w:sz w:val="21"/>
                <w:szCs w:val="21"/>
                <w:highlight w:val="none"/>
                <w:u w:val="none" w:color="auto"/>
                <w:lang w:eastAsia="zh-CN"/>
              </w:rPr>
              <w:t>，</w:t>
            </w:r>
            <w:r>
              <w:rPr>
                <w:rFonts w:hint="eastAsia" w:cs="Times New Roman"/>
                <w:color w:val="auto"/>
                <w:sz w:val="21"/>
                <w:szCs w:val="21"/>
                <w:highlight w:val="none"/>
                <w:u w:val="none" w:color="auto"/>
                <w:lang w:val="en-US" w:eastAsia="zh-CN"/>
              </w:rPr>
              <w:t>总占地面积</w:t>
            </w:r>
            <w:r>
              <w:rPr>
                <w:rFonts w:hint="eastAsia" w:cs="Times New Roman"/>
                <w:color w:val="auto"/>
                <w:kern w:val="0"/>
                <w:highlight w:val="none"/>
                <w:u w:val="none" w:color="auto"/>
                <w:lang w:eastAsia="zh-CN"/>
              </w:rPr>
              <w:t>15.1734</w:t>
            </w:r>
            <w:r>
              <w:rPr>
                <w:rFonts w:hint="eastAsia" w:cs="Times New Roman"/>
                <w:color w:val="auto"/>
                <w:kern w:val="0"/>
                <w:highlight w:val="none"/>
                <w:u w:val="none" w:color="auto"/>
                <w:lang w:val="en-US" w:eastAsia="zh-CN"/>
              </w:rPr>
              <w:t>hm</w:t>
            </w:r>
            <w:r>
              <w:rPr>
                <w:rFonts w:hint="eastAsia" w:cs="Times New Roman"/>
                <w:color w:val="auto"/>
                <w:kern w:val="0"/>
                <w:highlight w:val="none"/>
                <w:u w:val="none" w:color="auto"/>
                <w:vertAlign w:val="superscript"/>
                <w:lang w:val="en-US" w:eastAsia="zh-CN"/>
              </w:rPr>
              <w:t>2</w:t>
            </w:r>
            <w:r>
              <w:rPr>
                <w:rFonts w:hint="eastAsia" w:cs="Times New Roman"/>
                <w:color w:val="auto"/>
                <w:kern w:val="0"/>
                <w:highlight w:val="none"/>
                <w:u w:val="none" w:color="auto"/>
                <w:lang w:val="en-US" w:eastAsia="zh-CN"/>
              </w:rPr>
              <w:t>，</w:t>
            </w:r>
            <w:r>
              <w:rPr>
                <w:rFonts w:hint="default" w:ascii="Times New Roman" w:hAnsi="Times New Roman" w:cs="Times New Roman"/>
                <w:color w:val="auto"/>
                <w:sz w:val="21"/>
                <w:szCs w:val="21"/>
                <w:highlight w:val="none"/>
                <w:u w:val="none" w:color="auto"/>
                <w:lang w:eastAsia="zh-CN"/>
              </w:rPr>
              <w:t>主要建设内容为2座长430m×宽110m的封闭储煤</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棚（单个面积47300m</w:t>
            </w:r>
            <w:r>
              <w:rPr>
                <w:rFonts w:hint="default" w:ascii="Times New Roman" w:hAnsi="Times New Roman" w:cs="Times New Roman"/>
                <w:color w:val="000000" w:themeColor="text1"/>
                <w:sz w:val="21"/>
                <w:szCs w:val="21"/>
                <w:highlight w:val="none"/>
                <w:u w:val="none" w:color="auto"/>
                <w:vertAlign w:val="superscript"/>
                <w:lang w:eastAsia="zh-CN"/>
                <w14:textFill>
                  <w14:solidFill>
                    <w14:schemeClr w14:val="tx1"/>
                  </w14:solidFill>
                </w14:textFill>
              </w:rPr>
              <w:t>2</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）、皮带机栈桥及其相关生产辅助系统。</w:t>
            </w:r>
          </w:p>
          <w:p>
            <w:pPr>
              <w:pStyle w:val="65"/>
              <w:bidi w:val="0"/>
              <w:rPr>
                <w:rFonts w:hint="default" w:ascii="Times New Roman" w:hAnsi="Times New Roman" w:cs="Times New Roman"/>
                <w:color w:val="auto"/>
                <w:highlight w:val="none"/>
                <w:u w:val="none" w:color="auto"/>
              </w:rPr>
            </w:pPr>
            <w:r>
              <w:rPr>
                <w:rFonts w:hint="eastAsia" w:cs="Times New Roman"/>
                <w:color w:val="000000" w:themeColor="text1"/>
                <w:sz w:val="21"/>
                <w:szCs w:val="21"/>
                <w:highlight w:val="none"/>
                <w:u w:val="none" w:color="auto"/>
                <w:lang w:val="en-US" w:eastAsia="zh-CN"/>
                <w14:textFill>
                  <w14:solidFill>
                    <w14:schemeClr w14:val="tx1"/>
                  </w14:solidFill>
                </w14:textFill>
              </w:rPr>
              <w:t>本项目</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建设范围：自T11转载点至T12转载点带式输送机栈桥开始，装火车系统截止到T17转载点，装船系统截止到T16转载点至T15转载点带式输送机栈桥为止。包含推煤机库、煤氧抑制剂库、初期雨水沉淀池、生活污水处理站等生产辅助设施。生活福利区、火车装车</w:t>
            </w:r>
            <w:r>
              <w:rPr>
                <w:rFonts w:hint="eastAsia" w:cs="Times New Roman"/>
                <w:color w:val="000000" w:themeColor="text1"/>
                <w:sz w:val="21"/>
                <w:szCs w:val="21"/>
                <w:highlight w:val="none"/>
                <w:u w:val="none" w:color="auto"/>
                <w:lang w:eastAsia="zh-CN"/>
                <w14:textFill>
                  <w14:solidFill>
                    <w14:schemeClr w14:val="tx1"/>
                  </w14:solidFill>
                </w14:textFill>
              </w:rPr>
              <w:t>系统、装船系统</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等</w:t>
            </w:r>
            <w:r>
              <w:rPr>
                <w:rFonts w:hint="eastAsia" w:cs="Times New Roman"/>
                <w:color w:val="000000" w:themeColor="text1"/>
                <w:sz w:val="21"/>
                <w:szCs w:val="21"/>
                <w:highlight w:val="none"/>
                <w:u w:val="none" w:color="auto"/>
                <w:lang w:eastAsia="zh-CN"/>
                <w14:textFill>
                  <w14:solidFill>
                    <w14:schemeClr w14:val="tx1"/>
                  </w14:solidFill>
                </w14:textFill>
              </w:rPr>
              <w:t>依托虞公港</w:t>
            </w:r>
            <w:r>
              <w:rPr>
                <w:rFonts w:hint="eastAsia" w:cs="Times New Roman"/>
                <w:color w:val="000000" w:themeColor="text1"/>
                <w:sz w:val="21"/>
                <w:szCs w:val="21"/>
                <w:highlight w:val="none"/>
                <w:u w:val="none" w:color="auto"/>
                <w:lang w:val="en-US" w:eastAsia="zh-CN"/>
                <w14:textFill>
                  <w14:solidFill>
                    <w14:schemeClr w14:val="tx1"/>
                  </w14:solidFill>
                </w14:textFill>
              </w:rPr>
              <w:t>相关工程</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w:t>
            </w:r>
            <w:r>
              <w:rPr>
                <w:rFonts w:hint="eastAsia" w:cs="Times New Roman"/>
                <w:color w:val="000000" w:themeColor="text1"/>
                <w:sz w:val="21"/>
                <w:szCs w:val="21"/>
                <w:highlight w:val="none"/>
                <w:u w:val="none" w:color="auto"/>
                <w:lang w:eastAsia="zh-CN"/>
                <w14:textFill>
                  <w14:solidFill>
                    <w14:schemeClr w14:val="tx1"/>
                  </w14:solidFill>
                </w14:textFill>
              </w:rPr>
              <w:t>本</w:t>
            </w:r>
            <w:r>
              <w:rPr>
                <w:rFonts w:hint="eastAsia" w:cs="Times New Roman"/>
                <w:color w:val="auto"/>
                <w:sz w:val="21"/>
                <w:szCs w:val="21"/>
                <w:highlight w:val="none"/>
                <w:u w:val="none" w:color="auto"/>
                <w:lang w:eastAsia="zh-CN"/>
              </w:rPr>
              <w:t>项目</w:t>
            </w:r>
            <w:r>
              <w:rPr>
                <w:rFonts w:hint="default" w:ascii="Times New Roman" w:hAnsi="Times New Roman" w:cs="Times New Roman"/>
                <w:color w:val="auto"/>
                <w:sz w:val="21"/>
                <w:szCs w:val="21"/>
                <w:highlight w:val="none"/>
                <w:u w:val="none" w:color="auto"/>
              </w:rPr>
              <w:t>主要建设内容</w:t>
            </w:r>
            <w:r>
              <w:rPr>
                <w:rFonts w:hint="default" w:ascii="Times New Roman" w:hAnsi="Times New Roman" w:cs="Times New Roman"/>
                <w:color w:val="auto"/>
                <w:highlight w:val="none"/>
                <w:u w:val="none" w:color="auto"/>
              </w:rPr>
              <w:t>见表2-1。</w:t>
            </w:r>
          </w:p>
          <w:p>
            <w:pPr>
              <w:adjustRightInd w:val="0"/>
              <w:snapToGrid w:val="0"/>
              <w:jc w:val="center"/>
              <w:rPr>
                <w:rFonts w:hint="default" w:ascii="Times New Roman" w:hAnsi="Times New Roman" w:eastAsia="宋体" w:cs="Times New Roman"/>
                <w:b/>
                <w:color w:val="auto"/>
                <w:sz w:val="21"/>
                <w:szCs w:val="21"/>
                <w:u w:val="none" w:color="auto"/>
                <w:lang w:val="en-US" w:eastAsia="zh-CN"/>
              </w:rPr>
            </w:pPr>
            <w:r>
              <w:rPr>
                <w:rFonts w:hint="default" w:ascii="Times New Roman" w:hAnsi="Times New Roman" w:eastAsia="宋体" w:cs="Times New Roman"/>
                <w:b/>
                <w:color w:val="auto"/>
                <w:sz w:val="21"/>
                <w:szCs w:val="21"/>
                <w:u w:val="none" w:color="auto"/>
                <w:lang w:val="en-US" w:eastAsia="zh-CN"/>
              </w:rPr>
              <w:t>表2-1工程内容一览表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4"/>
              <w:gridCol w:w="1170"/>
              <w:gridCol w:w="5698"/>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blHeader/>
                <w:jc w:val="center"/>
              </w:trPr>
              <w:tc>
                <w:tcPr>
                  <w:tcW w:w="339"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类别</w:t>
                  </w:r>
                </w:p>
              </w:tc>
              <w:tc>
                <w:tcPr>
                  <w:tcW w:w="692"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名称</w:t>
                  </w:r>
                </w:p>
              </w:tc>
              <w:tc>
                <w:tcPr>
                  <w:tcW w:w="3373"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工程</w:t>
                  </w:r>
                  <w:r>
                    <w:rPr>
                      <w:rFonts w:hint="default" w:ascii="Times New Roman" w:hAnsi="Times New Roman" w:eastAsia="宋体" w:cs="Times New Roman"/>
                      <w:color w:val="auto"/>
                      <w:sz w:val="21"/>
                      <w:szCs w:val="21"/>
                      <w:highlight w:val="none"/>
                      <w:u w:val="none" w:color="auto"/>
                      <w:lang w:val="en-US" w:eastAsia="zh-CN"/>
                    </w:rPr>
                    <w:t>建设</w:t>
                  </w:r>
                  <w:r>
                    <w:rPr>
                      <w:rFonts w:hint="default" w:ascii="Times New Roman" w:hAnsi="Times New Roman" w:eastAsia="宋体" w:cs="Times New Roman"/>
                      <w:color w:val="auto"/>
                      <w:sz w:val="21"/>
                      <w:szCs w:val="21"/>
                      <w:highlight w:val="none"/>
                      <w:u w:val="none" w:color="auto"/>
                      <w:lang w:eastAsia="zh-CN"/>
                    </w:rPr>
                    <w:t>内容</w:t>
                  </w:r>
                </w:p>
              </w:tc>
              <w:tc>
                <w:tcPr>
                  <w:tcW w:w="593"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restar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主体工程</w:t>
                  </w:r>
                </w:p>
              </w:tc>
              <w:tc>
                <w:tcPr>
                  <w:tcW w:w="692"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储煤场</w:t>
                  </w:r>
                </w:p>
              </w:tc>
              <w:tc>
                <w:tcPr>
                  <w:tcW w:w="3373"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lang w:val="en-US" w:eastAsia="zh-CN"/>
                    </w:rPr>
                    <w:t>3#、4#</w:t>
                  </w:r>
                  <w:r>
                    <w:rPr>
                      <w:rFonts w:hint="default" w:ascii="Times New Roman" w:hAnsi="Times New Roman" w:eastAsia="宋体" w:cs="Times New Roman"/>
                      <w:color w:val="auto"/>
                      <w:sz w:val="21"/>
                      <w:szCs w:val="21"/>
                      <w:highlight w:val="none"/>
                      <w:u w:val="none" w:color="auto"/>
                      <w:lang w:eastAsia="zh-CN"/>
                    </w:rPr>
                    <w:t>封闭储煤棚，</w:t>
                  </w:r>
                  <w:r>
                    <w:rPr>
                      <w:rFonts w:hint="default" w:ascii="Times New Roman" w:hAnsi="Times New Roman" w:eastAsia="宋体" w:cs="Times New Roman"/>
                      <w:color w:val="auto"/>
                      <w:sz w:val="21"/>
                      <w:szCs w:val="21"/>
                      <w:highlight w:val="none"/>
                      <w:u w:val="none" w:color="auto"/>
                      <w:lang w:val="en-US" w:eastAsia="zh-CN"/>
                    </w:rPr>
                    <w:t>单个</w:t>
                  </w:r>
                  <w:r>
                    <w:rPr>
                      <w:rFonts w:hint="default" w:ascii="Times New Roman" w:hAnsi="Times New Roman" w:eastAsia="宋体" w:cs="Times New Roman"/>
                      <w:color w:val="auto"/>
                      <w:sz w:val="21"/>
                      <w:szCs w:val="21"/>
                      <w:highlight w:val="none"/>
                      <w:u w:val="none" w:color="auto"/>
                      <w:lang w:eastAsia="zh-CN"/>
                    </w:rPr>
                    <w:t>长430m×宽110m，单个面积47300m</w:t>
                  </w:r>
                  <w:r>
                    <w:rPr>
                      <w:rFonts w:hint="default" w:ascii="Times New Roman" w:hAnsi="Times New Roman" w:eastAsia="宋体" w:cs="Times New Roman"/>
                      <w:color w:val="auto"/>
                      <w:sz w:val="21"/>
                      <w:szCs w:val="21"/>
                      <w:highlight w:val="none"/>
                      <w:u w:val="none" w:color="auto"/>
                      <w:vertAlign w:val="superscript"/>
                      <w:lang w:eastAsia="zh-CN"/>
                    </w:rPr>
                    <w:t>2</w:t>
                  </w:r>
                </w:p>
              </w:tc>
              <w:tc>
                <w:tcPr>
                  <w:tcW w:w="593"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shd w:val="clear" w:color="auto" w:fill="auto"/>
                  <w:noWrap w:val="0"/>
                  <w:vAlign w:val="center"/>
                </w:tcPr>
                <w:p>
                  <w:pPr>
                    <w:pStyle w:val="67"/>
                    <w:bidi w:val="0"/>
                    <w:spacing w:line="240" w:lineRule="auto"/>
                    <w:jc w:val="cente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T11至T12栈桥</w:t>
                  </w:r>
                </w:p>
              </w:tc>
              <w:tc>
                <w:tcPr>
                  <w:tcW w:w="3373" w:type="pct"/>
                  <w:shd w:val="clear" w:color="auto" w:fill="auto"/>
                  <w:noWrap w:val="0"/>
                  <w:vAlign w:val="center"/>
                </w:tcPr>
                <w:p>
                  <w:pPr>
                    <w:pStyle w:val="64"/>
                    <w:bidi w:val="0"/>
                    <w:spacing w:line="240" w:lineRule="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长度8m，净断面2.5×7.0m（宽），角度5度，单皮带</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000000" w:themeColor="text1"/>
                      <w:kern w:val="2"/>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noWrap w:val="0"/>
                  <w:vAlign w:val="center"/>
                </w:tcPr>
                <w:p>
                  <w:pPr>
                    <w:pStyle w:val="67"/>
                    <w:bidi w:val="0"/>
                    <w:spacing w:line="240" w:lineRule="auto"/>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T12转载点</w:t>
                  </w:r>
                </w:p>
              </w:tc>
              <w:tc>
                <w:tcPr>
                  <w:tcW w:w="3373" w:type="pct"/>
                  <w:noWrap w:val="0"/>
                  <w:vAlign w:val="center"/>
                </w:tcPr>
                <w:p>
                  <w:pPr>
                    <w:pStyle w:val="64"/>
                    <w:bidi w:val="0"/>
                    <w:spacing w:line="240" w:lineRule="auto"/>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建筑面积808.5m</w:t>
                  </w:r>
                  <w:r>
                    <w:rPr>
                      <w:rFonts w:hint="default" w:ascii="Times New Roman" w:hAnsi="Times New Roman" w:eastAsia="宋体" w:cs="Times New Roman"/>
                      <w:b w:val="0"/>
                      <w:bCs w:val="0"/>
                      <w:color w:val="000000" w:themeColor="text1"/>
                      <w:kern w:val="2"/>
                      <w:sz w:val="21"/>
                      <w:szCs w:val="21"/>
                      <w:highlight w:val="none"/>
                      <w:u w:val="none" w:color="auto"/>
                      <w:vertAlign w:val="super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，高12.1m，钢砼框架。2层，一层为T11至T13转载点带式输送机及水窝水泵设施，二层为虞公港二期工程来煤带式输送机机头，顶部考虑起吊设施。</w:t>
                  </w:r>
                </w:p>
              </w:tc>
              <w:tc>
                <w:tcPr>
                  <w:tcW w:w="593" w:type="pct"/>
                  <w:noWrap w:val="0"/>
                  <w:vAlign w:val="center"/>
                </w:tcPr>
                <w:p>
                  <w:pPr>
                    <w:pStyle w:val="67"/>
                    <w:bidi w:val="0"/>
                    <w:spacing w:line="240" w:lineRule="auto"/>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noWrap w:val="0"/>
                  <w:vAlign w:val="center"/>
                </w:tcPr>
                <w:p>
                  <w:pPr>
                    <w:pStyle w:val="67"/>
                    <w:bidi w:val="0"/>
                    <w:spacing w:line="240" w:lineRule="auto"/>
                    <w:jc w:val="cente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T13至T12栈桥</w:t>
                  </w:r>
                </w:p>
              </w:tc>
              <w:tc>
                <w:tcPr>
                  <w:tcW w:w="3373" w:type="pct"/>
                  <w:noWrap w:val="0"/>
                  <w:vAlign w:val="center"/>
                </w:tcPr>
                <w:p>
                  <w:pPr>
                    <w:pStyle w:val="64"/>
                    <w:bidi w:val="0"/>
                    <w:spacing w:line="240" w:lineRule="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净断面2.5×7.0m（宽），角度8.7度，双皮带</w:t>
                  </w:r>
                </w:p>
              </w:tc>
              <w:tc>
                <w:tcPr>
                  <w:tcW w:w="593" w:type="pct"/>
                  <w:noWrap w:val="0"/>
                  <w:vAlign w:val="center"/>
                </w:tcPr>
                <w:p>
                  <w:pPr>
                    <w:pStyle w:val="67"/>
                    <w:bidi w:val="0"/>
                    <w:spacing w:line="240" w:lineRule="auto"/>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noWrap w:val="0"/>
                  <w:vAlign w:val="center"/>
                </w:tcPr>
                <w:p>
                  <w:pPr>
                    <w:pStyle w:val="67"/>
                    <w:bidi w:val="0"/>
                    <w:spacing w:line="240" w:lineRule="auto"/>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T13转载点</w:t>
                  </w:r>
                </w:p>
              </w:tc>
              <w:tc>
                <w:tcPr>
                  <w:tcW w:w="3373" w:type="pct"/>
                  <w:noWrap w:val="0"/>
                  <w:vAlign w:val="center"/>
                </w:tcPr>
                <w:p>
                  <w:pPr>
                    <w:pStyle w:val="67"/>
                    <w:bidi w:val="0"/>
                    <w:spacing w:line="240" w:lineRule="auto"/>
                    <w:jc w:val="both"/>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建筑面积625.92m</w:t>
                  </w:r>
                  <w:r>
                    <w:rPr>
                      <w:rFonts w:hint="default" w:ascii="Times New Roman" w:hAnsi="Times New Roman" w:eastAsia="宋体" w:cs="Times New Roman"/>
                      <w:b w:val="0"/>
                      <w:bCs w:val="0"/>
                      <w:color w:val="000000" w:themeColor="text1"/>
                      <w:kern w:val="2"/>
                      <w:sz w:val="21"/>
                      <w:szCs w:val="21"/>
                      <w:highlight w:val="none"/>
                      <w:u w:val="none" w:color="auto"/>
                      <w:vertAlign w:val="super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高13m，钢砼框架。地上2层，地下1层。地上2层为T11至T13转载点带式输送机机头，顶部考虑起吊设施，1层为3#储煤场带式输送机，地下1层为T13至T14转载点带式输送机的机尾及水窝水泵设施，T13至T12转载点带式输送机的机尾。</w:t>
                  </w:r>
                </w:p>
              </w:tc>
              <w:tc>
                <w:tcPr>
                  <w:tcW w:w="593" w:type="pct"/>
                  <w:noWrap w:val="0"/>
                  <w:vAlign w:val="center"/>
                </w:tcPr>
                <w:p>
                  <w:pPr>
                    <w:pStyle w:val="67"/>
                    <w:bidi w:val="0"/>
                    <w:spacing w:line="240" w:lineRule="auto"/>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shd w:val="clear" w:color="auto" w:fill="auto"/>
                  <w:noWrap w:val="0"/>
                  <w:vAlign w:val="center"/>
                </w:tcPr>
                <w:p>
                  <w:pPr>
                    <w:pStyle w:val="67"/>
                    <w:bidi w:val="0"/>
                    <w:spacing w:line="240" w:lineRule="auto"/>
                    <w:jc w:val="cente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T13至T14栈桥</w:t>
                  </w:r>
                </w:p>
              </w:tc>
              <w:tc>
                <w:tcPr>
                  <w:tcW w:w="3373" w:type="pct"/>
                  <w:shd w:val="clear" w:color="auto" w:fill="auto"/>
                  <w:noWrap w:val="0"/>
                  <w:vAlign w:val="center"/>
                </w:tcPr>
                <w:p>
                  <w:pPr>
                    <w:pStyle w:val="64"/>
                    <w:bidi w:val="0"/>
                    <w:spacing w:line="240" w:lineRule="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净断面2.5×7.0m（宽），角度10度，双皮带</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000000" w:themeColor="text1"/>
                      <w:kern w:val="2"/>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shd w:val="clear" w:color="auto" w:fill="auto"/>
                  <w:noWrap w:val="0"/>
                  <w:vAlign w:val="center"/>
                </w:tcPr>
                <w:p>
                  <w:pPr>
                    <w:pStyle w:val="67"/>
                    <w:bidi w:val="0"/>
                    <w:spacing w:line="240" w:lineRule="auto"/>
                    <w:jc w:val="cente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T13至3#储煤场栈桥</w:t>
                  </w:r>
                </w:p>
              </w:tc>
              <w:tc>
                <w:tcPr>
                  <w:tcW w:w="3373" w:type="pct"/>
                  <w:shd w:val="clear" w:color="auto" w:fill="auto"/>
                  <w:noWrap w:val="0"/>
                  <w:vAlign w:val="center"/>
                </w:tcPr>
                <w:p>
                  <w:pPr>
                    <w:pStyle w:val="64"/>
                    <w:bidi w:val="0"/>
                    <w:spacing w:line="240" w:lineRule="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长度14m，净断面2.8×7.6m（宽），双皮带，位于地面之上，轻钢维护。</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000000" w:themeColor="text1"/>
                      <w:kern w:val="2"/>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noWrap w:val="0"/>
                  <w:vAlign w:val="center"/>
                </w:tcPr>
                <w:p>
                  <w:pPr>
                    <w:pStyle w:val="67"/>
                    <w:bidi w:val="0"/>
                    <w:spacing w:line="240" w:lineRule="auto"/>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T14转载点</w:t>
                  </w:r>
                </w:p>
              </w:tc>
              <w:tc>
                <w:tcPr>
                  <w:tcW w:w="3373" w:type="pct"/>
                  <w:noWrap w:val="0"/>
                  <w:vAlign w:val="center"/>
                </w:tcPr>
                <w:p>
                  <w:pPr>
                    <w:pStyle w:val="67"/>
                    <w:bidi w:val="0"/>
                    <w:spacing w:line="240" w:lineRule="auto"/>
                    <w:jc w:val="both"/>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建筑面积625.92m</w:t>
                  </w:r>
                  <w:r>
                    <w:rPr>
                      <w:rFonts w:hint="default" w:ascii="Times New Roman" w:hAnsi="Times New Roman" w:eastAsia="宋体" w:cs="Times New Roman"/>
                      <w:b w:val="0"/>
                      <w:bCs w:val="0"/>
                      <w:color w:val="000000" w:themeColor="text1"/>
                      <w:kern w:val="2"/>
                      <w:sz w:val="21"/>
                      <w:szCs w:val="21"/>
                      <w:highlight w:val="none"/>
                      <w:u w:val="none" w:color="auto"/>
                      <w:vertAlign w:val="super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，高13m，钢砼框架。地上2层，地下1层。地上2层为T13至T14转载点带式输送机机头，顶部考虑起吊设施，1层为4#储煤场带式输送机，地下1层设置水窝水泵设施，T14至T13转载点带式输送机机尾。</w:t>
                  </w:r>
                </w:p>
              </w:tc>
              <w:tc>
                <w:tcPr>
                  <w:tcW w:w="593" w:type="pct"/>
                  <w:noWrap w:val="0"/>
                  <w:vAlign w:val="center"/>
                </w:tcPr>
                <w:p>
                  <w:pPr>
                    <w:pStyle w:val="67"/>
                    <w:bidi w:val="0"/>
                    <w:spacing w:line="240" w:lineRule="auto"/>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shd w:val="clear" w:color="auto" w:fill="auto"/>
                  <w:noWrap w:val="0"/>
                  <w:vAlign w:val="center"/>
                </w:tcPr>
                <w:p>
                  <w:pPr>
                    <w:pStyle w:val="67"/>
                    <w:bidi w:val="0"/>
                    <w:spacing w:line="240" w:lineRule="auto"/>
                    <w:jc w:val="cente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T14至4#储煤场栈桥</w:t>
                  </w:r>
                </w:p>
              </w:tc>
              <w:tc>
                <w:tcPr>
                  <w:tcW w:w="3373" w:type="pct"/>
                  <w:shd w:val="clear" w:color="auto" w:fill="auto"/>
                  <w:noWrap w:val="0"/>
                  <w:vAlign w:val="center"/>
                </w:tcPr>
                <w:p>
                  <w:pPr>
                    <w:pStyle w:val="64"/>
                    <w:bidi w:val="0"/>
                    <w:spacing w:line="240" w:lineRule="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长度14m，净断面2.8×7.6m（宽），双皮带，位于地面之上，轻钢维护。</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000000" w:themeColor="text1"/>
                      <w:kern w:val="2"/>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shd w:val="clear" w:color="auto" w:fill="auto"/>
                  <w:noWrap w:val="0"/>
                  <w:vAlign w:val="center"/>
                </w:tcPr>
                <w:p>
                  <w:pPr>
                    <w:pStyle w:val="67"/>
                    <w:bidi w:val="0"/>
                    <w:spacing w:line="240" w:lineRule="auto"/>
                    <w:jc w:val="cente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T15至T16栈桥</w:t>
                  </w:r>
                </w:p>
              </w:tc>
              <w:tc>
                <w:tcPr>
                  <w:tcW w:w="3373" w:type="pct"/>
                  <w:shd w:val="clear" w:color="auto" w:fill="auto"/>
                  <w:noWrap w:val="0"/>
                  <w:vAlign w:val="center"/>
                </w:tcPr>
                <w:p>
                  <w:pPr>
                    <w:pStyle w:val="64"/>
                    <w:bidi w:val="0"/>
                    <w:spacing w:line="240" w:lineRule="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净断面2.5×4.3m（宽），角度12.7度，单皮带</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000000" w:themeColor="text1"/>
                      <w:kern w:val="2"/>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T16转载点</w:t>
                  </w:r>
                </w:p>
              </w:tc>
              <w:tc>
                <w:tcPr>
                  <w:tcW w:w="3373" w:type="pct"/>
                  <w:noWrap w:val="0"/>
                  <w:vAlign w:val="center"/>
                </w:tcPr>
                <w:p>
                  <w:pPr>
                    <w:pStyle w:val="64"/>
                    <w:bidi w:val="0"/>
                    <w:spacing w:line="240" w:lineRule="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建筑面积491.52m</w:t>
                  </w:r>
                  <w:r>
                    <w:rPr>
                      <w:rFonts w:hint="default" w:ascii="Times New Roman" w:hAnsi="Times New Roman" w:eastAsia="宋体" w:cs="Times New Roman"/>
                      <w:b w:val="0"/>
                      <w:bCs w:val="0"/>
                      <w:color w:val="000000" w:themeColor="text1"/>
                      <w:kern w:val="2"/>
                      <w:sz w:val="21"/>
                      <w:szCs w:val="21"/>
                      <w:highlight w:val="none"/>
                      <w:u w:val="none" w:color="auto"/>
                      <w:vertAlign w:val="super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，高13m，钢砼框架。</w:t>
                  </w:r>
                  <w:r>
                    <w:rPr>
                      <w:rFonts w:hint="default" w:ascii="Times New Roman" w:hAnsi="Times New Roman" w:eastAsia="宋体" w:cs="Times New Roman"/>
                      <w:b w:val="0"/>
                      <w:bCs w:val="0"/>
                      <w:color w:val="auto"/>
                      <w:kern w:val="2"/>
                      <w:sz w:val="21"/>
                      <w:szCs w:val="21"/>
                      <w:highlight w:val="none"/>
                      <w:u w:val="none" w:color="auto"/>
                      <w:lang w:val="en-US" w:eastAsia="zh-CN" w:bidi="ar-SA"/>
                    </w:rPr>
                    <w:t>地上2层，地下1层。地上2层为T17至T16转载点带式输送机机头，顶部考虑起吊设施，1层为3#储煤场带式输送机，地下1层为T16至T15转载点带式输送机的机尾、T16至T17转载点带式输送机的机尾及水窝水泵设施。</w:t>
                  </w:r>
                </w:p>
              </w:tc>
              <w:tc>
                <w:tcPr>
                  <w:tcW w:w="593" w:type="pct"/>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lang w:val="en-US" w:eastAsia="zh-CN"/>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shd w:val="clear" w:color="auto" w:fill="auto"/>
                  <w:noWrap w:val="0"/>
                  <w:vAlign w:val="center"/>
                </w:tcPr>
                <w:p>
                  <w:pPr>
                    <w:pStyle w:val="67"/>
                    <w:bidi w:val="0"/>
                    <w:spacing w:line="240" w:lineRule="auto"/>
                    <w:jc w:val="cente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T16至3#储煤场栈桥</w:t>
                  </w:r>
                </w:p>
              </w:tc>
              <w:tc>
                <w:tcPr>
                  <w:tcW w:w="3373" w:type="pct"/>
                  <w:shd w:val="clear" w:color="auto" w:fill="auto"/>
                  <w:noWrap w:val="0"/>
                  <w:vAlign w:val="center"/>
                </w:tcPr>
                <w:p>
                  <w:pPr>
                    <w:pStyle w:val="64"/>
                    <w:bidi w:val="0"/>
                    <w:spacing w:line="240" w:lineRule="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长度14m，净断面2.8×7.6m（宽），双皮带，位于地面之上，轻钢维护。</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000000" w:themeColor="text1"/>
                      <w:kern w:val="2"/>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0"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shd w:val="clear" w:color="auto" w:fill="auto"/>
                  <w:noWrap w:val="0"/>
                  <w:vAlign w:val="center"/>
                </w:tcPr>
                <w:p>
                  <w:pPr>
                    <w:pStyle w:val="67"/>
                    <w:bidi w:val="0"/>
                    <w:spacing w:line="240" w:lineRule="auto"/>
                    <w:jc w:val="cente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T16至T17栈桥</w:t>
                  </w:r>
                </w:p>
              </w:tc>
              <w:tc>
                <w:tcPr>
                  <w:tcW w:w="3373" w:type="pct"/>
                  <w:shd w:val="clear" w:color="auto" w:fill="auto"/>
                  <w:noWrap w:val="0"/>
                  <w:vAlign w:val="center"/>
                </w:tcPr>
                <w:p>
                  <w:pPr>
                    <w:pStyle w:val="64"/>
                    <w:bidi w:val="0"/>
                    <w:spacing w:line="240" w:lineRule="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净断面2.5×4m（宽），角度12.4度，单皮带</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000000" w:themeColor="text1"/>
                      <w:kern w:val="2"/>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shd w:val="clear" w:color="auto" w:fill="auto"/>
                  <w:noWrap w:val="0"/>
                  <w:vAlign w:val="center"/>
                </w:tcPr>
                <w:p>
                  <w:pPr>
                    <w:pStyle w:val="67"/>
                    <w:bidi w:val="0"/>
                    <w:spacing w:line="240" w:lineRule="auto"/>
                    <w:jc w:val="cente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T17至T16栈桥</w:t>
                  </w:r>
                </w:p>
              </w:tc>
              <w:tc>
                <w:tcPr>
                  <w:tcW w:w="3373" w:type="pct"/>
                  <w:shd w:val="clear" w:color="auto" w:fill="auto"/>
                  <w:noWrap w:val="0"/>
                  <w:vAlign w:val="center"/>
                </w:tcPr>
                <w:p>
                  <w:pPr>
                    <w:pStyle w:val="64"/>
                    <w:bidi w:val="0"/>
                    <w:spacing w:line="240" w:lineRule="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净断面2.5×4.2m（宽），角度12.4度，单皮带</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000000" w:themeColor="text1"/>
                      <w:kern w:val="2"/>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T17转载</w:t>
                  </w:r>
                </w:p>
              </w:tc>
              <w:tc>
                <w:tcPr>
                  <w:tcW w:w="3373" w:type="pct"/>
                  <w:noWrap w:val="0"/>
                  <w:vAlign w:val="center"/>
                </w:tcPr>
                <w:p>
                  <w:pPr>
                    <w:pStyle w:val="67"/>
                    <w:bidi w:val="0"/>
                    <w:spacing w:line="240" w:lineRule="auto"/>
                    <w:jc w:val="both"/>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建筑面积491.52m</w:t>
                  </w:r>
                  <w:r>
                    <w:rPr>
                      <w:rFonts w:hint="default" w:ascii="Times New Roman" w:hAnsi="Times New Roman" w:eastAsia="宋体" w:cs="Times New Roman"/>
                      <w:b w:val="0"/>
                      <w:bCs w:val="0"/>
                      <w:color w:val="000000" w:themeColor="text1"/>
                      <w:kern w:val="2"/>
                      <w:sz w:val="21"/>
                      <w:szCs w:val="21"/>
                      <w:highlight w:val="none"/>
                      <w:u w:val="none" w:color="auto"/>
                      <w:vertAlign w:val="super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，高13m，钢砼框架。</w:t>
                  </w:r>
                  <w:r>
                    <w:rPr>
                      <w:rFonts w:hint="default" w:ascii="Times New Roman" w:hAnsi="Times New Roman" w:eastAsia="宋体" w:cs="Times New Roman"/>
                      <w:b w:val="0"/>
                      <w:bCs w:val="0"/>
                      <w:color w:val="auto"/>
                      <w:kern w:val="2"/>
                      <w:sz w:val="21"/>
                      <w:szCs w:val="21"/>
                      <w:highlight w:val="none"/>
                      <w:u w:val="none" w:color="auto"/>
                      <w:lang w:val="en-US" w:eastAsia="zh-CN" w:bidi="ar-SA"/>
                    </w:rPr>
                    <w:t>地上2层，地下1层。地上2层为T16至T17转载点带式输送机机头，顶部考虑起吊设施，1层为4#储煤场带式输送机，地下1层为T17至T16转载点带式输送机的机尾、T17至T18转载点带式输送机的机尾及水窝水泵设施。</w:t>
                  </w:r>
                </w:p>
              </w:tc>
              <w:tc>
                <w:tcPr>
                  <w:tcW w:w="593"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shd w:val="clear" w:color="auto" w:fill="auto"/>
                  <w:noWrap w:val="0"/>
                  <w:vAlign w:val="center"/>
                </w:tcPr>
                <w:p>
                  <w:pPr>
                    <w:pStyle w:val="67"/>
                    <w:bidi w:val="0"/>
                    <w:spacing w:line="240" w:lineRule="auto"/>
                    <w:jc w:val="cente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T17至4#储煤场栈桥</w:t>
                  </w:r>
                </w:p>
              </w:tc>
              <w:tc>
                <w:tcPr>
                  <w:tcW w:w="3373" w:type="pct"/>
                  <w:shd w:val="clear" w:color="auto" w:fill="auto"/>
                  <w:noWrap w:val="0"/>
                  <w:vAlign w:val="center"/>
                </w:tcPr>
                <w:p>
                  <w:pPr>
                    <w:pStyle w:val="64"/>
                    <w:bidi w:val="0"/>
                    <w:spacing w:line="240" w:lineRule="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长度14m，净断面2.8×7.6m（宽），双皮带，位于地面之上，轻钢维护。</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000000" w:themeColor="text1"/>
                      <w:kern w:val="2"/>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shd w:val="clear" w:color="auto" w:fill="auto"/>
                  <w:noWrap w:val="0"/>
                  <w:vAlign w:val="center"/>
                </w:tcPr>
                <w:p>
                  <w:pPr>
                    <w:pStyle w:val="67"/>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卸船系统</w:t>
                  </w:r>
                </w:p>
              </w:tc>
              <w:tc>
                <w:tcPr>
                  <w:tcW w:w="3373" w:type="pct"/>
                  <w:shd w:val="clear" w:color="auto" w:fill="auto"/>
                  <w:noWrap w:val="0"/>
                  <w:vAlign w:val="center"/>
                </w:tcPr>
                <w:p>
                  <w:pPr>
                    <w:pStyle w:val="67"/>
                    <w:bidi w:val="0"/>
                    <w:spacing w:line="240" w:lineRule="auto"/>
                    <w:jc w:val="both"/>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rPr>
                    <w:t>虞公港码头散货泊位配置3台</w:t>
                  </w:r>
                  <w:r>
                    <w:rPr>
                      <w:rFonts w:hint="default" w:ascii="Times New Roman" w:hAnsi="Times New Roman" w:eastAsia="宋体" w:cs="Times New Roman"/>
                      <w:color w:val="auto"/>
                      <w:kern w:val="2"/>
                      <w:sz w:val="21"/>
                      <w:szCs w:val="21"/>
                      <w:highlight w:val="none"/>
                      <w:u w:val="none" w:color="auto"/>
                      <w:lang w:val="en-US" w:eastAsia="zh-CN"/>
                    </w:rPr>
                    <w:t>1000t/h-25m</w:t>
                  </w:r>
                  <w:r>
                    <w:rPr>
                      <w:rFonts w:hint="default" w:ascii="Times New Roman" w:hAnsi="Times New Roman" w:eastAsia="宋体" w:cs="Times New Roman"/>
                      <w:b w:val="0"/>
                      <w:bCs w:val="0"/>
                      <w:color w:val="auto"/>
                      <w:sz w:val="21"/>
                      <w:szCs w:val="21"/>
                      <w:u w:val="none" w:color="auto"/>
                      <w:lang w:val="en-US" w:eastAsia="zh-CN"/>
                    </w:rPr>
                    <w:t>桥式抓斗卸船机。</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rPr>
                    <w:t>依托虞公港已建、在建工程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000000" w:themeColor="text1"/>
                      <w:kern w:val="2"/>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T11转载点</w:t>
                  </w:r>
                </w:p>
              </w:tc>
              <w:tc>
                <w:tcPr>
                  <w:tcW w:w="3373" w:type="pct"/>
                  <w:shd w:val="clear" w:color="auto" w:fill="auto"/>
                  <w:noWrap w:val="0"/>
                  <w:vAlign w:val="center"/>
                </w:tcPr>
                <w:p>
                  <w:pPr>
                    <w:pStyle w:val="67"/>
                    <w:bidi w:val="0"/>
                    <w:spacing w:line="240" w:lineRule="auto"/>
                    <w:jc w:val="both"/>
                    <w:rPr>
                      <w:rFonts w:hint="default" w:ascii="Times New Roman" w:hAnsi="Times New Roman" w:eastAsia="宋体" w:cs="Times New Roman"/>
                      <w:bCs/>
                      <w:color w:val="000000" w:themeColor="text1"/>
                      <w:kern w:val="2"/>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虞公港码头</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泊位至转载点</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带式输送机栈桥共有3条带式输送机，每条输送机上设置2台犁式卸料器，</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将卸船物料输送</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至T11转载点。T11转载点布置一层，地面设置2条T11至T13转载点带式输送机的机尾及水窝水泵设施。</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000000" w:themeColor="text1"/>
                      <w:kern w:val="2"/>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依托虞公港已建工程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shd w:val="clear" w:color="auto" w:fill="auto"/>
                  <w:noWrap w:val="0"/>
                  <w:vAlign w:val="center"/>
                </w:tcPr>
                <w:p>
                  <w:pPr>
                    <w:pStyle w:val="67"/>
                    <w:bidi w:val="0"/>
                    <w:spacing w:line="240" w:lineRule="auto"/>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T15转载点</w:t>
                  </w:r>
                </w:p>
              </w:tc>
              <w:tc>
                <w:tcPr>
                  <w:tcW w:w="3373" w:type="pct"/>
                  <w:shd w:val="clear" w:color="auto" w:fill="auto"/>
                  <w:noWrap w:val="0"/>
                  <w:vAlign w:val="center"/>
                </w:tcPr>
                <w:p>
                  <w:pPr>
                    <w:pStyle w:val="67"/>
                    <w:bidi w:val="0"/>
                    <w:spacing w:line="240" w:lineRule="auto"/>
                    <w:jc w:val="both"/>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地上2层。地上2层为1条T16至T15转载点带式输送机机头，顶部考虑起吊设施，1层为1条T15至虞公港现有T2转载点带式输送机机尾，设置水窝水泵设施。</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auto"/>
                      <w:sz w:val="21"/>
                      <w:szCs w:val="21"/>
                      <w:highlight w:val="none"/>
                      <w:u w:val="none" w:color="auto"/>
                      <w:lang w:val="en-US" w:eastAsia="zh-CN"/>
                    </w:rPr>
                    <w:t>依托虞公港已建工程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shd w:val="clear" w:color="auto" w:fill="auto"/>
                  <w:noWrap w:val="0"/>
                  <w:vAlign w:val="center"/>
                </w:tcPr>
                <w:p>
                  <w:pPr>
                    <w:pStyle w:val="67"/>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装船系统</w:t>
                  </w:r>
                </w:p>
              </w:tc>
              <w:tc>
                <w:tcPr>
                  <w:tcW w:w="3373" w:type="pct"/>
                  <w:shd w:val="clear" w:color="auto" w:fill="auto"/>
                  <w:noWrap w:val="0"/>
                  <w:vAlign w:val="center"/>
                </w:tcPr>
                <w:p>
                  <w:pPr>
                    <w:pStyle w:val="67"/>
                    <w:bidi w:val="0"/>
                    <w:spacing w:line="240" w:lineRule="auto"/>
                    <w:jc w:val="both"/>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rPr>
                    <w:t>虞公港码头散货泊位配置1台SL2000t/h-18m直线移动式装船机。</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rPr>
                    <w:t>依托虞公港已建工程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T18转载点</w:t>
                  </w:r>
                </w:p>
              </w:tc>
              <w:tc>
                <w:tcPr>
                  <w:tcW w:w="3373" w:type="pct"/>
                  <w:noWrap w:val="0"/>
                  <w:vAlign w:val="center"/>
                </w:tcPr>
                <w:p>
                  <w:pPr>
                    <w:pStyle w:val="67"/>
                    <w:bidi w:val="0"/>
                    <w:spacing w:line="240" w:lineRule="auto"/>
                    <w:jc w:val="both"/>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地上2层。地上2层为1条T17至T18转载点带式输送机机头，顶部考虑起吊设施，1层为1条T18至T6转载点带式输送机机尾，设置水窝水泵设施。</w:t>
                  </w:r>
                </w:p>
              </w:tc>
              <w:tc>
                <w:tcPr>
                  <w:tcW w:w="593"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依托虞公港在建工程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0000FF"/>
                      <w:sz w:val="21"/>
                      <w:szCs w:val="21"/>
                      <w:highlight w:val="none"/>
                      <w:u w:val="none" w:color="auto"/>
                    </w:rPr>
                  </w:pPr>
                </w:p>
              </w:tc>
              <w:tc>
                <w:tcPr>
                  <w:tcW w:w="692" w:type="pct"/>
                  <w:noWrap w:val="0"/>
                  <w:vAlign w:val="center"/>
                </w:tcPr>
                <w:p>
                  <w:pPr>
                    <w:pStyle w:val="67"/>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火车装车系统</w:t>
                  </w:r>
                </w:p>
              </w:tc>
              <w:tc>
                <w:tcPr>
                  <w:tcW w:w="3373" w:type="pct"/>
                  <w:noWrap w:val="0"/>
                  <w:vAlign w:val="center"/>
                </w:tcPr>
                <w:p>
                  <w:pPr>
                    <w:pStyle w:val="67"/>
                    <w:bidi w:val="0"/>
                    <w:spacing w:line="240" w:lineRule="auto"/>
                    <w:jc w:val="both"/>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rPr>
                    <w:t>虞公港</w:t>
                  </w:r>
                  <w:r>
                    <w:rPr>
                      <w:rFonts w:hint="default" w:ascii="Times New Roman" w:hAnsi="Times New Roman" w:eastAsia="宋体" w:cs="Times New Roman"/>
                      <w:color w:val="auto"/>
                      <w:sz w:val="21"/>
                      <w:szCs w:val="21"/>
                      <w:u w:val="none" w:color="auto"/>
                      <w:lang w:val="en-US" w:eastAsia="zh-CN"/>
                    </w:rPr>
                    <w:t>在建</w:t>
                  </w:r>
                  <w:r>
                    <w:rPr>
                      <w:rFonts w:hint="default" w:ascii="Times New Roman" w:hAnsi="Times New Roman" w:eastAsia="宋体" w:cs="Times New Roman"/>
                      <w:color w:val="auto"/>
                      <w:kern w:val="2"/>
                      <w:sz w:val="21"/>
                      <w:szCs w:val="21"/>
                      <w:highlight w:val="none"/>
                      <w:u w:val="none" w:color="auto"/>
                      <w:lang w:val="en-US" w:eastAsia="zh-CN"/>
                    </w:rPr>
                    <w:t>T18转载点、T6转载点、皮带输送栈桥；</w:t>
                  </w:r>
                  <w:r>
                    <w:rPr>
                      <w:rFonts w:hint="default" w:ascii="Times New Roman" w:hAnsi="Times New Roman" w:eastAsia="宋体" w:cs="Times New Roman"/>
                      <w:color w:val="auto"/>
                      <w:sz w:val="21"/>
                      <w:szCs w:val="21"/>
                      <w:u w:val="none" w:color="auto"/>
                      <w:lang w:val="en-US" w:eastAsia="zh-CN"/>
                    </w:rPr>
                    <w:t>火车装车系统；</w:t>
                  </w:r>
                  <w:r>
                    <w:rPr>
                      <w:rFonts w:hint="default" w:ascii="Times New Roman" w:hAnsi="Times New Roman" w:eastAsia="宋体" w:cs="Times New Roman"/>
                      <w:b w:val="0"/>
                      <w:bCs w:val="0"/>
                      <w:color w:val="auto"/>
                      <w:sz w:val="21"/>
                      <w:szCs w:val="21"/>
                      <w:u w:val="none" w:color="auto"/>
                      <w:lang w:val="en-US" w:eastAsia="zh-CN"/>
                    </w:rPr>
                    <w:t>铁路专用线。火车装车系统设计能力3000t/h。</w:t>
                  </w:r>
                </w:p>
              </w:tc>
              <w:tc>
                <w:tcPr>
                  <w:tcW w:w="593"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依托虞公港在建工程、铁路专用线在建工程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restar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辅助工程</w:t>
                  </w:r>
                </w:p>
              </w:tc>
              <w:tc>
                <w:tcPr>
                  <w:tcW w:w="692"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煤氧抑制剂库</w:t>
                  </w:r>
                </w:p>
              </w:tc>
              <w:tc>
                <w:tcPr>
                  <w:tcW w:w="3373"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建筑面积150m</w:t>
                  </w:r>
                  <w:r>
                    <w:rPr>
                      <w:rFonts w:hint="default" w:ascii="Times New Roman" w:hAnsi="Times New Roman" w:eastAsia="宋体" w:cs="Times New Roman"/>
                      <w:b w:val="0"/>
                      <w:bCs w:val="0"/>
                      <w:color w:val="auto"/>
                      <w:kern w:val="2"/>
                      <w:sz w:val="21"/>
                      <w:szCs w:val="21"/>
                      <w:highlight w:val="none"/>
                      <w:u w:val="none" w:color="auto"/>
                      <w:vertAlign w:val="superscript"/>
                      <w:lang w:val="en-US" w:eastAsia="zh-CN" w:bidi="ar-SA"/>
                    </w:rPr>
                    <w:t>2</w:t>
                  </w:r>
                  <w:r>
                    <w:rPr>
                      <w:rFonts w:hint="default" w:ascii="Times New Roman" w:hAnsi="Times New Roman" w:eastAsia="宋体" w:cs="Times New Roman"/>
                      <w:b w:val="0"/>
                      <w:bCs w:val="0"/>
                      <w:color w:val="auto"/>
                      <w:kern w:val="2"/>
                      <w:sz w:val="21"/>
                      <w:szCs w:val="21"/>
                      <w:highlight w:val="none"/>
                      <w:u w:val="none" w:color="auto"/>
                      <w:lang w:val="en-US" w:eastAsia="zh-CN" w:bidi="ar-SA"/>
                    </w:rPr>
                    <w:t>，高6.9m，钢砼框架，地上1层。</w:t>
                  </w:r>
                </w:p>
              </w:tc>
              <w:tc>
                <w:tcPr>
                  <w:tcW w:w="593"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692" w:type="pct"/>
                  <w:shd w:val="clear" w:color="auto" w:fill="auto"/>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推煤机库</w:t>
                  </w:r>
                </w:p>
              </w:tc>
              <w:tc>
                <w:tcPr>
                  <w:tcW w:w="3373" w:type="pct"/>
                  <w:shd w:val="clear" w:color="auto" w:fill="auto"/>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建筑面积540m</w:t>
                  </w:r>
                  <w:r>
                    <w:rPr>
                      <w:rFonts w:hint="default" w:ascii="Times New Roman" w:hAnsi="Times New Roman" w:eastAsia="宋体" w:cs="Times New Roman"/>
                      <w:b w:val="0"/>
                      <w:bCs w:val="0"/>
                      <w:color w:val="auto"/>
                      <w:kern w:val="2"/>
                      <w:sz w:val="21"/>
                      <w:szCs w:val="21"/>
                      <w:highlight w:val="none"/>
                      <w:u w:val="none" w:color="auto"/>
                      <w:vertAlign w:val="superscript"/>
                      <w:lang w:val="en-US" w:eastAsia="zh-CN" w:bidi="ar-SA"/>
                    </w:rPr>
                    <w:t>2</w:t>
                  </w:r>
                  <w:r>
                    <w:rPr>
                      <w:rFonts w:hint="default" w:ascii="Times New Roman" w:hAnsi="Times New Roman" w:eastAsia="宋体" w:cs="Times New Roman"/>
                      <w:b w:val="0"/>
                      <w:bCs w:val="0"/>
                      <w:color w:val="auto"/>
                      <w:kern w:val="2"/>
                      <w:sz w:val="21"/>
                      <w:szCs w:val="21"/>
                      <w:highlight w:val="none"/>
                      <w:u w:val="none" w:color="auto"/>
                      <w:lang w:val="en-US" w:eastAsia="zh-CN" w:bidi="ar-SA"/>
                    </w:rPr>
                    <w:t>，高6.9m，钢砼框架，地上1层。</w:t>
                  </w:r>
                </w:p>
              </w:tc>
              <w:tc>
                <w:tcPr>
                  <w:tcW w:w="593" w:type="pct"/>
                  <w:shd w:val="clear" w:color="auto" w:fill="auto"/>
                  <w:noWrap w:val="0"/>
                  <w:vAlign w:val="center"/>
                </w:tcPr>
                <w:p>
                  <w:pPr>
                    <w:bidi w:val="0"/>
                    <w:spacing w:line="240" w:lineRule="auto"/>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692" w:type="pct"/>
                  <w:shd w:val="clear" w:color="auto" w:fill="auto"/>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变电所、变配电室</w:t>
                  </w:r>
                </w:p>
              </w:tc>
              <w:tc>
                <w:tcPr>
                  <w:tcW w:w="3373" w:type="pct"/>
                  <w:shd w:val="clear" w:color="auto" w:fill="auto"/>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lang w:val="en-US" w:eastAsia="zh-CN"/>
                    </w:rPr>
                    <w:t>变电所</w:t>
                  </w:r>
                  <w:r>
                    <w:rPr>
                      <w:rFonts w:hint="default" w:ascii="Times New Roman" w:hAnsi="Times New Roman" w:eastAsia="宋体" w:cs="Times New Roman"/>
                      <w:b w:val="0"/>
                      <w:bCs w:val="0"/>
                      <w:color w:val="auto"/>
                      <w:kern w:val="2"/>
                      <w:sz w:val="21"/>
                      <w:szCs w:val="21"/>
                      <w:highlight w:val="none"/>
                      <w:u w:val="none" w:color="auto"/>
                      <w:lang w:val="en-US" w:eastAsia="zh-CN" w:bidi="ar-SA"/>
                    </w:rPr>
                    <w:t>建筑面积435m</w:t>
                  </w:r>
                  <w:r>
                    <w:rPr>
                      <w:rFonts w:hint="default" w:ascii="Times New Roman" w:hAnsi="Times New Roman" w:eastAsia="宋体" w:cs="Times New Roman"/>
                      <w:b w:val="0"/>
                      <w:bCs w:val="0"/>
                      <w:color w:val="auto"/>
                      <w:kern w:val="2"/>
                      <w:sz w:val="21"/>
                      <w:szCs w:val="21"/>
                      <w:highlight w:val="none"/>
                      <w:u w:val="none" w:color="auto"/>
                      <w:vertAlign w:val="superscript"/>
                      <w:lang w:val="en-US" w:eastAsia="zh-CN" w:bidi="ar-SA"/>
                    </w:rPr>
                    <w:t>2</w:t>
                  </w:r>
                  <w:r>
                    <w:rPr>
                      <w:rFonts w:hint="default" w:ascii="Times New Roman" w:hAnsi="Times New Roman" w:eastAsia="宋体" w:cs="Times New Roman"/>
                      <w:b w:val="0"/>
                      <w:bCs w:val="0"/>
                      <w:color w:val="auto"/>
                      <w:kern w:val="2"/>
                      <w:sz w:val="21"/>
                      <w:szCs w:val="21"/>
                      <w:highlight w:val="none"/>
                      <w:u w:val="none" w:color="auto"/>
                      <w:lang w:val="en-US" w:eastAsia="zh-CN" w:bidi="ar-SA"/>
                    </w:rPr>
                    <w:t>，高9.6m，钢砼框架，地上2层。</w:t>
                  </w:r>
                  <w:r>
                    <w:rPr>
                      <w:rFonts w:hint="default" w:ascii="Times New Roman" w:hAnsi="Times New Roman" w:eastAsia="宋体" w:cs="Times New Roman"/>
                      <w:color w:val="auto"/>
                      <w:sz w:val="21"/>
                      <w:szCs w:val="21"/>
                      <w:highlight w:val="none"/>
                      <w:u w:val="none" w:color="auto"/>
                      <w:lang w:val="en-US" w:eastAsia="zh-CN"/>
                    </w:rPr>
                    <w:t>变配电室</w:t>
                  </w:r>
                  <w:r>
                    <w:rPr>
                      <w:rFonts w:hint="default" w:ascii="Times New Roman" w:hAnsi="Times New Roman" w:eastAsia="宋体" w:cs="Times New Roman"/>
                      <w:b w:val="0"/>
                      <w:bCs w:val="0"/>
                      <w:color w:val="auto"/>
                      <w:kern w:val="2"/>
                      <w:sz w:val="21"/>
                      <w:szCs w:val="21"/>
                      <w:highlight w:val="none"/>
                      <w:u w:val="none" w:color="auto"/>
                      <w:lang w:val="en-US" w:eastAsia="zh-CN" w:bidi="ar-SA"/>
                    </w:rPr>
                    <w:t>建筑面积100m</w:t>
                  </w:r>
                  <w:r>
                    <w:rPr>
                      <w:rFonts w:hint="default" w:ascii="Times New Roman" w:hAnsi="Times New Roman" w:eastAsia="宋体" w:cs="Times New Roman"/>
                      <w:b w:val="0"/>
                      <w:bCs w:val="0"/>
                      <w:color w:val="auto"/>
                      <w:kern w:val="2"/>
                      <w:sz w:val="21"/>
                      <w:szCs w:val="21"/>
                      <w:highlight w:val="none"/>
                      <w:u w:val="none" w:color="auto"/>
                      <w:vertAlign w:val="superscript"/>
                      <w:lang w:val="en-US" w:eastAsia="zh-CN" w:bidi="ar-SA"/>
                    </w:rPr>
                    <w:t>2</w:t>
                  </w:r>
                  <w:r>
                    <w:rPr>
                      <w:rFonts w:hint="default" w:ascii="Times New Roman" w:hAnsi="Times New Roman" w:eastAsia="宋体" w:cs="Times New Roman"/>
                      <w:b w:val="0"/>
                      <w:bCs w:val="0"/>
                      <w:color w:val="auto"/>
                      <w:kern w:val="2"/>
                      <w:sz w:val="21"/>
                      <w:szCs w:val="21"/>
                      <w:highlight w:val="none"/>
                      <w:u w:val="none" w:color="auto"/>
                      <w:lang w:val="en-US" w:eastAsia="zh-CN" w:bidi="ar-SA"/>
                    </w:rPr>
                    <w:t>，高4.9m，钢砼框架，地上1层。</w:t>
                  </w:r>
                </w:p>
              </w:tc>
              <w:tc>
                <w:tcPr>
                  <w:tcW w:w="593" w:type="pct"/>
                  <w:shd w:val="clear" w:color="auto" w:fill="auto"/>
                  <w:noWrap w:val="0"/>
                  <w:vAlign w:val="center"/>
                </w:tcPr>
                <w:p>
                  <w:pPr>
                    <w:bidi w:val="0"/>
                    <w:spacing w:line="240" w:lineRule="auto"/>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692" w:type="pct"/>
                  <w:shd w:val="clear" w:color="auto" w:fill="auto"/>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煤质化验</w:t>
                  </w:r>
                </w:p>
              </w:tc>
              <w:tc>
                <w:tcPr>
                  <w:tcW w:w="3373" w:type="pct"/>
                  <w:shd w:val="clear" w:color="auto" w:fill="auto"/>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通过</w:t>
                  </w:r>
                  <w:r>
                    <w:rPr>
                      <w:rFonts w:hint="default" w:ascii="Times New Roman" w:hAnsi="Times New Roman" w:eastAsia="宋体" w:cs="Times New Roman"/>
                      <w:color w:val="auto"/>
                      <w:sz w:val="21"/>
                      <w:szCs w:val="21"/>
                      <w:u w:val="none" w:color="auto"/>
                      <w:lang w:val="en-US" w:eastAsia="zh-CN"/>
                    </w:rPr>
                    <w:t>皮带中部采制样</w:t>
                  </w:r>
                  <w:r>
                    <w:rPr>
                      <w:rFonts w:hint="eastAsia" w:ascii="Times New Roman" w:hAnsi="Times New Roman" w:eastAsia="宋体" w:cs="Times New Roman"/>
                      <w:color w:val="auto"/>
                      <w:sz w:val="21"/>
                      <w:szCs w:val="21"/>
                      <w:u w:val="none" w:color="auto"/>
                      <w:lang w:val="en-US" w:eastAsia="zh-CN"/>
                    </w:rPr>
                    <w:t>进行</w:t>
                  </w:r>
                  <w:r>
                    <w:rPr>
                      <w:rFonts w:hint="default" w:ascii="Times New Roman" w:hAnsi="Times New Roman" w:eastAsia="宋体" w:cs="Times New Roman"/>
                      <w:color w:val="auto"/>
                      <w:sz w:val="21"/>
                      <w:szCs w:val="21"/>
                      <w:u w:val="none" w:color="auto"/>
                      <w:lang w:val="en-US" w:eastAsia="zh-CN"/>
                    </w:rPr>
                    <w:t>来煤检验。在线</w:t>
                  </w:r>
                  <w:r>
                    <w:rPr>
                      <w:rFonts w:hint="eastAsia" w:ascii="Times New Roman" w:hAnsi="Times New Roman" w:eastAsia="宋体" w:cs="Times New Roman"/>
                      <w:color w:val="auto"/>
                      <w:sz w:val="21"/>
                      <w:szCs w:val="21"/>
                      <w:u w:val="none" w:color="auto"/>
                      <w:lang w:val="en-US" w:eastAsia="zh-CN"/>
                    </w:rPr>
                    <w:t>设置</w:t>
                  </w:r>
                  <w:r>
                    <w:rPr>
                      <w:rFonts w:hint="default" w:ascii="Times New Roman" w:hAnsi="Times New Roman" w:eastAsia="宋体" w:cs="Times New Roman"/>
                      <w:color w:val="auto"/>
                      <w:sz w:val="21"/>
                      <w:szCs w:val="21"/>
                      <w:u w:val="none" w:color="auto"/>
                      <w:lang w:val="en-US" w:eastAsia="zh-CN"/>
                    </w:rPr>
                    <w:t>实时灰分仪和水分仪。</w:t>
                  </w:r>
                  <w:r>
                    <w:rPr>
                      <w:rFonts w:hint="eastAsia" w:ascii="Times New Roman" w:hAnsi="Times New Roman" w:eastAsia="宋体" w:cs="Times New Roman"/>
                      <w:color w:val="auto"/>
                      <w:sz w:val="21"/>
                      <w:szCs w:val="21"/>
                      <w:u w:val="none" w:color="auto"/>
                      <w:lang w:val="en-US" w:eastAsia="zh-CN"/>
                    </w:rPr>
                    <w:t>依托</w:t>
                  </w:r>
                  <w:r>
                    <w:rPr>
                      <w:rFonts w:hint="default" w:ascii="Times New Roman" w:hAnsi="Times New Roman" w:eastAsia="宋体" w:cs="Times New Roman"/>
                      <w:color w:val="auto"/>
                      <w:sz w:val="21"/>
                      <w:szCs w:val="21"/>
                      <w:u w:val="none" w:color="auto"/>
                      <w:lang w:val="en-US" w:eastAsia="zh-CN"/>
                    </w:rPr>
                    <w:t>虞公港煤质化验室，配备快速智能定硫仪、量热仪等，检测成品煤水分、灰分、硫分、发热量等。</w:t>
                  </w:r>
                </w:p>
              </w:tc>
              <w:tc>
                <w:tcPr>
                  <w:tcW w:w="593" w:type="pct"/>
                  <w:vMerge w:val="restart"/>
                  <w:shd w:val="clear" w:color="auto" w:fill="auto"/>
                  <w:noWrap w:val="0"/>
                  <w:vAlign w:val="center"/>
                </w:tcPr>
                <w:p>
                  <w:pPr>
                    <w:tabs>
                      <w:tab w:val="left" w:pos="236"/>
                      <w:tab w:val="center" w:pos="533"/>
                    </w:tabs>
                    <w:bidi w:val="0"/>
                    <w:spacing w:line="240" w:lineRule="auto"/>
                    <w:jc w:val="left"/>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ab/>
                  </w:r>
                </w:p>
                <w:p>
                  <w:pPr>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依托虞公港已建工程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692"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机电维修车间</w:t>
                  </w:r>
                </w:p>
              </w:tc>
              <w:tc>
                <w:tcPr>
                  <w:tcW w:w="3373" w:type="pct"/>
                  <w:shd w:val="clear" w:color="auto" w:fill="auto"/>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依托</w:t>
                  </w:r>
                  <w:r>
                    <w:rPr>
                      <w:rFonts w:hint="default" w:ascii="Times New Roman" w:hAnsi="Times New Roman" w:eastAsia="宋体" w:cs="Times New Roman"/>
                      <w:color w:val="auto"/>
                      <w:sz w:val="21"/>
                      <w:szCs w:val="21"/>
                      <w:u w:val="none" w:color="auto"/>
                      <w:lang w:val="en-US" w:eastAsia="zh-CN"/>
                    </w:rPr>
                    <w:t>虞公港机电维修车间</w:t>
                  </w:r>
                  <w:r>
                    <w:rPr>
                      <w:rFonts w:hint="eastAsia" w:ascii="Times New Roman" w:hAnsi="Times New Roman" w:eastAsia="宋体" w:cs="Times New Roman"/>
                      <w:color w:val="auto"/>
                      <w:sz w:val="21"/>
                      <w:szCs w:val="21"/>
                      <w:u w:val="none" w:color="auto"/>
                      <w:lang w:val="en-US" w:eastAsia="zh-CN"/>
                    </w:rPr>
                    <w:t>，满足储煤场内机械设备、电器及运输车辆日常检修维护。场内设备大、中修和较复杂零配件加工制造均外委解决。</w:t>
                  </w:r>
                </w:p>
              </w:tc>
              <w:tc>
                <w:tcPr>
                  <w:tcW w:w="593" w:type="pct"/>
                  <w:vMerge w:val="continue"/>
                  <w:shd w:val="clear" w:color="auto" w:fill="auto"/>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692"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办公楼</w:t>
                  </w:r>
                </w:p>
              </w:tc>
              <w:tc>
                <w:tcPr>
                  <w:tcW w:w="3373" w:type="pct"/>
                  <w:shd w:val="clear" w:color="auto" w:fill="auto"/>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虞公港现有1栋5层办公楼、1栋4层宿舍楼（一楼为食堂）</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cs="Times New Roman"/>
                      <w:color w:val="auto"/>
                      <w:sz w:val="21"/>
                      <w:szCs w:val="21"/>
                      <w:u w:val="none" w:color="auto"/>
                      <w:lang w:val="en-US" w:eastAsia="zh-CN"/>
                    </w:rPr>
                    <w:t>依托</w:t>
                  </w:r>
                  <w:r>
                    <w:rPr>
                      <w:rFonts w:hint="eastAsia" w:cs="Times New Roman"/>
                      <w:color w:val="auto"/>
                      <w:sz w:val="21"/>
                      <w:szCs w:val="21"/>
                      <w:u w:val="none" w:color="auto"/>
                      <w:lang w:val="en-US" w:eastAsia="zh-CN"/>
                    </w:rPr>
                    <w:t>虞公港</w:t>
                  </w:r>
                  <w:r>
                    <w:rPr>
                      <w:rFonts w:hint="default" w:ascii="Times New Roman" w:hAnsi="Times New Roman" w:cs="Times New Roman"/>
                      <w:color w:val="auto"/>
                      <w:sz w:val="21"/>
                      <w:szCs w:val="21"/>
                      <w:u w:val="none" w:color="auto"/>
                      <w:lang w:val="en-US" w:eastAsia="zh-CN"/>
                    </w:rPr>
                    <w:t>行政管理设施及生活设施</w:t>
                  </w:r>
                  <w:r>
                    <w:rPr>
                      <w:rFonts w:hint="eastAsia" w:ascii="Times New Roman" w:hAnsi="Times New Roman" w:cs="Times New Roman"/>
                      <w:color w:val="auto"/>
                      <w:sz w:val="21"/>
                      <w:szCs w:val="21"/>
                      <w:u w:val="none" w:color="auto"/>
                      <w:lang w:val="en-US" w:eastAsia="zh-CN"/>
                    </w:rPr>
                    <w:t>。</w:t>
                  </w:r>
                </w:p>
              </w:tc>
              <w:tc>
                <w:tcPr>
                  <w:tcW w:w="593" w:type="pct"/>
                  <w:vMerge w:val="continue"/>
                  <w:shd w:val="clear" w:color="auto" w:fill="auto"/>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339" w:type="pct"/>
                  <w:vMerge w:val="restart"/>
                  <w:noWrap w:val="0"/>
                  <w:vAlign w:val="center"/>
                </w:tcPr>
                <w:p>
                  <w:pPr>
                    <w:pStyle w:val="67"/>
                    <w:bidi w:val="0"/>
                    <w:spacing w:line="240" w:lineRule="auto"/>
                    <w:jc w:val="both"/>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公用工程</w:t>
                  </w:r>
                </w:p>
              </w:tc>
              <w:tc>
                <w:tcPr>
                  <w:tcW w:w="692"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供水</w:t>
                  </w:r>
                </w:p>
              </w:tc>
              <w:tc>
                <w:tcPr>
                  <w:tcW w:w="3373"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lang w:val="en-US" w:eastAsia="zh-CN"/>
                    </w:rPr>
                    <w:t>由市政供水管网提供</w:t>
                  </w:r>
                </w:p>
              </w:tc>
              <w:tc>
                <w:tcPr>
                  <w:tcW w:w="593"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88"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p>
              </w:tc>
              <w:tc>
                <w:tcPr>
                  <w:tcW w:w="692" w:type="pct"/>
                  <w:vMerge w:val="restar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排水</w:t>
                  </w:r>
                </w:p>
              </w:tc>
              <w:tc>
                <w:tcPr>
                  <w:tcW w:w="3373"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bidi="ar"/>
                    </w:rPr>
                    <w:t>初期雨水：</w:t>
                  </w:r>
                  <w:r>
                    <w:rPr>
                      <w:rFonts w:hint="default" w:ascii="Times New Roman" w:hAnsi="Times New Roman" w:eastAsia="宋体" w:cs="Times New Roman"/>
                      <w:bCs/>
                      <w:color w:val="auto"/>
                      <w:sz w:val="21"/>
                      <w:szCs w:val="21"/>
                      <w:highlight w:val="none"/>
                      <w:u w:val="none" w:color="auto"/>
                      <w:lang w:bidi="ar"/>
                    </w:rPr>
                    <w:t>雨污分流，</w:t>
                  </w:r>
                  <w:r>
                    <w:rPr>
                      <w:rFonts w:hint="default" w:ascii="Times New Roman" w:hAnsi="Times New Roman" w:eastAsia="宋体" w:cs="Times New Roman"/>
                      <w:bCs/>
                      <w:color w:val="auto"/>
                      <w:sz w:val="21"/>
                      <w:szCs w:val="21"/>
                      <w:highlight w:val="none"/>
                      <w:u w:val="none" w:color="auto"/>
                      <w:lang w:val="en-US" w:eastAsia="zh-CN" w:bidi="ar"/>
                    </w:rPr>
                    <w:t>初期</w:t>
                  </w:r>
                  <w:r>
                    <w:rPr>
                      <w:rFonts w:hint="default" w:ascii="Times New Roman" w:hAnsi="Times New Roman" w:eastAsia="宋体" w:cs="Times New Roman"/>
                      <w:color w:val="auto"/>
                      <w:kern w:val="0"/>
                      <w:sz w:val="21"/>
                      <w:szCs w:val="21"/>
                      <w:u w:val="none" w:color="auto"/>
                      <w:lang w:val="en-US" w:eastAsia="zh-CN" w:bidi="ar"/>
                    </w:rPr>
                    <w:t>雨水沉淀池（容积1000m</w:t>
                  </w:r>
                  <w:r>
                    <w:rPr>
                      <w:rFonts w:hint="default" w:ascii="Times New Roman" w:hAnsi="Times New Roman" w:eastAsia="宋体" w:cs="Times New Roman"/>
                      <w:color w:val="auto"/>
                      <w:kern w:val="0"/>
                      <w:sz w:val="21"/>
                      <w:szCs w:val="21"/>
                      <w:u w:val="none" w:color="auto"/>
                      <w:vertAlign w:val="superscript"/>
                      <w:lang w:val="en-US" w:eastAsia="zh-CN" w:bidi="ar"/>
                    </w:rPr>
                    <w:t>3</w:t>
                  </w:r>
                  <w:r>
                    <w:rPr>
                      <w:rFonts w:hint="default" w:ascii="Times New Roman" w:hAnsi="Times New Roman" w:eastAsia="宋体" w:cs="Times New Roman"/>
                      <w:color w:val="auto"/>
                      <w:kern w:val="0"/>
                      <w:sz w:val="21"/>
                      <w:szCs w:val="21"/>
                      <w:u w:val="none" w:color="auto"/>
                      <w:lang w:val="en-US" w:eastAsia="zh-CN" w:bidi="ar"/>
                    </w:rPr>
                    <w:t>，</w:t>
                  </w:r>
                  <w:r>
                    <w:rPr>
                      <w:rFonts w:hint="default" w:ascii="Times New Roman" w:hAnsi="Times New Roman" w:eastAsia="宋体" w:cs="Times New Roman"/>
                      <w:color w:val="000000"/>
                      <w:sz w:val="21"/>
                      <w:szCs w:val="21"/>
                    </w:rPr>
                    <w:t>长×宽×深=26m×12m×4.0m，地上部分0.5m</w:t>
                  </w:r>
                  <w:r>
                    <w:rPr>
                      <w:rFonts w:hint="default" w:ascii="Times New Roman" w:hAnsi="Times New Roman" w:eastAsia="宋体" w:cs="Times New Roman"/>
                      <w:color w:val="auto"/>
                      <w:kern w:val="0"/>
                      <w:sz w:val="21"/>
                      <w:szCs w:val="21"/>
                      <w:u w:val="none" w:color="auto"/>
                      <w:lang w:val="en-US" w:eastAsia="zh-CN" w:bidi="ar"/>
                    </w:rPr>
                    <w:t>）</w:t>
                  </w:r>
                </w:p>
              </w:tc>
              <w:tc>
                <w:tcPr>
                  <w:tcW w:w="593"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88"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p>
              </w:tc>
              <w:tc>
                <w:tcPr>
                  <w:tcW w:w="692"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337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bidi="ar"/>
                    </w:rPr>
                    <w:t>生活污水：一体化污水处理设施，5m</w:t>
                  </w:r>
                  <w:r>
                    <w:rPr>
                      <w:rFonts w:hint="default" w:ascii="Times New Roman" w:hAnsi="Times New Roman" w:eastAsia="宋体" w:cs="Times New Roman"/>
                      <w:color w:val="auto"/>
                      <w:kern w:val="0"/>
                      <w:sz w:val="21"/>
                      <w:szCs w:val="21"/>
                      <w:u w:val="none" w:color="auto"/>
                      <w:vertAlign w:val="superscript"/>
                      <w:lang w:val="en-US" w:eastAsia="zh-CN" w:bidi="ar"/>
                    </w:rPr>
                    <w:t>3</w:t>
                  </w:r>
                  <w:r>
                    <w:rPr>
                      <w:rFonts w:hint="default" w:ascii="Times New Roman" w:hAnsi="Times New Roman" w:eastAsia="宋体" w:cs="Times New Roman"/>
                      <w:color w:val="auto"/>
                      <w:kern w:val="0"/>
                      <w:sz w:val="21"/>
                      <w:szCs w:val="21"/>
                      <w:u w:val="none" w:color="auto"/>
                      <w:lang w:val="en-US" w:eastAsia="zh-CN" w:bidi="ar"/>
                    </w:rPr>
                    <w:t>/d。</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
                    </w:rPr>
                  </w:pPr>
                  <w:r>
                    <w:rPr>
                      <w:rFonts w:hint="default" w:ascii="Times New Roman" w:hAnsi="Times New Roman" w:eastAsia="宋体" w:cs="Times New Roman"/>
                      <w:color w:val="auto"/>
                      <w:sz w:val="21"/>
                      <w:szCs w:val="21"/>
                      <w:highlight w:val="none"/>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88"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p>
              </w:tc>
              <w:tc>
                <w:tcPr>
                  <w:tcW w:w="692"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3373" w:type="pct"/>
                  <w:noWrap w:val="0"/>
                  <w:vAlign w:val="center"/>
                </w:tcPr>
                <w:p>
                  <w:pPr>
                    <w:pStyle w:val="67"/>
                    <w:bidi w:val="0"/>
                    <w:spacing w:line="240" w:lineRule="auto"/>
                    <w:jc w:val="center"/>
                    <w:rPr>
                      <w:rFonts w:hint="default" w:ascii="Times New Roman" w:hAnsi="Times New Roman" w:eastAsia="宋体" w:cs="Times New Roman"/>
                      <w:bCs/>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u w:val="none" w:color="auto"/>
                      <w:lang w:val="en-US" w:eastAsia="zh-CN"/>
                    </w:rPr>
                    <w:t>生产废水：虞公港建有一座650m³/d生产废水处理站，采用一体化处理设备进行混凝沉淀、过滤、消毒。</w:t>
                  </w:r>
                </w:p>
              </w:tc>
              <w:tc>
                <w:tcPr>
                  <w:tcW w:w="593"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lang w:val="en-US" w:eastAsia="zh-CN"/>
                    </w:rPr>
                    <w:t>依托虞公港已建工程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p>
              </w:tc>
              <w:tc>
                <w:tcPr>
                  <w:tcW w:w="692"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供电</w:t>
                  </w:r>
                </w:p>
              </w:tc>
              <w:tc>
                <w:tcPr>
                  <w:tcW w:w="3373"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lang w:val="en-US" w:eastAsia="zh-CN"/>
                    </w:rPr>
                    <w:t>场地西侧新建主变电所、场地东侧新建变配电室，由市政电网迁入本项目供电。</w:t>
                  </w:r>
                </w:p>
              </w:tc>
              <w:tc>
                <w:tcPr>
                  <w:tcW w:w="593"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restar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环保</w:t>
                  </w:r>
                </w:p>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工程</w:t>
                  </w:r>
                </w:p>
              </w:tc>
              <w:tc>
                <w:tcPr>
                  <w:tcW w:w="692"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废气处理</w:t>
                  </w:r>
                </w:p>
              </w:tc>
              <w:tc>
                <w:tcPr>
                  <w:tcW w:w="3373" w:type="pct"/>
                  <w:noWrap w:val="0"/>
                  <w:vAlign w:val="center"/>
                </w:tcPr>
                <w:p>
                  <w:pPr>
                    <w:pStyle w:val="67"/>
                    <w:bidi w:val="0"/>
                    <w:spacing w:line="240" w:lineRule="auto"/>
                    <w:jc w:val="both"/>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全封闭储煤场，储煤棚采用固定式远程射雾器抑尘。</w:t>
                  </w:r>
                </w:p>
                <w:p>
                  <w:pPr>
                    <w:pStyle w:val="67"/>
                    <w:bidi w:val="0"/>
                    <w:spacing w:line="240" w:lineRule="auto"/>
                    <w:jc w:val="both"/>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煤炭运输转载点为全封闭式，设置全封闭式带式输送机，装载点采用干雾除尘装置降尘。</w:t>
                  </w:r>
                </w:p>
              </w:tc>
              <w:tc>
                <w:tcPr>
                  <w:tcW w:w="593"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01"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p>
              </w:tc>
              <w:tc>
                <w:tcPr>
                  <w:tcW w:w="692" w:type="pct"/>
                  <w:vMerge w:val="restar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废水处理</w:t>
                  </w:r>
                </w:p>
              </w:tc>
              <w:tc>
                <w:tcPr>
                  <w:tcW w:w="337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
                    </w:rPr>
                  </w:pPr>
                  <w:r>
                    <w:rPr>
                      <w:rFonts w:hint="default" w:ascii="Times New Roman" w:hAnsi="Times New Roman" w:eastAsia="宋体" w:cs="Times New Roman"/>
                      <w:bCs/>
                      <w:color w:val="auto"/>
                      <w:sz w:val="21"/>
                      <w:szCs w:val="21"/>
                      <w:highlight w:val="none"/>
                      <w:u w:val="none" w:color="auto"/>
                      <w:lang w:val="en-US" w:eastAsia="zh-CN" w:bidi="ar"/>
                    </w:rPr>
                    <w:t>雨污分流，初期雨水经雨水沟收集进入初期雨水沉淀池沉淀，沉淀处理后经泵提升至虞公港生产废水处理站处理后，全部回用于厂区喷洒降尘、绿化等，不外排。</w:t>
                  </w:r>
                </w:p>
              </w:tc>
              <w:tc>
                <w:tcPr>
                  <w:tcW w:w="593" w:type="pct"/>
                  <w:vMerge w:val="restar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
                    </w:rPr>
                  </w:pPr>
                  <w:r>
                    <w:rPr>
                      <w:rFonts w:hint="default" w:ascii="Times New Roman" w:hAnsi="Times New Roman" w:eastAsia="宋体" w:cs="Times New Roman"/>
                      <w:color w:val="auto"/>
                      <w:sz w:val="21"/>
                      <w:szCs w:val="21"/>
                      <w:highlight w:val="none"/>
                      <w:u w:val="none" w:color="auto"/>
                      <w:vertAlign w:val="baseline"/>
                      <w:lang w:val="en-US" w:eastAsia="zh-CN"/>
                    </w:rPr>
                    <w:t>新建初期雨水池，依托</w:t>
                  </w:r>
                  <w:r>
                    <w:rPr>
                      <w:rFonts w:hint="default" w:ascii="Times New Roman" w:hAnsi="Times New Roman" w:eastAsia="宋体" w:cs="Times New Roman"/>
                      <w:color w:val="auto"/>
                      <w:sz w:val="21"/>
                      <w:szCs w:val="21"/>
                      <w:highlight w:val="none"/>
                      <w:u w:val="none" w:color="auto"/>
                      <w:lang w:val="en-US" w:eastAsia="zh-CN"/>
                    </w:rPr>
                    <w:t>虞公港已建废水处理站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01"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p>
              </w:tc>
              <w:tc>
                <w:tcPr>
                  <w:tcW w:w="692"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p>
              </w:tc>
              <w:tc>
                <w:tcPr>
                  <w:tcW w:w="337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auto"/>
                      <w:sz w:val="21"/>
                      <w:szCs w:val="21"/>
                      <w:highlight w:val="none"/>
                      <w:u w:val="none" w:color="auto"/>
                      <w:lang w:val="en-US" w:eastAsia="zh-CN" w:bidi="ar"/>
                    </w:rPr>
                  </w:pPr>
                  <w:r>
                    <w:rPr>
                      <w:rFonts w:hint="eastAsia" w:ascii="Times New Roman" w:hAnsi="Times New Roman" w:cs="Times New Roman"/>
                      <w:color w:val="auto"/>
                      <w:sz w:val="21"/>
                      <w:szCs w:val="21"/>
                      <w:u w:val="none" w:color="auto"/>
                      <w:lang w:val="en-US" w:eastAsia="zh-CN"/>
                    </w:rPr>
                    <w:t>转载点</w:t>
                  </w:r>
                  <w:r>
                    <w:rPr>
                      <w:rFonts w:hint="default" w:ascii="Times New Roman" w:hAnsi="Times New Roman" w:eastAsia="宋体" w:cs="Times New Roman"/>
                      <w:bCs/>
                      <w:color w:val="auto"/>
                      <w:sz w:val="21"/>
                      <w:szCs w:val="21"/>
                      <w:highlight w:val="none"/>
                      <w:u w:val="none" w:color="auto"/>
                      <w:lang w:val="en-US" w:eastAsia="zh-CN" w:bidi="ar"/>
                    </w:rPr>
                    <w:t>地面冲洗废水经集水坑收集经泵提升至虞公港生产废水处理站处理后，全部回用于厂区喷洒降尘、绿化，不外排。</w:t>
                  </w:r>
                </w:p>
              </w:tc>
              <w:tc>
                <w:tcPr>
                  <w:tcW w:w="593" w:type="pct"/>
                  <w:vMerge w:val="continue"/>
                  <w:shd w:val="clear" w:color="auto" w:fill="auto"/>
                  <w:noWrap w:val="0"/>
                  <w:vAlign w:val="center"/>
                </w:tcPr>
                <w:p>
                  <w:pPr>
                    <w:pStyle w:val="67"/>
                    <w:bidi w:val="0"/>
                    <w:spacing w:line="240" w:lineRule="auto"/>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5"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p>
              </w:tc>
              <w:tc>
                <w:tcPr>
                  <w:tcW w:w="692"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p>
              </w:tc>
              <w:tc>
                <w:tcPr>
                  <w:tcW w:w="337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rPr>
                    <w:t>生活污水经自建一体化生活污水处理站处理后回用于厂区绿化，不外排。</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5"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p>
              </w:tc>
              <w:tc>
                <w:tcPr>
                  <w:tcW w:w="692"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rPr>
                    <w:t>噪声</w:t>
                  </w:r>
                </w:p>
              </w:tc>
              <w:tc>
                <w:tcPr>
                  <w:tcW w:w="337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
                    </w:rPr>
                  </w:pPr>
                  <w:r>
                    <w:rPr>
                      <w:rFonts w:hint="default" w:ascii="Times New Roman" w:hAnsi="Times New Roman" w:eastAsia="宋体" w:cs="Times New Roman"/>
                      <w:color w:val="auto"/>
                      <w:sz w:val="21"/>
                      <w:szCs w:val="21"/>
                      <w:highlight w:val="none"/>
                      <w:u w:val="none" w:color="auto"/>
                    </w:rPr>
                    <w:t>隔音、减震等措施</w:t>
                  </w:r>
                </w:p>
              </w:tc>
              <w:tc>
                <w:tcPr>
                  <w:tcW w:w="593" w:type="pct"/>
                  <w:shd w:val="clear" w:color="auto" w:fill="auto"/>
                  <w:noWrap w:val="0"/>
                  <w:vAlign w:val="center"/>
                </w:tcPr>
                <w:p>
                  <w:pPr>
                    <w:pStyle w:val="67"/>
                    <w:bidi w:val="0"/>
                    <w:spacing w:line="240" w:lineRule="auto"/>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
                    </w:rPr>
                  </w:pPr>
                  <w:r>
                    <w:rPr>
                      <w:rFonts w:hint="default" w:ascii="Times New Roman" w:hAnsi="Times New Roman" w:eastAsia="宋体" w:cs="Times New Roman"/>
                      <w:color w:val="auto"/>
                      <w:sz w:val="21"/>
                      <w:szCs w:val="21"/>
                      <w:highlight w:val="none"/>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9" w:type="pct"/>
                  <w:vMerge w:val="continue"/>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p>
              </w:tc>
              <w:tc>
                <w:tcPr>
                  <w:tcW w:w="692"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固体废物</w:t>
                  </w:r>
                </w:p>
              </w:tc>
              <w:tc>
                <w:tcPr>
                  <w:tcW w:w="3373"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生产废水处理站煤泥脱水后进入煤棚，掺入原煤外售；生活垃圾交由环卫部门处理；机电设备维修产生废润滑油、含油抹布、手套等，依托虞公港现有危废暂存间</w:t>
                  </w:r>
                  <w:r>
                    <w:rPr>
                      <w:rFonts w:hAnsi="宋体" w:eastAsia="宋体"/>
                    </w:rPr>
                    <w:t>（面积约</w:t>
                  </w:r>
                  <w:r>
                    <w:rPr>
                      <w:rFonts w:hint="eastAsia" w:eastAsia="宋体"/>
                    </w:rPr>
                    <w:t>18</w:t>
                  </w:r>
                  <w:r>
                    <w:rPr>
                      <w:rFonts w:eastAsia="宋体"/>
                    </w:rPr>
                    <w:t>m</w:t>
                  </w:r>
                  <w:r>
                    <w:rPr>
                      <w:rFonts w:eastAsia="宋体"/>
                      <w:vertAlign w:val="superscript"/>
                    </w:rPr>
                    <w:t>2</w:t>
                  </w:r>
                  <w:r>
                    <w:rPr>
                      <w:rFonts w:hAnsi="宋体" w:eastAsia="宋体"/>
                    </w:rPr>
                    <w:t>）</w:t>
                  </w:r>
                  <w:r>
                    <w:rPr>
                      <w:rFonts w:hint="default" w:ascii="Times New Roman" w:hAnsi="Times New Roman" w:eastAsia="宋体" w:cs="Times New Roman"/>
                      <w:color w:val="auto"/>
                      <w:sz w:val="21"/>
                      <w:szCs w:val="21"/>
                      <w:highlight w:val="none"/>
                      <w:u w:val="none" w:color="auto"/>
                      <w:vertAlign w:val="baseline"/>
                      <w:lang w:val="en-US" w:eastAsia="zh-CN"/>
                    </w:rPr>
                    <w:t>储存，交由资质单位进行处理。</w:t>
                  </w:r>
                </w:p>
              </w:tc>
              <w:tc>
                <w:tcPr>
                  <w:tcW w:w="593" w:type="pct"/>
                  <w:noWrap w:val="0"/>
                  <w:vAlign w:val="center"/>
                </w:tcPr>
                <w:p>
                  <w:pPr>
                    <w:pStyle w:val="67"/>
                    <w:bidi w:val="0"/>
                    <w:spacing w:line="240" w:lineRule="auto"/>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lang w:val="en-US" w:eastAsia="zh-CN"/>
                    </w:rPr>
                    <w:t>依托虞公港已建工程</w:t>
                  </w:r>
                </w:p>
              </w:tc>
            </w:tr>
          </w:tbl>
          <w:p>
            <w:pPr>
              <w:widowControl w:val="0"/>
              <w:spacing w:line="360" w:lineRule="auto"/>
              <w:ind w:firstLine="422" w:firstLineChars="200"/>
              <w:jc w:val="both"/>
              <w:outlineLvl w:val="2"/>
              <w:rPr>
                <w:rFonts w:hint="default" w:ascii="Times New Roman" w:hAnsi="Times New Roman" w:eastAsia="宋体" w:cs="Times New Roman"/>
                <w:b/>
                <w:bCs/>
                <w:color w:val="auto"/>
                <w:kern w:val="0"/>
                <w:sz w:val="21"/>
                <w:szCs w:val="32"/>
                <w:u w:val="none" w:color="auto"/>
                <w:lang w:val="en-US" w:eastAsia="zh-CN" w:bidi="ar-SA"/>
              </w:rPr>
            </w:pPr>
            <w:r>
              <w:rPr>
                <w:rFonts w:hint="eastAsia" w:cs="Times New Roman"/>
                <w:b/>
                <w:bCs/>
                <w:color w:val="auto"/>
                <w:kern w:val="0"/>
                <w:sz w:val="21"/>
                <w:szCs w:val="32"/>
                <w:u w:val="none" w:color="auto"/>
                <w:lang w:val="en-US" w:eastAsia="zh-CN" w:bidi="ar-SA"/>
              </w:rPr>
              <w:t>3、产品及生产规模</w:t>
            </w:r>
          </w:p>
          <w:p>
            <w:pPr>
              <w:spacing w:line="360" w:lineRule="auto"/>
              <w:ind w:firstLine="420" w:firstLineChars="200"/>
              <w:rPr>
                <w:rFonts w:hint="default" w:ascii="Times New Roman" w:hAnsi="Times New Roman" w:eastAsia="宋体" w:cs="Times New Roman"/>
                <w:color w:val="auto"/>
                <w:highlight w:val="none"/>
                <w:u w:val="none" w:color="auto"/>
                <w:lang w:val="ru-RU" w:eastAsia="zh-CN"/>
              </w:rPr>
            </w:pPr>
            <w:r>
              <w:rPr>
                <w:rFonts w:hint="default" w:ascii="Times New Roman" w:hAnsi="Times New Roman" w:eastAsia="宋体" w:cs="Times New Roman"/>
                <w:color w:val="auto"/>
                <w:u w:val="none" w:color="auto"/>
                <w:lang w:val="ru-RU" w:eastAsia="zh-CN"/>
              </w:rPr>
              <w:t>本项目煤</w:t>
            </w:r>
            <w:r>
              <w:rPr>
                <w:rFonts w:hint="default" w:ascii="Times New Roman" w:hAnsi="Times New Roman" w:eastAsia="宋体" w:cs="Times New Roman"/>
                <w:color w:val="auto"/>
                <w:highlight w:val="none"/>
                <w:u w:val="none" w:color="auto"/>
                <w:lang w:val="ru-RU" w:eastAsia="zh-CN"/>
              </w:rPr>
              <w:t>炭周转量为640万t/a，煤炭静态储量为60万t。</w:t>
            </w:r>
            <w:r>
              <w:rPr>
                <w:rFonts w:hint="eastAsia" w:cs="Times New Roman"/>
                <w:color w:val="auto"/>
                <w:highlight w:val="none"/>
                <w:u w:val="none" w:color="auto"/>
                <w:lang w:val="ru-RU" w:eastAsia="zh-CN"/>
              </w:rPr>
              <w:t>来煤均依托虞公港码头水路（</w:t>
            </w:r>
            <w:r>
              <w:rPr>
                <w:rFonts w:hint="default" w:ascii="Times New Roman" w:hAnsi="Times New Roman" w:eastAsia="宋体" w:cs="Times New Roman"/>
                <w:color w:val="auto"/>
                <w:highlight w:val="none"/>
                <w:u w:val="none" w:color="auto"/>
                <w:lang w:val="ru-RU" w:eastAsia="zh-CN"/>
              </w:rPr>
              <w:t>640万t/a</w:t>
            </w:r>
            <w:r>
              <w:rPr>
                <w:rFonts w:hint="eastAsia" w:cs="Times New Roman"/>
                <w:color w:val="auto"/>
                <w:highlight w:val="none"/>
                <w:u w:val="none" w:color="auto"/>
                <w:lang w:val="ru-RU" w:eastAsia="zh-CN"/>
              </w:rPr>
              <w:t>）；煤炭外运</w:t>
            </w:r>
            <w:r>
              <w:rPr>
                <w:rFonts w:hint="eastAsia" w:cs="Times New Roman"/>
                <w:color w:val="auto"/>
                <w:sz w:val="21"/>
                <w:szCs w:val="21"/>
                <w:highlight w:val="none"/>
                <w:u w:val="none" w:color="auto"/>
                <w:lang w:val="en-US" w:eastAsia="zh-CN"/>
              </w:rPr>
              <w:t>依托</w:t>
            </w:r>
            <w:r>
              <w:rPr>
                <w:rFonts w:hint="eastAsia" w:cs="Times New Roman"/>
                <w:color w:val="auto"/>
                <w:highlight w:val="none"/>
                <w:u w:val="none" w:color="auto"/>
                <w:lang w:val="ru-RU" w:eastAsia="zh-CN"/>
              </w:rPr>
              <w:t>虞公港码头水路装船外运（</w:t>
            </w:r>
            <w:r>
              <w:rPr>
                <w:rFonts w:hint="eastAsia" w:cs="Times New Roman"/>
                <w:color w:val="auto"/>
                <w:highlight w:val="none"/>
                <w:u w:val="none" w:color="auto"/>
                <w:lang w:val="en-US" w:eastAsia="zh-CN"/>
              </w:rPr>
              <w:t>200</w:t>
            </w:r>
            <w:r>
              <w:rPr>
                <w:rFonts w:hint="default" w:ascii="Times New Roman" w:hAnsi="Times New Roman" w:eastAsia="宋体" w:cs="Times New Roman"/>
                <w:color w:val="auto"/>
                <w:highlight w:val="none"/>
                <w:u w:val="none" w:color="auto"/>
                <w:lang w:val="ru-RU" w:eastAsia="zh-CN"/>
              </w:rPr>
              <w:t>万t/a</w:t>
            </w:r>
            <w:r>
              <w:rPr>
                <w:rFonts w:hint="eastAsia" w:cs="Times New Roman"/>
                <w:color w:val="auto"/>
                <w:highlight w:val="none"/>
                <w:u w:val="none" w:color="auto"/>
                <w:lang w:val="ru-RU" w:eastAsia="zh-CN"/>
              </w:rPr>
              <w:t>）和火车装车外运（</w:t>
            </w:r>
            <w:r>
              <w:rPr>
                <w:rFonts w:hint="eastAsia" w:cs="Times New Roman"/>
                <w:color w:val="auto"/>
                <w:highlight w:val="none"/>
                <w:u w:val="none" w:color="auto"/>
                <w:lang w:val="en-US" w:eastAsia="zh-CN"/>
              </w:rPr>
              <w:t>440</w:t>
            </w:r>
            <w:r>
              <w:rPr>
                <w:rFonts w:hint="default" w:ascii="Times New Roman" w:hAnsi="Times New Roman" w:eastAsia="宋体" w:cs="Times New Roman"/>
                <w:color w:val="auto"/>
                <w:highlight w:val="none"/>
                <w:u w:val="none" w:color="auto"/>
                <w:lang w:val="ru-RU" w:eastAsia="zh-CN"/>
              </w:rPr>
              <w:t>万t/a</w:t>
            </w:r>
            <w:r>
              <w:rPr>
                <w:rFonts w:hint="eastAsia" w:cs="Times New Roman"/>
                <w:color w:val="auto"/>
                <w:highlight w:val="none"/>
                <w:u w:val="none" w:color="auto"/>
                <w:lang w:val="ru-RU" w:eastAsia="zh-CN"/>
              </w:rPr>
              <w:t>）。煤炭去向主要为</w:t>
            </w:r>
            <w:r>
              <w:rPr>
                <w:rFonts w:hint="eastAsia" w:ascii="Times New Roman" w:hAnsi="Times New Roman" w:cs="Times New Roman"/>
                <w:color w:val="auto"/>
                <w:sz w:val="21"/>
                <w:szCs w:val="21"/>
                <w:highlight w:val="none"/>
                <w:u w:val="none" w:color="auto"/>
                <w:lang w:val="en-US" w:eastAsia="zh-CN"/>
              </w:rPr>
              <w:t>火电、钢铁、水泥等</w:t>
            </w:r>
            <w:r>
              <w:rPr>
                <w:rFonts w:hint="eastAsia" w:cs="Times New Roman"/>
                <w:color w:val="auto"/>
                <w:sz w:val="21"/>
                <w:szCs w:val="21"/>
                <w:highlight w:val="none"/>
                <w:u w:val="none" w:color="auto"/>
                <w:lang w:val="en-US" w:eastAsia="zh-CN"/>
              </w:rPr>
              <w:t>企业</w:t>
            </w:r>
            <w:r>
              <w:rPr>
                <w:rFonts w:hint="eastAsia" w:cs="Times New Roman"/>
                <w:color w:val="auto"/>
                <w:highlight w:val="none"/>
                <w:u w:val="none" w:color="auto"/>
                <w:lang w:val="en-US" w:eastAsia="zh-CN"/>
              </w:rPr>
              <w:t>。</w:t>
            </w:r>
          </w:p>
          <w:p>
            <w:pPr>
              <w:adjustRightInd w:val="0"/>
              <w:snapToGrid w:val="0"/>
              <w:jc w:val="center"/>
              <w:rPr>
                <w:rFonts w:hint="default" w:ascii="Times New Roman" w:hAnsi="Times New Roman" w:cs="Times New Roman"/>
                <w:b/>
                <w:color w:val="auto"/>
                <w:sz w:val="21"/>
                <w:szCs w:val="21"/>
                <w:highlight w:val="none"/>
                <w:u w:val="none" w:color="auto"/>
              </w:rPr>
            </w:pPr>
            <w:r>
              <w:rPr>
                <w:rFonts w:hint="default" w:ascii="Times New Roman" w:hAnsi="Times New Roman" w:cs="Times New Roman"/>
                <w:b/>
                <w:color w:val="auto"/>
                <w:sz w:val="21"/>
                <w:szCs w:val="21"/>
                <w:highlight w:val="none"/>
                <w:u w:val="none" w:color="auto"/>
              </w:rPr>
              <w:t>表2-</w:t>
            </w:r>
            <w:r>
              <w:rPr>
                <w:rFonts w:hint="default" w:ascii="Times New Roman" w:hAnsi="Times New Roman" w:cs="Times New Roman"/>
                <w:b/>
                <w:color w:val="auto"/>
                <w:sz w:val="21"/>
                <w:szCs w:val="21"/>
                <w:highlight w:val="none"/>
                <w:u w:val="none" w:color="auto"/>
                <w:lang w:val="en-US" w:eastAsia="zh-CN"/>
              </w:rPr>
              <w:t>2</w:t>
            </w:r>
            <w:r>
              <w:rPr>
                <w:rFonts w:hint="eastAsia" w:cs="Times New Roman"/>
                <w:b/>
                <w:color w:val="auto"/>
                <w:sz w:val="21"/>
                <w:szCs w:val="21"/>
                <w:highlight w:val="none"/>
                <w:u w:val="none" w:color="auto"/>
                <w:lang w:val="en-US" w:eastAsia="zh-CN"/>
              </w:rPr>
              <w:t>项目产品方案</w:t>
            </w:r>
            <w:r>
              <w:rPr>
                <w:rFonts w:hint="default" w:ascii="Times New Roman" w:hAnsi="Times New Roman" w:cs="Times New Roman"/>
                <w:b/>
                <w:color w:val="auto"/>
                <w:sz w:val="21"/>
                <w:szCs w:val="21"/>
                <w:highlight w:val="none"/>
                <w:u w:val="none" w:color="auto"/>
                <w:lang w:eastAsia="zh-CN"/>
              </w:rPr>
              <w:t>一览</w:t>
            </w:r>
            <w:r>
              <w:rPr>
                <w:rFonts w:hint="default" w:ascii="Times New Roman" w:hAnsi="Times New Roman" w:cs="Times New Roman"/>
                <w:b/>
                <w:color w:val="auto"/>
                <w:sz w:val="21"/>
                <w:szCs w:val="21"/>
                <w:highlight w:val="none"/>
                <w:u w:val="none" w:color="auto"/>
              </w:rPr>
              <w:t>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078"/>
              <w:gridCol w:w="1308"/>
              <w:gridCol w:w="3392"/>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noWrap w:val="0"/>
                  <w:vAlign w:val="center"/>
                </w:tcPr>
                <w:p>
                  <w:pPr>
                    <w:tabs>
                      <w:tab w:val="left" w:pos="8081"/>
                    </w:tabs>
                    <w:adjustRightInd w:val="0"/>
                    <w:snapToGrid w:val="0"/>
                    <w:jc w:val="center"/>
                    <w:rPr>
                      <w:rFonts w:hint="default" w:ascii="Times New Roman" w:hAnsi="Times New Roman" w:eastAsia="宋体" w:cs="Times New Roman"/>
                      <w:b/>
                      <w:color w:val="auto"/>
                      <w:spacing w:val="6"/>
                      <w:sz w:val="21"/>
                      <w:szCs w:val="21"/>
                      <w:highlight w:val="none"/>
                      <w:u w:val="none" w:color="auto"/>
                      <w:lang w:val="en-US" w:eastAsia="zh-CN"/>
                    </w:rPr>
                  </w:pPr>
                  <w:r>
                    <w:rPr>
                      <w:rFonts w:hint="eastAsia" w:cs="Times New Roman"/>
                      <w:b/>
                      <w:color w:val="auto"/>
                      <w:spacing w:val="6"/>
                      <w:sz w:val="21"/>
                      <w:szCs w:val="21"/>
                      <w:highlight w:val="none"/>
                      <w:u w:val="none" w:color="auto"/>
                      <w:lang w:val="en-US" w:eastAsia="zh-CN"/>
                    </w:rPr>
                    <w:t>序号</w:t>
                  </w:r>
                </w:p>
              </w:tc>
              <w:tc>
                <w:tcPr>
                  <w:tcW w:w="638" w:type="pct"/>
                  <w:noWrap w:val="0"/>
                  <w:vAlign w:val="center"/>
                </w:tcPr>
                <w:p>
                  <w:pPr>
                    <w:tabs>
                      <w:tab w:val="left" w:pos="8081"/>
                    </w:tabs>
                    <w:adjustRightInd w:val="0"/>
                    <w:snapToGrid w:val="0"/>
                    <w:jc w:val="center"/>
                    <w:rPr>
                      <w:rFonts w:hint="default" w:ascii="Times New Roman" w:hAnsi="Times New Roman" w:eastAsia="宋体" w:cs="Times New Roman"/>
                      <w:b/>
                      <w:color w:val="auto"/>
                      <w:spacing w:val="6"/>
                      <w:sz w:val="21"/>
                      <w:szCs w:val="21"/>
                      <w:highlight w:val="none"/>
                      <w:u w:val="none" w:color="auto"/>
                      <w:lang w:val="en-US" w:eastAsia="zh-CN"/>
                    </w:rPr>
                  </w:pPr>
                  <w:r>
                    <w:rPr>
                      <w:rFonts w:hint="eastAsia" w:cs="Times New Roman"/>
                      <w:b/>
                      <w:color w:val="auto"/>
                      <w:spacing w:val="6"/>
                      <w:sz w:val="21"/>
                      <w:szCs w:val="21"/>
                      <w:highlight w:val="none"/>
                      <w:u w:val="none" w:color="auto"/>
                      <w:lang w:val="en-US" w:eastAsia="zh-CN"/>
                    </w:rPr>
                    <w:t>名称</w:t>
                  </w:r>
                </w:p>
              </w:tc>
              <w:tc>
                <w:tcPr>
                  <w:tcW w:w="774" w:type="pct"/>
                  <w:noWrap w:val="0"/>
                  <w:vAlign w:val="center"/>
                </w:tcPr>
                <w:p>
                  <w:pPr>
                    <w:tabs>
                      <w:tab w:val="left" w:pos="8081"/>
                    </w:tabs>
                    <w:adjustRightInd w:val="0"/>
                    <w:snapToGrid w:val="0"/>
                    <w:jc w:val="center"/>
                    <w:rPr>
                      <w:rFonts w:hint="default" w:ascii="Times New Roman" w:hAnsi="Times New Roman" w:eastAsia="宋体" w:cs="Times New Roman"/>
                      <w:b/>
                      <w:color w:val="auto"/>
                      <w:spacing w:val="6"/>
                      <w:sz w:val="21"/>
                      <w:szCs w:val="21"/>
                      <w:highlight w:val="none"/>
                      <w:u w:val="none" w:color="auto"/>
                      <w:lang w:val="en-US" w:eastAsia="zh-CN"/>
                    </w:rPr>
                  </w:pPr>
                  <w:r>
                    <w:rPr>
                      <w:rFonts w:hint="eastAsia" w:cs="Times New Roman"/>
                      <w:b/>
                      <w:color w:val="auto"/>
                      <w:spacing w:val="6"/>
                      <w:sz w:val="21"/>
                      <w:szCs w:val="21"/>
                      <w:highlight w:val="none"/>
                      <w:u w:val="none" w:color="auto"/>
                      <w:lang w:val="en-US" w:eastAsia="zh-CN"/>
                    </w:rPr>
                    <w:t>周转量</w:t>
                  </w:r>
                </w:p>
              </w:tc>
              <w:tc>
                <w:tcPr>
                  <w:tcW w:w="2007" w:type="pct"/>
                  <w:noWrap w:val="0"/>
                  <w:vAlign w:val="center"/>
                </w:tcPr>
                <w:p>
                  <w:pPr>
                    <w:tabs>
                      <w:tab w:val="left" w:pos="8081"/>
                    </w:tabs>
                    <w:adjustRightInd w:val="0"/>
                    <w:snapToGrid w:val="0"/>
                    <w:jc w:val="center"/>
                    <w:rPr>
                      <w:rFonts w:hint="default" w:cs="Times New Roman"/>
                      <w:b/>
                      <w:color w:val="auto"/>
                      <w:spacing w:val="6"/>
                      <w:sz w:val="21"/>
                      <w:szCs w:val="21"/>
                      <w:highlight w:val="none"/>
                      <w:u w:val="none" w:color="auto"/>
                      <w:lang w:val="en-US" w:eastAsia="zh-CN"/>
                    </w:rPr>
                  </w:pPr>
                  <w:r>
                    <w:rPr>
                      <w:rFonts w:hint="eastAsia" w:cs="Times New Roman"/>
                      <w:b/>
                      <w:color w:val="auto"/>
                      <w:spacing w:val="6"/>
                      <w:sz w:val="21"/>
                      <w:szCs w:val="21"/>
                      <w:highlight w:val="none"/>
                      <w:u w:val="none" w:color="auto"/>
                      <w:lang w:val="en-US" w:eastAsia="zh-CN"/>
                    </w:rPr>
                    <w:t>去向</w:t>
                  </w:r>
                </w:p>
              </w:tc>
              <w:tc>
                <w:tcPr>
                  <w:tcW w:w="1093" w:type="pct"/>
                  <w:noWrap w:val="0"/>
                  <w:vAlign w:val="center"/>
                </w:tcPr>
                <w:p>
                  <w:pPr>
                    <w:tabs>
                      <w:tab w:val="left" w:pos="8081"/>
                    </w:tabs>
                    <w:adjustRightInd w:val="0"/>
                    <w:snapToGrid w:val="0"/>
                    <w:jc w:val="center"/>
                    <w:rPr>
                      <w:rFonts w:hint="default" w:ascii="Times New Roman" w:hAnsi="Times New Roman" w:cs="Times New Roman"/>
                      <w:b/>
                      <w:color w:val="auto"/>
                      <w:spacing w:val="6"/>
                      <w:sz w:val="21"/>
                      <w:szCs w:val="21"/>
                      <w:highlight w:val="none"/>
                      <w:u w:val="none" w:color="auto"/>
                      <w:lang w:val="en-US" w:eastAsia="zh-CN"/>
                    </w:rPr>
                  </w:pPr>
                  <w:r>
                    <w:rPr>
                      <w:rFonts w:hint="eastAsia" w:cs="Times New Roman"/>
                      <w:b/>
                      <w:color w:val="auto"/>
                      <w:spacing w:val="6"/>
                      <w:sz w:val="21"/>
                      <w:szCs w:val="21"/>
                      <w:highlight w:val="none"/>
                      <w:u w:val="none" w:color="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86" w:type="pct"/>
                  <w:noWrap w:val="0"/>
                  <w:vAlign w:val="center"/>
                </w:tcPr>
                <w:p>
                  <w:pPr>
                    <w:tabs>
                      <w:tab w:val="left" w:pos="8081"/>
                    </w:tabs>
                    <w:adjustRightInd w:val="0"/>
                    <w:snapToGrid w:val="0"/>
                    <w:jc w:val="center"/>
                    <w:rPr>
                      <w:rFonts w:hint="default" w:ascii="Times New Roman" w:hAnsi="Times New Roman" w:eastAsia="宋体" w:cs="Times New Roman"/>
                      <w:bCs/>
                      <w:color w:val="auto"/>
                      <w:spacing w:val="6"/>
                      <w:sz w:val="21"/>
                      <w:szCs w:val="21"/>
                      <w:highlight w:val="none"/>
                      <w:u w:val="none" w:color="auto"/>
                      <w:lang w:val="en-US" w:eastAsia="zh-CN"/>
                    </w:rPr>
                  </w:pPr>
                  <w:r>
                    <w:rPr>
                      <w:rFonts w:hint="eastAsia" w:ascii="Times New Roman" w:hAnsi="Times New Roman" w:cs="Times New Roman"/>
                      <w:bCs/>
                      <w:color w:val="auto"/>
                      <w:spacing w:val="6"/>
                      <w:sz w:val="21"/>
                      <w:szCs w:val="21"/>
                      <w:highlight w:val="none"/>
                      <w:u w:val="none" w:color="auto"/>
                      <w:lang w:val="en-US" w:eastAsia="zh-CN"/>
                    </w:rPr>
                    <w:t>1</w:t>
                  </w:r>
                </w:p>
              </w:tc>
              <w:tc>
                <w:tcPr>
                  <w:tcW w:w="638" w:type="pct"/>
                  <w:noWrap w:val="0"/>
                  <w:vAlign w:val="center"/>
                </w:tcPr>
                <w:p>
                  <w:pPr>
                    <w:tabs>
                      <w:tab w:val="left" w:pos="8081"/>
                    </w:tabs>
                    <w:adjustRightInd w:val="0"/>
                    <w:snapToGrid w:val="0"/>
                    <w:jc w:val="center"/>
                    <w:rPr>
                      <w:rFonts w:hint="default" w:cs="Times New Roman"/>
                      <w:bCs/>
                      <w:color w:val="auto"/>
                      <w:spacing w:val="6"/>
                      <w:sz w:val="21"/>
                      <w:szCs w:val="21"/>
                      <w:highlight w:val="none"/>
                      <w:u w:val="none" w:color="auto"/>
                      <w:lang w:val="en-US" w:eastAsia="zh-CN"/>
                    </w:rPr>
                  </w:pPr>
                  <w:r>
                    <w:rPr>
                      <w:rFonts w:hint="eastAsia" w:cs="Times New Roman"/>
                      <w:bCs/>
                      <w:color w:val="auto"/>
                      <w:spacing w:val="6"/>
                      <w:sz w:val="21"/>
                      <w:szCs w:val="21"/>
                      <w:highlight w:val="none"/>
                      <w:u w:val="none" w:color="auto"/>
                      <w:lang w:val="en-US" w:eastAsia="zh-CN"/>
                    </w:rPr>
                    <w:t>煤炭</w:t>
                  </w:r>
                </w:p>
              </w:tc>
              <w:tc>
                <w:tcPr>
                  <w:tcW w:w="774" w:type="pct"/>
                  <w:noWrap w:val="0"/>
                  <w:vAlign w:val="center"/>
                </w:tcPr>
                <w:p>
                  <w:pPr>
                    <w:tabs>
                      <w:tab w:val="left" w:pos="8081"/>
                    </w:tabs>
                    <w:adjustRightInd w:val="0"/>
                    <w:snapToGrid w:val="0"/>
                    <w:jc w:val="center"/>
                    <w:rPr>
                      <w:rFonts w:hint="default" w:ascii="Times New Roman" w:hAnsi="Times New Roman" w:eastAsia="宋体" w:cs="Times New Roman"/>
                      <w:bCs/>
                      <w:color w:val="auto"/>
                      <w:spacing w:val="6"/>
                      <w:sz w:val="21"/>
                      <w:szCs w:val="21"/>
                      <w:highlight w:val="none"/>
                      <w:u w:val="none" w:color="auto"/>
                      <w:lang w:val="en-US" w:eastAsia="zh-CN"/>
                    </w:rPr>
                  </w:pPr>
                  <w:r>
                    <w:rPr>
                      <w:rFonts w:hint="default" w:ascii="Times New Roman" w:hAnsi="Times New Roman" w:eastAsia="宋体" w:cs="Times New Roman"/>
                      <w:color w:val="auto"/>
                      <w:u w:val="none" w:color="auto"/>
                      <w:lang w:val="ru-RU" w:eastAsia="zh-CN"/>
                    </w:rPr>
                    <w:t>640万t/a</w:t>
                  </w:r>
                </w:p>
              </w:tc>
              <w:tc>
                <w:tcPr>
                  <w:tcW w:w="2007" w:type="pct"/>
                  <w:noWrap w:val="0"/>
                  <w:vAlign w:val="center"/>
                </w:tcPr>
                <w:p>
                  <w:pPr>
                    <w:tabs>
                      <w:tab w:val="left" w:pos="8081"/>
                    </w:tabs>
                    <w:adjustRightInd w:val="0"/>
                    <w:snapToGrid w:val="0"/>
                    <w:jc w:val="center"/>
                    <w:rPr>
                      <w:rFonts w:hint="default" w:ascii="Times New Roman" w:hAnsi="Times New Roman" w:eastAsia="宋体" w:cs="Times New Roman"/>
                      <w:color w:val="auto"/>
                      <w:u w:val="none" w:color="auto"/>
                      <w:lang w:val="ru-RU" w:eastAsia="zh-CN"/>
                    </w:rPr>
                  </w:pPr>
                  <w:r>
                    <w:rPr>
                      <w:rFonts w:hint="eastAsia" w:ascii="Times New Roman" w:hAnsi="Times New Roman" w:cs="Times New Roman"/>
                      <w:color w:val="auto"/>
                      <w:sz w:val="21"/>
                      <w:szCs w:val="21"/>
                      <w:u w:val="none" w:color="auto"/>
                      <w:lang w:val="en-US" w:eastAsia="zh-CN"/>
                    </w:rPr>
                    <w:t>火电、钢铁、水泥等三大行业，</w:t>
                  </w:r>
                  <w:r>
                    <w:rPr>
                      <w:rFonts w:hint="eastAsia" w:cs="Times New Roman"/>
                      <w:color w:val="auto"/>
                      <w:sz w:val="21"/>
                      <w:szCs w:val="21"/>
                      <w:u w:val="none" w:color="auto"/>
                      <w:lang w:val="en-US" w:eastAsia="zh-CN"/>
                    </w:rPr>
                    <w:t>如</w:t>
                  </w:r>
                  <w:r>
                    <w:rPr>
                      <w:rFonts w:hint="default" w:ascii="Times New Roman" w:hAnsi="Times New Roman" w:eastAsia="宋体" w:cs="Times New Roman"/>
                      <w:color w:val="auto"/>
                      <w:sz w:val="21"/>
                      <w:szCs w:val="21"/>
                      <w:u w:val="none" w:color="auto"/>
                      <w:lang w:val="ru-RU" w:eastAsia="zh-CN"/>
                    </w:rPr>
                    <w:t>大唐湘潭发电有限责任公司</w:t>
                  </w:r>
                  <w:r>
                    <w:rPr>
                      <w:rFonts w:hint="eastAsia" w:ascii="Times New Roman" w:hAnsi="Times New Roman" w:cs="Times New Roman"/>
                      <w:color w:val="auto"/>
                      <w:sz w:val="21"/>
                      <w:szCs w:val="21"/>
                      <w:u w:val="none" w:color="auto"/>
                      <w:lang w:val="ru-RU" w:eastAsia="zh-CN"/>
                    </w:rPr>
                    <w:t>、华能湖南岳阳发电有限责任公司、</w:t>
                  </w:r>
                  <w:r>
                    <w:rPr>
                      <w:rFonts w:hint="default" w:ascii="Times New Roman" w:hAnsi="Times New Roman" w:eastAsia="宋体" w:cs="Times New Roman"/>
                      <w:color w:val="auto"/>
                      <w:sz w:val="21"/>
                      <w:szCs w:val="21"/>
                      <w:u w:val="none" w:color="auto"/>
                      <w:lang w:val="ru-RU" w:eastAsia="zh-CN"/>
                    </w:rPr>
                    <w:t>湖南省雪天盐碱新材料有限公司</w:t>
                  </w:r>
                  <w:r>
                    <w:rPr>
                      <w:rFonts w:hint="eastAsia" w:ascii="Times New Roman" w:hAnsi="Times New Roman" w:cs="Times New Roman"/>
                      <w:color w:val="auto"/>
                      <w:sz w:val="21"/>
                      <w:szCs w:val="21"/>
                      <w:u w:val="none" w:color="auto"/>
                      <w:lang w:val="ru-RU" w:eastAsia="zh-CN"/>
                    </w:rPr>
                    <w:t>、国家能源集团岳阳发电有限公司、国家能源集团永州发电有限公司、国家能源集团宝庆发电有限公司</w:t>
                  </w:r>
                  <w:r>
                    <w:rPr>
                      <w:rFonts w:hint="eastAsia" w:ascii="Times New Roman" w:hAnsi="Times New Roman" w:cs="Times New Roman"/>
                      <w:color w:val="auto"/>
                      <w:sz w:val="21"/>
                      <w:szCs w:val="21"/>
                      <w:u w:val="none" w:color="auto"/>
                      <w:lang w:val="en-US" w:eastAsia="zh-CN"/>
                    </w:rPr>
                    <w:t>等</w:t>
                  </w:r>
                </w:p>
              </w:tc>
              <w:tc>
                <w:tcPr>
                  <w:tcW w:w="1093" w:type="pct"/>
                  <w:noWrap w:val="0"/>
                  <w:vAlign w:val="center"/>
                </w:tcPr>
                <w:p>
                  <w:pPr>
                    <w:tabs>
                      <w:tab w:val="left" w:pos="8081"/>
                    </w:tabs>
                    <w:adjustRightInd w:val="0"/>
                    <w:snapToGrid w:val="0"/>
                    <w:jc w:val="center"/>
                    <w:rPr>
                      <w:rFonts w:hint="default" w:ascii="Times New Roman" w:hAnsi="Times New Roman" w:eastAsia="宋体" w:cs="Times New Roman"/>
                      <w:bCs/>
                      <w:color w:val="auto"/>
                      <w:spacing w:val="6"/>
                      <w:sz w:val="21"/>
                      <w:szCs w:val="21"/>
                      <w:highlight w:val="none"/>
                      <w:u w:val="none" w:color="auto"/>
                      <w:lang w:val="en-US" w:eastAsia="zh-CN"/>
                    </w:rPr>
                  </w:pPr>
                  <w:r>
                    <w:rPr>
                      <w:rFonts w:hint="eastAsia" w:cs="Times New Roman"/>
                      <w:color w:val="auto"/>
                      <w:u w:val="none" w:color="auto"/>
                      <w:lang w:val="ru-RU" w:eastAsia="zh-CN"/>
                    </w:rPr>
                    <w:t>不粘煤、气煤等。煤炭发热量</w:t>
                  </w:r>
                  <w:r>
                    <w:rPr>
                      <w:rFonts w:hint="eastAsia" w:cs="Times New Roman"/>
                      <w:color w:val="auto"/>
                      <w:u w:val="none" w:color="auto"/>
                      <w:lang w:val="en-US" w:eastAsia="zh-CN"/>
                    </w:rPr>
                    <w:t>4500-6500kcal/kg、</w:t>
                  </w:r>
                  <w:r>
                    <w:rPr>
                      <w:rFonts w:hint="eastAsia" w:cs="Times New Roman"/>
                      <w:color w:val="auto"/>
                      <w:u w:val="none" w:color="auto"/>
                      <w:lang w:val="ru-RU" w:eastAsia="zh-CN"/>
                    </w:rPr>
                    <w:t>灰分</w:t>
                  </w:r>
                  <w:r>
                    <w:rPr>
                      <w:rFonts w:hint="eastAsia" w:cs="Times New Roman"/>
                      <w:color w:val="auto"/>
                      <w:u w:val="none" w:color="auto"/>
                      <w:lang w:val="en-US" w:eastAsia="zh-CN"/>
                    </w:rPr>
                    <w:t>Ad：8-10%、硫分＜0.5%、挥发酚＞37%</w:t>
                  </w:r>
                </w:p>
              </w:tc>
            </w:tr>
          </w:tbl>
          <w:p>
            <w:pPr>
              <w:widowControl w:val="0"/>
              <w:spacing w:line="360" w:lineRule="auto"/>
              <w:ind w:firstLine="422" w:firstLineChars="200"/>
              <w:jc w:val="both"/>
              <w:outlineLvl w:val="2"/>
              <w:rPr>
                <w:rFonts w:hint="default" w:ascii="Times New Roman" w:hAnsi="Times New Roman" w:eastAsia="宋体" w:cs="Times New Roman"/>
                <w:b/>
                <w:bCs/>
                <w:color w:val="auto"/>
                <w:kern w:val="0"/>
                <w:sz w:val="21"/>
                <w:szCs w:val="32"/>
                <w:u w:val="none" w:color="auto"/>
                <w:lang w:val="en-US" w:eastAsia="zh-CN" w:bidi="ar-SA"/>
              </w:rPr>
            </w:pPr>
            <w:r>
              <w:rPr>
                <w:rFonts w:hint="eastAsia" w:cs="Times New Roman"/>
                <w:b/>
                <w:bCs/>
                <w:color w:val="auto"/>
                <w:kern w:val="0"/>
                <w:sz w:val="21"/>
                <w:szCs w:val="32"/>
                <w:u w:val="none" w:color="auto"/>
                <w:lang w:val="en-US" w:eastAsia="zh-CN" w:bidi="ar-SA"/>
              </w:rPr>
              <w:t>4、</w:t>
            </w:r>
            <w:r>
              <w:rPr>
                <w:rFonts w:hint="default" w:ascii="Times New Roman" w:hAnsi="Times New Roman" w:eastAsia="宋体" w:cs="Times New Roman"/>
                <w:b/>
                <w:bCs/>
                <w:color w:val="auto"/>
                <w:kern w:val="0"/>
                <w:sz w:val="21"/>
                <w:szCs w:val="32"/>
                <w:u w:val="none" w:color="auto"/>
                <w:lang w:val="en-US" w:eastAsia="zh-CN" w:bidi="ar-SA"/>
              </w:rPr>
              <w:t>原辅材料及能源消耗情况</w:t>
            </w:r>
          </w:p>
          <w:p>
            <w:pPr>
              <w:spacing w:line="360" w:lineRule="auto"/>
              <w:ind w:firstLine="42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lang w:val="ru-RU"/>
              </w:rPr>
              <w:t>本项目原辅材料</w:t>
            </w:r>
            <w:r>
              <w:rPr>
                <w:rFonts w:hint="default" w:ascii="Times New Roman" w:hAnsi="Times New Roman" w:eastAsia="宋体" w:cs="Times New Roman"/>
                <w:color w:val="auto"/>
                <w:u w:val="none" w:color="auto"/>
                <w:lang w:val="ru-RU" w:eastAsia="zh-CN"/>
              </w:rPr>
              <w:t>用量</w:t>
            </w:r>
            <w:r>
              <w:rPr>
                <w:rFonts w:hint="default" w:ascii="Times New Roman" w:hAnsi="Times New Roman" w:eastAsia="宋体" w:cs="Times New Roman"/>
                <w:color w:val="auto"/>
                <w:u w:val="none" w:color="auto"/>
                <w:lang w:val="ru-RU"/>
              </w:rPr>
              <w:t>详见表</w:t>
            </w:r>
            <w:r>
              <w:rPr>
                <w:rFonts w:hint="default" w:ascii="Times New Roman" w:hAnsi="Times New Roman" w:eastAsia="宋体" w:cs="Times New Roman"/>
                <w:color w:val="auto"/>
                <w:u w:val="none" w:color="auto"/>
              </w:rPr>
              <w:t>2-</w:t>
            </w:r>
            <w:r>
              <w:rPr>
                <w:rFonts w:hint="eastAsia" w:cs="Times New Roman"/>
                <w:color w:val="auto"/>
                <w:u w:val="none" w:color="auto"/>
                <w:lang w:val="en-US" w:eastAsia="zh-CN"/>
              </w:rPr>
              <w:t>3</w:t>
            </w:r>
            <w:r>
              <w:rPr>
                <w:rFonts w:hint="default" w:ascii="Times New Roman" w:hAnsi="Times New Roman" w:eastAsia="宋体" w:cs="Times New Roman"/>
                <w:color w:val="auto"/>
                <w:u w:val="none" w:color="auto"/>
              </w:rPr>
              <w:t>。</w:t>
            </w:r>
          </w:p>
          <w:p>
            <w:pPr>
              <w:widowControl w:val="0"/>
              <w:jc w:val="center"/>
              <w:outlineLvl w:val="2"/>
              <w:rPr>
                <w:rFonts w:hint="default" w:ascii="Times New Roman" w:hAnsi="Times New Roman" w:eastAsia="宋体" w:cs="Times New Roman"/>
                <w:b/>
                <w:bCs/>
                <w:color w:val="auto"/>
                <w:kern w:val="0"/>
                <w:sz w:val="21"/>
                <w:szCs w:val="32"/>
                <w:u w:val="none" w:color="auto"/>
                <w:lang w:val="en-US" w:eastAsia="zh-CN" w:bidi="ar-SA"/>
              </w:rPr>
            </w:pPr>
            <w:r>
              <w:rPr>
                <w:rFonts w:hint="default" w:ascii="Times New Roman" w:hAnsi="Times New Roman" w:eastAsia="宋体" w:cs="Times New Roman"/>
                <w:b/>
                <w:bCs/>
                <w:color w:val="auto"/>
                <w:kern w:val="0"/>
                <w:sz w:val="21"/>
                <w:szCs w:val="32"/>
                <w:u w:val="none" w:color="auto"/>
                <w:lang w:val="en-US" w:eastAsia="zh-CN" w:bidi="ar-SA"/>
              </w:rPr>
              <w:t>表2-</w:t>
            </w:r>
            <w:r>
              <w:rPr>
                <w:rFonts w:hint="eastAsia" w:cs="Times New Roman"/>
                <w:b/>
                <w:bCs/>
                <w:color w:val="auto"/>
                <w:kern w:val="0"/>
                <w:sz w:val="21"/>
                <w:szCs w:val="32"/>
                <w:u w:val="none" w:color="auto"/>
                <w:lang w:val="en-US" w:eastAsia="zh-CN" w:bidi="ar-SA"/>
              </w:rPr>
              <w:t>3</w:t>
            </w:r>
            <w:r>
              <w:rPr>
                <w:rFonts w:hint="default" w:ascii="Times New Roman" w:hAnsi="Times New Roman" w:eastAsia="宋体" w:cs="Times New Roman"/>
                <w:b/>
                <w:bCs/>
                <w:color w:val="auto"/>
                <w:kern w:val="0"/>
                <w:sz w:val="21"/>
                <w:szCs w:val="32"/>
                <w:u w:val="none" w:color="auto"/>
                <w:lang w:val="en-US" w:eastAsia="zh-CN" w:bidi="ar-SA"/>
              </w:rPr>
              <w:t>原辅材料消耗一览表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560"/>
              <w:gridCol w:w="1661"/>
              <w:gridCol w:w="1335"/>
              <w:gridCol w:w="172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序号</w:t>
                  </w:r>
                </w:p>
              </w:tc>
              <w:tc>
                <w:tcPr>
                  <w:tcW w:w="923"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原辅材料</w:t>
                  </w:r>
                </w:p>
              </w:tc>
              <w:tc>
                <w:tcPr>
                  <w:tcW w:w="983"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年用量</w:t>
                  </w:r>
                </w:p>
              </w:tc>
              <w:tc>
                <w:tcPr>
                  <w:tcW w:w="790"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最大储存量</w:t>
                  </w:r>
                </w:p>
              </w:tc>
              <w:tc>
                <w:tcPr>
                  <w:tcW w:w="1021" w:type="pct"/>
                  <w:noWrap w:val="0"/>
                  <w:vAlign w:val="center"/>
                </w:tcPr>
                <w:p>
                  <w:pPr>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储存位置、方式</w:t>
                  </w:r>
                </w:p>
              </w:tc>
              <w:tc>
                <w:tcPr>
                  <w:tcW w:w="923"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noWrap w:val="0"/>
                  <w:vAlign w:val="center"/>
                </w:tcPr>
                <w:p>
                  <w:pPr>
                    <w:jc w:val="center"/>
                    <w:rPr>
                      <w:rFonts w:hint="default" w:ascii="Times New Roman" w:hAnsi="Times New Roman" w:eastAsia="宋体" w:cs="Times New Roman"/>
                      <w:color w:val="auto"/>
                      <w:sz w:val="21"/>
                      <w:szCs w:val="21"/>
                      <w:u w:val="none" w:color="auto"/>
                      <w:lang w:val="ru-RU" w:eastAsia="zh-CN"/>
                    </w:rPr>
                  </w:pPr>
                  <w:r>
                    <w:rPr>
                      <w:rFonts w:hint="default" w:ascii="Times New Roman" w:hAnsi="Times New Roman" w:eastAsia="宋体" w:cs="Times New Roman"/>
                      <w:color w:val="auto"/>
                      <w:sz w:val="21"/>
                      <w:szCs w:val="21"/>
                      <w:u w:val="none" w:color="auto"/>
                      <w:lang w:val="en-US" w:eastAsia="zh-CN"/>
                    </w:rPr>
                    <w:t>1</w:t>
                  </w:r>
                </w:p>
              </w:tc>
              <w:tc>
                <w:tcPr>
                  <w:tcW w:w="923" w:type="pct"/>
                  <w:noWrap w:val="0"/>
                  <w:vAlign w:val="center"/>
                </w:tcPr>
                <w:p>
                  <w:pPr>
                    <w:jc w:val="center"/>
                    <w:rPr>
                      <w:rFonts w:hint="default" w:ascii="Times New Roman" w:hAnsi="Times New Roman" w:eastAsia="宋体" w:cs="Times New Roman"/>
                      <w:color w:val="auto"/>
                      <w:sz w:val="21"/>
                      <w:szCs w:val="21"/>
                      <w:u w:val="none" w:color="auto"/>
                      <w:lang w:val="ru-RU" w:eastAsia="zh-CN"/>
                    </w:rPr>
                  </w:pPr>
                  <w:r>
                    <w:rPr>
                      <w:rFonts w:hint="eastAsia" w:cs="Times New Roman"/>
                      <w:color w:val="auto"/>
                      <w:sz w:val="21"/>
                      <w:szCs w:val="21"/>
                      <w:u w:val="none" w:color="auto"/>
                      <w:lang w:val="ru-RU" w:eastAsia="zh-CN"/>
                    </w:rPr>
                    <w:t>煤炭（不粘煤、气煤等）</w:t>
                  </w:r>
                </w:p>
              </w:tc>
              <w:tc>
                <w:tcPr>
                  <w:tcW w:w="983"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u w:val="none" w:color="auto"/>
                      <w:lang w:val="ru-RU" w:eastAsia="zh-CN"/>
                    </w:rPr>
                    <w:t>640万t/a</w:t>
                  </w:r>
                </w:p>
              </w:tc>
              <w:tc>
                <w:tcPr>
                  <w:tcW w:w="790" w:type="pct"/>
                  <w:noWrap w:val="0"/>
                  <w:vAlign w:val="center"/>
                </w:tcPr>
                <w:p>
                  <w:pPr>
                    <w:jc w:val="center"/>
                    <w:rPr>
                      <w:rFonts w:hint="default" w:ascii="Times New Roman" w:hAnsi="Times New Roman" w:eastAsia="宋体" w:cs="Times New Roman"/>
                      <w:color w:val="auto"/>
                      <w:u w:val="none" w:color="auto"/>
                      <w:lang w:val="ru-RU" w:eastAsia="zh-CN"/>
                    </w:rPr>
                  </w:pPr>
                  <w:r>
                    <w:rPr>
                      <w:rFonts w:hint="default" w:ascii="Times New Roman" w:hAnsi="Times New Roman" w:eastAsia="宋体" w:cs="Times New Roman"/>
                      <w:color w:val="auto"/>
                      <w:u w:val="none" w:color="auto"/>
                      <w:lang w:val="ru-RU" w:eastAsia="zh-CN"/>
                    </w:rPr>
                    <w:t>60万t</w:t>
                  </w:r>
                </w:p>
              </w:tc>
              <w:tc>
                <w:tcPr>
                  <w:tcW w:w="1021" w:type="pct"/>
                  <w:noWrap w:val="0"/>
                  <w:vAlign w:val="center"/>
                </w:tcPr>
                <w:p>
                  <w:pPr>
                    <w:jc w:val="center"/>
                    <w:rPr>
                      <w:rFonts w:hint="default" w:ascii="Times New Roman" w:hAnsi="Times New Roman" w:eastAsia="宋体" w:cs="Times New Roman"/>
                      <w:color w:val="auto"/>
                      <w:u w:val="none" w:color="auto"/>
                      <w:lang w:val="ru-RU" w:eastAsia="zh-CN"/>
                    </w:rPr>
                  </w:pPr>
                  <w:r>
                    <w:rPr>
                      <w:rFonts w:hint="eastAsia" w:cs="Times New Roman"/>
                      <w:color w:val="auto"/>
                      <w:u w:val="none" w:color="auto"/>
                      <w:lang w:val="ru-RU" w:eastAsia="zh-CN"/>
                    </w:rPr>
                    <w:t>储煤棚、散堆</w:t>
                  </w:r>
                </w:p>
              </w:tc>
              <w:tc>
                <w:tcPr>
                  <w:tcW w:w="923" w:type="pct"/>
                  <w:noWrap w:val="0"/>
                  <w:vAlign w:val="center"/>
                </w:tcPr>
                <w:p>
                  <w:pPr>
                    <w:spacing w:line="360" w:lineRule="exact"/>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中转量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w:t>
                  </w:r>
                </w:p>
              </w:tc>
              <w:tc>
                <w:tcPr>
                  <w:tcW w:w="923" w:type="pct"/>
                  <w:noWrap w:val="0"/>
                  <w:vAlign w:val="center"/>
                </w:tcPr>
                <w:p>
                  <w:pPr>
                    <w:jc w:val="center"/>
                    <w:rPr>
                      <w:rFonts w:hint="eastAsia" w:cs="Times New Roman"/>
                      <w:color w:val="auto"/>
                      <w:sz w:val="21"/>
                      <w:szCs w:val="21"/>
                      <w:highlight w:val="none"/>
                      <w:u w:val="none" w:color="auto"/>
                      <w:lang w:val="ru-RU" w:eastAsia="zh-CN"/>
                    </w:rPr>
                  </w:pPr>
                  <w:r>
                    <w:rPr>
                      <w:rFonts w:hint="eastAsia" w:cs="Times New Roman"/>
                      <w:color w:val="auto"/>
                      <w:sz w:val="21"/>
                      <w:szCs w:val="21"/>
                      <w:highlight w:val="none"/>
                      <w:u w:val="none" w:color="auto"/>
                      <w:lang w:val="ru-RU" w:eastAsia="zh-CN"/>
                    </w:rPr>
                    <w:t>煤氧抑制剂</w:t>
                  </w:r>
                </w:p>
              </w:tc>
              <w:tc>
                <w:tcPr>
                  <w:tcW w:w="983" w:type="pct"/>
                  <w:noWrap w:val="0"/>
                  <w:vAlign w:val="center"/>
                </w:tcPr>
                <w:p>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106.72</w:t>
                  </w:r>
                  <w:r>
                    <w:rPr>
                      <w:rFonts w:hint="default" w:cs="Times New Roman"/>
                      <w:color w:val="auto"/>
                      <w:sz w:val="21"/>
                      <w:szCs w:val="21"/>
                      <w:highlight w:val="none"/>
                      <w:u w:val="none" w:color="auto"/>
                      <w:lang w:val="ru-RU" w:eastAsia="zh-CN"/>
                    </w:rPr>
                    <w:t>t/a</w:t>
                  </w:r>
                </w:p>
              </w:tc>
              <w:tc>
                <w:tcPr>
                  <w:tcW w:w="790" w:type="pct"/>
                  <w:noWrap w:val="0"/>
                  <w:vAlign w:val="center"/>
                </w:tcPr>
                <w:p>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10t</w:t>
                  </w:r>
                </w:p>
              </w:tc>
              <w:tc>
                <w:tcPr>
                  <w:tcW w:w="1021" w:type="pct"/>
                  <w:noWrap w:val="0"/>
                  <w:vAlign w:val="center"/>
                </w:tcPr>
                <w:p>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袋装，50kg/袋</w:t>
                  </w:r>
                </w:p>
              </w:tc>
              <w:tc>
                <w:tcPr>
                  <w:tcW w:w="923" w:type="pct"/>
                  <w:vMerge w:val="restart"/>
                  <w:noWrap w:val="0"/>
                  <w:vAlign w:val="center"/>
                </w:tcPr>
                <w:p>
                  <w:pPr>
                    <w:spacing w:line="360" w:lineRule="exact"/>
                    <w:jc w:val="center"/>
                    <w:rPr>
                      <w:rFonts w:hint="eastAsia" w:cs="Times New Roman"/>
                      <w:color w:val="0000FF"/>
                      <w:sz w:val="21"/>
                      <w:szCs w:val="21"/>
                      <w:u w:val="none" w:color="auto"/>
                      <w:lang w:val="en-US" w:eastAsia="zh-CN"/>
                    </w:rPr>
                  </w:pPr>
                  <w:r>
                    <w:rPr>
                      <w:rFonts w:hint="eastAsia" w:cs="Times New Roman"/>
                      <w:color w:val="auto"/>
                      <w:highlight w:val="none"/>
                      <w:u w:val="none" w:color="auto"/>
                      <w:lang w:val="en-US" w:eastAsia="zh-CN"/>
                    </w:rPr>
                    <w:t>煤氧抑制剂库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3</w:t>
                  </w:r>
                </w:p>
              </w:tc>
              <w:tc>
                <w:tcPr>
                  <w:tcW w:w="923" w:type="pct"/>
                  <w:noWrap w:val="0"/>
                  <w:vAlign w:val="center"/>
                </w:tcPr>
                <w:p>
                  <w:pPr>
                    <w:jc w:val="center"/>
                    <w:rPr>
                      <w:rFonts w:hint="eastAsia" w:cs="Times New Roman"/>
                      <w:color w:val="auto"/>
                      <w:sz w:val="21"/>
                      <w:szCs w:val="21"/>
                      <w:highlight w:val="none"/>
                      <w:u w:val="none" w:color="auto"/>
                      <w:lang w:val="ru-RU" w:eastAsia="zh-CN"/>
                    </w:rPr>
                  </w:pPr>
                  <w:r>
                    <w:rPr>
                      <w:rFonts w:hint="eastAsia" w:cs="Times New Roman"/>
                      <w:color w:val="auto"/>
                      <w:sz w:val="21"/>
                      <w:szCs w:val="21"/>
                      <w:highlight w:val="none"/>
                      <w:u w:val="none" w:color="auto"/>
                      <w:lang w:val="ru-RU" w:eastAsia="zh-CN"/>
                    </w:rPr>
                    <w:t>煤炭阻燃剂</w:t>
                  </w:r>
                </w:p>
              </w:tc>
              <w:tc>
                <w:tcPr>
                  <w:tcW w:w="983" w:type="pct"/>
                  <w:noWrap w:val="0"/>
                  <w:vAlign w:val="center"/>
                </w:tcPr>
                <w:p>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266.72</w:t>
                  </w:r>
                  <w:r>
                    <w:rPr>
                      <w:rFonts w:hint="default" w:cs="Times New Roman"/>
                      <w:color w:val="auto"/>
                      <w:sz w:val="21"/>
                      <w:szCs w:val="21"/>
                      <w:highlight w:val="none"/>
                      <w:u w:val="none" w:color="auto"/>
                      <w:lang w:val="ru-RU" w:eastAsia="zh-CN"/>
                    </w:rPr>
                    <w:t>t/a</w:t>
                  </w:r>
                </w:p>
              </w:tc>
              <w:tc>
                <w:tcPr>
                  <w:tcW w:w="790" w:type="pct"/>
                  <w:noWrap w:val="0"/>
                  <w:vAlign w:val="center"/>
                </w:tcPr>
                <w:p>
                  <w:pPr>
                    <w:jc w:val="center"/>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10t</w:t>
                  </w:r>
                </w:p>
              </w:tc>
              <w:tc>
                <w:tcPr>
                  <w:tcW w:w="1021" w:type="pct"/>
                  <w:noWrap w:val="0"/>
                  <w:vAlign w:val="center"/>
                </w:tcPr>
                <w:p>
                  <w:pPr>
                    <w:jc w:val="center"/>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袋装，50kg/袋</w:t>
                  </w:r>
                </w:p>
              </w:tc>
              <w:tc>
                <w:tcPr>
                  <w:tcW w:w="923" w:type="pct"/>
                  <w:vMerge w:val="continue"/>
                  <w:noWrap w:val="0"/>
                  <w:vAlign w:val="center"/>
                </w:tcPr>
                <w:p>
                  <w:pPr>
                    <w:spacing w:line="360" w:lineRule="exact"/>
                    <w:jc w:val="center"/>
                    <w:rPr>
                      <w:rFonts w:hint="eastAsia" w:cs="Times New Roman"/>
                      <w:color w:val="0000FF"/>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4</w:t>
                  </w:r>
                </w:p>
              </w:tc>
              <w:tc>
                <w:tcPr>
                  <w:tcW w:w="923" w:type="pct"/>
                  <w:noWrap w:val="0"/>
                  <w:vAlign w:val="center"/>
                </w:tcPr>
                <w:p>
                  <w:pPr>
                    <w:jc w:val="center"/>
                    <w:rPr>
                      <w:rFonts w:hint="default" w:ascii="Times New Roman" w:hAnsi="Times New Roman" w:eastAsia="宋体" w:cs="Times New Roman"/>
                      <w:color w:val="auto"/>
                      <w:sz w:val="21"/>
                      <w:szCs w:val="21"/>
                      <w:highlight w:val="none"/>
                      <w:u w:val="none" w:color="auto"/>
                      <w:lang w:val="ru-RU" w:eastAsia="zh-CN"/>
                    </w:rPr>
                  </w:pPr>
                  <w:r>
                    <w:rPr>
                      <w:rFonts w:hint="default" w:ascii="Times New Roman" w:hAnsi="Times New Roman" w:eastAsia="宋体" w:cs="Times New Roman"/>
                      <w:color w:val="auto"/>
                      <w:sz w:val="21"/>
                      <w:szCs w:val="21"/>
                      <w:highlight w:val="none"/>
                      <w:u w:val="none" w:color="auto"/>
                      <w:lang w:val="ru-RU" w:eastAsia="zh-CN"/>
                    </w:rPr>
                    <w:t>水</w:t>
                  </w:r>
                </w:p>
              </w:tc>
              <w:tc>
                <w:tcPr>
                  <w:tcW w:w="983" w:type="pct"/>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17.85万m</w:t>
                  </w:r>
                  <w:r>
                    <w:rPr>
                      <w:rFonts w:hint="eastAsia" w:cs="Times New Roman"/>
                      <w:color w:val="auto"/>
                      <w:sz w:val="21"/>
                      <w:szCs w:val="21"/>
                      <w:highlight w:val="none"/>
                      <w:u w:val="none" w:color="auto"/>
                      <w:vertAlign w:val="superscript"/>
                      <w:lang w:val="en-US" w:eastAsia="zh-CN"/>
                    </w:rPr>
                    <w:t>3</w:t>
                  </w:r>
                  <w:r>
                    <w:rPr>
                      <w:rFonts w:hint="eastAsia" w:ascii="Times New Roman" w:hAnsi="Times New Roman" w:eastAsia="宋体" w:cs="Times New Roman"/>
                      <w:color w:val="auto"/>
                      <w:sz w:val="21"/>
                      <w:szCs w:val="21"/>
                      <w:highlight w:val="none"/>
                      <w:u w:val="none" w:color="auto"/>
                      <w:lang w:val="en-US" w:eastAsia="zh-CN"/>
                    </w:rPr>
                    <w:t>/a</w:t>
                  </w:r>
                </w:p>
              </w:tc>
              <w:tc>
                <w:tcPr>
                  <w:tcW w:w="790" w:type="pct"/>
                  <w:noWrap w:val="0"/>
                  <w:vAlign w:val="center"/>
                </w:tcPr>
                <w:p>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1021" w:type="pct"/>
                  <w:noWrap w:val="0"/>
                  <w:vAlign w:val="center"/>
                </w:tcPr>
                <w:p>
                  <w:pPr>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923" w:type="pct"/>
                  <w:noWrap w:val="0"/>
                  <w:vAlign w:val="center"/>
                </w:tcPr>
                <w:p>
                  <w:pPr>
                    <w:spacing w:line="360" w:lineRule="exact"/>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新鲜水，市政</w:t>
                  </w:r>
                  <w:r>
                    <w:rPr>
                      <w:rFonts w:hint="default" w:ascii="Times New Roman" w:hAnsi="Times New Roman" w:eastAsia="宋体" w:cs="Times New Roman"/>
                      <w:color w:val="auto"/>
                      <w:sz w:val="21"/>
                      <w:szCs w:val="21"/>
                      <w:u w:val="none" w:color="auto"/>
                      <w:lang w:val="en-US" w:eastAsia="zh-CN"/>
                    </w:rPr>
                    <w:t>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923" w:type="pct"/>
                  <w:noWrap w:val="0"/>
                  <w:vAlign w:val="center"/>
                </w:tcPr>
                <w:p>
                  <w:pPr>
                    <w:jc w:val="center"/>
                    <w:rPr>
                      <w:rFonts w:hint="default" w:ascii="Times New Roman" w:hAnsi="Times New Roman" w:eastAsia="宋体" w:cs="Times New Roman"/>
                      <w:color w:val="auto"/>
                      <w:sz w:val="21"/>
                      <w:szCs w:val="21"/>
                      <w:u w:val="none" w:color="auto"/>
                      <w:lang w:val="ru-RU" w:eastAsia="zh-CN"/>
                    </w:rPr>
                  </w:pPr>
                  <w:r>
                    <w:rPr>
                      <w:rFonts w:hint="default" w:ascii="Times New Roman" w:hAnsi="Times New Roman" w:eastAsia="宋体" w:cs="Times New Roman"/>
                      <w:color w:val="auto"/>
                      <w:sz w:val="21"/>
                      <w:szCs w:val="21"/>
                      <w:u w:val="none" w:color="auto"/>
                      <w:lang w:val="ru-RU" w:eastAsia="zh-CN"/>
                    </w:rPr>
                    <w:t>电</w:t>
                  </w:r>
                </w:p>
              </w:tc>
              <w:tc>
                <w:tcPr>
                  <w:tcW w:w="983"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2.287×10</w:t>
                  </w:r>
                  <w:r>
                    <w:rPr>
                      <w:rFonts w:hint="eastAsia" w:cs="Times New Roman"/>
                      <w:color w:val="auto"/>
                      <w:sz w:val="21"/>
                      <w:szCs w:val="21"/>
                      <w:u w:val="none" w:color="auto"/>
                      <w:vertAlign w:val="superscript"/>
                      <w:lang w:val="en-US" w:eastAsia="zh-CN"/>
                    </w:rPr>
                    <w:t>6</w:t>
                  </w:r>
                  <w:r>
                    <w:rPr>
                      <w:rFonts w:hint="default" w:ascii="Times New Roman" w:hAnsi="Times New Roman" w:cs="Times New Roman"/>
                      <w:color w:val="auto"/>
                      <w:sz w:val="21"/>
                      <w:szCs w:val="21"/>
                      <w:u w:val="none" w:color="auto"/>
                    </w:rPr>
                    <w:t>kW</w:t>
                  </w:r>
                  <w:r>
                    <w:rPr>
                      <w:rFonts w:hint="eastAsia" w:cs="Times New Roman"/>
                      <w:color w:val="auto"/>
                      <w:sz w:val="21"/>
                      <w:szCs w:val="21"/>
                      <w:u w:val="none" w:color="auto"/>
                      <w:lang w:val="en-US" w:eastAsia="zh-CN"/>
                    </w:rPr>
                    <w:t>·</w:t>
                  </w:r>
                  <w:r>
                    <w:rPr>
                      <w:rFonts w:hint="default" w:ascii="Times New Roman" w:hAnsi="Times New Roman" w:cs="Times New Roman"/>
                      <w:color w:val="auto"/>
                      <w:sz w:val="21"/>
                      <w:szCs w:val="21"/>
                      <w:u w:val="none" w:color="auto"/>
                    </w:rPr>
                    <w:t>h/a</w:t>
                  </w:r>
                </w:p>
              </w:tc>
              <w:tc>
                <w:tcPr>
                  <w:tcW w:w="790" w:type="pct"/>
                  <w:noWrap w:val="0"/>
                  <w:vAlign w:val="center"/>
                </w:tcPr>
                <w:p>
                  <w:pPr>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1021" w:type="pct"/>
                  <w:noWrap w:val="0"/>
                  <w:vAlign w:val="center"/>
                </w:tcPr>
                <w:p>
                  <w:pPr>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923" w:type="pct"/>
                  <w:noWrap w:val="0"/>
                  <w:vAlign w:val="center"/>
                </w:tcPr>
                <w:p>
                  <w:pPr>
                    <w:spacing w:line="360" w:lineRule="exact"/>
                    <w:jc w:val="center"/>
                    <w:rPr>
                      <w:rFonts w:hint="default" w:ascii="Times New Roman" w:hAnsi="Times New Roman" w:eastAsia="宋体" w:cs="Times New Roman"/>
                      <w:color w:val="auto"/>
                      <w:sz w:val="21"/>
                      <w:szCs w:val="21"/>
                      <w:u w:val="none" w:color="auto"/>
                      <w:lang w:val="ru-RU" w:eastAsia="zh-CN"/>
                    </w:rPr>
                  </w:pPr>
                  <w:r>
                    <w:rPr>
                      <w:rFonts w:hint="eastAsia" w:cs="Times New Roman"/>
                      <w:color w:val="auto"/>
                      <w:sz w:val="21"/>
                      <w:szCs w:val="21"/>
                      <w:u w:val="none" w:color="auto"/>
                      <w:lang w:val="en-US" w:eastAsia="zh-CN"/>
                    </w:rPr>
                    <w:t>市政</w:t>
                  </w:r>
                  <w:r>
                    <w:rPr>
                      <w:rFonts w:hint="default" w:ascii="Times New Roman" w:hAnsi="Times New Roman" w:eastAsia="宋体" w:cs="Times New Roman"/>
                      <w:color w:val="auto"/>
                      <w:sz w:val="21"/>
                      <w:szCs w:val="21"/>
                      <w:u w:val="none" w:color="auto"/>
                      <w:lang w:val="ru-RU" w:eastAsia="zh-CN"/>
                    </w:rPr>
                    <w:t>供电管网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noWrap w:val="0"/>
                  <w:vAlign w:val="center"/>
                </w:tcPr>
                <w:p>
                  <w:pPr>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6</w:t>
                  </w:r>
                </w:p>
              </w:tc>
              <w:tc>
                <w:tcPr>
                  <w:tcW w:w="923" w:type="pct"/>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柴油</w:t>
                  </w:r>
                </w:p>
              </w:tc>
              <w:tc>
                <w:tcPr>
                  <w:tcW w:w="983" w:type="pct"/>
                  <w:noWrap w:val="0"/>
                  <w:vAlign w:val="center"/>
                </w:tcPr>
                <w:p>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46.08t/a</w:t>
                  </w:r>
                </w:p>
              </w:tc>
              <w:tc>
                <w:tcPr>
                  <w:tcW w:w="790" w:type="pct"/>
                  <w:noWrap w:val="0"/>
                  <w:vAlign w:val="center"/>
                </w:tcPr>
                <w:p>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1021" w:type="pct"/>
                  <w:noWrap w:val="0"/>
                  <w:vAlign w:val="center"/>
                </w:tcPr>
                <w:p>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不设存储</w:t>
                  </w:r>
                </w:p>
              </w:tc>
              <w:tc>
                <w:tcPr>
                  <w:tcW w:w="923" w:type="pct"/>
                  <w:noWrap w:val="0"/>
                  <w:vAlign w:val="center"/>
                </w:tcPr>
                <w:p>
                  <w:pPr>
                    <w:spacing w:line="360" w:lineRule="exact"/>
                    <w:jc w:val="center"/>
                    <w:rPr>
                      <w:rFonts w:hint="default" w:ascii="Times New Roman" w:hAnsi="Times New Roman" w:eastAsia="宋体" w:cs="Times New Roman"/>
                      <w:color w:val="auto"/>
                      <w:sz w:val="21"/>
                      <w:szCs w:val="21"/>
                      <w:highlight w:val="none"/>
                      <w:u w:val="none" w:color="auto"/>
                      <w:lang w:val="ru-RU" w:eastAsia="zh-CN"/>
                    </w:rPr>
                  </w:pPr>
                  <w:r>
                    <w:rPr>
                      <w:rFonts w:hint="eastAsia" w:cs="Times New Roman"/>
                      <w:color w:val="auto"/>
                      <w:sz w:val="21"/>
                      <w:szCs w:val="21"/>
                      <w:highlight w:val="none"/>
                      <w:u w:val="none" w:color="auto"/>
                      <w:lang w:val="ru-RU" w:eastAsia="zh-CN"/>
                    </w:rPr>
                    <w:t>铲车、装载机、</w:t>
                  </w:r>
                  <w:r>
                    <w:rPr>
                      <w:rFonts w:hint="default" w:ascii="Times New Roman" w:hAnsi="Times New Roman" w:eastAsia="宋体" w:cs="Times New Roman"/>
                      <w:color w:val="auto"/>
                      <w:sz w:val="21"/>
                      <w:szCs w:val="21"/>
                      <w:highlight w:val="none"/>
                      <w:u w:val="none" w:color="auto"/>
                      <w:lang w:val="ru-RU" w:eastAsia="zh-CN"/>
                    </w:rPr>
                    <w:t>推煤机</w:t>
                  </w:r>
                  <w:r>
                    <w:rPr>
                      <w:rFonts w:hint="eastAsia" w:cs="Times New Roman"/>
                      <w:color w:val="auto"/>
                      <w:sz w:val="21"/>
                      <w:szCs w:val="21"/>
                      <w:highlight w:val="none"/>
                      <w:u w:val="none" w:color="auto"/>
                      <w:lang w:val="ru-RU" w:eastAsia="zh-CN"/>
                    </w:rPr>
                    <w:t>等</w:t>
                  </w:r>
                  <w:r>
                    <w:rPr>
                      <w:rFonts w:hint="default" w:ascii="Times New Roman" w:hAnsi="Times New Roman" w:eastAsia="宋体" w:cs="Times New Roman"/>
                      <w:color w:val="auto"/>
                      <w:sz w:val="21"/>
                      <w:szCs w:val="21"/>
                      <w:highlight w:val="none"/>
                      <w:u w:val="none" w:color="auto"/>
                      <w:lang w:val="ru-RU" w:eastAsia="zh-CN"/>
                    </w:rPr>
                    <w:t>辅助机械</w:t>
                  </w:r>
                  <w:r>
                    <w:rPr>
                      <w:rFonts w:hint="eastAsia" w:cs="Times New Roman"/>
                      <w:color w:val="auto"/>
                      <w:sz w:val="21"/>
                      <w:szCs w:val="21"/>
                      <w:highlight w:val="none"/>
                      <w:u w:val="none" w:color="auto"/>
                      <w:lang w:val="ru-RU" w:eastAsia="zh-CN"/>
                    </w:rPr>
                    <w:t>燃料</w:t>
                  </w:r>
                </w:p>
              </w:tc>
            </w:tr>
          </w:tbl>
          <w:p>
            <w:pPr>
              <w:spacing w:line="360" w:lineRule="auto"/>
              <w:ind w:firstLine="420" w:firstLineChars="20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ru-RU" w:eastAsia="zh-CN"/>
              </w:rPr>
              <w:t>本项目主要煤炭来源及主要成分见表</w:t>
            </w:r>
            <w:r>
              <w:rPr>
                <w:rFonts w:hint="eastAsia" w:cs="Times New Roman"/>
                <w:color w:val="auto"/>
                <w:u w:val="none" w:color="auto"/>
                <w:lang w:val="en-US" w:eastAsia="zh-CN"/>
              </w:rPr>
              <w:t>2-4。</w:t>
            </w:r>
          </w:p>
          <w:p>
            <w:pPr>
              <w:widowControl w:val="0"/>
              <w:jc w:val="center"/>
              <w:outlineLvl w:val="2"/>
              <w:rPr>
                <w:rFonts w:hint="default" w:ascii="Times New Roman" w:hAnsi="Times New Roman" w:eastAsia="宋体" w:cs="Times New Roman"/>
                <w:b/>
                <w:bCs/>
                <w:color w:val="auto"/>
                <w:kern w:val="0"/>
                <w:sz w:val="21"/>
                <w:szCs w:val="32"/>
                <w:u w:val="none" w:color="auto"/>
                <w:lang w:val="en-US" w:eastAsia="zh-CN" w:bidi="ar-SA"/>
              </w:rPr>
            </w:pPr>
            <w:r>
              <w:rPr>
                <w:rFonts w:hint="default" w:ascii="Times New Roman" w:hAnsi="Times New Roman" w:eastAsia="宋体" w:cs="Times New Roman"/>
                <w:b/>
                <w:bCs/>
                <w:color w:val="auto"/>
                <w:kern w:val="0"/>
                <w:sz w:val="21"/>
                <w:szCs w:val="32"/>
                <w:u w:val="none" w:color="auto"/>
                <w:lang w:val="en-US" w:eastAsia="zh-CN" w:bidi="ar-SA"/>
              </w:rPr>
              <w:t>表2-</w:t>
            </w:r>
            <w:r>
              <w:rPr>
                <w:rFonts w:hint="eastAsia" w:cs="Times New Roman"/>
                <w:b/>
                <w:bCs/>
                <w:color w:val="auto"/>
                <w:kern w:val="0"/>
                <w:sz w:val="21"/>
                <w:szCs w:val="32"/>
                <w:u w:val="none" w:color="auto"/>
                <w:lang w:val="en-US" w:eastAsia="zh-CN" w:bidi="ar-SA"/>
              </w:rPr>
              <w:t>4煤炭来源及成分</w:t>
            </w:r>
            <w:r>
              <w:rPr>
                <w:rFonts w:hint="default" w:ascii="Times New Roman" w:hAnsi="Times New Roman" w:eastAsia="宋体" w:cs="Times New Roman"/>
                <w:b/>
                <w:bCs/>
                <w:color w:val="auto"/>
                <w:kern w:val="0"/>
                <w:sz w:val="21"/>
                <w:szCs w:val="32"/>
                <w:u w:val="none" w:color="auto"/>
                <w:lang w:val="en-US" w:eastAsia="zh-CN" w:bidi="ar-SA"/>
              </w:rPr>
              <w:t>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708"/>
              <w:gridCol w:w="1804"/>
              <w:gridCol w:w="2512"/>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2"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序号</w:t>
                  </w:r>
                </w:p>
              </w:tc>
              <w:tc>
                <w:tcPr>
                  <w:tcW w:w="1487" w:type="pct"/>
                  <w:gridSpan w:val="2"/>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煤源</w:t>
                  </w:r>
                </w:p>
              </w:tc>
              <w:tc>
                <w:tcPr>
                  <w:tcW w:w="1487"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可供应量</w:t>
                  </w:r>
                </w:p>
              </w:tc>
              <w:tc>
                <w:tcPr>
                  <w:tcW w:w="1672"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煤质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2" w:type="pct"/>
                  <w:noWrap w:val="0"/>
                  <w:vAlign w:val="center"/>
                </w:tcPr>
                <w:p>
                  <w:pPr>
                    <w:jc w:val="center"/>
                    <w:rPr>
                      <w:rFonts w:hint="default" w:ascii="Times New Roman" w:hAnsi="Times New Roman" w:eastAsia="宋体" w:cs="Times New Roman"/>
                      <w:color w:val="auto"/>
                      <w:sz w:val="21"/>
                      <w:szCs w:val="21"/>
                      <w:u w:val="none" w:color="auto"/>
                      <w:lang w:val="ru-RU" w:eastAsia="zh-CN"/>
                    </w:rPr>
                  </w:pPr>
                  <w:r>
                    <w:rPr>
                      <w:rFonts w:hint="default" w:ascii="Times New Roman" w:hAnsi="Times New Roman" w:eastAsia="宋体" w:cs="Times New Roman"/>
                      <w:color w:val="auto"/>
                      <w:sz w:val="21"/>
                      <w:szCs w:val="21"/>
                      <w:u w:val="none" w:color="auto"/>
                      <w:lang w:val="en-US" w:eastAsia="zh-CN"/>
                    </w:rPr>
                    <w:t>1</w:t>
                  </w:r>
                </w:p>
              </w:tc>
              <w:tc>
                <w:tcPr>
                  <w:tcW w:w="1487" w:type="pct"/>
                  <w:gridSpan w:val="2"/>
                  <w:noWrap w:val="0"/>
                  <w:vAlign w:val="center"/>
                </w:tcPr>
                <w:p>
                  <w:pPr>
                    <w:jc w:val="center"/>
                    <w:rPr>
                      <w:rFonts w:hint="default" w:ascii="Times New Roman" w:hAnsi="Times New Roman" w:eastAsia="宋体" w:cs="Times New Roman"/>
                      <w:color w:val="auto"/>
                      <w:sz w:val="21"/>
                      <w:szCs w:val="21"/>
                      <w:u w:val="none" w:color="auto"/>
                      <w:lang w:val="ru-RU" w:eastAsia="zh-CN"/>
                    </w:rPr>
                  </w:pPr>
                  <w:r>
                    <w:rPr>
                      <w:rFonts w:hint="default" w:ascii="Times New Roman" w:hAnsi="Times New Roman" w:eastAsia="宋体" w:cs="Times New Roman"/>
                      <w:color w:val="auto"/>
                      <w:sz w:val="21"/>
                      <w:szCs w:val="21"/>
                      <w:u w:val="none" w:color="auto"/>
                      <w:lang w:val="ru-RU" w:eastAsia="zh-CN"/>
                    </w:rPr>
                    <w:t>山东能源集团有限公司</w:t>
                  </w:r>
                </w:p>
              </w:tc>
              <w:tc>
                <w:tcPr>
                  <w:tcW w:w="1487"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360万t/a</w:t>
                  </w:r>
                </w:p>
              </w:tc>
              <w:tc>
                <w:tcPr>
                  <w:tcW w:w="1672" w:type="pct"/>
                  <w:vMerge w:val="restart"/>
                  <w:noWrap w:val="0"/>
                  <w:vAlign w:val="center"/>
                </w:tcPr>
                <w:p>
                  <w:pPr>
                    <w:spacing w:line="360" w:lineRule="exact"/>
                    <w:jc w:val="center"/>
                    <w:rPr>
                      <w:rFonts w:hint="default" w:ascii="Times New Roman" w:hAnsi="Times New Roman" w:eastAsia="宋体" w:cs="Times New Roman"/>
                      <w:color w:val="0000FF"/>
                      <w:sz w:val="21"/>
                      <w:szCs w:val="21"/>
                      <w:u w:val="none" w:color="auto"/>
                      <w:lang w:val="en-US" w:eastAsia="zh-CN"/>
                    </w:rPr>
                  </w:pPr>
                  <w:r>
                    <w:rPr>
                      <w:rFonts w:hint="eastAsia" w:cs="Times New Roman"/>
                      <w:color w:val="auto"/>
                      <w:u w:val="none" w:color="auto"/>
                      <w:lang w:val="ru-RU" w:eastAsia="zh-CN"/>
                    </w:rPr>
                    <w:t>煤炭发热量</w:t>
                  </w:r>
                  <w:r>
                    <w:rPr>
                      <w:rFonts w:hint="eastAsia" w:cs="Times New Roman"/>
                      <w:color w:val="auto"/>
                      <w:u w:val="none" w:color="auto"/>
                      <w:lang w:val="en-US" w:eastAsia="zh-CN"/>
                    </w:rPr>
                    <w:t>4500-6500kcal/kg、</w:t>
                  </w:r>
                  <w:r>
                    <w:rPr>
                      <w:rFonts w:hint="eastAsia" w:cs="Times New Roman"/>
                      <w:color w:val="auto"/>
                      <w:u w:val="none" w:color="auto"/>
                      <w:lang w:val="ru-RU" w:eastAsia="zh-CN"/>
                    </w:rPr>
                    <w:t>灰分</w:t>
                  </w:r>
                  <w:r>
                    <w:rPr>
                      <w:rFonts w:hint="eastAsia" w:cs="Times New Roman"/>
                      <w:color w:val="auto"/>
                      <w:u w:val="none" w:color="auto"/>
                      <w:lang w:val="en-US" w:eastAsia="zh-CN"/>
                    </w:rPr>
                    <w:t>Ad：8-10%、硫分＜0.5%、挥发酚＞37%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2"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1487" w:type="pct"/>
                  <w:gridSpan w:val="2"/>
                  <w:noWrap w:val="0"/>
                  <w:vAlign w:val="center"/>
                </w:tcPr>
                <w:p>
                  <w:pPr>
                    <w:jc w:val="center"/>
                    <w:rPr>
                      <w:rFonts w:hint="default" w:ascii="Times New Roman" w:hAnsi="Times New Roman" w:eastAsia="宋体" w:cs="Times New Roman"/>
                      <w:color w:val="auto"/>
                      <w:sz w:val="21"/>
                      <w:szCs w:val="21"/>
                      <w:u w:val="none" w:color="auto"/>
                      <w:lang w:val="ru-RU" w:eastAsia="zh-CN"/>
                    </w:rPr>
                  </w:pPr>
                  <w:r>
                    <w:rPr>
                      <w:rFonts w:hint="default" w:ascii="Times New Roman" w:hAnsi="Times New Roman" w:eastAsia="宋体" w:cs="Times New Roman"/>
                      <w:color w:val="auto"/>
                      <w:sz w:val="21"/>
                      <w:szCs w:val="21"/>
                      <w:u w:val="none" w:color="auto"/>
                      <w:lang w:val="ru-RU" w:eastAsia="zh-CN"/>
                    </w:rPr>
                    <w:t>山西军科创新投资集团有限公司</w:t>
                  </w:r>
                </w:p>
              </w:tc>
              <w:tc>
                <w:tcPr>
                  <w:tcW w:w="1487"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不低于100万t/a</w:t>
                  </w:r>
                </w:p>
              </w:tc>
              <w:tc>
                <w:tcPr>
                  <w:tcW w:w="1672" w:type="pct"/>
                  <w:vMerge w:val="continue"/>
                  <w:noWrap w:val="0"/>
                  <w:vAlign w:val="center"/>
                </w:tcPr>
                <w:p>
                  <w:pPr>
                    <w:spacing w:line="360" w:lineRule="exact"/>
                    <w:jc w:val="center"/>
                    <w:rPr>
                      <w:rFonts w:hint="default" w:ascii="Times New Roman" w:hAnsi="Times New Roman" w:eastAsia="宋体" w:cs="Times New Roman"/>
                      <w:color w:val="0000FF"/>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2"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w:t>
                  </w:r>
                </w:p>
              </w:tc>
              <w:tc>
                <w:tcPr>
                  <w:tcW w:w="1487" w:type="pct"/>
                  <w:gridSpan w:val="2"/>
                  <w:noWrap w:val="0"/>
                  <w:vAlign w:val="center"/>
                </w:tcPr>
                <w:p>
                  <w:pPr>
                    <w:jc w:val="center"/>
                    <w:rPr>
                      <w:rFonts w:hint="default" w:ascii="Times New Roman" w:hAnsi="Times New Roman" w:eastAsia="宋体" w:cs="Times New Roman"/>
                      <w:color w:val="auto"/>
                      <w:sz w:val="21"/>
                      <w:szCs w:val="21"/>
                      <w:u w:val="none" w:color="auto"/>
                      <w:lang w:val="ru-RU" w:eastAsia="zh-CN"/>
                    </w:rPr>
                  </w:pPr>
                  <w:r>
                    <w:rPr>
                      <w:rFonts w:hint="default" w:ascii="Times New Roman" w:hAnsi="Times New Roman" w:eastAsia="宋体" w:cs="Times New Roman"/>
                      <w:color w:val="auto"/>
                      <w:sz w:val="21"/>
                      <w:szCs w:val="21"/>
                      <w:u w:val="none" w:color="auto"/>
                      <w:lang w:val="ru-RU" w:eastAsia="zh-CN"/>
                    </w:rPr>
                    <w:t>山西宝山腰寨煤业有限公司</w:t>
                  </w:r>
                </w:p>
              </w:tc>
              <w:tc>
                <w:tcPr>
                  <w:tcW w:w="1487"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200万t/a</w:t>
                  </w:r>
                </w:p>
              </w:tc>
              <w:tc>
                <w:tcPr>
                  <w:tcW w:w="1672" w:type="pct"/>
                  <w:vMerge w:val="continue"/>
                  <w:noWrap w:val="0"/>
                  <w:vAlign w:val="center"/>
                </w:tcPr>
                <w:p>
                  <w:pPr>
                    <w:spacing w:line="360" w:lineRule="exact"/>
                    <w:jc w:val="center"/>
                    <w:rPr>
                      <w:rFonts w:hint="default" w:ascii="Times New Roman" w:hAnsi="Times New Roman" w:eastAsia="宋体" w:cs="Times New Roman"/>
                      <w:color w:val="0000FF"/>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2" w:type="pct"/>
                  <w:vMerge w:val="restar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w:t>
                  </w:r>
                </w:p>
              </w:tc>
              <w:tc>
                <w:tcPr>
                  <w:tcW w:w="419" w:type="pct"/>
                  <w:vMerge w:val="restart"/>
                  <w:noWrap w:val="0"/>
                  <w:vAlign w:val="center"/>
                </w:tcPr>
                <w:p>
                  <w:pPr>
                    <w:jc w:val="center"/>
                    <w:rPr>
                      <w:rFonts w:hint="default" w:ascii="Times New Roman" w:hAnsi="Times New Roman" w:eastAsia="宋体" w:cs="Times New Roman"/>
                      <w:color w:val="auto"/>
                      <w:sz w:val="21"/>
                      <w:szCs w:val="21"/>
                      <w:u w:val="none" w:color="auto"/>
                      <w:lang w:val="ru-RU" w:eastAsia="zh-CN"/>
                    </w:rPr>
                  </w:pPr>
                  <w:r>
                    <w:rPr>
                      <w:rFonts w:hint="default" w:ascii="Times New Roman" w:hAnsi="Times New Roman" w:eastAsia="宋体" w:cs="Times New Roman"/>
                      <w:color w:val="auto"/>
                      <w:sz w:val="21"/>
                      <w:szCs w:val="21"/>
                      <w:u w:val="none" w:color="auto"/>
                      <w:lang w:val="ru-RU" w:eastAsia="zh-CN"/>
                    </w:rPr>
                    <w:t>其他煤源</w:t>
                  </w:r>
                </w:p>
              </w:tc>
              <w:tc>
                <w:tcPr>
                  <w:tcW w:w="1068" w:type="pct"/>
                  <w:shd w:val="clear" w:color="auto" w:fill="auto"/>
                  <w:noWrap w:val="0"/>
                  <w:vAlign w:val="center"/>
                </w:tcPr>
                <w:p>
                  <w:pPr>
                    <w:jc w:val="center"/>
                    <w:rPr>
                      <w:rFonts w:hint="default" w:ascii="Times New Roman" w:hAnsi="Times New Roman" w:eastAsia="宋体" w:cs="Times New Roman"/>
                      <w:color w:val="auto"/>
                      <w:kern w:val="2"/>
                      <w:sz w:val="21"/>
                      <w:szCs w:val="21"/>
                      <w:u w:val="none" w:color="auto"/>
                      <w:lang w:val="ru-RU" w:eastAsia="zh-CN" w:bidi="ar-SA"/>
                    </w:rPr>
                  </w:pPr>
                  <w:r>
                    <w:rPr>
                      <w:rFonts w:hint="default" w:ascii="Times New Roman" w:hAnsi="Times New Roman" w:eastAsia="宋体" w:cs="Times New Roman"/>
                      <w:color w:val="auto"/>
                      <w:sz w:val="21"/>
                      <w:szCs w:val="21"/>
                      <w:u w:val="none" w:color="auto"/>
                      <w:lang w:val="ru-RU" w:eastAsia="zh-CN"/>
                    </w:rPr>
                    <w:t>山西潞安集团</w:t>
                  </w:r>
                </w:p>
              </w:tc>
              <w:tc>
                <w:tcPr>
                  <w:tcW w:w="1487"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100万t/a</w:t>
                  </w:r>
                </w:p>
              </w:tc>
              <w:tc>
                <w:tcPr>
                  <w:tcW w:w="1672" w:type="pct"/>
                  <w:vMerge w:val="continue"/>
                  <w:noWrap w:val="0"/>
                  <w:vAlign w:val="center"/>
                </w:tcPr>
                <w:p>
                  <w:pPr>
                    <w:spacing w:line="360" w:lineRule="exact"/>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2" w:type="pct"/>
                  <w:vMerge w:val="continue"/>
                  <w:noWrap w:val="0"/>
                  <w:vAlign w:val="center"/>
                </w:tcPr>
                <w:p>
                  <w:pPr>
                    <w:jc w:val="center"/>
                    <w:rPr>
                      <w:rFonts w:hint="default" w:ascii="Times New Roman" w:hAnsi="Times New Roman" w:eastAsia="宋体" w:cs="Times New Roman"/>
                      <w:color w:val="auto"/>
                      <w:sz w:val="21"/>
                      <w:szCs w:val="21"/>
                      <w:u w:val="none" w:color="auto"/>
                      <w:lang w:val="en-US" w:eastAsia="zh-CN"/>
                    </w:rPr>
                  </w:pPr>
                </w:p>
              </w:tc>
              <w:tc>
                <w:tcPr>
                  <w:tcW w:w="419" w:type="pct"/>
                  <w:vMerge w:val="continue"/>
                  <w:noWrap w:val="0"/>
                  <w:vAlign w:val="center"/>
                </w:tcPr>
                <w:p>
                  <w:pPr>
                    <w:jc w:val="center"/>
                    <w:rPr>
                      <w:rFonts w:hint="default" w:ascii="Times New Roman" w:hAnsi="Times New Roman" w:eastAsia="宋体" w:cs="Times New Roman"/>
                      <w:color w:val="auto"/>
                      <w:sz w:val="21"/>
                      <w:szCs w:val="21"/>
                      <w:u w:val="none" w:color="auto"/>
                      <w:lang w:val="ru-RU" w:eastAsia="zh-CN"/>
                    </w:rPr>
                  </w:pPr>
                </w:p>
              </w:tc>
              <w:tc>
                <w:tcPr>
                  <w:tcW w:w="1068" w:type="pct"/>
                  <w:shd w:val="clear" w:color="auto" w:fill="auto"/>
                  <w:noWrap w:val="0"/>
                  <w:vAlign w:val="center"/>
                </w:tcPr>
                <w:p>
                  <w:pPr>
                    <w:jc w:val="center"/>
                    <w:rPr>
                      <w:rFonts w:hint="default" w:ascii="Times New Roman" w:hAnsi="Times New Roman" w:eastAsia="宋体" w:cs="Times New Roman"/>
                      <w:color w:val="auto"/>
                      <w:kern w:val="2"/>
                      <w:sz w:val="21"/>
                      <w:szCs w:val="21"/>
                      <w:u w:val="none" w:color="auto"/>
                      <w:lang w:val="ru-RU" w:eastAsia="zh-CN" w:bidi="ar-SA"/>
                    </w:rPr>
                  </w:pPr>
                  <w:r>
                    <w:rPr>
                      <w:rFonts w:hint="default" w:ascii="Times New Roman" w:hAnsi="Times New Roman" w:eastAsia="宋体" w:cs="Times New Roman"/>
                      <w:color w:val="auto"/>
                      <w:sz w:val="21"/>
                      <w:szCs w:val="21"/>
                      <w:u w:val="none" w:color="auto"/>
                      <w:lang w:val="ru-RU" w:eastAsia="zh-CN"/>
                    </w:rPr>
                    <w:t>陕北煤业</w:t>
                  </w:r>
                </w:p>
              </w:tc>
              <w:tc>
                <w:tcPr>
                  <w:tcW w:w="1487" w:type="pct"/>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600万t/a</w:t>
                  </w:r>
                </w:p>
              </w:tc>
              <w:tc>
                <w:tcPr>
                  <w:tcW w:w="1672" w:type="pct"/>
                  <w:vMerge w:val="continue"/>
                  <w:noWrap w:val="0"/>
                  <w:vAlign w:val="center"/>
                </w:tcPr>
                <w:p>
                  <w:pPr>
                    <w:spacing w:line="360" w:lineRule="exact"/>
                    <w:jc w:val="center"/>
                    <w:rPr>
                      <w:rFonts w:hint="default" w:ascii="Times New Roman" w:hAnsi="Times New Roman" w:eastAsia="宋体" w:cs="Times New Roman"/>
                      <w:color w:val="0000FF"/>
                      <w:sz w:val="21"/>
                      <w:szCs w:val="21"/>
                      <w:u w:val="none" w:color="auto"/>
                      <w:lang w:val="en-US" w:eastAsia="zh-CN"/>
                    </w:rPr>
                  </w:pPr>
                </w:p>
              </w:tc>
            </w:tr>
          </w:tbl>
          <w:p>
            <w:pPr>
              <w:widowControl w:val="0"/>
              <w:spacing w:line="360" w:lineRule="auto"/>
              <w:ind w:firstLine="422" w:firstLineChars="200"/>
              <w:jc w:val="both"/>
              <w:outlineLvl w:val="2"/>
              <w:rPr>
                <w:rFonts w:hint="default" w:ascii="Times New Roman" w:hAnsi="Times New Roman" w:eastAsia="宋体" w:cs="Times New Roman"/>
                <w:b/>
                <w:bCs/>
                <w:color w:val="auto"/>
                <w:kern w:val="0"/>
                <w:sz w:val="21"/>
                <w:szCs w:val="32"/>
                <w:u w:val="none" w:color="auto"/>
                <w:lang w:val="en-US" w:eastAsia="zh-CN" w:bidi="ar-SA"/>
              </w:rPr>
            </w:pPr>
            <w:r>
              <w:rPr>
                <w:rFonts w:hint="eastAsia" w:cs="Times New Roman"/>
                <w:b/>
                <w:bCs/>
                <w:color w:val="auto"/>
                <w:kern w:val="0"/>
                <w:sz w:val="21"/>
                <w:szCs w:val="32"/>
                <w:u w:val="none" w:color="auto"/>
                <w:lang w:val="en-US" w:eastAsia="zh-CN" w:bidi="ar-SA"/>
              </w:rPr>
              <w:t>5、</w:t>
            </w:r>
            <w:r>
              <w:rPr>
                <w:rFonts w:hint="default" w:ascii="Times New Roman" w:hAnsi="Times New Roman" w:eastAsia="宋体" w:cs="Times New Roman"/>
                <w:b/>
                <w:bCs/>
                <w:color w:val="auto"/>
                <w:kern w:val="0"/>
                <w:sz w:val="21"/>
                <w:szCs w:val="32"/>
                <w:u w:val="none" w:color="auto"/>
                <w:lang w:val="en-US" w:eastAsia="zh-CN" w:bidi="ar-SA"/>
              </w:rPr>
              <w:t>项目主要生产设备</w:t>
            </w:r>
          </w:p>
          <w:p>
            <w:pPr>
              <w:spacing w:line="360" w:lineRule="auto"/>
              <w:ind w:firstLine="42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lang w:val="ru-RU"/>
              </w:rPr>
              <w:t>本</w:t>
            </w:r>
            <w:r>
              <w:rPr>
                <w:rFonts w:hint="default" w:ascii="Times New Roman" w:hAnsi="Times New Roman" w:eastAsia="宋体" w:cs="Times New Roman"/>
                <w:color w:val="auto"/>
                <w:u w:val="none" w:color="auto"/>
                <w:lang w:val="ru-RU" w:eastAsia="zh-CN"/>
              </w:rPr>
              <w:t>项目</w:t>
            </w:r>
            <w:r>
              <w:rPr>
                <w:rFonts w:hint="default" w:ascii="Times New Roman" w:hAnsi="Times New Roman" w:eastAsia="宋体" w:cs="Times New Roman"/>
                <w:color w:val="auto"/>
                <w:u w:val="none" w:color="auto"/>
                <w:lang w:val="ru-RU"/>
              </w:rPr>
              <w:t>生产设备</w:t>
            </w:r>
            <w:r>
              <w:rPr>
                <w:rFonts w:hint="default" w:ascii="Times New Roman" w:hAnsi="Times New Roman" w:eastAsia="宋体" w:cs="Times New Roman"/>
                <w:color w:val="auto"/>
                <w:u w:val="none" w:color="auto"/>
                <w:lang w:val="ru-RU" w:eastAsia="zh-CN"/>
              </w:rPr>
              <w:t>详</w:t>
            </w:r>
            <w:r>
              <w:rPr>
                <w:rFonts w:hint="default" w:ascii="Times New Roman" w:hAnsi="Times New Roman" w:eastAsia="宋体" w:cs="Times New Roman"/>
                <w:color w:val="auto"/>
                <w:u w:val="none" w:color="auto"/>
                <w:lang w:val="ru-RU"/>
              </w:rPr>
              <w:t>见表</w:t>
            </w:r>
            <w:r>
              <w:rPr>
                <w:rFonts w:hint="default" w:ascii="Times New Roman" w:hAnsi="Times New Roman" w:eastAsia="宋体" w:cs="Times New Roman"/>
                <w:color w:val="auto"/>
                <w:u w:val="none" w:color="auto"/>
              </w:rPr>
              <w:t>2-</w:t>
            </w:r>
            <w:r>
              <w:rPr>
                <w:rFonts w:hint="eastAsia" w:cs="Times New Roman"/>
                <w:color w:val="auto"/>
                <w:u w:val="none" w:color="auto"/>
                <w:lang w:val="en-US" w:eastAsia="zh-CN"/>
              </w:rPr>
              <w:t>5</w:t>
            </w:r>
            <w:r>
              <w:rPr>
                <w:rFonts w:hint="default" w:ascii="Times New Roman" w:hAnsi="Times New Roman" w:eastAsia="宋体" w:cs="Times New Roman"/>
                <w:color w:val="auto"/>
                <w:u w:val="none" w:color="auto"/>
              </w:rPr>
              <w:t>。</w:t>
            </w:r>
          </w:p>
          <w:p>
            <w:pPr>
              <w:widowControl w:val="0"/>
              <w:jc w:val="center"/>
              <w:outlineLvl w:val="2"/>
              <w:rPr>
                <w:rFonts w:hint="default"/>
                <w:color w:val="auto"/>
                <w:sz w:val="12"/>
                <w:szCs w:val="24"/>
              </w:rPr>
            </w:pPr>
            <w:r>
              <w:rPr>
                <w:rFonts w:hint="default" w:ascii="Times New Roman" w:hAnsi="Times New Roman" w:eastAsia="宋体" w:cs="Times New Roman"/>
                <w:b/>
                <w:bCs/>
                <w:color w:val="auto"/>
                <w:kern w:val="0"/>
                <w:sz w:val="21"/>
                <w:szCs w:val="32"/>
                <w:u w:val="none" w:color="auto"/>
                <w:lang w:val="en-US" w:eastAsia="zh-CN" w:bidi="ar-SA"/>
              </w:rPr>
              <w:t>表2-</w:t>
            </w:r>
            <w:r>
              <w:rPr>
                <w:rFonts w:hint="eastAsia" w:cs="Times New Roman"/>
                <w:b/>
                <w:bCs/>
                <w:color w:val="auto"/>
                <w:kern w:val="0"/>
                <w:sz w:val="21"/>
                <w:szCs w:val="32"/>
                <w:u w:val="none" w:color="auto"/>
                <w:lang w:val="en-US" w:eastAsia="zh-CN" w:bidi="ar-SA"/>
              </w:rPr>
              <w:t>5</w:t>
            </w:r>
            <w:r>
              <w:rPr>
                <w:rFonts w:hint="default" w:ascii="Times New Roman" w:hAnsi="Times New Roman" w:eastAsia="宋体" w:cs="Times New Roman"/>
                <w:b/>
                <w:bCs/>
                <w:color w:val="auto"/>
                <w:kern w:val="0"/>
                <w:sz w:val="21"/>
                <w:szCs w:val="32"/>
                <w:u w:val="none" w:color="auto"/>
                <w:lang w:val="en-US" w:eastAsia="zh-CN" w:bidi="ar-SA"/>
              </w:rPr>
              <w:t>生产设备一览表</w:t>
            </w:r>
          </w:p>
          <w:tbl>
            <w:tblPr>
              <w:tblStyle w:val="31"/>
              <w:tblW w:w="496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574"/>
              <w:gridCol w:w="1808"/>
              <w:gridCol w:w="3689"/>
              <w:gridCol w:w="1646"/>
              <w:gridCol w:w="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69" w:hRule="atLeast"/>
                <w:jc w:val="center"/>
              </w:trPr>
              <w:tc>
                <w:tcPr>
                  <w:tcW w:w="5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序号</w:t>
                  </w:r>
                </w:p>
              </w:tc>
              <w:tc>
                <w:tcPr>
                  <w:tcW w:w="180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设备名称</w:t>
                  </w:r>
                </w:p>
              </w:tc>
              <w:tc>
                <w:tcPr>
                  <w:tcW w:w="368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技术特征</w:t>
                  </w:r>
                </w:p>
              </w:tc>
              <w:tc>
                <w:tcPr>
                  <w:tcW w:w="1645" w:type="dxa"/>
                  <w:tcBorders>
                    <w:top w:val="single" w:color="auto" w:sz="4" w:space="0"/>
                    <w:left w:val="single" w:color="000000" w:sz="2" w:space="0"/>
                    <w:bottom w:val="single" w:color="000000" w:sz="2" w:space="0"/>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设备出力</w:t>
                  </w:r>
                  <w:r>
                    <w:rPr>
                      <w:rFonts w:hint="eastAsia" w:ascii="Times New Roman" w:hAnsi="Times New Roman" w:cs="Times New Roman"/>
                      <w:color w:val="auto"/>
                      <w:sz w:val="21"/>
                      <w:szCs w:val="21"/>
                      <w:u w:val="none" w:color="auto"/>
                      <w:lang w:val="en-US" w:eastAsia="zh-CN"/>
                    </w:rPr>
                    <w:t>（t/h）</w:t>
                  </w:r>
                </w:p>
              </w:tc>
              <w:tc>
                <w:tcPr>
                  <w:tcW w:w="68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数量（台）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69" w:hRule="atLeast"/>
                <w:jc w:val="center"/>
              </w:trPr>
              <w:tc>
                <w:tcPr>
                  <w:tcW w:w="5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w:t>
                  </w:r>
                </w:p>
              </w:tc>
              <w:tc>
                <w:tcPr>
                  <w:tcW w:w="180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斗轮堆取料机</w:t>
                  </w:r>
                </w:p>
              </w:tc>
              <w:tc>
                <w:tcPr>
                  <w:tcW w:w="368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DQL2300/3450</w:t>
                  </w:r>
                  <w:r>
                    <w:rPr>
                      <w:rFonts w:hint="eastAsia" w:ascii="Times New Roman" w:hAnsi="Times New Roman"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40</w:t>
                  </w:r>
                  <w:r>
                    <w:rPr>
                      <w:rFonts w:hint="eastAsia" w:ascii="Times New Roman" w:hAnsi="Times New Roman" w:eastAsia="宋体" w:cs="Times New Roman"/>
                      <w:color w:val="auto"/>
                      <w:sz w:val="21"/>
                      <w:szCs w:val="21"/>
                      <w:u w:val="none" w:color="auto"/>
                      <w:lang w:val="en-US" w:eastAsia="zh-CN"/>
                    </w:rPr>
                    <w:t>，堆取物料：原煤，</w:t>
                  </w:r>
                  <w:r>
                    <w:rPr>
                      <w:rFonts w:hint="default" w:ascii="Times New Roman" w:hAnsi="Times New Roman" w:eastAsia="宋体" w:cs="Times New Roman"/>
                      <w:color w:val="auto"/>
                      <w:sz w:val="21"/>
                      <w:szCs w:val="21"/>
                      <w:u w:val="none" w:color="auto"/>
                      <w:lang w:val="en-US" w:eastAsia="zh-CN"/>
                    </w:rPr>
                    <w:t>P= 600kW</w:t>
                  </w:r>
                  <w:r>
                    <w:rPr>
                      <w:rFonts w:hint="eastAsia" w:ascii="Times New Roman" w:hAnsi="Times New Roman"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10kV</w:t>
                  </w:r>
                </w:p>
              </w:tc>
              <w:tc>
                <w:tcPr>
                  <w:tcW w:w="164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堆料能力</w:t>
                  </w:r>
                  <w:r>
                    <w:rPr>
                      <w:rFonts w:hint="default" w:ascii="Times New Roman" w:hAnsi="Times New Roman" w:eastAsia="宋体" w:cs="Times New Roman"/>
                      <w:color w:val="auto"/>
                      <w:sz w:val="21"/>
                      <w:szCs w:val="21"/>
                      <w:u w:val="none" w:color="auto"/>
                      <w:lang w:val="en-US" w:eastAsia="zh-CN"/>
                    </w:rPr>
                    <w:t>2300t/h</w:t>
                  </w:r>
                  <w:r>
                    <w:rPr>
                      <w:rFonts w:hint="eastAsia" w:ascii="Times New Roman" w:hAnsi="Times New Roman" w:eastAsia="宋体" w:cs="Times New Roman"/>
                      <w:color w:val="auto"/>
                      <w:sz w:val="21"/>
                      <w:szCs w:val="21"/>
                      <w:u w:val="none" w:color="auto"/>
                      <w:lang w:val="en-US" w:eastAsia="zh-CN"/>
                    </w:rPr>
                    <w:t>，取料能力</w:t>
                  </w:r>
                  <w:r>
                    <w:rPr>
                      <w:rFonts w:hint="default" w:ascii="Times New Roman" w:hAnsi="Times New Roman" w:eastAsia="宋体" w:cs="Times New Roman"/>
                      <w:color w:val="auto"/>
                      <w:sz w:val="21"/>
                      <w:szCs w:val="21"/>
                      <w:u w:val="none" w:color="auto"/>
                      <w:lang w:val="en-US" w:eastAsia="zh-CN"/>
                    </w:rPr>
                    <w:t>3450t/h</w:t>
                  </w:r>
                  <w:r>
                    <w:rPr>
                      <w:rFonts w:hint="eastAsia" w:ascii="Times New Roman" w:hAnsi="Times New Roman" w:eastAsia="宋体" w:cs="Times New Roman"/>
                      <w:color w:val="auto"/>
                      <w:sz w:val="21"/>
                      <w:szCs w:val="21"/>
                      <w:u w:val="none" w:color="auto"/>
                      <w:lang w:val="en-US" w:eastAsia="zh-CN"/>
                    </w:rPr>
                    <w:t>（变频）</w:t>
                  </w:r>
                </w:p>
              </w:tc>
              <w:tc>
                <w:tcPr>
                  <w:tcW w:w="68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69" w:hRule="atLeast"/>
                <w:jc w:val="center"/>
              </w:trPr>
              <w:tc>
                <w:tcPr>
                  <w:tcW w:w="5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w:t>
                  </w:r>
                </w:p>
              </w:tc>
              <w:tc>
                <w:tcPr>
                  <w:tcW w:w="180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除铁器</w:t>
                  </w:r>
                </w:p>
              </w:tc>
              <w:tc>
                <w:tcPr>
                  <w:tcW w:w="368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盘式电磁除铁器</w:t>
                  </w:r>
                  <w:r>
                    <w:rPr>
                      <w:rFonts w:hint="eastAsia" w:ascii="Times New Roman" w:hAnsi="Times New Roman" w:cs="Times New Roman"/>
                      <w:color w:val="auto"/>
                      <w:sz w:val="21"/>
                      <w:szCs w:val="21"/>
                      <w:u w:val="none" w:color="auto"/>
                      <w:lang w:val="en-US" w:eastAsia="zh-CN"/>
                    </w:rPr>
                    <w:t>，</w:t>
                  </w:r>
                  <w:r>
                    <w:rPr>
                      <w:rFonts w:hint="eastAsia" w:ascii="Times New Roman" w:hAnsi="Times New Roman" w:eastAsia="宋体" w:cs="Times New Roman"/>
                      <w:color w:val="auto"/>
                      <w:sz w:val="21"/>
                      <w:szCs w:val="21"/>
                      <w:u w:val="none" w:color="auto"/>
                      <w:lang w:val="en-US" w:eastAsia="zh-CN"/>
                    </w:rPr>
                    <w:t>磁场强度≥</w:t>
                  </w:r>
                  <w:r>
                    <w:rPr>
                      <w:rFonts w:hint="default" w:ascii="Times New Roman" w:hAnsi="Times New Roman" w:eastAsia="宋体" w:cs="Times New Roman"/>
                      <w:color w:val="auto"/>
                      <w:sz w:val="21"/>
                      <w:szCs w:val="21"/>
                      <w:u w:val="none" w:color="auto"/>
                      <w:lang w:val="en-US" w:eastAsia="zh-CN"/>
                    </w:rPr>
                    <w:t>150mT</w:t>
                  </w:r>
                  <w:r>
                    <w:rPr>
                      <w:rFonts w:hint="eastAsia" w:ascii="Times New Roman" w:hAnsi="Times New Roman" w:eastAsia="宋体" w:cs="Times New Roman"/>
                      <w:color w:val="auto"/>
                      <w:sz w:val="21"/>
                      <w:szCs w:val="21"/>
                      <w:u w:val="none" w:color="auto"/>
                      <w:lang w:val="en-US" w:eastAsia="zh-CN"/>
                    </w:rPr>
                    <w:t>，额定悬挂高度</w:t>
                  </w:r>
                  <w:r>
                    <w:rPr>
                      <w:rFonts w:hint="default" w:ascii="Times New Roman" w:hAnsi="Times New Roman" w:eastAsia="宋体" w:cs="Times New Roman"/>
                      <w:color w:val="auto"/>
                      <w:sz w:val="21"/>
                      <w:szCs w:val="21"/>
                      <w:u w:val="none" w:color="auto"/>
                      <w:lang w:val="en-US" w:eastAsia="zh-CN"/>
                    </w:rPr>
                    <w:t>450mm</w:t>
                  </w:r>
                  <w:r>
                    <w:rPr>
                      <w:rFonts w:hint="eastAsia" w:ascii="Times New Roman" w:hAnsi="Times New Roman" w:eastAsia="宋体" w:cs="Times New Roman"/>
                      <w:color w:val="auto"/>
                      <w:sz w:val="21"/>
                      <w:szCs w:val="21"/>
                      <w:u w:val="none" w:color="auto"/>
                      <w:lang w:val="en-US" w:eastAsia="zh-CN"/>
                    </w:rPr>
                    <w:t>，励磁功率</w:t>
                  </w:r>
                  <w:r>
                    <w:rPr>
                      <w:rFonts w:hint="default" w:ascii="Times New Roman" w:hAnsi="Times New Roman" w:eastAsia="宋体" w:cs="Times New Roman"/>
                      <w:color w:val="auto"/>
                      <w:sz w:val="21"/>
                      <w:szCs w:val="21"/>
                      <w:u w:val="none" w:color="auto"/>
                      <w:lang w:val="en-US" w:eastAsia="zh-CN"/>
                    </w:rPr>
                    <w:t>N=25kW</w:t>
                  </w:r>
                  <w:r>
                    <w:rPr>
                      <w:rFonts w:hint="eastAsia" w:ascii="Times New Roman" w:hAnsi="Times New Roman"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U=660V</w:t>
                  </w:r>
                  <w:r>
                    <w:rPr>
                      <w:rFonts w:hint="eastAsia" w:ascii="Times New Roman" w:hAnsi="Times New Roman" w:cs="Times New Roman"/>
                      <w:color w:val="auto"/>
                      <w:sz w:val="21"/>
                      <w:szCs w:val="21"/>
                      <w:u w:val="none" w:color="auto"/>
                      <w:lang w:val="en-US" w:eastAsia="zh-CN"/>
                    </w:rPr>
                    <w:t>，</w:t>
                  </w:r>
                  <w:r>
                    <w:rPr>
                      <w:rFonts w:hint="eastAsia" w:ascii="Times New Roman" w:hAnsi="Times New Roman" w:eastAsia="宋体" w:cs="Times New Roman"/>
                      <w:color w:val="auto"/>
                      <w:sz w:val="21"/>
                      <w:szCs w:val="21"/>
                      <w:u w:val="none" w:color="auto"/>
                      <w:lang w:val="en-US" w:eastAsia="zh-CN"/>
                    </w:rPr>
                    <w:t>防护</w:t>
                  </w:r>
                  <w:r>
                    <w:rPr>
                      <w:rFonts w:hint="default" w:ascii="Times New Roman" w:hAnsi="Times New Roman" w:eastAsia="宋体" w:cs="Times New Roman"/>
                      <w:color w:val="auto"/>
                      <w:sz w:val="21"/>
                      <w:szCs w:val="21"/>
                      <w:u w:val="none" w:color="auto"/>
                      <w:lang w:val="en-US" w:eastAsia="zh-CN"/>
                    </w:rPr>
                    <w:t>/</w:t>
                  </w:r>
                  <w:r>
                    <w:rPr>
                      <w:rFonts w:hint="eastAsia" w:ascii="Times New Roman" w:hAnsi="Times New Roman" w:eastAsia="宋体" w:cs="Times New Roman"/>
                      <w:color w:val="auto"/>
                      <w:sz w:val="21"/>
                      <w:szCs w:val="21"/>
                      <w:u w:val="none" w:color="auto"/>
                      <w:lang w:val="en-US" w:eastAsia="zh-CN"/>
                    </w:rPr>
                    <w:t>绝缘等级</w:t>
                  </w:r>
                  <w:r>
                    <w:rPr>
                      <w:rFonts w:hint="default" w:ascii="Times New Roman" w:hAnsi="Times New Roman" w:eastAsia="宋体" w:cs="Times New Roman"/>
                      <w:color w:val="auto"/>
                      <w:sz w:val="21"/>
                      <w:szCs w:val="21"/>
                      <w:u w:val="none" w:color="auto"/>
                      <w:lang w:val="en-US" w:eastAsia="zh-CN"/>
                    </w:rPr>
                    <w:t>IP55/F</w:t>
                  </w:r>
                  <w:r>
                    <w:rPr>
                      <w:rFonts w:hint="eastAsia" w:ascii="Times New Roman" w:hAnsi="Times New Roman" w:eastAsia="宋体" w:cs="Times New Roman"/>
                      <w:color w:val="auto"/>
                      <w:sz w:val="21"/>
                      <w:szCs w:val="21"/>
                      <w:u w:val="none" w:color="auto"/>
                      <w:lang w:val="en-US" w:eastAsia="zh-CN"/>
                    </w:rPr>
                    <w:t>，电动双轨行走架</w:t>
                  </w:r>
                  <w:r>
                    <w:rPr>
                      <w:rFonts w:hint="default" w:ascii="Times New Roman" w:hAnsi="Times New Roman" w:eastAsia="宋体" w:cs="Times New Roman"/>
                      <w:color w:val="auto"/>
                      <w:sz w:val="21"/>
                      <w:szCs w:val="21"/>
                      <w:u w:val="none" w:color="auto"/>
                      <w:lang w:val="en-US" w:eastAsia="zh-CN"/>
                    </w:rPr>
                    <w:t>DX-</w:t>
                  </w:r>
                  <w:r>
                    <w:rPr>
                      <w:rFonts w:hint="eastAsia" w:ascii="Times New Roman" w:hAnsi="Times New Roman"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lang w:val="en-US" w:eastAsia="zh-CN"/>
                    </w:rPr>
                    <w:t>Z-10</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N=2×0.8kW</w:t>
                  </w:r>
                </w:p>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380/IP55/F</w:t>
                  </w:r>
                </w:p>
              </w:tc>
              <w:tc>
                <w:tcPr>
                  <w:tcW w:w="164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c>
                <w:tcPr>
                  <w:tcW w:w="68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69" w:hRule="atLeast"/>
                <w:jc w:val="center"/>
              </w:trPr>
              <w:tc>
                <w:tcPr>
                  <w:tcW w:w="5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p>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w:t>
                  </w:r>
                </w:p>
              </w:tc>
              <w:tc>
                <w:tcPr>
                  <w:tcW w:w="180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T11转载点至T13转载点带式输送机</w:t>
                  </w:r>
                </w:p>
              </w:tc>
              <w:tc>
                <w:tcPr>
                  <w:tcW w:w="368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B=1400mm，Lh=74.68m，V=3.15m/s，α=2.4~8.7°，来料粒度0-50mm，N=160kW</w:t>
                  </w:r>
                </w:p>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U=660V防护/绝缘等级IP55/F</w:t>
                  </w:r>
                </w:p>
              </w:tc>
              <w:tc>
                <w:tcPr>
                  <w:tcW w:w="164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2300</w:t>
                  </w:r>
                </w:p>
              </w:tc>
              <w:tc>
                <w:tcPr>
                  <w:tcW w:w="68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69" w:hRule="atLeast"/>
                <w:jc w:val="center"/>
              </w:trPr>
              <w:tc>
                <w:tcPr>
                  <w:tcW w:w="5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p>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w:t>
                  </w:r>
                </w:p>
              </w:tc>
              <w:tc>
                <w:tcPr>
                  <w:tcW w:w="180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T13转载点至T14转载点带式输送机</w:t>
                  </w:r>
                </w:p>
              </w:tc>
              <w:tc>
                <w:tcPr>
                  <w:tcW w:w="368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B=1400mm，Lh=127.55m，V=3.15m/s，α=5.3°，来料粒度 0-50mm，N=200kW</w:t>
                  </w:r>
                  <w:r>
                    <w:rPr>
                      <w:rFonts w:hint="eastAsia" w:ascii="Times New Roman" w:hAnsi="Times New Roman"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U=660V防护/绝缘等级IP55/F</w:t>
                  </w:r>
                </w:p>
              </w:tc>
              <w:tc>
                <w:tcPr>
                  <w:tcW w:w="164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2300</w:t>
                  </w:r>
                </w:p>
              </w:tc>
              <w:tc>
                <w:tcPr>
                  <w:tcW w:w="68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69" w:hRule="atLeast"/>
                <w:jc w:val="center"/>
              </w:trPr>
              <w:tc>
                <w:tcPr>
                  <w:tcW w:w="5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p>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w:t>
                  </w:r>
                </w:p>
              </w:tc>
              <w:tc>
                <w:tcPr>
                  <w:tcW w:w="180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3#煤场斗轮堆取料机带式输送机</w:t>
                  </w:r>
                </w:p>
              </w:tc>
              <w:tc>
                <w:tcPr>
                  <w:tcW w:w="368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B=1600 Q=3450t/h</w:t>
                  </w:r>
                  <w:r>
                    <w:rPr>
                      <w:rFonts w:hint="eastAsia" w:ascii="Times New Roman" w:hAnsi="Times New Roman"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V=3.15m/s，Lh=473.9m</w:t>
                  </w:r>
                  <w:r>
                    <w:rPr>
                      <w:rFonts w:hint="eastAsia" w:ascii="Times New Roman" w:hAnsi="Times New Roman"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β=0-5°，ST1250阻燃型防撕</w:t>
                  </w:r>
                </w:p>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裂钢丝绳芯胶带 N=315kW</w:t>
                  </w:r>
                  <w:r>
                    <w:rPr>
                      <w:rFonts w:hint="eastAsia" w:ascii="Times New Roman" w:hAnsi="Times New Roman"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U=660V防护/绝缘等级IP55/F</w:t>
                  </w:r>
                </w:p>
              </w:tc>
              <w:tc>
                <w:tcPr>
                  <w:tcW w:w="164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3450</w:t>
                  </w:r>
                </w:p>
              </w:tc>
              <w:tc>
                <w:tcPr>
                  <w:tcW w:w="68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69" w:hRule="atLeast"/>
                <w:jc w:val="center"/>
              </w:trPr>
              <w:tc>
                <w:tcPr>
                  <w:tcW w:w="5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p>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w:t>
                  </w:r>
                </w:p>
              </w:tc>
              <w:tc>
                <w:tcPr>
                  <w:tcW w:w="180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4#煤场斗轮堆取料机带式输送机</w:t>
                  </w:r>
                </w:p>
              </w:tc>
              <w:tc>
                <w:tcPr>
                  <w:tcW w:w="368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B=1600 Q=3450t/h</w:t>
                  </w:r>
                  <w:r>
                    <w:rPr>
                      <w:rFonts w:hint="eastAsia" w:ascii="Times New Roman" w:hAnsi="Times New Roman"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V=3.15m/s，h=473.9m</w:t>
                  </w:r>
                </w:p>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β=0-5°，ST1250 阻燃型防撕裂钢丝绳芯胶带 N=315kW</w:t>
                  </w:r>
                  <w:r>
                    <w:rPr>
                      <w:rFonts w:hint="eastAsia" w:ascii="Times New Roman" w:hAnsi="Times New Roman"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U=660V防护/绝缘等级IP55/F</w:t>
                  </w:r>
                </w:p>
              </w:tc>
              <w:tc>
                <w:tcPr>
                  <w:tcW w:w="164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3450</w:t>
                  </w:r>
                </w:p>
              </w:tc>
              <w:tc>
                <w:tcPr>
                  <w:tcW w:w="68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69" w:hRule="atLeast"/>
                <w:jc w:val="center"/>
              </w:trPr>
              <w:tc>
                <w:tcPr>
                  <w:tcW w:w="5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p>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7</w:t>
                  </w:r>
                </w:p>
              </w:tc>
              <w:tc>
                <w:tcPr>
                  <w:tcW w:w="180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T16转载点至T17转载点带式输送机</w:t>
                  </w:r>
                </w:p>
              </w:tc>
              <w:tc>
                <w:tcPr>
                  <w:tcW w:w="368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B=1600mm，Lh=127.75m，V=3.15m/s，α=6.0°，来料粒度 0-50mm，N=200kW</w:t>
                  </w:r>
                </w:p>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U=660V防护/绝缘等级IP55/F</w:t>
                  </w:r>
                </w:p>
              </w:tc>
              <w:tc>
                <w:tcPr>
                  <w:tcW w:w="164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3450</w:t>
                  </w:r>
                </w:p>
              </w:tc>
              <w:tc>
                <w:tcPr>
                  <w:tcW w:w="68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69" w:hRule="atLeast"/>
                <w:jc w:val="center"/>
              </w:trPr>
              <w:tc>
                <w:tcPr>
                  <w:tcW w:w="5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p>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w:t>
                  </w:r>
                </w:p>
              </w:tc>
              <w:tc>
                <w:tcPr>
                  <w:tcW w:w="180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T17转载点至T16转载点带式输送机</w:t>
                  </w:r>
                </w:p>
              </w:tc>
              <w:tc>
                <w:tcPr>
                  <w:tcW w:w="368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B=1400mm，Lh=127.75m，V=3.15m/s，α=6.0°，来料粒度0-50mm，N=180kW</w:t>
                  </w:r>
                  <w:r>
                    <w:rPr>
                      <w:rFonts w:hint="eastAsia" w:ascii="Times New Roman" w:hAnsi="Times New Roman"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U=660V防护/绝缘等级IP55/F</w:t>
                  </w:r>
                </w:p>
              </w:tc>
              <w:tc>
                <w:tcPr>
                  <w:tcW w:w="164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2300</w:t>
                  </w:r>
                </w:p>
              </w:tc>
              <w:tc>
                <w:tcPr>
                  <w:tcW w:w="68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69" w:hRule="atLeast"/>
                <w:jc w:val="center"/>
              </w:trPr>
              <w:tc>
                <w:tcPr>
                  <w:tcW w:w="5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p>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9</w:t>
                  </w:r>
                </w:p>
              </w:tc>
              <w:tc>
                <w:tcPr>
                  <w:tcW w:w="180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T16转载点至T15转载点带式输送机</w:t>
                  </w:r>
                </w:p>
              </w:tc>
              <w:tc>
                <w:tcPr>
                  <w:tcW w:w="368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B=1400mm，Lh=80.2m，V=3.15m/s，α=12.7°，来料粒度 0-50mm，N=160kW</w:t>
                  </w:r>
                  <w:r>
                    <w:rPr>
                      <w:rFonts w:hint="eastAsia" w:ascii="Times New Roman" w:hAnsi="Times New Roman"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U=660V 防护/绝缘等级 IP55/F</w:t>
                  </w:r>
                </w:p>
              </w:tc>
              <w:tc>
                <w:tcPr>
                  <w:tcW w:w="164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2300</w:t>
                  </w:r>
                </w:p>
              </w:tc>
              <w:tc>
                <w:tcPr>
                  <w:tcW w:w="68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69" w:hRule="atLeast"/>
                <w:jc w:val="center"/>
              </w:trPr>
              <w:tc>
                <w:tcPr>
                  <w:tcW w:w="5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w:t>
                  </w:r>
                </w:p>
              </w:tc>
              <w:tc>
                <w:tcPr>
                  <w:tcW w:w="180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装载机</w:t>
                  </w:r>
                </w:p>
              </w:tc>
              <w:tc>
                <w:tcPr>
                  <w:tcW w:w="368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ZL50型</w:t>
                  </w:r>
                </w:p>
              </w:tc>
              <w:tc>
                <w:tcPr>
                  <w:tcW w:w="164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c>
                <w:tcPr>
                  <w:tcW w:w="68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69" w:hRule="atLeast"/>
                <w:jc w:val="center"/>
              </w:trPr>
              <w:tc>
                <w:tcPr>
                  <w:tcW w:w="5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w:t>
                  </w:r>
                </w:p>
              </w:tc>
              <w:tc>
                <w:tcPr>
                  <w:tcW w:w="180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推煤机</w:t>
                  </w:r>
                </w:p>
              </w:tc>
              <w:tc>
                <w:tcPr>
                  <w:tcW w:w="368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D260煤炭型</w:t>
                  </w:r>
                </w:p>
              </w:tc>
              <w:tc>
                <w:tcPr>
                  <w:tcW w:w="164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c>
                <w:tcPr>
                  <w:tcW w:w="68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r>
          </w:tbl>
          <w:p>
            <w:pPr>
              <w:widowControl w:val="0"/>
              <w:spacing w:line="360" w:lineRule="auto"/>
              <w:ind w:firstLine="422" w:firstLineChars="200"/>
              <w:jc w:val="both"/>
              <w:outlineLvl w:val="2"/>
              <w:rPr>
                <w:rFonts w:hint="default" w:ascii="Times New Roman" w:hAnsi="Times New Roman" w:eastAsia="宋体" w:cs="Times New Roman"/>
                <w:b/>
                <w:bCs/>
                <w:color w:val="auto"/>
                <w:kern w:val="0"/>
                <w:sz w:val="21"/>
                <w:szCs w:val="32"/>
                <w:u w:val="none" w:color="auto"/>
                <w:lang w:val="ru-RU" w:eastAsia="zh-CN" w:bidi="ar-SA"/>
              </w:rPr>
            </w:pPr>
            <w:r>
              <w:rPr>
                <w:rFonts w:hint="eastAsia" w:cs="Times New Roman"/>
                <w:b/>
                <w:bCs/>
                <w:color w:val="auto"/>
                <w:kern w:val="0"/>
                <w:sz w:val="21"/>
                <w:szCs w:val="32"/>
                <w:u w:val="none" w:color="auto"/>
                <w:lang w:val="en-US" w:eastAsia="zh-CN" w:bidi="ar-SA"/>
              </w:rPr>
              <w:t>6、</w:t>
            </w:r>
            <w:r>
              <w:rPr>
                <w:rFonts w:hint="default" w:ascii="Times New Roman" w:hAnsi="Times New Roman" w:eastAsia="宋体" w:cs="Times New Roman"/>
                <w:b/>
                <w:bCs/>
                <w:color w:val="auto"/>
                <w:kern w:val="0"/>
                <w:sz w:val="21"/>
                <w:szCs w:val="32"/>
                <w:u w:val="none" w:color="auto"/>
                <w:lang w:val="en-US" w:eastAsia="zh-CN" w:bidi="ar-SA"/>
              </w:rPr>
              <w:t>公用工程</w:t>
            </w:r>
          </w:p>
          <w:p>
            <w:pPr>
              <w:widowControl/>
              <w:snapToGrid w:val="0"/>
              <w:spacing w:before="0" w:after="0" w:line="360" w:lineRule="auto"/>
              <w:ind w:right="0" w:firstLine="420" w:firstLineChars="200"/>
              <w:jc w:val="both"/>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（1）</w:t>
            </w:r>
            <w:r>
              <w:rPr>
                <w:rFonts w:hint="eastAsia" w:cs="Times New Roman"/>
                <w:color w:val="auto"/>
                <w:kern w:val="0"/>
                <w:sz w:val="21"/>
                <w:szCs w:val="20"/>
                <w:highlight w:val="none"/>
                <w:u w:val="none" w:color="auto"/>
                <w:lang w:val="en-US" w:eastAsia="zh-CN" w:bidi="ar-SA"/>
              </w:rPr>
              <w:t>给排水</w:t>
            </w:r>
          </w:p>
          <w:p>
            <w:pPr>
              <w:spacing w:line="360" w:lineRule="auto"/>
              <w:ind w:firstLine="465"/>
              <w:jc w:val="left"/>
              <w:rPr>
                <w:rFonts w:hint="eastAsia" w:cs="Times New Roman"/>
                <w:color w:val="auto"/>
                <w:kern w:val="2"/>
                <w:highlight w:val="none"/>
                <w:u w:val="none" w:color="auto"/>
                <w:lang w:eastAsia="zh-CN"/>
              </w:rPr>
            </w:pPr>
            <w:r>
              <w:rPr>
                <w:rFonts w:hint="default" w:ascii="Times New Roman" w:hAnsi="Times New Roman" w:eastAsia="宋体" w:cs="Times New Roman"/>
                <w:color w:val="auto"/>
                <w:kern w:val="2"/>
                <w:highlight w:val="none"/>
                <w:u w:val="none" w:color="auto"/>
              </w:rPr>
              <w:t>本项目</w:t>
            </w:r>
            <w:r>
              <w:rPr>
                <w:rFonts w:hint="eastAsia" w:cs="Times New Roman"/>
                <w:color w:val="auto"/>
                <w:kern w:val="2"/>
                <w:highlight w:val="none"/>
                <w:u w:val="none" w:color="auto"/>
                <w:lang w:eastAsia="zh-CN"/>
              </w:rPr>
              <w:t>营运期用水来自市政供水管网，用水主要包括储煤场雾炮除尘用水、转载点干雾抑尘用水、转载点地面冲洗用水、道路洒水降尘用水、员工生活用水等。废水主要为地面冲洗废水、初期雨水、员工生活污水等。</w:t>
            </w:r>
          </w:p>
          <w:p>
            <w:pPr>
              <w:widowControl/>
              <w:snapToGrid w:val="0"/>
              <w:spacing w:before="0" w:after="0" w:line="360" w:lineRule="auto"/>
              <w:ind w:right="0" w:firstLine="420" w:firstLineChars="200"/>
              <w:jc w:val="both"/>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①储煤场雾炮降尘</w:t>
            </w:r>
          </w:p>
          <w:p>
            <w:pPr>
              <w:widowControl/>
              <w:snapToGrid w:val="0"/>
              <w:spacing w:before="0" w:after="0" w:line="360" w:lineRule="auto"/>
              <w:ind w:right="0" w:firstLine="420" w:firstLineChars="200"/>
              <w:jc w:val="both"/>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cs="Times New Roman"/>
                <w:color w:val="auto"/>
                <w:kern w:val="0"/>
                <w:sz w:val="21"/>
                <w:szCs w:val="20"/>
                <w:highlight w:val="none"/>
                <w:u w:val="none" w:color="auto"/>
                <w:lang w:val="en-US" w:eastAsia="zh-CN" w:bidi="ar-SA"/>
              </w:rPr>
              <w:t>本项目</w:t>
            </w:r>
            <w:r>
              <w:rPr>
                <w:rFonts w:hint="eastAsia" w:ascii="Times New Roman" w:hAnsi="Times New Roman" w:eastAsia="宋体" w:cs="Times New Roman"/>
                <w:color w:val="auto"/>
                <w:kern w:val="0"/>
                <w:sz w:val="21"/>
                <w:szCs w:val="20"/>
                <w:highlight w:val="none"/>
                <w:u w:val="none" w:color="auto"/>
                <w:lang w:val="en-US" w:eastAsia="zh-CN" w:bidi="ar-SA"/>
              </w:rPr>
              <w:t>封闭式储煤场</w:t>
            </w:r>
            <w:r>
              <w:rPr>
                <w:rFonts w:hint="eastAsia" w:cs="Times New Roman"/>
                <w:color w:val="auto"/>
                <w:kern w:val="0"/>
                <w:sz w:val="21"/>
                <w:szCs w:val="20"/>
                <w:highlight w:val="none"/>
                <w:u w:val="none" w:color="auto"/>
                <w:lang w:val="en-US" w:eastAsia="zh-CN" w:bidi="ar-SA"/>
              </w:rPr>
              <w:t>共设置4台</w:t>
            </w:r>
            <w:r>
              <w:rPr>
                <w:rFonts w:hint="eastAsia" w:ascii="Times New Roman" w:hAnsi="Times New Roman" w:eastAsia="宋体" w:cs="Times New Roman"/>
                <w:color w:val="auto"/>
                <w:kern w:val="0"/>
                <w:sz w:val="21"/>
                <w:szCs w:val="20"/>
                <w:highlight w:val="none"/>
                <w:u w:val="none" w:color="auto"/>
                <w:lang w:val="en-US" w:eastAsia="zh-CN" w:bidi="ar-SA"/>
              </w:rPr>
              <w:t>射雾器</w:t>
            </w:r>
            <w:r>
              <w:rPr>
                <w:rFonts w:hint="eastAsia" w:cs="Times New Roman"/>
                <w:color w:val="auto"/>
                <w:kern w:val="0"/>
                <w:sz w:val="21"/>
                <w:szCs w:val="20"/>
                <w:highlight w:val="none"/>
                <w:u w:val="none" w:color="auto"/>
                <w:lang w:val="en-US" w:eastAsia="zh-CN" w:bidi="ar-SA"/>
              </w:rPr>
              <w:t>，</w:t>
            </w:r>
            <w:r>
              <w:rPr>
                <w:rFonts w:hint="eastAsia" w:ascii="Times New Roman" w:hAnsi="Times New Roman" w:eastAsia="宋体" w:cs="Times New Roman"/>
                <w:color w:val="auto"/>
                <w:kern w:val="0"/>
                <w:sz w:val="21"/>
                <w:szCs w:val="20"/>
                <w:highlight w:val="none"/>
                <w:u w:val="none" w:color="auto"/>
                <w:lang w:val="en-US" w:eastAsia="zh-CN" w:bidi="ar-SA"/>
              </w:rPr>
              <w:t>单台射雾器耗水量为</w:t>
            </w:r>
            <w:r>
              <w:rPr>
                <w:rFonts w:hint="eastAsia" w:cs="Times New Roman"/>
                <w:color w:val="auto"/>
                <w:kern w:val="0"/>
                <w:sz w:val="21"/>
                <w:szCs w:val="20"/>
                <w:highlight w:val="none"/>
                <w:u w:val="none" w:color="auto"/>
                <w:lang w:val="en-US" w:eastAsia="zh-CN" w:bidi="ar-SA"/>
              </w:rPr>
              <w:t>8</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/h•台，</w:t>
            </w:r>
            <w:r>
              <w:rPr>
                <w:rFonts w:hint="eastAsia" w:cs="Times New Roman"/>
                <w:color w:val="auto"/>
                <w:kern w:val="0"/>
                <w:sz w:val="21"/>
                <w:szCs w:val="20"/>
                <w:highlight w:val="none"/>
                <w:u w:val="none" w:color="auto"/>
                <w:lang w:val="en-US" w:eastAsia="zh-CN" w:bidi="ar-SA"/>
              </w:rPr>
              <w:t>每天间歇运行约16h，</w:t>
            </w:r>
            <w:r>
              <w:rPr>
                <w:rFonts w:hint="eastAsia" w:ascii="Times New Roman" w:hAnsi="Times New Roman" w:eastAsia="宋体" w:cs="Times New Roman"/>
                <w:color w:val="auto"/>
                <w:kern w:val="0"/>
                <w:sz w:val="21"/>
                <w:szCs w:val="20"/>
                <w:highlight w:val="none"/>
                <w:u w:val="none" w:color="auto"/>
                <w:lang w:val="en-US" w:eastAsia="zh-CN" w:bidi="ar-SA"/>
              </w:rPr>
              <w:t>用水量约</w:t>
            </w:r>
            <w:r>
              <w:rPr>
                <w:rFonts w:hint="eastAsia" w:cs="Times New Roman"/>
                <w:color w:val="auto"/>
                <w:kern w:val="0"/>
                <w:sz w:val="21"/>
                <w:szCs w:val="20"/>
                <w:highlight w:val="none"/>
                <w:u w:val="none" w:color="auto"/>
                <w:lang w:val="en-US" w:eastAsia="zh-CN" w:bidi="ar-SA"/>
              </w:rPr>
              <w:t>512</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color="auto"/>
                <w:lang w:val="en-US" w:eastAsia="zh-CN" w:bidi="ar-SA"/>
              </w:rPr>
              <w:t>d（186880m</w:t>
            </w:r>
            <w:r>
              <w:rPr>
                <w:rFonts w:hint="eastAsia" w:cs="Times New Roman"/>
                <w:color w:val="auto"/>
                <w:kern w:val="0"/>
                <w:sz w:val="21"/>
                <w:szCs w:val="20"/>
                <w:highlight w:val="none"/>
                <w:u w:val="none" w:color="auto"/>
                <w:vertAlign w:val="superscript"/>
                <w:lang w:val="en-US" w:eastAsia="zh-CN" w:bidi="ar-SA"/>
              </w:rPr>
              <w:t>3</w:t>
            </w:r>
            <w:r>
              <w:rPr>
                <w:rFonts w:hint="eastAsia" w:cs="Times New Roman"/>
                <w:color w:val="auto"/>
                <w:kern w:val="0"/>
                <w:sz w:val="21"/>
                <w:szCs w:val="20"/>
                <w:highlight w:val="none"/>
                <w:u w:val="none" w:color="auto"/>
                <w:lang w:val="en-US" w:eastAsia="zh-CN" w:bidi="ar-SA"/>
              </w:rPr>
              <w:t>/a）</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color="auto"/>
                <w:lang w:val="en-US" w:eastAsia="zh-CN" w:bidi="ar-SA"/>
              </w:rPr>
              <w:t>雾炮降尘用水蒸发损耗，不产生废水。</w:t>
            </w:r>
          </w:p>
          <w:p>
            <w:pPr>
              <w:widowControl/>
              <w:snapToGrid w:val="0"/>
              <w:spacing w:before="0" w:after="0" w:line="360" w:lineRule="auto"/>
              <w:ind w:right="0" w:firstLine="420" w:firstLineChars="200"/>
              <w:jc w:val="both"/>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cs="Times New Roman"/>
                <w:color w:val="auto"/>
                <w:kern w:val="0"/>
                <w:sz w:val="21"/>
                <w:szCs w:val="20"/>
                <w:highlight w:val="none"/>
                <w:u w:val="none" w:color="auto"/>
                <w:lang w:val="en-US" w:eastAsia="zh-CN" w:bidi="ar-SA"/>
              </w:rPr>
              <w:t>②</w:t>
            </w:r>
            <w:r>
              <w:rPr>
                <w:rFonts w:hint="default" w:ascii="Times New Roman" w:hAnsi="Times New Roman" w:eastAsia="宋体" w:cs="Times New Roman"/>
                <w:color w:val="auto"/>
                <w:kern w:val="0"/>
                <w:sz w:val="21"/>
                <w:szCs w:val="20"/>
                <w:highlight w:val="none"/>
                <w:u w:val="none" w:color="auto"/>
                <w:lang w:val="en-US" w:eastAsia="zh-CN" w:bidi="ar-SA"/>
              </w:rPr>
              <w:t>转载点干雾抑尘</w:t>
            </w:r>
          </w:p>
          <w:p>
            <w:pPr>
              <w:widowControl/>
              <w:snapToGrid w:val="0"/>
              <w:spacing w:before="0" w:after="0" w:line="360" w:lineRule="auto"/>
              <w:ind w:right="0" w:firstLine="420" w:firstLineChars="200"/>
              <w:jc w:val="both"/>
              <w:rPr>
                <w:rFonts w:hint="eastAsia"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项目</w:t>
            </w:r>
            <w:r>
              <w:rPr>
                <w:rFonts w:hint="eastAsia" w:cs="Times New Roman"/>
                <w:color w:val="auto"/>
                <w:kern w:val="0"/>
                <w:sz w:val="21"/>
                <w:szCs w:val="20"/>
                <w:highlight w:val="none"/>
                <w:u w:val="none" w:color="auto"/>
                <w:lang w:val="en-US" w:eastAsia="zh-CN" w:bidi="ar-SA"/>
              </w:rPr>
              <w:t>煤炭</w:t>
            </w:r>
            <w:r>
              <w:rPr>
                <w:rFonts w:hint="default" w:ascii="Times New Roman" w:hAnsi="Times New Roman" w:eastAsia="宋体" w:cs="Times New Roman"/>
                <w:color w:val="auto"/>
                <w:kern w:val="0"/>
                <w:sz w:val="21"/>
                <w:szCs w:val="20"/>
                <w:highlight w:val="none"/>
                <w:u w:val="none" w:color="auto"/>
                <w:lang w:val="en-US" w:eastAsia="zh-CN" w:bidi="ar-SA"/>
              </w:rPr>
              <w:t>转载运输</w:t>
            </w:r>
            <w:r>
              <w:rPr>
                <w:rFonts w:hint="eastAsia" w:cs="Times New Roman"/>
                <w:color w:val="auto"/>
                <w:kern w:val="0"/>
                <w:sz w:val="21"/>
                <w:szCs w:val="20"/>
                <w:highlight w:val="none"/>
                <w:u w:val="none" w:color="auto"/>
                <w:lang w:val="en-US" w:eastAsia="zh-CN" w:bidi="ar-SA"/>
              </w:rPr>
              <w:t>均</w:t>
            </w:r>
            <w:r>
              <w:rPr>
                <w:rFonts w:hint="default" w:ascii="Times New Roman" w:hAnsi="Times New Roman" w:eastAsia="宋体" w:cs="Times New Roman"/>
                <w:color w:val="auto"/>
                <w:kern w:val="0"/>
                <w:sz w:val="21"/>
                <w:szCs w:val="20"/>
                <w:highlight w:val="none"/>
                <w:u w:val="none" w:color="auto"/>
                <w:lang w:val="en-US" w:eastAsia="zh-CN" w:bidi="ar-SA"/>
              </w:rPr>
              <w:t>采用全封闭</w:t>
            </w:r>
            <w:r>
              <w:rPr>
                <w:rFonts w:hint="eastAsia" w:cs="Times New Roman"/>
                <w:color w:val="auto"/>
                <w:kern w:val="0"/>
                <w:sz w:val="21"/>
                <w:szCs w:val="20"/>
                <w:highlight w:val="none"/>
                <w:u w:val="none" w:color="auto"/>
                <w:lang w:val="en-US" w:eastAsia="zh-CN" w:bidi="ar-SA"/>
              </w:rPr>
              <w:t>带式输送机机，转载点输送煤炭时由于</w:t>
            </w:r>
            <w:r>
              <w:rPr>
                <w:rFonts w:hint="default" w:ascii="Times New Roman" w:hAnsi="Times New Roman" w:eastAsia="宋体" w:cs="Times New Roman"/>
                <w:color w:val="auto"/>
                <w:kern w:val="0"/>
                <w:sz w:val="21"/>
                <w:szCs w:val="20"/>
                <w:highlight w:val="none"/>
                <w:u w:val="none" w:color="auto"/>
                <w:lang w:val="en-US" w:eastAsia="zh-CN" w:bidi="ar-SA"/>
              </w:rPr>
              <w:t>高度差会产生粉尘，转载点</w:t>
            </w:r>
            <w:r>
              <w:rPr>
                <w:rFonts w:hint="eastAsia" w:cs="Times New Roman"/>
                <w:color w:val="auto"/>
                <w:kern w:val="0"/>
                <w:sz w:val="21"/>
                <w:szCs w:val="20"/>
                <w:highlight w:val="none"/>
                <w:u w:val="none" w:color="auto"/>
                <w:lang w:val="en-US" w:eastAsia="zh-CN" w:bidi="ar-SA"/>
              </w:rPr>
              <w:t>设置</w:t>
            </w:r>
            <w:r>
              <w:rPr>
                <w:rFonts w:hint="default" w:ascii="Times New Roman" w:hAnsi="Times New Roman" w:eastAsia="宋体" w:cs="Times New Roman"/>
                <w:color w:val="auto"/>
                <w:kern w:val="0"/>
                <w:sz w:val="21"/>
                <w:szCs w:val="20"/>
                <w:highlight w:val="none"/>
                <w:u w:val="none" w:color="auto"/>
                <w:lang w:val="en-US" w:eastAsia="zh-CN" w:bidi="ar-SA"/>
              </w:rPr>
              <w:t>干雾抑尘装置</w:t>
            </w:r>
            <w:r>
              <w:rPr>
                <w:rFonts w:hint="eastAsia" w:cs="Times New Roman"/>
                <w:color w:val="auto"/>
                <w:kern w:val="0"/>
                <w:sz w:val="21"/>
                <w:szCs w:val="20"/>
                <w:highlight w:val="none"/>
                <w:u w:val="none" w:color="auto"/>
                <w:lang w:val="en-US" w:eastAsia="zh-CN" w:bidi="ar-SA"/>
              </w:rPr>
              <w:t>2套，单套用水量16</w:t>
            </w:r>
            <w:r>
              <w:rPr>
                <w:rFonts w:hint="default" w:ascii="Times New Roman" w:hAnsi="Times New Roman" w:eastAsia="宋体" w:cs="Times New Roman"/>
                <w:color w:val="auto"/>
                <w:kern w:val="0"/>
                <w:sz w:val="21"/>
                <w:szCs w:val="20"/>
                <w:highlight w:val="none"/>
                <w:u w:val="none" w:color="auto"/>
                <w:lang w:val="en-US" w:eastAsia="zh-CN" w:bidi="ar-SA"/>
              </w:rPr>
              <w:t>L/min</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color="auto"/>
                <w:lang w:val="en-US" w:eastAsia="zh-CN" w:bidi="ar-SA"/>
              </w:rPr>
              <w:t>套</w:t>
            </w:r>
            <w:r>
              <w:rPr>
                <w:rFonts w:hint="default" w:ascii="Times New Roman" w:hAnsi="Times New Roman" w:eastAsia="宋体"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color="auto"/>
                <w:lang w:val="en-US" w:eastAsia="zh-CN" w:bidi="ar-SA"/>
              </w:rPr>
              <w:t>每天间歇运行约16h，</w:t>
            </w:r>
            <w:r>
              <w:rPr>
                <w:rFonts w:hint="eastAsia" w:ascii="Times New Roman" w:hAnsi="Times New Roman" w:eastAsia="宋体" w:cs="Times New Roman"/>
                <w:color w:val="auto"/>
                <w:kern w:val="0"/>
                <w:sz w:val="21"/>
                <w:szCs w:val="20"/>
                <w:highlight w:val="none"/>
                <w:u w:val="none" w:color="auto"/>
                <w:lang w:val="en-US" w:eastAsia="zh-CN" w:bidi="ar-SA"/>
              </w:rPr>
              <w:t>用水量约</w:t>
            </w:r>
            <w:r>
              <w:rPr>
                <w:rFonts w:hint="eastAsia" w:cs="Times New Roman"/>
                <w:color w:val="auto"/>
                <w:kern w:val="0"/>
                <w:sz w:val="21"/>
                <w:szCs w:val="20"/>
                <w:highlight w:val="none"/>
                <w:u w:val="none" w:color="auto"/>
                <w:lang w:val="en-US" w:eastAsia="zh-CN" w:bidi="ar-SA"/>
              </w:rPr>
              <w:t>30.72</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color="auto"/>
                <w:lang w:val="en-US" w:eastAsia="zh-CN" w:bidi="ar-SA"/>
              </w:rPr>
              <w:t>d（11212.8</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/a</w:t>
            </w:r>
            <w:r>
              <w:rPr>
                <w:rFonts w:hint="eastAsia" w:cs="Times New Roman"/>
                <w:color w:val="auto"/>
                <w:kern w:val="0"/>
                <w:sz w:val="21"/>
                <w:szCs w:val="20"/>
                <w:highlight w:val="none"/>
                <w:u w:val="none" w:color="auto"/>
                <w:lang w:val="en-US" w:eastAsia="zh-CN" w:bidi="ar-SA"/>
              </w:rPr>
              <w:t>）</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color="auto"/>
                <w:lang w:val="en-US" w:eastAsia="zh-CN" w:bidi="ar-SA"/>
              </w:rPr>
              <w:t>转载点干雾抑尘用水蒸发损耗，不产生废水。</w:t>
            </w:r>
          </w:p>
          <w:p>
            <w:pPr>
              <w:widowControl/>
              <w:snapToGrid w:val="0"/>
              <w:spacing w:before="0" w:after="0" w:line="360" w:lineRule="auto"/>
              <w:ind w:right="0" w:firstLine="420" w:firstLineChars="200"/>
              <w:jc w:val="both"/>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③转载点地面冲洗</w:t>
            </w:r>
          </w:p>
          <w:p>
            <w:pPr>
              <w:widowControl/>
              <w:snapToGrid w:val="0"/>
              <w:spacing w:before="0" w:after="0" w:line="360" w:lineRule="auto"/>
              <w:ind w:right="0" w:firstLine="420" w:firstLineChars="200"/>
              <w:jc w:val="both"/>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煤炭在运输过程会产生扬尘，无组织扬尘也会对转载点地面造成一定污染</w:t>
            </w:r>
            <w:r>
              <w:rPr>
                <w:rFonts w:hint="eastAsia" w:cs="Times New Roman"/>
                <w:color w:val="auto"/>
                <w:kern w:val="0"/>
                <w:sz w:val="21"/>
                <w:szCs w:val="20"/>
                <w:highlight w:val="none"/>
                <w:u w:val="none" w:color="auto"/>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冲洗地面面积按</w:t>
            </w:r>
            <w:r>
              <w:rPr>
                <w:rFonts w:hint="eastAsia" w:cs="Times New Roman"/>
                <w:color w:val="auto"/>
                <w:kern w:val="0"/>
                <w:sz w:val="21"/>
                <w:szCs w:val="20"/>
                <w:highlight w:val="none"/>
                <w:u w:val="none" w:color="auto"/>
                <w:lang w:val="en-US" w:eastAsia="zh-CN" w:bidi="ar-SA"/>
              </w:rPr>
              <w:t>4800</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2</w:t>
            </w:r>
            <w:r>
              <w:rPr>
                <w:rFonts w:hint="default" w:ascii="Times New Roman" w:hAnsi="Times New Roman" w:eastAsia="宋体" w:cs="Times New Roman"/>
                <w:color w:val="auto"/>
                <w:kern w:val="0"/>
                <w:sz w:val="21"/>
                <w:szCs w:val="20"/>
                <w:highlight w:val="none"/>
                <w:u w:val="none" w:color="auto"/>
                <w:lang w:val="en-US" w:eastAsia="zh-CN" w:bidi="ar-SA"/>
              </w:rPr>
              <w:t>计算</w:t>
            </w:r>
            <w:r>
              <w:rPr>
                <w:rFonts w:hint="eastAsia" w:cs="Times New Roman"/>
                <w:color w:val="auto"/>
                <w:kern w:val="0"/>
                <w:sz w:val="21"/>
                <w:szCs w:val="20"/>
                <w:highlight w:val="none"/>
                <w:u w:val="none" w:color="auto"/>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冲洗用水</w:t>
            </w:r>
            <w:r>
              <w:rPr>
                <w:rFonts w:hint="eastAsia" w:cs="Times New Roman"/>
                <w:color w:val="auto"/>
                <w:kern w:val="0"/>
                <w:sz w:val="21"/>
                <w:szCs w:val="20"/>
                <w:highlight w:val="none"/>
                <w:u w:val="none" w:color="auto"/>
                <w:lang w:val="en-US" w:eastAsia="zh-CN" w:bidi="ar-SA"/>
              </w:rPr>
              <w:t>约5</w:t>
            </w:r>
            <w:r>
              <w:rPr>
                <w:rFonts w:hint="eastAsia" w:ascii="Times New Roman" w:hAnsi="Times New Roman" w:eastAsia="宋体" w:cs="Times New Roman"/>
                <w:color w:val="auto"/>
                <w:kern w:val="0"/>
                <w:sz w:val="21"/>
                <w:szCs w:val="20"/>
                <w:highlight w:val="none"/>
                <w:u w:val="none" w:color="auto"/>
                <w:lang w:val="en-US" w:eastAsia="zh-CN" w:bidi="ar-SA"/>
              </w:rPr>
              <w:t>L</w:t>
            </w:r>
            <w:r>
              <w:rPr>
                <w:rFonts w:hint="eastAsia" w:cs="Times New Roman"/>
                <w:color w:val="auto"/>
                <w:kern w:val="0"/>
                <w:sz w:val="21"/>
                <w:szCs w:val="20"/>
                <w:highlight w:val="none"/>
                <w:u w:val="none" w:color="auto"/>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2</w:t>
            </w:r>
            <w:r>
              <w:rPr>
                <w:rFonts w:hint="default" w:ascii="Times New Roman" w:hAnsi="Times New Roman" w:eastAsia="宋体" w:cs="Times New Roman"/>
                <w:color w:val="auto"/>
                <w:kern w:val="0"/>
                <w:sz w:val="21"/>
                <w:szCs w:val="20"/>
                <w:highlight w:val="none"/>
                <w:u w:val="none" w:color="auto"/>
                <w:lang w:val="en-US" w:eastAsia="zh-CN" w:bidi="ar-SA"/>
              </w:rPr>
              <w:t>•</w:t>
            </w:r>
            <w:r>
              <w:rPr>
                <w:rFonts w:hint="eastAsia" w:ascii="Times New Roman" w:hAnsi="Times New Roman" w:eastAsia="宋体" w:cs="Times New Roman"/>
                <w:color w:val="auto"/>
                <w:kern w:val="0"/>
                <w:sz w:val="21"/>
                <w:szCs w:val="20"/>
                <w:highlight w:val="none"/>
                <w:u w:val="none" w:color="auto"/>
                <w:lang w:val="en-US" w:eastAsia="zh-CN" w:bidi="ar-SA"/>
              </w:rPr>
              <w:t>d</w:t>
            </w:r>
            <w:r>
              <w:rPr>
                <w:rFonts w:hint="default" w:ascii="Times New Roman" w:hAnsi="Times New Roman" w:eastAsia="宋体"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color="auto"/>
                <w:lang w:val="en-US" w:eastAsia="zh-CN" w:bidi="ar-SA"/>
              </w:rPr>
              <w:t>每天冲洗1次，</w:t>
            </w:r>
            <w:r>
              <w:rPr>
                <w:rFonts w:hint="default" w:ascii="Times New Roman" w:hAnsi="Times New Roman" w:eastAsia="宋体" w:cs="Times New Roman"/>
                <w:color w:val="auto"/>
                <w:kern w:val="0"/>
                <w:sz w:val="21"/>
                <w:szCs w:val="20"/>
                <w:highlight w:val="none"/>
                <w:u w:val="none" w:color="auto"/>
                <w:lang w:val="en-US" w:eastAsia="zh-CN" w:bidi="ar-SA"/>
              </w:rPr>
              <w:t>则冲洗</w:t>
            </w:r>
            <w:r>
              <w:rPr>
                <w:rFonts w:hint="eastAsia" w:cs="Times New Roman"/>
                <w:color w:val="auto"/>
                <w:kern w:val="0"/>
                <w:sz w:val="21"/>
                <w:szCs w:val="20"/>
                <w:highlight w:val="none"/>
                <w:u w:val="none" w:color="auto"/>
                <w:lang w:val="en-US" w:eastAsia="zh-CN" w:bidi="ar-SA"/>
              </w:rPr>
              <w:t>用水量24</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color="auto"/>
                <w:lang w:val="en-US" w:eastAsia="zh-CN" w:bidi="ar-SA"/>
              </w:rPr>
              <w:t>d（8760</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/a</w:t>
            </w:r>
            <w:r>
              <w:rPr>
                <w:rFonts w:hint="eastAsia" w:cs="Times New Roman"/>
                <w:color w:val="auto"/>
                <w:kern w:val="0"/>
                <w:sz w:val="21"/>
                <w:szCs w:val="20"/>
                <w:highlight w:val="none"/>
                <w:u w:val="none" w:color="auto"/>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。废水排放系数取</w:t>
            </w:r>
            <w:r>
              <w:rPr>
                <w:rFonts w:hint="eastAsia" w:ascii="Times New Roman" w:hAnsi="Times New Roman" w:eastAsia="宋体" w:cs="Times New Roman"/>
                <w:color w:val="auto"/>
                <w:kern w:val="0"/>
                <w:sz w:val="21"/>
                <w:szCs w:val="20"/>
                <w:highlight w:val="none"/>
                <w:u w:val="none" w:color="auto"/>
                <w:lang w:val="en-US" w:eastAsia="zh-CN" w:bidi="ar-SA"/>
              </w:rPr>
              <w:t>0.8</w:t>
            </w:r>
            <w:r>
              <w:rPr>
                <w:rFonts w:hint="default" w:ascii="Times New Roman" w:hAnsi="Times New Roman" w:eastAsia="宋体" w:cs="Times New Roman"/>
                <w:color w:val="auto"/>
                <w:kern w:val="0"/>
                <w:sz w:val="21"/>
                <w:szCs w:val="20"/>
                <w:highlight w:val="none"/>
                <w:u w:val="none" w:color="auto"/>
                <w:lang w:val="en-US" w:eastAsia="zh-CN" w:bidi="ar-SA"/>
              </w:rPr>
              <w:t>，则转载点冲洗地面废水产生量为</w:t>
            </w:r>
            <w:r>
              <w:rPr>
                <w:rFonts w:hint="eastAsia" w:cs="Times New Roman"/>
                <w:color w:val="auto"/>
                <w:kern w:val="0"/>
                <w:sz w:val="21"/>
                <w:szCs w:val="20"/>
                <w:highlight w:val="none"/>
                <w:u w:val="none" w:color="auto"/>
                <w:lang w:val="en-US" w:eastAsia="zh-CN" w:bidi="ar-SA"/>
              </w:rPr>
              <w:t>19.2</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/d</w:t>
            </w:r>
            <w:r>
              <w:rPr>
                <w:rFonts w:hint="eastAsia" w:cs="Times New Roman"/>
                <w:color w:val="auto"/>
                <w:kern w:val="0"/>
                <w:sz w:val="21"/>
                <w:szCs w:val="20"/>
                <w:highlight w:val="none"/>
                <w:u w:val="none" w:color="auto"/>
                <w:lang w:val="en-US" w:eastAsia="zh-CN" w:bidi="ar-SA"/>
              </w:rPr>
              <w:t>（7008</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/a</w:t>
            </w:r>
            <w:r>
              <w:rPr>
                <w:rFonts w:hint="eastAsia" w:cs="Times New Roman"/>
                <w:color w:val="auto"/>
                <w:kern w:val="0"/>
                <w:sz w:val="21"/>
                <w:szCs w:val="20"/>
                <w:highlight w:val="none"/>
                <w:u w:val="none" w:color="auto"/>
                <w:lang w:val="en-US" w:eastAsia="zh-CN" w:bidi="ar-SA"/>
              </w:rPr>
              <w:t>），废水依托</w:t>
            </w:r>
            <w:r>
              <w:rPr>
                <w:rFonts w:hint="eastAsia" w:cs="Times New Roman"/>
                <w:bCs/>
                <w:color w:val="auto"/>
                <w:sz w:val="21"/>
                <w:szCs w:val="21"/>
                <w:highlight w:val="none"/>
                <w:u w:val="none" w:color="auto"/>
                <w:lang w:val="en-US" w:eastAsia="zh-CN" w:bidi="ar"/>
              </w:rPr>
              <w:t>虞公港生产废水处理站处理后，全部回用于厂区喷洒降尘等，不外排</w:t>
            </w:r>
            <w:r>
              <w:rPr>
                <w:rFonts w:hint="default" w:ascii="Times New Roman" w:hAnsi="Times New Roman" w:eastAsia="宋体" w:cs="Times New Roman"/>
                <w:color w:val="auto"/>
                <w:kern w:val="0"/>
                <w:sz w:val="21"/>
                <w:szCs w:val="20"/>
                <w:highlight w:val="none"/>
                <w:u w:val="none" w:color="auto"/>
                <w:lang w:val="en-US" w:eastAsia="zh-CN" w:bidi="ar-SA"/>
              </w:rPr>
              <w:t>。</w:t>
            </w:r>
          </w:p>
          <w:p>
            <w:pPr>
              <w:widowControl/>
              <w:snapToGrid w:val="0"/>
              <w:spacing w:before="0" w:after="0" w:line="360" w:lineRule="auto"/>
              <w:ind w:right="0" w:firstLine="420" w:firstLineChars="200"/>
              <w:jc w:val="both"/>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cs="Times New Roman"/>
                <w:color w:val="auto"/>
                <w:kern w:val="0"/>
                <w:sz w:val="21"/>
                <w:szCs w:val="20"/>
                <w:highlight w:val="none"/>
                <w:u w:val="none" w:color="auto"/>
                <w:lang w:val="en-US" w:eastAsia="zh-CN" w:bidi="ar-SA"/>
              </w:rPr>
              <w:t>④</w:t>
            </w:r>
            <w:r>
              <w:rPr>
                <w:rFonts w:hint="default" w:ascii="Times New Roman" w:hAnsi="Times New Roman" w:eastAsia="宋体" w:cs="Times New Roman"/>
                <w:color w:val="auto"/>
                <w:kern w:val="0"/>
                <w:sz w:val="21"/>
                <w:szCs w:val="20"/>
                <w:highlight w:val="none"/>
                <w:u w:val="none" w:color="auto"/>
                <w:lang w:val="en-US" w:eastAsia="zh-CN" w:bidi="ar-SA"/>
              </w:rPr>
              <w:t>道路洒水降尘</w:t>
            </w:r>
          </w:p>
          <w:p>
            <w:pPr>
              <w:widowControl/>
              <w:snapToGrid w:val="0"/>
              <w:spacing w:before="0" w:after="0" w:line="360" w:lineRule="auto"/>
              <w:ind w:right="0" w:firstLine="420" w:firstLineChars="200"/>
              <w:jc w:val="both"/>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煤炭转运及储存时产生的扬尘会对厂区道路造成一定污染，为防止厂区内扬尘随风飞扬，造成二次扬尘污染，需每天定时对厂区道路进行洒水降尘，增加路面湿度，减少扬尘量。项目厂区道路面积</w:t>
            </w:r>
            <w:r>
              <w:rPr>
                <w:rFonts w:hint="eastAsia" w:cs="Times New Roman"/>
                <w:color w:val="auto"/>
                <w:kern w:val="0"/>
                <w:sz w:val="21"/>
                <w:szCs w:val="20"/>
                <w:highlight w:val="none"/>
                <w:u w:val="none" w:color="auto"/>
                <w:lang w:val="en-US" w:eastAsia="zh-CN" w:bidi="ar-SA"/>
              </w:rPr>
              <w:t>约11000</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2</w:t>
            </w:r>
            <w:r>
              <w:rPr>
                <w:rFonts w:hint="default" w:ascii="Times New Roman" w:hAnsi="Times New Roman" w:eastAsia="宋体"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color="auto"/>
                <w:lang w:val="en-US" w:eastAsia="zh-CN" w:bidi="ar-SA"/>
              </w:rPr>
              <w:t>参考</w:t>
            </w:r>
            <w:r>
              <w:rPr>
                <w:rFonts w:hint="eastAsia" w:cs="Times New Roman"/>
                <w:color w:val="auto"/>
                <w:kern w:val="0"/>
                <w:sz w:val="21"/>
                <w:szCs w:val="20"/>
                <w:highlight w:val="none"/>
                <w:u w:val="none"/>
                <w:lang w:val="en-US" w:eastAsia="zh-CN" w:bidi="ar-SA"/>
              </w:rPr>
              <w:t>湖南省</w:t>
            </w:r>
            <w:r>
              <w:rPr>
                <w:rFonts w:hint="eastAsia" w:ascii="Times New Roman" w:hAnsi="Times New Roman" w:eastAsia="宋体" w:cs="Times New Roman"/>
                <w:color w:val="auto"/>
                <w:kern w:val="0"/>
                <w:sz w:val="21"/>
                <w:szCs w:val="20"/>
                <w:highlight w:val="none"/>
                <w:u w:val="none"/>
                <w:lang w:val="en-US" w:eastAsia="zh-CN" w:bidi="ar-SA"/>
              </w:rPr>
              <w:t>《用水定额 第3部分：生活、服务业及建筑业》（DB43</w:t>
            </w:r>
            <w:r>
              <w:rPr>
                <w:rFonts w:hint="eastAsia" w:cs="Times New Roman"/>
                <w:color w:val="auto"/>
                <w:kern w:val="0"/>
                <w:sz w:val="21"/>
                <w:szCs w:val="20"/>
                <w:highlight w:val="none"/>
                <w:u w:val="none"/>
                <w:lang w:val="en-US" w:eastAsia="zh-CN" w:bidi="ar-SA"/>
              </w:rPr>
              <w:t>/</w:t>
            </w:r>
            <w:r>
              <w:rPr>
                <w:rFonts w:hint="eastAsia" w:ascii="Times New Roman" w:hAnsi="Times New Roman" w:eastAsia="宋体" w:cs="Times New Roman"/>
                <w:color w:val="auto"/>
                <w:kern w:val="0"/>
                <w:sz w:val="21"/>
                <w:szCs w:val="20"/>
                <w:highlight w:val="none"/>
                <w:u w:val="none"/>
                <w:lang w:val="en-US" w:eastAsia="zh-CN" w:bidi="ar-SA"/>
              </w:rPr>
              <w:t>T388.3</w:t>
            </w:r>
            <w:r>
              <w:rPr>
                <w:rFonts w:hint="eastAsia" w:cs="Times New Roman"/>
                <w:color w:val="auto"/>
                <w:kern w:val="0"/>
                <w:sz w:val="21"/>
                <w:szCs w:val="20"/>
                <w:highlight w:val="none"/>
                <w:u w:val="none"/>
                <w:lang w:val="en-US" w:eastAsia="zh-CN" w:bidi="ar-SA"/>
              </w:rPr>
              <w:t>-</w:t>
            </w:r>
            <w:r>
              <w:rPr>
                <w:rFonts w:hint="eastAsia" w:ascii="Times New Roman" w:hAnsi="Times New Roman" w:eastAsia="宋体" w:cs="Times New Roman"/>
                <w:color w:val="auto"/>
                <w:kern w:val="0"/>
                <w:sz w:val="21"/>
                <w:szCs w:val="20"/>
                <w:highlight w:val="none"/>
                <w:u w:val="none"/>
                <w:lang w:val="en-US" w:eastAsia="zh-CN" w:bidi="ar-SA"/>
              </w:rPr>
              <w:t>2025）</w:t>
            </w:r>
            <w:r>
              <w:rPr>
                <w:rFonts w:hint="eastAsia" w:cs="Times New Roman"/>
                <w:color w:val="auto"/>
                <w:kern w:val="0"/>
                <w:sz w:val="21"/>
                <w:szCs w:val="20"/>
                <w:highlight w:val="none"/>
                <w:u w:val="none"/>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道路洒水</w:t>
            </w:r>
            <w:r>
              <w:rPr>
                <w:rFonts w:hint="eastAsia" w:cs="Times New Roman"/>
                <w:color w:val="auto"/>
                <w:kern w:val="0"/>
                <w:sz w:val="21"/>
                <w:szCs w:val="20"/>
                <w:highlight w:val="none"/>
                <w:u w:val="none" w:color="auto"/>
                <w:lang w:val="en-US" w:eastAsia="zh-CN" w:bidi="ar-SA"/>
              </w:rPr>
              <w:t>1.5</w:t>
            </w:r>
            <w:r>
              <w:rPr>
                <w:rFonts w:hint="eastAsia" w:ascii="Times New Roman" w:hAnsi="Times New Roman" w:eastAsia="宋体" w:cs="Times New Roman"/>
                <w:color w:val="auto"/>
                <w:kern w:val="0"/>
                <w:sz w:val="21"/>
                <w:szCs w:val="20"/>
                <w:highlight w:val="none"/>
                <w:u w:val="none" w:color="auto"/>
                <w:lang w:val="en-US" w:eastAsia="zh-CN" w:bidi="ar-SA"/>
              </w:rPr>
              <w:t>L/</w:t>
            </w:r>
            <w:r>
              <w:rPr>
                <w:rFonts w:hint="default" w:ascii="Times New Roman" w:hAnsi="Times New Roman" w:eastAsia="宋体" w:cs="Times New Roman"/>
                <w:color w:val="auto"/>
                <w:kern w:val="0"/>
                <w:sz w:val="21"/>
                <w:szCs w:val="20"/>
                <w:highlight w:val="none"/>
                <w:u w:val="none" w:color="auto"/>
                <w:lang w:val="en-US" w:eastAsia="zh-CN" w:bidi="ar-SA"/>
              </w:rPr>
              <w:t>（</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2</w:t>
            </w:r>
            <w:r>
              <w:rPr>
                <w:rFonts w:hint="default" w:ascii="Times New Roman" w:hAnsi="Times New Roman" w:eastAsia="宋体" w:cs="Times New Roman"/>
                <w:color w:val="auto"/>
                <w:kern w:val="0"/>
                <w:sz w:val="21"/>
                <w:szCs w:val="20"/>
                <w:highlight w:val="none"/>
                <w:u w:val="none" w:color="auto"/>
                <w:lang w:val="en-US" w:eastAsia="zh-CN" w:bidi="ar-SA"/>
              </w:rPr>
              <w:t>•</w:t>
            </w:r>
            <w:r>
              <w:rPr>
                <w:rFonts w:hint="eastAsia" w:ascii="Times New Roman" w:hAnsi="Times New Roman" w:eastAsia="宋体" w:cs="Times New Roman"/>
                <w:color w:val="auto"/>
                <w:kern w:val="0"/>
                <w:sz w:val="21"/>
                <w:szCs w:val="20"/>
                <w:highlight w:val="none"/>
                <w:u w:val="none" w:color="auto"/>
                <w:lang w:val="en-US" w:eastAsia="zh-CN" w:bidi="ar-SA"/>
              </w:rPr>
              <w:t>d</w:t>
            </w:r>
            <w:r>
              <w:rPr>
                <w:rFonts w:hint="default" w:ascii="Times New Roman" w:hAnsi="Times New Roman" w:eastAsia="宋体" w:cs="Times New Roman"/>
                <w:color w:val="auto"/>
                <w:kern w:val="0"/>
                <w:sz w:val="21"/>
                <w:szCs w:val="20"/>
                <w:highlight w:val="none"/>
                <w:u w:val="none" w:color="auto"/>
                <w:lang w:val="en-US" w:eastAsia="zh-CN" w:bidi="ar-SA"/>
              </w:rPr>
              <w:t>），则用水量为</w:t>
            </w:r>
            <w:r>
              <w:rPr>
                <w:rFonts w:hint="eastAsia" w:cs="Times New Roman"/>
                <w:color w:val="auto"/>
                <w:kern w:val="0"/>
                <w:sz w:val="21"/>
                <w:szCs w:val="20"/>
                <w:highlight w:val="none"/>
                <w:u w:val="none" w:color="auto"/>
                <w:lang w:val="en-US" w:eastAsia="zh-CN" w:bidi="ar-SA"/>
              </w:rPr>
              <w:t>16.5</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color="auto"/>
                <w:lang w:val="en-US" w:eastAsia="zh-CN" w:bidi="ar-SA"/>
              </w:rPr>
              <w:t>d（6022.5</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/a</w:t>
            </w:r>
            <w:r>
              <w:rPr>
                <w:rFonts w:hint="eastAsia" w:cs="Times New Roman"/>
                <w:color w:val="auto"/>
                <w:kern w:val="0"/>
                <w:sz w:val="21"/>
                <w:szCs w:val="20"/>
                <w:highlight w:val="none"/>
                <w:u w:val="none" w:color="auto"/>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。该部分降尘用水蒸发</w:t>
            </w:r>
            <w:r>
              <w:rPr>
                <w:rFonts w:hint="eastAsia" w:cs="Times New Roman"/>
                <w:color w:val="auto"/>
                <w:kern w:val="0"/>
                <w:sz w:val="21"/>
                <w:szCs w:val="20"/>
                <w:highlight w:val="none"/>
                <w:u w:val="none" w:color="auto"/>
                <w:lang w:val="en-US" w:eastAsia="zh-CN" w:bidi="ar-SA"/>
              </w:rPr>
              <w:t>损耗</w:t>
            </w:r>
            <w:r>
              <w:rPr>
                <w:rFonts w:hint="default" w:ascii="Times New Roman" w:hAnsi="Times New Roman" w:eastAsia="宋体" w:cs="Times New Roman"/>
                <w:color w:val="auto"/>
                <w:kern w:val="0"/>
                <w:sz w:val="21"/>
                <w:szCs w:val="20"/>
                <w:highlight w:val="none"/>
                <w:u w:val="none" w:color="auto"/>
                <w:lang w:val="en-US" w:eastAsia="zh-CN" w:bidi="ar-SA"/>
              </w:rPr>
              <w:t>，不产生废水。</w:t>
            </w:r>
          </w:p>
          <w:p>
            <w:pPr>
              <w:widowControl/>
              <w:snapToGrid w:val="0"/>
              <w:spacing w:before="0" w:after="0" w:line="360" w:lineRule="auto"/>
              <w:ind w:right="0" w:firstLine="420" w:firstLineChars="200"/>
              <w:jc w:val="both"/>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⑤</w:t>
            </w:r>
            <w:r>
              <w:rPr>
                <w:rFonts w:hint="eastAsia" w:cs="Times New Roman"/>
                <w:color w:val="auto"/>
                <w:kern w:val="0"/>
                <w:sz w:val="21"/>
                <w:szCs w:val="20"/>
                <w:highlight w:val="none"/>
                <w:u w:val="none" w:color="auto"/>
                <w:lang w:val="en-US" w:eastAsia="zh-CN" w:bidi="ar-SA"/>
              </w:rPr>
              <w:t>绿化洒水</w:t>
            </w:r>
          </w:p>
          <w:p>
            <w:pPr>
              <w:widowControl/>
              <w:snapToGrid w:val="0"/>
              <w:spacing w:before="0" w:after="0" w:line="360" w:lineRule="auto"/>
              <w:ind w:right="0" w:firstLine="420" w:firstLineChars="200"/>
              <w:jc w:val="both"/>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cs="Times New Roman"/>
                <w:color w:val="auto"/>
                <w:kern w:val="0"/>
                <w:sz w:val="21"/>
                <w:szCs w:val="20"/>
                <w:highlight w:val="none"/>
                <w:u w:val="none" w:color="auto"/>
                <w:lang w:val="en-US" w:eastAsia="zh-CN" w:bidi="ar-SA"/>
              </w:rPr>
              <w:t>本项目绿化面积约7000m</w:t>
            </w:r>
            <w:r>
              <w:rPr>
                <w:rFonts w:hint="eastAsia" w:cs="Times New Roman"/>
                <w:color w:val="auto"/>
                <w:kern w:val="0"/>
                <w:sz w:val="21"/>
                <w:szCs w:val="20"/>
                <w:highlight w:val="none"/>
                <w:u w:val="none" w:color="auto"/>
                <w:vertAlign w:val="superscript"/>
                <w:lang w:val="en-US" w:eastAsia="zh-CN" w:bidi="ar-SA"/>
              </w:rPr>
              <w:t>2</w:t>
            </w:r>
            <w:r>
              <w:rPr>
                <w:rFonts w:hint="eastAsia" w:cs="Times New Roman"/>
                <w:color w:val="auto"/>
                <w:kern w:val="0"/>
                <w:sz w:val="21"/>
                <w:szCs w:val="20"/>
                <w:highlight w:val="none"/>
                <w:u w:val="none" w:color="auto"/>
                <w:lang w:val="en-US" w:eastAsia="zh-CN" w:bidi="ar-SA"/>
              </w:rPr>
              <w:t>，参考</w:t>
            </w:r>
            <w:r>
              <w:rPr>
                <w:rFonts w:hint="eastAsia" w:cs="Times New Roman"/>
                <w:color w:val="auto"/>
                <w:kern w:val="0"/>
                <w:sz w:val="21"/>
                <w:szCs w:val="20"/>
                <w:highlight w:val="none"/>
                <w:u w:val="none"/>
                <w:lang w:val="en-US" w:eastAsia="zh-CN" w:bidi="ar-SA"/>
              </w:rPr>
              <w:t>湖南省</w:t>
            </w:r>
            <w:r>
              <w:rPr>
                <w:rFonts w:hint="eastAsia" w:ascii="Times New Roman" w:hAnsi="Times New Roman" w:eastAsia="宋体" w:cs="Times New Roman"/>
                <w:color w:val="auto"/>
                <w:kern w:val="0"/>
                <w:sz w:val="21"/>
                <w:szCs w:val="20"/>
                <w:highlight w:val="none"/>
                <w:u w:val="none"/>
                <w:lang w:val="en-US" w:eastAsia="zh-CN" w:bidi="ar-SA"/>
              </w:rPr>
              <w:t>《用水定额 第3部分：生活、服务业及建筑业》（DB43</w:t>
            </w:r>
            <w:r>
              <w:rPr>
                <w:rFonts w:hint="eastAsia" w:cs="Times New Roman"/>
                <w:color w:val="auto"/>
                <w:kern w:val="0"/>
                <w:sz w:val="21"/>
                <w:szCs w:val="20"/>
                <w:highlight w:val="none"/>
                <w:u w:val="none"/>
                <w:lang w:val="en-US" w:eastAsia="zh-CN" w:bidi="ar-SA"/>
              </w:rPr>
              <w:t>/</w:t>
            </w:r>
            <w:r>
              <w:rPr>
                <w:rFonts w:hint="eastAsia" w:ascii="Times New Roman" w:hAnsi="Times New Roman" w:eastAsia="宋体" w:cs="Times New Roman"/>
                <w:color w:val="auto"/>
                <w:kern w:val="0"/>
                <w:sz w:val="21"/>
                <w:szCs w:val="20"/>
                <w:highlight w:val="none"/>
                <w:u w:val="none"/>
                <w:lang w:val="en-US" w:eastAsia="zh-CN" w:bidi="ar-SA"/>
              </w:rPr>
              <w:t>T388.3</w:t>
            </w:r>
            <w:r>
              <w:rPr>
                <w:rFonts w:hint="eastAsia" w:cs="Times New Roman"/>
                <w:color w:val="auto"/>
                <w:kern w:val="0"/>
                <w:sz w:val="21"/>
                <w:szCs w:val="20"/>
                <w:highlight w:val="none"/>
                <w:u w:val="none"/>
                <w:lang w:val="en-US" w:eastAsia="zh-CN" w:bidi="ar-SA"/>
              </w:rPr>
              <w:t>-</w:t>
            </w:r>
            <w:r>
              <w:rPr>
                <w:rFonts w:hint="eastAsia" w:ascii="Times New Roman" w:hAnsi="Times New Roman" w:eastAsia="宋体" w:cs="Times New Roman"/>
                <w:color w:val="auto"/>
                <w:kern w:val="0"/>
                <w:sz w:val="21"/>
                <w:szCs w:val="20"/>
                <w:highlight w:val="none"/>
                <w:u w:val="none"/>
                <w:lang w:val="en-US" w:eastAsia="zh-CN" w:bidi="ar-SA"/>
              </w:rPr>
              <w:t>2025）</w:t>
            </w:r>
            <w:r>
              <w:rPr>
                <w:rFonts w:hint="eastAsia" w:cs="Times New Roman"/>
                <w:color w:val="auto"/>
                <w:kern w:val="0"/>
                <w:sz w:val="21"/>
                <w:szCs w:val="20"/>
                <w:highlight w:val="none"/>
                <w:u w:val="none"/>
                <w:lang w:val="en-US" w:eastAsia="zh-CN" w:bidi="ar-SA"/>
              </w:rPr>
              <w:t>，</w:t>
            </w:r>
            <w:r>
              <w:rPr>
                <w:rFonts w:hint="eastAsia" w:cs="Times New Roman"/>
                <w:color w:val="auto"/>
                <w:kern w:val="0"/>
                <w:sz w:val="21"/>
                <w:szCs w:val="20"/>
                <w:highlight w:val="none"/>
                <w:u w:val="none" w:color="auto"/>
                <w:lang w:val="en-US" w:eastAsia="zh-CN" w:bidi="ar-SA"/>
              </w:rPr>
              <w:t>绿化</w:t>
            </w:r>
            <w:r>
              <w:rPr>
                <w:rFonts w:hint="default" w:ascii="Times New Roman" w:hAnsi="Times New Roman" w:eastAsia="宋体" w:cs="Times New Roman"/>
                <w:color w:val="auto"/>
                <w:kern w:val="0"/>
                <w:sz w:val="21"/>
                <w:szCs w:val="20"/>
                <w:highlight w:val="none"/>
                <w:u w:val="none" w:color="auto"/>
                <w:lang w:val="en-US" w:eastAsia="zh-CN" w:bidi="ar-SA"/>
              </w:rPr>
              <w:t>洒水</w:t>
            </w:r>
            <w:r>
              <w:rPr>
                <w:rFonts w:hint="eastAsia" w:cs="Times New Roman"/>
                <w:color w:val="auto"/>
                <w:kern w:val="0"/>
                <w:sz w:val="21"/>
                <w:szCs w:val="20"/>
                <w:highlight w:val="none"/>
                <w:u w:val="none" w:color="auto"/>
                <w:lang w:val="en-US" w:eastAsia="zh-CN" w:bidi="ar-SA"/>
              </w:rPr>
              <w:t>1</w:t>
            </w:r>
            <w:r>
              <w:rPr>
                <w:rFonts w:hint="eastAsia" w:ascii="Times New Roman" w:hAnsi="Times New Roman" w:eastAsia="宋体" w:cs="Times New Roman"/>
                <w:color w:val="auto"/>
                <w:kern w:val="0"/>
                <w:sz w:val="21"/>
                <w:szCs w:val="20"/>
                <w:highlight w:val="none"/>
                <w:u w:val="none" w:color="auto"/>
                <w:lang w:val="en-US" w:eastAsia="zh-CN" w:bidi="ar-SA"/>
              </w:rPr>
              <w:t>L/</w:t>
            </w:r>
            <w:r>
              <w:rPr>
                <w:rFonts w:hint="default" w:ascii="Times New Roman" w:hAnsi="Times New Roman" w:eastAsia="宋体" w:cs="Times New Roman"/>
                <w:color w:val="auto"/>
                <w:kern w:val="0"/>
                <w:sz w:val="21"/>
                <w:szCs w:val="20"/>
                <w:highlight w:val="none"/>
                <w:u w:val="none" w:color="auto"/>
                <w:lang w:val="en-US" w:eastAsia="zh-CN" w:bidi="ar-SA"/>
              </w:rPr>
              <w:t>（</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2</w:t>
            </w:r>
            <w:r>
              <w:rPr>
                <w:rFonts w:hint="default" w:ascii="Times New Roman" w:hAnsi="Times New Roman" w:eastAsia="宋体" w:cs="Times New Roman"/>
                <w:color w:val="auto"/>
                <w:kern w:val="0"/>
                <w:sz w:val="21"/>
                <w:szCs w:val="20"/>
                <w:highlight w:val="none"/>
                <w:u w:val="none" w:color="auto"/>
                <w:lang w:val="en-US" w:eastAsia="zh-CN" w:bidi="ar-SA"/>
              </w:rPr>
              <w:t>•</w:t>
            </w:r>
            <w:r>
              <w:rPr>
                <w:rFonts w:hint="eastAsia" w:ascii="Times New Roman" w:hAnsi="Times New Roman" w:eastAsia="宋体" w:cs="Times New Roman"/>
                <w:color w:val="auto"/>
                <w:kern w:val="0"/>
                <w:sz w:val="21"/>
                <w:szCs w:val="20"/>
                <w:highlight w:val="none"/>
                <w:u w:val="none" w:color="auto"/>
                <w:lang w:val="en-US" w:eastAsia="zh-CN" w:bidi="ar-SA"/>
              </w:rPr>
              <w:t>d</w:t>
            </w:r>
            <w:r>
              <w:rPr>
                <w:rFonts w:hint="default" w:ascii="Times New Roman" w:hAnsi="Times New Roman" w:eastAsia="宋体" w:cs="Times New Roman"/>
                <w:color w:val="auto"/>
                <w:kern w:val="0"/>
                <w:sz w:val="21"/>
                <w:szCs w:val="20"/>
                <w:highlight w:val="none"/>
                <w:u w:val="none" w:color="auto"/>
                <w:lang w:val="en-US" w:eastAsia="zh-CN" w:bidi="ar-SA"/>
              </w:rPr>
              <w:t>），则用水量为</w:t>
            </w:r>
            <w:r>
              <w:rPr>
                <w:rFonts w:hint="eastAsia" w:cs="Times New Roman"/>
                <w:color w:val="auto"/>
                <w:kern w:val="0"/>
                <w:sz w:val="21"/>
                <w:szCs w:val="20"/>
                <w:highlight w:val="none"/>
                <w:u w:val="none" w:color="auto"/>
                <w:lang w:val="en-US" w:eastAsia="zh-CN" w:bidi="ar-SA"/>
              </w:rPr>
              <w:t>7</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color="auto"/>
                <w:lang w:val="en-US" w:eastAsia="zh-CN" w:bidi="ar-SA"/>
              </w:rPr>
              <w:t>d（2555</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/a</w:t>
            </w:r>
            <w:r>
              <w:rPr>
                <w:rFonts w:hint="eastAsia" w:cs="Times New Roman"/>
                <w:color w:val="auto"/>
                <w:kern w:val="0"/>
                <w:sz w:val="21"/>
                <w:szCs w:val="20"/>
                <w:highlight w:val="none"/>
                <w:u w:val="none" w:color="auto"/>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。该部分降尘用水蒸发</w:t>
            </w:r>
            <w:r>
              <w:rPr>
                <w:rFonts w:hint="eastAsia" w:cs="Times New Roman"/>
                <w:color w:val="auto"/>
                <w:kern w:val="0"/>
                <w:sz w:val="21"/>
                <w:szCs w:val="20"/>
                <w:highlight w:val="none"/>
                <w:u w:val="none" w:color="auto"/>
                <w:lang w:val="en-US" w:eastAsia="zh-CN" w:bidi="ar-SA"/>
              </w:rPr>
              <w:t>损耗</w:t>
            </w:r>
            <w:r>
              <w:rPr>
                <w:rFonts w:hint="default" w:ascii="Times New Roman" w:hAnsi="Times New Roman" w:eastAsia="宋体" w:cs="Times New Roman"/>
                <w:color w:val="auto"/>
                <w:kern w:val="0"/>
                <w:sz w:val="21"/>
                <w:szCs w:val="20"/>
                <w:highlight w:val="none"/>
                <w:u w:val="none" w:color="auto"/>
                <w:lang w:val="en-US" w:eastAsia="zh-CN" w:bidi="ar-SA"/>
              </w:rPr>
              <w:t>，不产生废水。</w:t>
            </w:r>
          </w:p>
          <w:p>
            <w:pPr>
              <w:widowControl/>
              <w:snapToGrid w:val="0"/>
              <w:spacing w:before="0" w:after="0" w:line="360" w:lineRule="auto"/>
              <w:ind w:right="0" w:firstLine="420" w:firstLineChars="200"/>
              <w:jc w:val="both"/>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⑥生活用水</w:t>
            </w:r>
          </w:p>
          <w:p>
            <w:pPr>
              <w:widowControl/>
              <w:snapToGrid w:val="0"/>
              <w:spacing w:before="0" w:after="0" w:line="360" w:lineRule="auto"/>
              <w:ind w:right="0" w:firstLine="420" w:firstLineChars="200"/>
              <w:jc w:val="both"/>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本项目职工人数为</w:t>
            </w:r>
            <w:r>
              <w:rPr>
                <w:rFonts w:hint="eastAsia" w:cs="Times New Roman"/>
                <w:color w:val="auto"/>
                <w:kern w:val="0"/>
                <w:sz w:val="21"/>
                <w:szCs w:val="20"/>
                <w:highlight w:val="none"/>
                <w:u w:val="none" w:color="auto"/>
                <w:lang w:val="en-US" w:eastAsia="zh-CN" w:bidi="ar-SA"/>
              </w:rPr>
              <w:t>20</w:t>
            </w:r>
            <w:r>
              <w:rPr>
                <w:rFonts w:hint="default" w:ascii="Times New Roman" w:hAnsi="Times New Roman" w:eastAsia="宋体" w:cs="Times New Roman"/>
                <w:color w:val="auto"/>
                <w:kern w:val="0"/>
                <w:sz w:val="21"/>
                <w:szCs w:val="20"/>
                <w:highlight w:val="none"/>
                <w:u w:val="none" w:color="auto"/>
                <w:lang w:val="en-US" w:eastAsia="zh-CN" w:bidi="ar-SA"/>
              </w:rPr>
              <w:t>人，</w:t>
            </w:r>
            <w:r>
              <w:rPr>
                <w:rFonts w:hint="eastAsia" w:ascii="Times New Roman" w:hAnsi="Times New Roman" w:eastAsia="宋体" w:cs="Times New Roman"/>
                <w:color w:val="auto"/>
                <w:kern w:val="0"/>
                <w:sz w:val="21"/>
                <w:szCs w:val="20"/>
                <w:highlight w:val="none"/>
                <w:u w:val="none"/>
                <w:lang w:val="en-US" w:eastAsia="zh-CN" w:bidi="ar-SA"/>
              </w:rPr>
              <w:t>参照</w:t>
            </w:r>
            <w:r>
              <w:rPr>
                <w:rFonts w:hint="eastAsia" w:cs="Times New Roman"/>
                <w:color w:val="auto"/>
                <w:kern w:val="0"/>
                <w:sz w:val="21"/>
                <w:szCs w:val="20"/>
                <w:highlight w:val="none"/>
                <w:u w:val="none"/>
                <w:lang w:val="en-US" w:eastAsia="zh-CN" w:bidi="ar-SA"/>
              </w:rPr>
              <w:t>湖南省</w:t>
            </w:r>
            <w:r>
              <w:rPr>
                <w:rFonts w:hint="eastAsia" w:ascii="Times New Roman" w:hAnsi="Times New Roman" w:eastAsia="宋体" w:cs="Times New Roman"/>
                <w:color w:val="auto"/>
                <w:kern w:val="0"/>
                <w:sz w:val="21"/>
                <w:szCs w:val="20"/>
                <w:highlight w:val="none"/>
                <w:u w:val="none"/>
                <w:lang w:val="en-US" w:eastAsia="zh-CN" w:bidi="ar-SA"/>
              </w:rPr>
              <w:t>《用水定额 第3部分：生活、服务业及建筑业》（DB43</w:t>
            </w:r>
            <w:r>
              <w:rPr>
                <w:rFonts w:hint="eastAsia" w:cs="Times New Roman"/>
                <w:color w:val="auto"/>
                <w:kern w:val="0"/>
                <w:sz w:val="21"/>
                <w:szCs w:val="20"/>
                <w:highlight w:val="none"/>
                <w:u w:val="none"/>
                <w:lang w:val="en-US" w:eastAsia="zh-CN" w:bidi="ar-SA"/>
              </w:rPr>
              <w:t>/</w:t>
            </w:r>
            <w:r>
              <w:rPr>
                <w:rFonts w:hint="eastAsia" w:ascii="Times New Roman" w:hAnsi="Times New Roman" w:eastAsia="宋体" w:cs="Times New Roman"/>
                <w:color w:val="auto"/>
                <w:kern w:val="0"/>
                <w:sz w:val="21"/>
                <w:szCs w:val="20"/>
                <w:highlight w:val="none"/>
                <w:u w:val="none"/>
                <w:lang w:val="en-US" w:eastAsia="zh-CN" w:bidi="ar-SA"/>
              </w:rPr>
              <w:t>T388.3</w:t>
            </w:r>
            <w:r>
              <w:rPr>
                <w:rFonts w:hint="eastAsia" w:cs="Times New Roman"/>
                <w:color w:val="auto"/>
                <w:kern w:val="0"/>
                <w:sz w:val="21"/>
                <w:szCs w:val="20"/>
                <w:highlight w:val="none"/>
                <w:u w:val="none"/>
                <w:lang w:val="en-US" w:eastAsia="zh-CN" w:bidi="ar-SA"/>
              </w:rPr>
              <w:t>-</w:t>
            </w:r>
            <w:r>
              <w:rPr>
                <w:rFonts w:hint="eastAsia" w:ascii="Times New Roman" w:hAnsi="Times New Roman" w:eastAsia="宋体" w:cs="Times New Roman"/>
                <w:color w:val="auto"/>
                <w:kern w:val="0"/>
                <w:sz w:val="21"/>
                <w:szCs w:val="20"/>
                <w:highlight w:val="none"/>
                <w:u w:val="none"/>
                <w:lang w:val="en-US" w:eastAsia="zh-CN" w:bidi="ar-SA"/>
              </w:rPr>
              <w:t>2025）</w:t>
            </w:r>
            <w:r>
              <w:rPr>
                <w:rFonts w:hint="eastAsia" w:cs="Times New Roman"/>
                <w:color w:val="auto"/>
                <w:kern w:val="0"/>
                <w:sz w:val="21"/>
                <w:szCs w:val="20"/>
                <w:highlight w:val="none"/>
                <w:u w:val="none"/>
                <w:lang w:val="en-US" w:eastAsia="zh-CN" w:bidi="ar-SA"/>
              </w:rPr>
              <w:t>，职工生活</w:t>
            </w:r>
            <w:r>
              <w:rPr>
                <w:rFonts w:hint="eastAsia" w:ascii="Times New Roman" w:hAnsi="Times New Roman" w:eastAsia="宋体" w:cs="Times New Roman"/>
                <w:color w:val="auto"/>
                <w:kern w:val="0"/>
                <w:sz w:val="21"/>
                <w:szCs w:val="20"/>
                <w:highlight w:val="none"/>
                <w:u w:val="none"/>
                <w:lang w:val="en-US" w:eastAsia="zh-CN" w:bidi="ar-SA"/>
              </w:rPr>
              <w:t>用水</w:t>
            </w:r>
            <w:r>
              <w:rPr>
                <w:rFonts w:hint="eastAsia" w:cs="Times New Roman"/>
                <w:color w:val="auto"/>
                <w:kern w:val="0"/>
                <w:sz w:val="21"/>
                <w:szCs w:val="20"/>
                <w:highlight w:val="none"/>
                <w:u w:val="none"/>
                <w:lang w:val="en-US" w:eastAsia="zh-CN" w:bidi="ar-SA"/>
              </w:rPr>
              <w:t>按145L/（人·d）</w:t>
            </w:r>
            <w:r>
              <w:rPr>
                <w:rFonts w:hint="eastAsia" w:ascii="Times New Roman" w:hAnsi="Times New Roman" w:eastAsia="宋体" w:cs="Times New Roman"/>
                <w:color w:val="auto"/>
                <w:kern w:val="0"/>
                <w:sz w:val="21"/>
                <w:szCs w:val="20"/>
                <w:highlight w:val="none"/>
                <w:u w:val="none"/>
                <w:lang w:val="en-US" w:eastAsia="zh-CN" w:bidi="ar-SA"/>
              </w:rPr>
              <w:t>，办公用水包括办公室、食堂、住宿等相关用水，则生活用水量约为</w:t>
            </w:r>
            <w:r>
              <w:rPr>
                <w:rFonts w:hint="eastAsia" w:cs="Times New Roman"/>
                <w:color w:val="auto"/>
                <w:kern w:val="0"/>
                <w:sz w:val="21"/>
                <w:szCs w:val="20"/>
                <w:highlight w:val="none"/>
                <w:u w:val="none" w:color="auto"/>
                <w:lang w:val="en-US" w:eastAsia="zh-CN" w:bidi="ar-SA"/>
              </w:rPr>
              <w:t>2.9</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color="auto"/>
                <w:lang w:val="en-US" w:eastAsia="zh-CN" w:bidi="ar-SA"/>
              </w:rPr>
              <w:t>d（1058.5</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/a</w:t>
            </w:r>
            <w:r>
              <w:rPr>
                <w:rFonts w:hint="eastAsia"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lang w:val="en-US" w:eastAsia="zh-CN" w:bidi="ar-SA"/>
              </w:rPr>
              <w:t>，生活污水产生系数按80%计，则生活污水总产生量为</w:t>
            </w:r>
            <w:r>
              <w:rPr>
                <w:rFonts w:hint="eastAsia" w:cs="Times New Roman"/>
                <w:color w:val="auto"/>
                <w:kern w:val="0"/>
                <w:sz w:val="21"/>
                <w:szCs w:val="20"/>
                <w:highlight w:val="none"/>
                <w:u w:val="none" w:color="auto"/>
                <w:lang w:val="en-US" w:eastAsia="zh-CN" w:bidi="ar-SA"/>
              </w:rPr>
              <w:t>2.32</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color="auto"/>
                <w:lang w:val="en-US" w:eastAsia="zh-CN" w:bidi="ar-SA"/>
              </w:rPr>
              <w:t>d（846.8</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/a</w:t>
            </w:r>
            <w:r>
              <w:rPr>
                <w:rFonts w:hint="eastAsia"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lang w:val="en-US" w:eastAsia="zh-CN" w:bidi="ar-SA"/>
              </w:rPr>
              <w:t>。</w:t>
            </w:r>
            <w:r>
              <w:rPr>
                <w:rFonts w:hint="eastAsia" w:cs="Times New Roman"/>
                <w:color w:val="auto"/>
                <w:highlight w:val="none"/>
                <w:u w:val="none" w:color="auto"/>
                <w:lang w:val="en-US" w:eastAsia="zh-CN"/>
              </w:rPr>
              <w:t>生活污水经自建一体化生活污水处理站处理后回用于厂区绿化，不外排。</w:t>
            </w:r>
          </w:p>
          <w:p>
            <w:pPr>
              <w:adjustRightInd w:val="0"/>
              <w:snapToGrid w:val="0"/>
              <w:spacing w:line="360" w:lineRule="auto"/>
              <w:ind w:firstLine="420" w:firstLineChars="200"/>
              <w:rPr>
                <w:rFonts w:hint="eastAsia" w:cs="Times New Roman"/>
                <w:color w:val="auto"/>
                <w:kern w:val="0"/>
                <w:sz w:val="21"/>
                <w:szCs w:val="20"/>
                <w:highlight w:val="none"/>
                <w:u w:val="none" w:color="auto"/>
                <w:lang w:val="en-US" w:eastAsia="zh-CN" w:bidi="ar-SA"/>
              </w:rPr>
            </w:pPr>
            <w:r>
              <w:rPr>
                <w:rFonts w:hint="eastAsia" w:cs="Times New Roman"/>
                <w:color w:val="auto"/>
                <w:kern w:val="0"/>
                <w:sz w:val="21"/>
                <w:szCs w:val="20"/>
                <w:highlight w:val="none"/>
                <w:u w:val="none" w:color="auto"/>
                <w:lang w:val="en-US" w:eastAsia="zh-CN" w:bidi="ar-SA"/>
              </w:rPr>
              <w:t>⑦初期雨水</w:t>
            </w:r>
          </w:p>
          <w:p>
            <w:pPr>
              <w:adjustRightInd w:val="0"/>
              <w:snapToGrid w:val="0"/>
              <w:spacing w:line="360" w:lineRule="auto"/>
              <w:ind w:firstLine="420" w:firstLineChars="200"/>
              <w:rPr>
                <w:rFonts w:hint="eastAsia" w:cs="Times New Roman"/>
                <w:bCs/>
                <w:color w:val="auto"/>
                <w:sz w:val="21"/>
                <w:szCs w:val="21"/>
                <w:highlight w:val="none"/>
                <w:u w:val="none" w:color="auto"/>
                <w:lang w:val="en-US" w:eastAsia="zh-CN" w:bidi="ar"/>
              </w:rPr>
            </w:pPr>
            <w:r>
              <w:rPr>
                <w:rFonts w:hint="eastAsia" w:cs="Times New Roman"/>
                <w:color w:val="auto"/>
                <w:kern w:val="2"/>
                <w:highlight w:val="none"/>
                <w:u w:val="none" w:color="auto"/>
                <w:lang w:eastAsia="zh-CN"/>
              </w:rPr>
              <w:t>厂区雨污分流，设有带盖板矩形雨水沟，储煤棚、转载点等</w:t>
            </w:r>
            <w:r>
              <w:rPr>
                <w:rFonts w:hint="eastAsia" w:cs="Times New Roman"/>
                <w:bCs/>
                <w:color w:val="auto"/>
                <w:sz w:val="21"/>
                <w:szCs w:val="21"/>
                <w:highlight w:val="none"/>
                <w:u w:val="none" w:color="auto"/>
                <w:lang w:val="en-US" w:eastAsia="zh-CN" w:bidi="ar"/>
              </w:rPr>
              <w:t>初期雨水经雨水沟收集进入初期雨水沉淀池沉淀处理后，再经泵提升至虞公港生产废水处理站处理，全部回用于厂区喷洒降尘，不外排。</w:t>
            </w:r>
          </w:p>
          <w:p>
            <w:pPr>
              <w:adjustRightInd w:val="0"/>
              <w:snapToGrid w:val="0"/>
              <w:spacing w:line="360" w:lineRule="auto"/>
              <w:ind w:firstLine="420" w:firstLineChars="200"/>
              <w:rPr>
                <w:rFonts w:hint="eastAsia" w:cs="Times New Roman"/>
                <w:color w:val="auto"/>
                <w:kern w:val="2"/>
                <w:highlight w:val="none"/>
                <w:u w:val="none" w:color="auto"/>
                <w:lang w:eastAsia="zh-CN"/>
              </w:rPr>
            </w:pPr>
            <w:r>
              <w:rPr>
                <w:rFonts w:hint="eastAsia" w:cs="Times New Roman"/>
                <w:color w:val="auto"/>
                <w:kern w:val="2"/>
                <w:highlight w:val="none"/>
                <w:u w:val="none" w:color="auto"/>
                <w:lang w:eastAsia="zh-CN"/>
              </w:rPr>
              <w:t>参考《水运工程环境保护设计规范》（JTS149-2018），初期雨水量按下式计算：</w:t>
            </w:r>
          </w:p>
          <w:p>
            <w:pPr>
              <w:adjustRightInd w:val="0"/>
              <w:snapToGrid w:val="0"/>
              <w:spacing w:line="360" w:lineRule="auto"/>
              <w:ind w:firstLine="420" w:firstLineChars="200"/>
              <w:rPr>
                <w:rFonts w:hint="eastAsia" w:cs="Times New Roman"/>
                <w:color w:val="auto"/>
                <w:kern w:val="2"/>
                <w:highlight w:val="none"/>
                <w:u w:val="none" w:color="auto"/>
                <w:lang w:eastAsia="zh-CN"/>
              </w:rPr>
            </w:pPr>
            <w:r>
              <w:rPr>
                <w:rFonts w:hint="eastAsia" w:cs="Times New Roman"/>
                <w:color w:val="auto"/>
                <w:kern w:val="2"/>
                <w:highlight w:val="none"/>
                <w:u w:val="none" w:color="auto"/>
                <w:lang w:val="en-US" w:eastAsia="zh-CN"/>
              </w:rPr>
              <w:t>V</w:t>
            </w:r>
            <w:r>
              <w:rPr>
                <w:rFonts w:hint="eastAsia" w:cs="Times New Roman"/>
                <w:color w:val="auto"/>
                <w:kern w:val="2"/>
                <w:highlight w:val="none"/>
                <w:u w:val="none" w:color="auto"/>
                <w:lang w:eastAsia="zh-CN"/>
              </w:rPr>
              <w:t>=φ·H·F</w:t>
            </w:r>
          </w:p>
          <w:p>
            <w:pPr>
              <w:adjustRightInd w:val="0"/>
              <w:snapToGrid w:val="0"/>
              <w:spacing w:line="360" w:lineRule="auto"/>
              <w:ind w:firstLine="420" w:firstLineChars="200"/>
              <w:rPr>
                <w:rFonts w:hint="eastAsia" w:cs="Times New Roman"/>
                <w:color w:val="auto"/>
                <w:kern w:val="2"/>
                <w:highlight w:val="none"/>
                <w:u w:val="none" w:color="auto"/>
                <w:lang w:eastAsia="zh-CN"/>
              </w:rPr>
            </w:pPr>
            <w:r>
              <w:rPr>
                <w:rFonts w:hint="eastAsia" w:cs="Times New Roman"/>
                <w:color w:val="auto"/>
                <w:kern w:val="2"/>
                <w:highlight w:val="none"/>
                <w:u w:val="none" w:color="auto"/>
                <w:lang w:eastAsia="zh-CN"/>
              </w:rPr>
              <w:t>式中：</w:t>
            </w:r>
            <w:r>
              <w:rPr>
                <w:rFonts w:hint="eastAsia" w:cs="Times New Roman"/>
                <w:color w:val="auto"/>
                <w:kern w:val="2"/>
                <w:highlight w:val="none"/>
                <w:u w:val="none" w:color="auto"/>
                <w:lang w:val="en-US" w:eastAsia="zh-CN"/>
              </w:rPr>
              <w:t>V</w:t>
            </w:r>
            <w:r>
              <w:rPr>
                <w:rFonts w:hint="eastAsia" w:cs="Times New Roman"/>
                <w:color w:val="auto"/>
                <w:kern w:val="2"/>
                <w:highlight w:val="none"/>
                <w:u w:val="none" w:color="auto"/>
                <w:lang w:eastAsia="zh-CN"/>
              </w:rPr>
              <w:t>——初期雨水量（</w:t>
            </w:r>
            <w:r>
              <w:rPr>
                <w:rFonts w:hint="eastAsia" w:cs="Times New Roman"/>
                <w:color w:val="auto"/>
                <w:kern w:val="2"/>
                <w:highlight w:val="none"/>
                <w:u w:val="none" w:color="auto"/>
                <w:lang w:val="en-US" w:eastAsia="zh-CN"/>
              </w:rPr>
              <w:t>m</w:t>
            </w:r>
            <w:r>
              <w:rPr>
                <w:rFonts w:hint="eastAsia" w:cs="Times New Roman"/>
                <w:color w:val="auto"/>
                <w:kern w:val="2"/>
                <w:highlight w:val="none"/>
                <w:u w:val="none" w:color="auto"/>
                <w:vertAlign w:val="superscript"/>
                <w:lang w:val="en-US" w:eastAsia="zh-CN"/>
              </w:rPr>
              <w:t>3</w:t>
            </w:r>
            <w:r>
              <w:rPr>
                <w:rFonts w:hint="eastAsia" w:cs="Times New Roman"/>
                <w:color w:val="auto"/>
                <w:kern w:val="2"/>
                <w:highlight w:val="none"/>
                <w:u w:val="none" w:color="auto"/>
                <w:lang w:eastAsia="zh-CN"/>
              </w:rPr>
              <w:t>）；</w:t>
            </w:r>
          </w:p>
          <w:p>
            <w:pPr>
              <w:adjustRightInd w:val="0"/>
              <w:snapToGrid w:val="0"/>
              <w:spacing w:line="360" w:lineRule="auto"/>
              <w:ind w:firstLine="420" w:firstLineChars="200"/>
              <w:rPr>
                <w:rFonts w:hint="eastAsia" w:cs="Times New Roman"/>
                <w:color w:val="auto"/>
                <w:kern w:val="2"/>
                <w:highlight w:val="none"/>
                <w:u w:val="none" w:color="auto"/>
                <w:lang w:eastAsia="zh-CN"/>
              </w:rPr>
            </w:pPr>
            <w:r>
              <w:rPr>
                <w:rFonts w:hint="eastAsia" w:cs="Times New Roman"/>
                <w:color w:val="auto"/>
                <w:kern w:val="2"/>
                <w:highlight w:val="none"/>
                <w:u w:val="none" w:color="auto"/>
                <w:lang w:eastAsia="zh-CN"/>
              </w:rPr>
              <w:t>Φ——径流系数，取0.9；</w:t>
            </w:r>
          </w:p>
          <w:p>
            <w:pPr>
              <w:adjustRightInd w:val="0"/>
              <w:snapToGrid w:val="0"/>
              <w:spacing w:line="360" w:lineRule="auto"/>
              <w:ind w:firstLine="420" w:firstLineChars="200"/>
              <w:rPr>
                <w:rFonts w:hint="eastAsia" w:cs="Times New Roman"/>
                <w:color w:val="auto"/>
                <w:kern w:val="2"/>
                <w:highlight w:val="none"/>
                <w:u w:val="none" w:color="auto"/>
                <w:lang w:eastAsia="zh-CN"/>
              </w:rPr>
            </w:pPr>
            <w:r>
              <w:rPr>
                <w:rFonts w:hint="eastAsia" w:cs="Times New Roman"/>
                <w:color w:val="auto"/>
                <w:kern w:val="2"/>
                <w:highlight w:val="none"/>
                <w:u w:val="none" w:color="auto"/>
                <w:lang w:eastAsia="zh-CN"/>
              </w:rPr>
              <w:t>H——降雨深度，取</w:t>
            </w:r>
            <w:r>
              <w:rPr>
                <w:rFonts w:hint="eastAsia" w:cs="Times New Roman"/>
                <w:color w:val="auto"/>
                <w:kern w:val="2"/>
                <w:highlight w:val="none"/>
                <w:u w:val="none" w:color="auto"/>
                <w:lang w:val="en-US" w:eastAsia="zh-CN"/>
              </w:rPr>
              <w:t>10m</w:t>
            </w:r>
            <w:r>
              <w:rPr>
                <w:rFonts w:hint="eastAsia" w:cs="Times New Roman"/>
                <w:color w:val="auto"/>
                <w:kern w:val="2"/>
                <w:highlight w:val="none"/>
                <w:u w:val="none" w:color="auto"/>
                <w:lang w:eastAsia="zh-CN"/>
              </w:rPr>
              <w:t>m；</w:t>
            </w:r>
          </w:p>
          <w:p>
            <w:pPr>
              <w:adjustRightInd w:val="0"/>
              <w:snapToGrid w:val="0"/>
              <w:spacing w:line="360" w:lineRule="auto"/>
              <w:ind w:firstLine="420" w:firstLineChars="200"/>
              <w:rPr>
                <w:rFonts w:hint="default" w:cs="Times New Roman"/>
                <w:color w:val="auto"/>
                <w:kern w:val="2"/>
                <w:highlight w:val="none"/>
                <w:u w:val="none" w:color="auto"/>
                <w:lang w:val="en-US" w:eastAsia="zh-CN"/>
              </w:rPr>
            </w:pPr>
            <w:r>
              <w:rPr>
                <w:rFonts w:hint="eastAsia" w:cs="Times New Roman"/>
                <w:color w:val="auto"/>
                <w:kern w:val="2"/>
                <w:highlight w:val="none"/>
                <w:u w:val="none" w:color="auto"/>
                <w:lang w:eastAsia="zh-CN"/>
              </w:rPr>
              <w:t>F——汇水面积（</w:t>
            </w:r>
            <w:r>
              <w:rPr>
                <w:rFonts w:hint="eastAsia" w:cs="Times New Roman"/>
                <w:color w:val="auto"/>
                <w:kern w:val="2"/>
                <w:highlight w:val="none"/>
                <w:u w:val="none" w:color="auto"/>
                <w:lang w:val="en-US" w:eastAsia="zh-CN"/>
              </w:rPr>
              <w:t>m</w:t>
            </w:r>
            <w:r>
              <w:rPr>
                <w:rFonts w:hint="eastAsia" w:cs="Times New Roman"/>
                <w:color w:val="auto"/>
                <w:kern w:val="2"/>
                <w:highlight w:val="none"/>
                <w:u w:val="none" w:color="auto"/>
                <w:vertAlign w:val="superscript"/>
                <w:lang w:val="en-US" w:eastAsia="zh-CN"/>
              </w:rPr>
              <w:t>2</w:t>
            </w:r>
            <w:r>
              <w:rPr>
                <w:rFonts w:hint="eastAsia" w:cs="Times New Roman"/>
                <w:color w:val="auto"/>
                <w:kern w:val="2"/>
                <w:highlight w:val="none"/>
                <w:u w:val="none" w:color="auto"/>
                <w:lang w:eastAsia="zh-CN"/>
              </w:rPr>
              <w:t>），生产区汇水面积约</w:t>
            </w:r>
            <w:r>
              <w:rPr>
                <w:rFonts w:hint="eastAsia" w:cs="Times New Roman"/>
                <w:color w:val="auto"/>
                <w:kern w:val="2"/>
                <w:highlight w:val="none"/>
                <w:u w:val="none" w:color="auto"/>
                <w:lang w:val="en-US" w:eastAsia="zh-CN"/>
              </w:rPr>
              <w:t>9.57万m</w:t>
            </w:r>
            <w:r>
              <w:rPr>
                <w:rFonts w:hint="eastAsia" w:cs="Times New Roman"/>
                <w:color w:val="auto"/>
                <w:kern w:val="2"/>
                <w:highlight w:val="none"/>
                <w:u w:val="none" w:color="auto"/>
                <w:vertAlign w:val="superscript"/>
                <w:lang w:val="en-US" w:eastAsia="zh-CN"/>
              </w:rPr>
              <w:t>2</w:t>
            </w:r>
            <w:r>
              <w:rPr>
                <w:rFonts w:hint="eastAsia" w:cs="Times New Roman"/>
                <w:color w:val="auto"/>
                <w:kern w:val="2"/>
                <w:highlight w:val="none"/>
                <w:u w:val="none" w:color="auto"/>
                <w:lang w:eastAsia="zh-CN"/>
              </w:rPr>
              <w:t>。</w:t>
            </w:r>
          </w:p>
          <w:p>
            <w:pPr>
              <w:adjustRightInd w:val="0"/>
              <w:snapToGrid w:val="0"/>
              <w:spacing w:line="360" w:lineRule="auto"/>
              <w:ind w:firstLine="420" w:firstLineChars="200"/>
              <w:rPr>
                <w:rFonts w:hint="eastAsia" w:cs="Times New Roman"/>
                <w:color w:val="auto"/>
                <w:kern w:val="2"/>
                <w:highlight w:val="none"/>
                <w:u w:val="none" w:color="auto"/>
                <w:lang w:eastAsia="zh-CN"/>
              </w:rPr>
            </w:pPr>
            <w:r>
              <w:rPr>
                <w:rFonts w:hint="eastAsia" w:cs="Times New Roman"/>
                <w:color w:val="auto"/>
                <w:kern w:val="2"/>
                <w:highlight w:val="none"/>
                <w:u w:val="none" w:color="auto"/>
                <w:lang w:eastAsia="zh-CN"/>
              </w:rPr>
              <w:t>经计算，单次初期雨水产生量为</w:t>
            </w:r>
            <w:r>
              <w:rPr>
                <w:rFonts w:hint="eastAsia" w:cs="Times New Roman"/>
                <w:color w:val="auto"/>
                <w:kern w:val="2"/>
                <w:highlight w:val="none"/>
                <w:u w:val="none" w:color="auto"/>
                <w:lang w:val="en-US" w:eastAsia="zh-CN"/>
              </w:rPr>
              <w:t>861.3m</w:t>
            </w:r>
            <w:r>
              <w:rPr>
                <w:rFonts w:hint="eastAsia" w:cs="Times New Roman"/>
                <w:color w:val="auto"/>
                <w:kern w:val="2"/>
                <w:highlight w:val="none"/>
                <w:u w:val="none" w:color="auto"/>
                <w:vertAlign w:val="superscript"/>
                <w:lang w:val="en-US" w:eastAsia="zh-CN"/>
              </w:rPr>
              <w:t>3</w:t>
            </w:r>
            <w:r>
              <w:rPr>
                <w:rFonts w:hint="eastAsia" w:cs="Times New Roman"/>
                <w:color w:val="auto"/>
                <w:kern w:val="2"/>
                <w:highlight w:val="none"/>
                <w:u w:val="none" w:color="auto"/>
                <w:lang w:eastAsia="zh-CN"/>
              </w:rPr>
              <w:t>，本项目所在地湘阴县全年日降水量在</w:t>
            </w:r>
            <w:r>
              <w:rPr>
                <w:rFonts w:hint="eastAsia" w:cs="Times New Roman"/>
                <w:color w:val="auto"/>
                <w:kern w:val="2"/>
                <w:highlight w:val="none"/>
                <w:u w:val="none" w:color="auto"/>
                <w:lang w:val="en-US" w:eastAsia="zh-CN"/>
              </w:rPr>
              <w:t>10mm以上的天数约35</w:t>
            </w:r>
            <w:r>
              <w:rPr>
                <w:rFonts w:hint="eastAsia" w:cs="Times New Roman"/>
                <w:color w:val="auto"/>
                <w:kern w:val="2"/>
                <w:highlight w:val="none"/>
                <w:u w:val="none" w:color="auto"/>
                <w:lang w:eastAsia="zh-CN"/>
              </w:rPr>
              <w:t>天，则年收集初期雨水量约</w:t>
            </w:r>
            <w:r>
              <w:rPr>
                <w:rFonts w:hint="eastAsia" w:cs="Times New Roman"/>
                <w:color w:val="auto"/>
                <w:kern w:val="2"/>
                <w:highlight w:val="none"/>
                <w:u w:val="none" w:color="auto"/>
                <w:lang w:val="en-US" w:eastAsia="zh-CN"/>
              </w:rPr>
              <w:t>30145.5</w:t>
            </w:r>
            <w:r>
              <w:rPr>
                <w:rFonts w:hint="eastAsia" w:cs="Times New Roman"/>
                <w:color w:val="auto"/>
                <w:kern w:val="2"/>
                <w:highlight w:val="none"/>
                <w:u w:val="none" w:color="auto"/>
                <w:lang w:eastAsia="zh-CN"/>
              </w:rPr>
              <w:t>m</w:t>
            </w:r>
            <w:r>
              <w:rPr>
                <w:rFonts w:hint="eastAsia" w:cs="Times New Roman"/>
                <w:color w:val="auto"/>
                <w:kern w:val="2"/>
                <w:highlight w:val="none"/>
                <w:u w:val="none" w:color="auto"/>
                <w:vertAlign w:val="superscript"/>
                <w:lang w:eastAsia="zh-CN"/>
              </w:rPr>
              <w:t>3</w:t>
            </w:r>
            <w:r>
              <w:rPr>
                <w:rFonts w:hint="eastAsia" w:cs="Times New Roman"/>
                <w:color w:val="auto"/>
                <w:kern w:val="2"/>
                <w:highlight w:val="none"/>
                <w:u w:val="none" w:color="auto"/>
                <w:lang w:eastAsia="zh-CN"/>
              </w:rPr>
              <w:t>/a。</w:t>
            </w:r>
          </w:p>
          <w:p>
            <w:pPr>
              <w:spacing w:before="120" w:beforeLines="50" w:line="360" w:lineRule="auto"/>
              <w:ind w:firstLine="210" w:firstLineChars="100"/>
              <w:rPr>
                <w:color w:val="auto"/>
                <w:szCs w:val="21"/>
              </w:rPr>
            </w:pPr>
            <w:r>
              <w:rPr>
                <w:color w:val="auto"/>
                <w:szCs w:val="21"/>
              </w:rPr>
              <w:t>本项目水平衡</w:t>
            </w:r>
            <w:r>
              <w:rPr>
                <w:rFonts w:hint="eastAsia"/>
                <w:color w:val="auto"/>
                <w:szCs w:val="21"/>
                <w:lang w:eastAsia="zh-CN"/>
              </w:rPr>
              <w:t>见</w:t>
            </w:r>
            <w:r>
              <w:rPr>
                <w:color w:val="auto"/>
                <w:szCs w:val="21"/>
              </w:rPr>
              <w:t>下图：</w:t>
            </w:r>
          </w:p>
          <w:p>
            <w:pPr>
              <w:adjustRightInd w:val="0"/>
              <w:snapToGrid w:val="0"/>
              <w:spacing w:line="360" w:lineRule="auto"/>
              <w:jc w:val="center"/>
              <w:rPr>
                <w:rFonts w:hint="default" w:ascii="Times New Roman" w:hAnsi="Times New Roman" w:eastAsia="宋体" w:cs="Times New Roman"/>
                <w:b/>
                <w:bCs/>
                <w:color w:val="auto"/>
                <w:sz w:val="21"/>
                <w:szCs w:val="21"/>
                <w:highlight w:val="none"/>
                <w:u w:val="none" w:color="auto"/>
                <w:lang w:eastAsia="zh-CN"/>
              </w:rPr>
            </w:pPr>
            <w:r>
              <w:rPr>
                <w:rFonts w:hint="default" w:ascii="Times New Roman" w:hAnsi="Times New Roman" w:eastAsia="宋体" w:cs="Times New Roman"/>
                <w:b/>
                <w:bCs/>
                <w:color w:val="auto"/>
                <w:sz w:val="21"/>
                <w:szCs w:val="21"/>
                <w:highlight w:val="none"/>
                <w:u w:val="none" w:color="auto"/>
                <w:lang w:eastAsia="zh-CN"/>
              </w:rPr>
              <w:object>
                <v:shape id="_x0000_i1025" o:spt="75" type="#_x0000_t75" style="height:317.05pt;width:422.75pt;" o:ole="t" filled="f" o:preferrelative="t" stroked="f" coordsize="21600,21600">
                  <v:path/>
                  <v:fill on="f" focussize="0,0"/>
                  <v:stroke on="f"/>
                  <v:imagedata r:id="rId9" o:title=""/>
                  <o:lock v:ext="edit" aspectratio="f"/>
                  <w10:wrap type="none"/>
                  <w10:anchorlock/>
                </v:shape>
                <o:OLEObject Type="Embed" ProgID="Visio.Drawing.15" ShapeID="_x0000_i1025" DrawAspect="Content" ObjectID="_1468075725" r:id="rId8">
                  <o:LockedField>false</o:LockedField>
                </o:OLEObject>
              </w:object>
            </w:r>
          </w:p>
          <w:p>
            <w:pPr>
              <w:adjustRightInd w:val="0"/>
              <w:snapToGrid w:val="0"/>
              <w:spacing w:line="360" w:lineRule="auto"/>
              <w:ind w:firstLine="422" w:firstLineChars="200"/>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lang w:eastAsia="zh-CN"/>
              </w:rPr>
              <w:t>（</w:t>
            </w:r>
            <w:r>
              <w:rPr>
                <w:rFonts w:hint="default" w:ascii="Times New Roman" w:hAnsi="Times New Roman" w:eastAsia="宋体" w:cs="Times New Roman"/>
                <w:b/>
                <w:bCs/>
                <w:color w:val="auto"/>
                <w:sz w:val="21"/>
                <w:szCs w:val="21"/>
                <w:highlight w:val="none"/>
                <w:u w:val="none" w:color="auto"/>
                <w:lang w:val="en-US" w:eastAsia="zh-CN"/>
              </w:rPr>
              <w:t>3</w:t>
            </w:r>
            <w:r>
              <w:rPr>
                <w:rFonts w:hint="default" w:ascii="Times New Roman" w:hAnsi="Times New Roman" w:eastAsia="宋体" w:cs="Times New Roman"/>
                <w:b/>
                <w:bCs/>
                <w:color w:val="auto"/>
                <w:sz w:val="21"/>
                <w:szCs w:val="21"/>
                <w:highlight w:val="none"/>
                <w:u w:val="none" w:color="auto"/>
                <w:lang w:eastAsia="zh-CN"/>
              </w:rPr>
              <w:t>）</w:t>
            </w:r>
            <w:r>
              <w:rPr>
                <w:rFonts w:hint="default" w:ascii="Times New Roman" w:hAnsi="Times New Roman" w:eastAsia="宋体" w:cs="Times New Roman"/>
                <w:b/>
                <w:bCs/>
                <w:color w:val="auto"/>
                <w:sz w:val="21"/>
                <w:szCs w:val="21"/>
                <w:highlight w:val="none"/>
                <w:u w:val="none" w:color="auto"/>
              </w:rPr>
              <w:t>供电</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本项目</w:t>
            </w:r>
            <w:r>
              <w:rPr>
                <w:rFonts w:hint="eastAsia" w:cs="Times New Roman"/>
                <w:color w:val="auto"/>
                <w:sz w:val="21"/>
                <w:szCs w:val="21"/>
                <w:u w:val="none" w:color="auto"/>
                <w:lang w:val="en-US" w:eastAsia="zh-CN"/>
              </w:rPr>
              <w:t>场地西侧新建主变电所、场地东侧新建变配电室，由市政电网迁入本项目供电。</w:t>
            </w:r>
          </w:p>
          <w:p>
            <w:pPr>
              <w:adjustRightInd w:val="0"/>
              <w:snapToGrid w:val="0"/>
              <w:spacing w:line="360" w:lineRule="auto"/>
              <w:ind w:firstLine="422" w:firstLineChars="200"/>
              <w:rPr>
                <w:rFonts w:hint="default" w:ascii="Times New Roman" w:hAnsi="Times New Roman" w:cs="Times New Roman"/>
                <w:b/>
                <w:color w:val="auto"/>
                <w:sz w:val="21"/>
                <w:szCs w:val="21"/>
                <w:u w:val="none" w:color="auto"/>
              </w:rPr>
            </w:pPr>
            <w:r>
              <w:rPr>
                <w:rFonts w:hint="eastAsia" w:cs="Times New Roman"/>
                <w:b/>
                <w:color w:val="auto"/>
                <w:sz w:val="21"/>
                <w:szCs w:val="21"/>
                <w:u w:val="none" w:color="auto"/>
                <w:lang w:val="en-US" w:eastAsia="zh-CN"/>
              </w:rPr>
              <w:t>7、</w:t>
            </w:r>
            <w:r>
              <w:rPr>
                <w:rFonts w:hint="default" w:ascii="Times New Roman" w:hAnsi="Times New Roman" w:cs="Times New Roman"/>
                <w:b/>
                <w:color w:val="auto"/>
                <w:sz w:val="21"/>
                <w:szCs w:val="21"/>
                <w:u w:val="none" w:color="auto"/>
              </w:rPr>
              <w:t>劳动定员及工作制度</w:t>
            </w:r>
          </w:p>
          <w:p>
            <w:pPr>
              <w:pStyle w:val="65"/>
              <w:bidi w:val="0"/>
              <w:outlineLvl w:val="9"/>
              <w:rPr>
                <w:rFonts w:hint="eastAsia" w:cs="Times New Roman"/>
                <w:color w:val="auto"/>
                <w:kern w:val="0"/>
                <w:u w:val="none" w:color="auto"/>
                <w:lang w:val="en-US" w:eastAsia="zh-CN"/>
              </w:rPr>
            </w:pPr>
            <w:r>
              <w:rPr>
                <w:rFonts w:hint="eastAsia" w:cs="Times New Roman"/>
                <w:color w:val="auto"/>
                <w:kern w:val="0"/>
                <w:u w:val="none" w:color="auto"/>
                <w:lang w:eastAsia="zh-CN"/>
              </w:rPr>
              <w:t>本项目劳动定员</w:t>
            </w:r>
            <w:r>
              <w:rPr>
                <w:rFonts w:hint="eastAsia" w:cs="Times New Roman"/>
                <w:color w:val="auto"/>
                <w:kern w:val="0"/>
                <w:u w:val="none" w:color="auto"/>
                <w:lang w:val="en-US" w:eastAsia="zh-CN"/>
              </w:rPr>
              <w:t>20人，年工作日330d，8h三班制，每天24h。</w:t>
            </w:r>
          </w:p>
          <w:p>
            <w:pPr>
              <w:widowControl w:val="0"/>
              <w:spacing w:line="360" w:lineRule="auto"/>
              <w:ind w:firstLine="422" w:firstLineChars="200"/>
              <w:jc w:val="both"/>
              <w:outlineLvl w:val="2"/>
              <w:rPr>
                <w:rFonts w:hint="default" w:ascii="Times New Roman" w:hAnsi="Times New Roman" w:eastAsia="宋体" w:cs="Times New Roman"/>
                <w:b/>
                <w:bCs/>
                <w:color w:val="auto"/>
                <w:kern w:val="0"/>
                <w:sz w:val="21"/>
                <w:szCs w:val="32"/>
                <w:u w:val="none" w:color="auto"/>
                <w:lang w:val="ru-RU" w:eastAsia="zh-CN" w:bidi="ar-SA"/>
              </w:rPr>
            </w:pPr>
            <w:r>
              <w:rPr>
                <w:rFonts w:hint="eastAsia" w:cs="Times New Roman"/>
                <w:b/>
                <w:bCs/>
                <w:color w:val="auto"/>
                <w:kern w:val="0"/>
                <w:sz w:val="21"/>
                <w:szCs w:val="32"/>
                <w:u w:val="none" w:color="auto"/>
                <w:lang w:val="en-US" w:eastAsia="zh-CN" w:bidi="ar-SA"/>
              </w:rPr>
              <w:t>8、</w:t>
            </w:r>
            <w:r>
              <w:rPr>
                <w:rFonts w:hint="default" w:ascii="Times New Roman" w:hAnsi="Times New Roman" w:eastAsia="宋体" w:cs="Times New Roman"/>
                <w:b/>
                <w:bCs/>
                <w:color w:val="auto"/>
                <w:kern w:val="0"/>
                <w:sz w:val="21"/>
                <w:szCs w:val="32"/>
                <w:u w:val="none" w:color="auto"/>
                <w:lang w:val="en-US" w:eastAsia="zh-CN" w:bidi="ar-SA"/>
              </w:rPr>
              <w:t>项目厂区平面布置</w:t>
            </w:r>
          </w:p>
          <w:p>
            <w:pPr>
              <w:adjustRightInd w:val="0"/>
              <w:snapToGrid w:val="0"/>
              <w:spacing w:line="360" w:lineRule="auto"/>
              <w:ind w:firstLine="480"/>
              <w:jc w:val="left"/>
              <w:rPr>
                <w:rFonts w:hint="default" w:ascii="Times New Roman" w:hAnsi="Times New Roman" w:eastAsia="宋体" w:cs="Times New Roman"/>
                <w:color w:val="0000FF"/>
                <w:kern w:val="0"/>
                <w:highlight w:val="none"/>
                <w:u w:val="none" w:color="auto"/>
                <w:lang w:val="en-US" w:eastAsia="zh-CN"/>
              </w:rPr>
            </w:pPr>
            <w:r>
              <w:rPr>
                <w:rFonts w:hint="eastAsia" w:cs="Times New Roman"/>
                <w:color w:val="auto"/>
                <w:kern w:val="0"/>
                <w:highlight w:val="none"/>
                <w:u w:val="none" w:color="auto"/>
                <w:lang w:eastAsia="zh-CN"/>
              </w:rPr>
              <w:t>本项目</w:t>
            </w:r>
            <w:r>
              <w:rPr>
                <w:rFonts w:hint="default" w:ascii="Times New Roman" w:hAnsi="Times New Roman" w:eastAsia="宋体" w:cs="Times New Roman"/>
                <w:color w:val="auto"/>
                <w:kern w:val="0"/>
                <w:highlight w:val="none"/>
                <w:u w:val="none" w:color="auto"/>
              </w:rPr>
              <w:t>2座储煤场东西向长条布置，与</w:t>
            </w:r>
            <w:r>
              <w:rPr>
                <w:rFonts w:hint="eastAsia" w:cs="Times New Roman"/>
                <w:color w:val="auto"/>
                <w:kern w:val="0"/>
                <w:highlight w:val="none"/>
                <w:u w:val="none" w:color="auto"/>
                <w:lang w:val="en-US" w:eastAsia="zh-CN"/>
              </w:rPr>
              <w:t>虞公港现有</w:t>
            </w:r>
            <w:r>
              <w:rPr>
                <w:rFonts w:hint="default" w:ascii="Times New Roman" w:hAnsi="Times New Roman" w:eastAsia="宋体" w:cs="Times New Roman"/>
                <w:color w:val="auto"/>
                <w:kern w:val="0"/>
                <w:highlight w:val="none"/>
                <w:u w:val="none" w:color="auto"/>
              </w:rPr>
              <w:t>2#储料场平行布置。总平面布置由北向南、由西向东各设施依次布置为煤氧抑制剂库、推煤机库、变电所、生活污水处理站、初期雨水收集池、各种带式输送机栈桥、3#储煤场及4#储煤场。</w:t>
            </w:r>
            <w:r>
              <w:rPr>
                <w:szCs w:val="21"/>
                <w:highlight w:val="none"/>
              </w:rPr>
              <w:t>生产区按照生产工艺流程进行布置，</w:t>
            </w:r>
            <w:r>
              <w:rPr>
                <w:rFonts w:hint="eastAsia"/>
                <w:szCs w:val="21"/>
                <w:highlight w:val="none"/>
              </w:rPr>
              <w:t>厂区总体</w:t>
            </w:r>
            <w:r>
              <w:rPr>
                <w:szCs w:val="21"/>
                <w:highlight w:val="none"/>
              </w:rPr>
              <w:t>布置有</w:t>
            </w:r>
            <w:r>
              <w:rPr>
                <w:rFonts w:hint="eastAsia"/>
                <w:szCs w:val="21"/>
                <w:highlight w:val="none"/>
              </w:rPr>
              <w:t>合理</w:t>
            </w:r>
            <w:r>
              <w:rPr>
                <w:szCs w:val="21"/>
                <w:highlight w:val="none"/>
              </w:rPr>
              <w:t>的功能分区</w:t>
            </w:r>
            <w:r>
              <w:rPr>
                <w:rFonts w:hint="eastAsia"/>
                <w:szCs w:val="21"/>
                <w:highlight w:val="none"/>
              </w:rPr>
              <w:t>，最大程度地减少占地、降低能耗。</w:t>
            </w:r>
            <w:r>
              <w:rPr>
                <w:rFonts w:hint="eastAsia" w:cs="Times New Roman"/>
                <w:color w:val="auto"/>
                <w:kern w:val="0"/>
                <w:highlight w:val="none"/>
                <w:u w:val="none" w:color="auto"/>
                <w:lang w:eastAsia="zh-CN"/>
              </w:rPr>
              <w:t>项目厂区总平面布置见附图</w:t>
            </w:r>
            <w:r>
              <w:rPr>
                <w:rFonts w:hint="eastAsia" w:cs="Times New Roman"/>
                <w:color w:val="auto"/>
                <w:kern w:val="0"/>
                <w:highlight w:val="none"/>
                <w:u w:val="none" w:color="auto"/>
                <w:lang w:val="en-US" w:eastAsia="zh-CN"/>
              </w:rPr>
              <w:t>3。</w:t>
            </w:r>
          </w:p>
          <w:p>
            <w:pPr>
              <w:pStyle w:val="65"/>
              <w:bidi w:val="0"/>
              <w:outlineLvl w:val="9"/>
              <w:rPr>
                <w:rFonts w:hint="eastAsia" w:ascii="Times New Roman" w:hAnsi="Times New Roman" w:eastAsia="宋体" w:cs="Times New Roman"/>
                <w:b/>
                <w:bCs/>
                <w:color w:val="auto"/>
                <w:kern w:val="0"/>
                <w:sz w:val="21"/>
                <w:szCs w:val="32"/>
                <w:u w:val="none" w:color="auto"/>
                <w:lang w:val="en-US" w:eastAsia="zh-CN" w:bidi="ar-SA"/>
              </w:rPr>
            </w:pPr>
            <w:r>
              <w:rPr>
                <w:rFonts w:hint="eastAsia" w:cs="Times New Roman"/>
                <w:b/>
                <w:bCs/>
                <w:color w:val="auto"/>
                <w:kern w:val="0"/>
                <w:sz w:val="21"/>
                <w:szCs w:val="32"/>
                <w:u w:val="none" w:color="auto"/>
                <w:lang w:val="en-US" w:eastAsia="zh-CN" w:bidi="ar-SA"/>
              </w:rPr>
              <w:t>9、</w:t>
            </w:r>
            <w:r>
              <w:rPr>
                <w:rFonts w:hint="eastAsia" w:ascii="Times New Roman" w:hAnsi="Times New Roman" w:eastAsia="宋体" w:cs="Times New Roman"/>
                <w:b/>
                <w:bCs/>
                <w:color w:val="auto"/>
                <w:kern w:val="0"/>
                <w:sz w:val="21"/>
                <w:szCs w:val="32"/>
                <w:u w:val="none" w:color="auto"/>
                <w:lang w:val="en-US" w:eastAsia="zh-CN" w:bidi="ar-SA"/>
              </w:rPr>
              <w:t>项目</w:t>
            </w:r>
            <w:r>
              <w:rPr>
                <w:rFonts w:hint="eastAsia" w:cs="Times New Roman"/>
                <w:b/>
                <w:bCs/>
                <w:color w:val="auto"/>
                <w:kern w:val="0"/>
                <w:sz w:val="21"/>
                <w:szCs w:val="32"/>
                <w:u w:val="none" w:color="auto"/>
                <w:lang w:val="en-US" w:eastAsia="zh-CN" w:bidi="ar-SA"/>
              </w:rPr>
              <w:t>征地拆迁、施工土石方平衡</w:t>
            </w:r>
          </w:p>
          <w:p>
            <w:pPr>
              <w:pStyle w:val="65"/>
              <w:bidi w:val="0"/>
              <w:outlineLvl w:val="9"/>
              <w:rPr>
                <w:rFonts w:hint="eastAsia" w:ascii="Times New Roman" w:hAnsi="Times New Roman" w:eastAsia="宋体" w:cs="Times New Roman"/>
                <w:color w:val="auto"/>
                <w:kern w:val="0"/>
                <w:sz w:val="21"/>
                <w:szCs w:val="24"/>
                <w:highlight w:val="none"/>
                <w:u w:val="none" w:color="auto"/>
                <w:lang w:val="en-US" w:eastAsia="zh-CN" w:bidi="ar-SA"/>
              </w:rPr>
            </w:pPr>
            <w:r>
              <w:rPr>
                <w:rFonts w:hint="eastAsia" w:ascii="Times New Roman" w:hAnsi="Times New Roman" w:eastAsia="宋体" w:cs="Times New Roman"/>
                <w:color w:val="auto"/>
                <w:kern w:val="0"/>
                <w:sz w:val="21"/>
                <w:szCs w:val="24"/>
                <w:highlight w:val="none"/>
                <w:u w:val="none" w:color="auto"/>
                <w:lang w:val="en-US" w:eastAsia="zh-CN" w:bidi="ar-SA"/>
              </w:rPr>
              <w:t>本项目拟征收土地的总面积15.1734公顷，主要为耕地、园地、林地、其他农用地、建设用地等。其中：耕地面积7.0228公顷（水田面积4.2138公顷、旱地面积2.8090公顷）、园地面积0.3568公顷、林地面积2.5687公顷、其他农用地</w:t>
            </w:r>
            <w:r>
              <w:rPr>
                <w:rFonts w:hint="eastAsia" w:cs="Times New Roman"/>
                <w:color w:val="auto"/>
                <w:kern w:val="0"/>
                <w:sz w:val="21"/>
                <w:szCs w:val="24"/>
                <w:highlight w:val="none"/>
                <w:u w:val="none" w:color="auto"/>
                <w:lang w:val="en-US" w:eastAsia="zh-CN" w:bidi="ar-SA"/>
              </w:rPr>
              <w:t>2.0848</w:t>
            </w:r>
            <w:r>
              <w:rPr>
                <w:rFonts w:hint="eastAsia" w:ascii="Times New Roman" w:hAnsi="Times New Roman" w:eastAsia="宋体" w:cs="Times New Roman"/>
                <w:color w:val="auto"/>
                <w:kern w:val="0"/>
                <w:sz w:val="21"/>
                <w:szCs w:val="24"/>
                <w:highlight w:val="none"/>
                <w:u w:val="none" w:color="auto"/>
                <w:lang w:val="en-US" w:eastAsia="zh-CN" w:bidi="ar-SA"/>
              </w:rPr>
              <w:t>公顷、建设用地3.1403公顷，项目不涉及占用永久基本农田。</w:t>
            </w:r>
          </w:p>
          <w:p>
            <w:pPr>
              <w:pStyle w:val="65"/>
              <w:bidi w:val="0"/>
              <w:outlineLvl w:val="9"/>
              <w:rPr>
                <w:rFonts w:hint="default" w:ascii="Times New Roman" w:hAnsi="Times New Roman" w:eastAsia="宋体" w:cs="Times New Roman"/>
                <w:color w:val="auto"/>
                <w:kern w:val="0"/>
                <w:sz w:val="21"/>
                <w:szCs w:val="24"/>
                <w:highlight w:val="none"/>
                <w:u w:val="none" w:color="auto"/>
                <w:lang w:val="en-US" w:eastAsia="zh-CN" w:bidi="ar-SA"/>
              </w:rPr>
            </w:pPr>
            <w:r>
              <w:rPr>
                <w:rFonts w:hint="eastAsia" w:ascii="Times New Roman" w:hAnsi="Times New Roman" w:eastAsia="宋体" w:cs="Times New Roman"/>
                <w:color w:val="auto"/>
                <w:kern w:val="0"/>
                <w:sz w:val="21"/>
                <w:szCs w:val="24"/>
                <w:highlight w:val="none"/>
                <w:u w:val="none" w:color="auto"/>
                <w:lang w:val="en-US" w:eastAsia="zh-CN" w:bidi="ar-SA"/>
              </w:rPr>
              <w:t>厂址位于湘阴县三塘镇黄陵港村，征地范围内现状存在部分民房</w:t>
            </w:r>
            <w:r>
              <w:rPr>
                <w:rFonts w:hint="eastAsia" w:cs="Times New Roman"/>
                <w:color w:val="auto"/>
                <w:kern w:val="0"/>
                <w:sz w:val="21"/>
                <w:szCs w:val="24"/>
                <w:highlight w:val="none"/>
                <w:u w:val="none" w:color="auto"/>
                <w:lang w:val="en-US" w:eastAsia="zh-CN" w:bidi="ar-SA"/>
              </w:rPr>
              <w:t>、农田、耕地、林地等。根据湘阴县人民政府关于中央政府煤炭储备湖南港航水利湘阴项目的征收土地预公告（湘阴政告[2025]39号）及土地补偿安置方案（湘阴政告[2025]40号），该地块规划用途为工业用地，</w:t>
            </w:r>
            <w:r>
              <w:rPr>
                <w:rFonts w:hint="eastAsia" w:ascii="Times New Roman" w:hAnsi="Times New Roman" w:eastAsia="宋体" w:cs="Times New Roman"/>
                <w:color w:val="auto"/>
                <w:kern w:val="0"/>
                <w:sz w:val="21"/>
                <w:szCs w:val="24"/>
                <w:highlight w:val="none"/>
                <w:u w:val="none" w:color="auto"/>
                <w:lang w:val="en-US" w:eastAsia="zh-CN" w:bidi="ar-SA"/>
              </w:rPr>
              <w:t>征地和拆迁工作由湘阴县地方</w:t>
            </w:r>
            <w:r>
              <w:rPr>
                <w:rFonts w:hint="eastAsia" w:cs="Times New Roman"/>
                <w:color w:val="auto"/>
                <w:kern w:val="0"/>
                <w:sz w:val="21"/>
                <w:szCs w:val="24"/>
                <w:highlight w:val="none"/>
                <w:u w:val="none" w:color="auto"/>
                <w:lang w:val="en-US" w:eastAsia="zh-CN" w:bidi="ar-SA"/>
              </w:rPr>
              <w:t>人民</w:t>
            </w:r>
            <w:r>
              <w:rPr>
                <w:rFonts w:hint="eastAsia" w:ascii="Times New Roman" w:hAnsi="Times New Roman" w:eastAsia="宋体" w:cs="Times New Roman"/>
                <w:color w:val="auto"/>
                <w:kern w:val="0"/>
                <w:sz w:val="21"/>
                <w:szCs w:val="24"/>
                <w:highlight w:val="none"/>
                <w:u w:val="none" w:color="auto"/>
                <w:lang w:val="en-US" w:eastAsia="zh-CN" w:bidi="ar-SA"/>
              </w:rPr>
              <w:t>政府统一安排。</w:t>
            </w:r>
          </w:p>
          <w:p>
            <w:pPr>
              <w:pStyle w:val="65"/>
              <w:bidi w:val="0"/>
              <w:outlineLvl w:val="9"/>
              <w:rPr>
                <w:rFonts w:hint="default" w:cs="Times New Roman"/>
                <w:color w:val="auto"/>
                <w:kern w:val="0"/>
                <w:highlight w:val="none"/>
                <w:u w:val="none" w:color="auto"/>
                <w:lang w:val="en-US" w:eastAsia="zh-CN"/>
              </w:rPr>
            </w:pPr>
            <w:r>
              <w:rPr>
                <w:rFonts w:hint="eastAsia" w:cs="Times New Roman"/>
                <w:color w:val="auto"/>
                <w:kern w:val="0"/>
                <w:sz w:val="21"/>
                <w:szCs w:val="24"/>
                <w:highlight w:val="none"/>
                <w:u w:val="none" w:color="auto"/>
                <w:lang w:val="en-US" w:eastAsia="zh-CN" w:bidi="ar-SA"/>
              </w:rPr>
              <w:t>根据项目测绘数据，</w:t>
            </w:r>
            <w:r>
              <w:rPr>
                <w:rFonts w:hint="eastAsia" w:ascii="Times New Roman" w:hAnsi="Times New Roman" w:eastAsia="宋体" w:cs="Times New Roman"/>
                <w:color w:val="auto"/>
                <w:kern w:val="0"/>
                <w:sz w:val="21"/>
                <w:szCs w:val="24"/>
                <w:highlight w:val="none"/>
                <w:u w:val="none" w:color="auto"/>
                <w:lang w:val="en-US" w:eastAsia="zh-CN" w:bidi="ar-SA"/>
              </w:rPr>
              <w:t>本项目场地平整需土方填方量约47万m</w:t>
            </w:r>
            <w:r>
              <w:rPr>
                <w:rFonts w:hint="eastAsia" w:ascii="Times New Roman" w:hAnsi="Times New Roman" w:eastAsia="宋体" w:cs="Times New Roman"/>
                <w:color w:val="auto"/>
                <w:kern w:val="0"/>
                <w:sz w:val="21"/>
                <w:szCs w:val="24"/>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4"/>
                <w:highlight w:val="none"/>
                <w:u w:val="none" w:color="auto"/>
                <w:lang w:val="en-US" w:eastAsia="zh-CN" w:bidi="ar-SA"/>
              </w:rPr>
              <w:t>，</w:t>
            </w:r>
            <w:r>
              <w:rPr>
                <w:rFonts w:hint="eastAsia" w:cs="Times New Roman"/>
                <w:color w:val="auto"/>
                <w:kern w:val="0"/>
                <w:sz w:val="21"/>
                <w:szCs w:val="24"/>
                <w:highlight w:val="none"/>
                <w:u w:val="none" w:color="auto"/>
                <w:lang w:val="en-US" w:eastAsia="zh-CN" w:bidi="ar-SA"/>
              </w:rPr>
              <w:t>根据湘阴县三塘镇人民政府的承诺函，湘阴县三塘镇人民政府对本项目所需外购土方实施统一土源协调，确保土源合规、质量达标、运输规范。本项目取土点拟定为本项目建设地点南侧约15.84公里的湘阴县双桥水寨后山</w:t>
            </w:r>
            <w:r>
              <w:rPr>
                <w:rFonts w:hint="eastAsia" w:ascii="Times New Roman" w:hAnsi="Times New Roman" w:eastAsia="宋体" w:cs="Times New Roman"/>
                <w:color w:val="auto"/>
                <w:kern w:val="0"/>
                <w:sz w:val="21"/>
                <w:szCs w:val="24"/>
                <w:highlight w:val="none"/>
                <w:u w:val="none" w:color="auto"/>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1" w:hRule="atLeast"/>
          <w:jc w:val="center"/>
        </w:trPr>
        <w:tc>
          <w:tcPr>
            <w:tcW w:w="387" w:type="dxa"/>
            <w:noWrap w:val="0"/>
            <w:vAlign w:val="center"/>
          </w:tcPr>
          <w:p>
            <w:pPr>
              <w:pStyle w:val="28"/>
              <w:adjustRightInd w:val="0"/>
              <w:snapToGrid w:val="0"/>
              <w:spacing w:before="0" w:beforeAutospacing="0" w:after="0" w:afterAutospacing="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工艺流程和产排污环节</w:t>
            </w:r>
          </w:p>
        </w:tc>
        <w:tc>
          <w:tcPr>
            <w:tcW w:w="8673" w:type="dxa"/>
            <w:noWrap w:val="0"/>
            <w:vAlign w:val="top"/>
          </w:tcPr>
          <w:p>
            <w:pPr>
              <w:spacing w:line="360" w:lineRule="auto"/>
              <w:ind w:firstLine="422" w:firstLineChars="200"/>
              <w:rPr>
                <w:rFonts w:hint="default" w:ascii="Times New Roman" w:hAnsi="Times New Roman" w:cs="Times New Roman"/>
                <w:b/>
                <w:bCs/>
                <w:color w:val="auto"/>
                <w:szCs w:val="22"/>
                <w:highlight w:val="none"/>
                <w:u w:val="none" w:color="auto"/>
              </w:rPr>
            </w:pPr>
            <w:r>
              <w:rPr>
                <w:rFonts w:hint="eastAsia" w:cs="Times New Roman"/>
                <w:b/>
                <w:bCs/>
                <w:color w:val="auto"/>
                <w:szCs w:val="22"/>
                <w:highlight w:val="none"/>
                <w:u w:val="none" w:color="auto"/>
                <w:lang w:val="en-US" w:eastAsia="zh-CN"/>
              </w:rPr>
              <w:t>1、</w:t>
            </w:r>
            <w:r>
              <w:rPr>
                <w:rFonts w:hint="default" w:ascii="Times New Roman" w:hAnsi="Times New Roman" w:cs="Times New Roman"/>
                <w:b/>
                <w:bCs/>
                <w:color w:val="auto"/>
                <w:szCs w:val="22"/>
                <w:highlight w:val="none"/>
                <w:u w:val="none" w:color="auto"/>
              </w:rPr>
              <w:t>施工期</w:t>
            </w:r>
          </w:p>
          <w:p>
            <w:pPr>
              <w:spacing w:line="360" w:lineRule="auto"/>
              <w:ind w:firstLine="420" w:firstLineChars="200"/>
              <w:jc w:val="left"/>
              <w:rPr>
                <w:rFonts w:hint="eastAsia" w:cs="Times New Roman"/>
                <w:color w:val="auto"/>
                <w:kern w:val="2"/>
                <w:highlight w:val="none"/>
                <w:u w:val="none" w:color="auto"/>
                <w:lang w:eastAsia="zh-CN"/>
              </w:rPr>
            </w:pPr>
            <w:r>
              <w:rPr>
                <w:rFonts w:hint="eastAsia" w:cs="Times New Roman"/>
                <w:color w:val="auto"/>
                <w:kern w:val="2"/>
                <w:highlight w:val="none"/>
                <w:u w:val="none" w:color="auto"/>
                <w:lang w:eastAsia="zh-CN"/>
              </w:rPr>
              <w:t>项目施工期建设内容主要为新建储煤场、转载点、带式输送机栈桥及相关生产辅助设施等。施工期土石方、打桩、结构、装修等工序中将产生噪声、扬尘、固废以及废水等污染。本项目施工期主要包括土建施工、设备安装及调试等。施工期工序及产污环节见图</w:t>
            </w:r>
            <w:r>
              <w:rPr>
                <w:rFonts w:hint="eastAsia" w:cs="Times New Roman"/>
                <w:color w:val="auto"/>
                <w:kern w:val="2"/>
                <w:highlight w:val="none"/>
                <w:u w:val="none" w:color="auto"/>
                <w:lang w:val="en-US" w:eastAsia="zh-CN"/>
              </w:rPr>
              <w:t>2-6</w:t>
            </w:r>
            <w:r>
              <w:rPr>
                <w:rFonts w:hint="eastAsia" w:cs="Times New Roman"/>
                <w:color w:val="auto"/>
                <w:kern w:val="2"/>
                <w:highlight w:val="none"/>
                <w:u w:val="none" w:color="auto"/>
                <w:lang w:eastAsia="zh-CN"/>
              </w:rPr>
              <w:t>。</w:t>
            </w:r>
          </w:p>
          <w:p>
            <w:pPr>
              <w:spacing w:line="360" w:lineRule="auto"/>
              <w:jc w:val="center"/>
              <w:rPr>
                <w:rFonts w:hint="eastAsia" w:cs="Times New Roman"/>
                <w:color w:val="00B050"/>
                <w:kern w:val="2"/>
                <w:highlight w:val="none"/>
                <w:u w:val="none" w:color="auto"/>
                <w:lang w:eastAsia="zh-CN"/>
              </w:rPr>
            </w:pPr>
            <w:r>
              <w:rPr>
                <w:rFonts w:ascii="Times New Roman" w:cs="Times New Roman"/>
                <w:color w:val="auto"/>
              </w:rPr>
              <w:object>
                <v:shape id="_x0000_i1026" o:spt="75" type="#_x0000_t75" style="height:122.7pt;width:301.15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pPr>
              <w:spacing w:line="360" w:lineRule="auto"/>
              <w:jc w:val="center"/>
              <w:rPr>
                <w:rFonts w:hint="eastAsia" w:cs="Times New Roman"/>
                <w:color w:val="auto"/>
                <w:kern w:val="2"/>
                <w:highlight w:val="none"/>
                <w:u w:val="none" w:color="auto"/>
                <w:lang w:eastAsia="zh-CN"/>
              </w:rPr>
            </w:pPr>
            <w:r>
              <w:rPr>
                <w:rFonts w:hint="eastAsia" w:cs="Times New Roman"/>
                <w:b/>
                <w:bCs/>
                <w:color w:val="auto"/>
                <w:kern w:val="2"/>
                <w:highlight w:val="none"/>
                <w:u w:val="none" w:color="auto"/>
                <w:lang w:eastAsia="zh-CN"/>
              </w:rPr>
              <w:t>图2-2  施工期工艺流程及产污环节图</w:t>
            </w:r>
          </w:p>
          <w:p>
            <w:pPr>
              <w:spacing w:line="360" w:lineRule="auto"/>
              <w:ind w:firstLine="420" w:firstLineChars="200"/>
              <w:jc w:val="left"/>
              <w:rPr>
                <w:rFonts w:hint="eastAsia" w:cs="Times New Roman"/>
                <w:color w:val="auto"/>
                <w:kern w:val="2"/>
                <w:highlight w:val="none"/>
                <w:u w:val="none" w:color="auto"/>
                <w:lang w:eastAsia="zh-CN"/>
              </w:rPr>
            </w:pPr>
            <w:r>
              <w:rPr>
                <w:rFonts w:hint="eastAsia" w:cs="Times New Roman"/>
                <w:color w:val="auto"/>
                <w:kern w:val="2"/>
                <w:highlight w:val="none"/>
                <w:u w:val="none" w:color="auto"/>
                <w:lang w:eastAsia="zh-CN"/>
              </w:rPr>
              <w:t>产污环节：</w:t>
            </w:r>
          </w:p>
          <w:p>
            <w:pPr>
              <w:spacing w:line="360" w:lineRule="auto"/>
              <w:ind w:firstLine="420" w:firstLineChars="200"/>
              <w:jc w:val="left"/>
              <w:rPr>
                <w:rFonts w:hint="eastAsia" w:cs="Times New Roman"/>
                <w:color w:val="auto"/>
                <w:kern w:val="2"/>
                <w:highlight w:val="none"/>
                <w:u w:val="none" w:color="auto"/>
                <w:lang w:eastAsia="zh-CN"/>
              </w:rPr>
            </w:pPr>
            <w:r>
              <w:rPr>
                <w:rFonts w:hint="eastAsia" w:cs="Times New Roman"/>
                <w:color w:val="auto"/>
                <w:kern w:val="2"/>
                <w:highlight w:val="none"/>
                <w:u w:val="none" w:color="auto"/>
                <w:lang w:eastAsia="zh-CN"/>
              </w:rPr>
              <w:t>（</w:t>
            </w:r>
            <w:r>
              <w:rPr>
                <w:rFonts w:hint="eastAsia" w:cs="Times New Roman"/>
                <w:color w:val="auto"/>
                <w:kern w:val="2"/>
                <w:highlight w:val="none"/>
                <w:u w:val="none" w:color="auto"/>
                <w:lang w:val="en-US" w:eastAsia="zh-CN"/>
              </w:rPr>
              <w:t>1</w:t>
            </w:r>
            <w:r>
              <w:rPr>
                <w:rFonts w:hint="eastAsia" w:cs="Times New Roman"/>
                <w:color w:val="auto"/>
                <w:kern w:val="2"/>
                <w:highlight w:val="none"/>
                <w:u w:val="none" w:color="auto"/>
                <w:lang w:eastAsia="zh-CN"/>
              </w:rPr>
              <w:t>）废水：施工过程中产生的生活污水、施工生产废水等。</w:t>
            </w:r>
          </w:p>
          <w:p>
            <w:pPr>
              <w:spacing w:line="360" w:lineRule="auto"/>
              <w:ind w:firstLine="420" w:firstLineChars="200"/>
              <w:jc w:val="left"/>
              <w:rPr>
                <w:rFonts w:hint="eastAsia" w:cs="Times New Roman"/>
                <w:color w:val="auto"/>
                <w:kern w:val="2"/>
                <w:highlight w:val="none"/>
                <w:u w:val="none" w:color="auto"/>
                <w:lang w:eastAsia="zh-CN"/>
              </w:rPr>
            </w:pPr>
            <w:r>
              <w:rPr>
                <w:rFonts w:hint="eastAsia" w:cs="Times New Roman"/>
                <w:color w:val="auto"/>
                <w:kern w:val="2"/>
                <w:highlight w:val="none"/>
                <w:u w:val="none" w:color="auto"/>
                <w:lang w:eastAsia="zh-CN"/>
              </w:rPr>
              <w:t>（</w:t>
            </w:r>
            <w:r>
              <w:rPr>
                <w:rFonts w:hint="eastAsia" w:cs="Times New Roman"/>
                <w:color w:val="auto"/>
                <w:kern w:val="2"/>
                <w:highlight w:val="none"/>
                <w:u w:val="none" w:color="auto"/>
                <w:lang w:val="en-US" w:eastAsia="zh-CN"/>
              </w:rPr>
              <w:t>2</w:t>
            </w:r>
            <w:r>
              <w:rPr>
                <w:rFonts w:hint="eastAsia" w:cs="Times New Roman"/>
                <w:color w:val="auto"/>
                <w:kern w:val="2"/>
                <w:highlight w:val="none"/>
                <w:u w:val="none" w:color="auto"/>
                <w:lang w:eastAsia="zh-CN"/>
              </w:rPr>
              <w:t>）废气：施工扬尘、交通运输扬尘、施工机械尾气、装修废气等。</w:t>
            </w:r>
          </w:p>
          <w:p>
            <w:pPr>
              <w:spacing w:line="360" w:lineRule="auto"/>
              <w:ind w:firstLine="420" w:firstLineChars="200"/>
              <w:jc w:val="left"/>
              <w:rPr>
                <w:rFonts w:hint="eastAsia" w:cs="Times New Roman"/>
                <w:color w:val="auto"/>
                <w:kern w:val="2"/>
                <w:highlight w:val="none"/>
                <w:u w:val="none" w:color="auto"/>
                <w:lang w:eastAsia="zh-CN"/>
              </w:rPr>
            </w:pPr>
            <w:r>
              <w:rPr>
                <w:rFonts w:hint="eastAsia" w:cs="Times New Roman"/>
                <w:color w:val="auto"/>
                <w:kern w:val="2"/>
                <w:highlight w:val="none"/>
                <w:u w:val="none" w:color="auto"/>
                <w:lang w:eastAsia="zh-CN"/>
              </w:rPr>
              <w:t>（</w:t>
            </w:r>
            <w:r>
              <w:rPr>
                <w:rFonts w:hint="eastAsia" w:cs="Times New Roman"/>
                <w:color w:val="auto"/>
                <w:kern w:val="2"/>
                <w:highlight w:val="none"/>
                <w:u w:val="none" w:color="auto"/>
                <w:lang w:val="en-US" w:eastAsia="zh-CN"/>
              </w:rPr>
              <w:t>3</w:t>
            </w:r>
            <w:r>
              <w:rPr>
                <w:rFonts w:hint="eastAsia" w:cs="Times New Roman"/>
                <w:color w:val="auto"/>
                <w:kern w:val="2"/>
                <w:highlight w:val="none"/>
                <w:u w:val="none" w:color="auto"/>
                <w:lang w:eastAsia="zh-CN"/>
              </w:rPr>
              <w:t>）噪声：施工机械噪声、施工作业噪声和运输车辆噪声等。</w:t>
            </w:r>
          </w:p>
          <w:p>
            <w:pPr>
              <w:spacing w:line="360" w:lineRule="auto"/>
              <w:ind w:firstLine="420" w:firstLineChars="200"/>
              <w:jc w:val="left"/>
              <w:rPr>
                <w:rFonts w:hint="eastAsia" w:cs="Times New Roman"/>
                <w:color w:val="auto"/>
                <w:kern w:val="2"/>
                <w:highlight w:val="none"/>
                <w:u w:val="none" w:color="auto"/>
                <w:lang w:eastAsia="zh-CN"/>
              </w:rPr>
            </w:pPr>
            <w:r>
              <w:rPr>
                <w:rFonts w:hint="eastAsia" w:cs="Times New Roman"/>
                <w:color w:val="auto"/>
                <w:kern w:val="2"/>
                <w:highlight w:val="none"/>
                <w:u w:val="none" w:color="auto"/>
                <w:lang w:eastAsia="zh-CN"/>
              </w:rPr>
              <w:t>（</w:t>
            </w:r>
            <w:r>
              <w:rPr>
                <w:rFonts w:hint="eastAsia" w:cs="Times New Roman"/>
                <w:color w:val="auto"/>
                <w:kern w:val="2"/>
                <w:highlight w:val="none"/>
                <w:u w:val="none" w:color="auto"/>
                <w:lang w:val="en-US" w:eastAsia="zh-CN"/>
              </w:rPr>
              <w:t>4</w:t>
            </w:r>
            <w:r>
              <w:rPr>
                <w:rFonts w:hint="eastAsia" w:cs="Times New Roman"/>
                <w:color w:val="auto"/>
                <w:kern w:val="2"/>
                <w:highlight w:val="none"/>
                <w:u w:val="none" w:color="auto"/>
                <w:lang w:eastAsia="zh-CN"/>
              </w:rPr>
              <w:t>）固废：建筑垃圾、施工生活垃圾等。</w:t>
            </w:r>
          </w:p>
          <w:p>
            <w:pPr>
              <w:spacing w:line="360" w:lineRule="auto"/>
              <w:ind w:firstLine="422" w:firstLineChars="200"/>
              <w:rPr>
                <w:rFonts w:hint="default" w:ascii="Times New Roman" w:hAnsi="Times New Roman" w:cs="Times New Roman"/>
                <w:b/>
                <w:bCs/>
                <w:color w:val="auto"/>
                <w:szCs w:val="21"/>
                <w:highlight w:val="none"/>
                <w:u w:val="none" w:color="auto"/>
              </w:rPr>
            </w:pPr>
            <w:r>
              <w:rPr>
                <w:rFonts w:hint="eastAsia" w:cs="Times New Roman"/>
                <w:b/>
                <w:bCs/>
                <w:color w:val="auto"/>
                <w:szCs w:val="21"/>
                <w:highlight w:val="none"/>
                <w:u w:val="none" w:color="auto"/>
                <w:lang w:val="en-US" w:eastAsia="zh-CN"/>
              </w:rPr>
              <w:t>2、</w:t>
            </w:r>
            <w:r>
              <w:rPr>
                <w:rFonts w:hint="default" w:ascii="Times New Roman" w:hAnsi="Times New Roman" w:cs="Times New Roman"/>
                <w:b/>
                <w:bCs/>
                <w:color w:val="auto"/>
                <w:szCs w:val="21"/>
                <w:highlight w:val="none"/>
                <w:u w:val="none" w:color="auto"/>
              </w:rPr>
              <w:t>运营期</w:t>
            </w:r>
          </w:p>
          <w:p>
            <w:pPr>
              <w:spacing w:line="360" w:lineRule="auto"/>
              <w:ind w:firstLine="480"/>
              <w:rPr>
                <w:rFonts w:hint="eastAsia" w:cs="Times New Roman"/>
                <w:color w:val="auto"/>
                <w:kern w:val="2"/>
                <w:highlight w:val="none"/>
                <w:u w:val="none" w:color="auto"/>
                <w:lang w:val="en-US" w:eastAsia="zh-CN"/>
              </w:rPr>
            </w:pPr>
            <w:r>
              <w:rPr>
                <w:rFonts w:hint="eastAsia" w:cs="Times New Roman"/>
                <w:color w:val="auto"/>
                <w:kern w:val="2"/>
                <w:highlight w:val="none"/>
                <w:u w:val="none" w:color="auto"/>
                <w:lang w:val="en-US" w:eastAsia="zh-CN"/>
              </w:rPr>
              <w:t>本项目工艺主要包括煤炭卸船、煤炭储存、火车装车、装船四部分内容，工艺流程图见图2-1。</w:t>
            </w:r>
          </w:p>
          <w:p>
            <w:pPr>
              <w:spacing w:line="360" w:lineRule="auto"/>
              <w:jc w:val="center"/>
              <w:rPr>
                <w:rFonts w:hint="eastAsia" w:cs="Times New Roman"/>
                <w:color w:val="0000FF"/>
                <w:kern w:val="2"/>
                <w:highlight w:val="none"/>
                <w:u w:val="none" w:color="auto"/>
                <w:lang w:eastAsia="zh-CN"/>
              </w:rPr>
            </w:pPr>
            <w:r>
              <w:rPr>
                <w:rFonts w:hint="eastAsia" w:cs="Times New Roman"/>
                <w:color w:val="0000FF"/>
                <w:kern w:val="2"/>
                <w:highlight w:val="none"/>
                <w:u w:val="none" w:color="auto"/>
                <w:lang w:eastAsia="zh-CN"/>
              </w:rPr>
              <w:object>
                <v:shape id="_x0000_i1027" o:spt="75" type="#_x0000_t75" style="height:270.75pt;width:295.5pt;" o:ole="t" filled="f" o:preferrelative="t" stroked="f" coordsize="21600,21600">
                  <v:path/>
                  <v:fill on="f" focussize="0,0"/>
                  <v:stroke on="f"/>
                  <v:imagedata r:id="rId13" o:title=""/>
                  <o:lock v:ext="edit" aspectratio="f"/>
                  <w10:wrap type="none"/>
                  <w10:anchorlock/>
                </v:shape>
                <o:OLEObject Type="Embed" ProgID="Visio.Drawing.11" ShapeID="_x0000_i1027" DrawAspect="Content" ObjectID="_1468075727" r:id="rId12">
                  <o:LockedField>false</o:LockedField>
                </o:OLEObject>
              </w:object>
            </w:r>
          </w:p>
          <w:p>
            <w:pPr>
              <w:pStyle w:val="52"/>
              <w:ind w:left="0" w:leftChars="0"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图2-</w:t>
            </w:r>
            <w:r>
              <w:rPr>
                <w:rFonts w:hint="eastAsia" w:ascii="Times New Roman" w:hAnsi="Times New Roman" w:cs="Times New Roman"/>
                <w:b/>
                <w:color w:val="auto"/>
                <w:sz w:val="21"/>
                <w:szCs w:val="21"/>
                <w:highlight w:val="none"/>
                <w:u w:val="none" w:color="auto"/>
                <w:lang w:val="en-US" w:eastAsia="zh-CN"/>
              </w:rPr>
              <w:t>1</w:t>
            </w:r>
            <w:r>
              <w:rPr>
                <w:rFonts w:hint="default" w:ascii="Times New Roman" w:hAnsi="Times New Roman" w:eastAsia="宋体" w:cs="Times New Roman"/>
                <w:b/>
                <w:color w:val="auto"/>
                <w:sz w:val="21"/>
                <w:szCs w:val="21"/>
                <w:highlight w:val="none"/>
                <w:u w:val="none" w:color="auto"/>
                <w:lang w:val="en-US" w:eastAsia="zh-CN"/>
              </w:rPr>
              <w:t xml:space="preserve">  </w:t>
            </w:r>
            <w:r>
              <w:rPr>
                <w:rFonts w:hint="eastAsia" w:ascii="Times New Roman" w:hAnsi="Times New Roman" w:cs="Times New Roman"/>
                <w:b/>
                <w:color w:val="auto"/>
                <w:sz w:val="21"/>
                <w:szCs w:val="21"/>
                <w:highlight w:val="none"/>
                <w:u w:val="none" w:color="auto"/>
                <w:lang w:val="en-US" w:eastAsia="zh-CN"/>
              </w:rPr>
              <w:t>本项目</w:t>
            </w:r>
            <w:r>
              <w:rPr>
                <w:rFonts w:hint="default" w:ascii="Times New Roman" w:hAnsi="Times New Roman" w:eastAsia="宋体" w:cs="Times New Roman"/>
                <w:b/>
                <w:color w:val="auto"/>
                <w:sz w:val="21"/>
                <w:szCs w:val="21"/>
                <w:highlight w:val="none"/>
                <w:u w:val="none" w:color="auto"/>
              </w:rPr>
              <w:t>工艺流程图</w:t>
            </w:r>
          </w:p>
          <w:p>
            <w:pPr>
              <w:spacing w:line="360" w:lineRule="auto"/>
              <w:ind w:firstLine="480"/>
              <w:rPr>
                <w:rFonts w:hint="eastAsia" w:cs="Times New Roman"/>
                <w:color w:val="auto"/>
                <w:kern w:val="2"/>
                <w:highlight w:val="none"/>
                <w:u w:val="none" w:color="auto"/>
                <w:lang w:val="en-US" w:eastAsia="zh-CN"/>
              </w:rPr>
            </w:pPr>
            <w:r>
              <w:rPr>
                <w:rFonts w:hint="eastAsia" w:cs="Times New Roman"/>
                <w:color w:val="auto"/>
                <w:kern w:val="2"/>
                <w:highlight w:val="none"/>
                <w:u w:val="none" w:color="auto"/>
                <w:lang w:val="en-US" w:eastAsia="zh-CN"/>
              </w:rPr>
              <w:t>工艺流程说明：</w:t>
            </w:r>
          </w:p>
          <w:p>
            <w:pPr>
              <w:spacing w:line="360" w:lineRule="auto"/>
              <w:ind w:firstLine="480"/>
              <w:rPr>
                <w:rFonts w:hint="default" w:ascii="Times New Roman" w:hAnsi="Times New Roman" w:eastAsia="宋体" w:cs="Times New Roman"/>
                <w:color w:val="auto"/>
                <w:kern w:val="2"/>
                <w:highlight w:val="none"/>
                <w:u w:val="none" w:color="auto"/>
                <w:lang w:val="en-US" w:eastAsia="zh-CN"/>
              </w:rPr>
            </w:pPr>
            <w:r>
              <w:rPr>
                <w:rFonts w:hint="eastAsia" w:cs="Times New Roman"/>
                <w:color w:val="auto"/>
                <w:kern w:val="2"/>
                <w:highlight w:val="none"/>
                <w:u w:val="none" w:color="auto"/>
                <w:lang w:eastAsia="zh-CN"/>
              </w:rPr>
              <w:t>（</w:t>
            </w:r>
            <w:r>
              <w:rPr>
                <w:rFonts w:hint="eastAsia" w:cs="Times New Roman"/>
                <w:color w:val="auto"/>
                <w:kern w:val="2"/>
                <w:highlight w:val="none"/>
                <w:u w:val="none" w:color="auto"/>
                <w:lang w:val="en-US" w:eastAsia="zh-CN"/>
              </w:rPr>
              <w:t>1</w:t>
            </w:r>
            <w:r>
              <w:rPr>
                <w:rFonts w:hint="eastAsia" w:cs="Times New Roman"/>
                <w:color w:val="auto"/>
                <w:kern w:val="2"/>
                <w:highlight w:val="none"/>
                <w:u w:val="none" w:color="auto"/>
                <w:lang w:eastAsia="zh-CN"/>
              </w:rPr>
              <w:t>）</w:t>
            </w:r>
            <w:r>
              <w:rPr>
                <w:rFonts w:hint="eastAsia" w:cs="Times New Roman"/>
                <w:color w:val="auto"/>
                <w:kern w:val="2"/>
                <w:highlight w:val="none"/>
                <w:u w:val="none" w:color="auto"/>
                <w:lang w:val="en-US" w:eastAsia="zh-CN"/>
              </w:rPr>
              <w:t>煤炭卸船</w:t>
            </w:r>
          </w:p>
          <w:p>
            <w:pPr>
              <w:spacing w:line="360" w:lineRule="auto"/>
              <w:ind w:firstLine="480"/>
              <w:rPr>
                <w:rFonts w:hint="default" w:ascii="Times New Roman" w:hAnsi="Times New Roman" w:eastAsia="宋体" w:cs="Times New Roman"/>
                <w:color w:val="auto"/>
                <w:kern w:val="2"/>
                <w:highlight w:val="none"/>
                <w:u w:val="none" w:color="auto"/>
                <w:lang w:eastAsia="zh-CN"/>
              </w:rPr>
            </w:pPr>
            <w:r>
              <w:rPr>
                <w:rFonts w:hint="eastAsia" w:cs="Times New Roman"/>
                <w:color w:val="auto"/>
                <w:kern w:val="2"/>
                <w:highlight w:val="none"/>
                <w:u w:val="none" w:color="auto"/>
                <w:lang w:val="en-US" w:eastAsia="zh-CN"/>
              </w:rPr>
              <w:t>本项目来煤全部为水路，依托虞公港散货码头工程。煤炭卸船依托码头卸船系统，卸船采用三套1000t/h-25m桥式抓斗卸船机，将船上煤炭卸料至码头转载点。带式输送单套卸船能力为1000t/h，合计卸船能力3000t/h，年运行330天，每天24小时。</w:t>
            </w:r>
          </w:p>
          <w:p>
            <w:pPr>
              <w:spacing w:line="360" w:lineRule="auto"/>
              <w:ind w:firstLine="480"/>
              <w:rPr>
                <w:rFonts w:hint="default" w:ascii="Times New Roman" w:hAnsi="Times New Roman" w:eastAsia="宋体" w:cs="Times New Roman"/>
                <w:color w:val="auto"/>
                <w:kern w:val="2"/>
                <w:highlight w:val="none"/>
                <w:u w:val="none" w:color="auto"/>
                <w:lang w:val="en-US" w:eastAsia="zh-CN"/>
              </w:rPr>
            </w:pPr>
            <w:r>
              <w:rPr>
                <w:rFonts w:hint="eastAsia" w:cs="Times New Roman"/>
                <w:color w:val="auto"/>
                <w:kern w:val="2"/>
                <w:highlight w:val="none"/>
                <w:u w:val="none" w:color="auto"/>
                <w:lang w:eastAsia="zh-CN"/>
              </w:rPr>
              <w:t>（</w:t>
            </w:r>
            <w:r>
              <w:rPr>
                <w:rFonts w:hint="eastAsia" w:cs="Times New Roman"/>
                <w:color w:val="auto"/>
                <w:kern w:val="2"/>
                <w:highlight w:val="none"/>
                <w:u w:val="none" w:color="auto"/>
                <w:lang w:val="en-US" w:eastAsia="zh-CN"/>
              </w:rPr>
              <w:t>2</w:t>
            </w:r>
            <w:r>
              <w:rPr>
                <w:rFonts w:hint="eastAsia" w:cs="Times New Roman"/>
                <w:color w:val="auto"/>
                <w:kern w:val="2"/>
                <w:highlight w:val="none"/>
                <w:u w:val="none" w:color="auto"/>
                <w:lang w:eastAsia="zh-CN"/>
              </w:rPr>
              <w:t>）</w:t>
            </w:r>
            <w:r>
              <w:rPr>
                <w:rFonts w:hint="eastAsia" w:cs="Times New Roman"/>
                <w:color w:val="auto"/>
                <w:kern w:val="2"/>
                <w:highlight w:val="none"/>
                <w:u w:val="none" w:color="auto"/>
                <w:lang w:val="en-US" w:eastAsia="zh-CN"/>
              </w:rPr>
              <w:t>煤炭输送</w:t>
            </w:r>
          </w:p>
          <w:p>
            <w:pPr>
              <w:spacing w:line="360" w:lineRule="auto"/>
              <w:ind w:firstLine="480"/>
              <w:rPr>
                <w:rFonts w:hint="eastAsia" w:cs="Times New Roman"/>
                <w:color w:val="auto"/>
                <w:kern w:val="2"/>
                <w:highlight w:val="none"/>
                <w:u w:val="none" w:color="auto"/>
                <w:lang w:val="en-US" w:eastAsia="zh-CN"/>
              </w:rPr>
            </w:pPr>
            <w:r>
              <w:rPr>
                <w:rFonts w:hint="eastAsia" w:cs="Times New Roman"/>
                <w:color w:val="auto"/>
                <w:kern w:val="2"/>
                <w:highlight w:val="none"/>
                <w:u w:val="none" w:color="auto"/>
                <w:lang w:val="en-US" w:eastAsia="zh-CN"/>
              </w:rPr>
              <w:t>来料输送：</w:t>
            </w:r>
            <w:r>
              <w:rPr>
                <w:rFonts w:hint="eastAsia" w:ascii="Times New Roman" w:hAnsi="Times New Roman" w:cs="Times New Roman"/>
                <w:color w:val="auto"/>
                <w:kern w:val="2"/>
                <w:highlight w:val="none"/>
                <w:u w:val="none" w:color="auto"/>
                <w:lang w:val="en-US" w:eastAsia="zh-CN"/>
              </w:rPr>
              <w:t>虞公港</w:t>
            </w:r>
            <w:r>
              <w:rPr>
                <w:rFonts w:hint="default" w:ascii="Times New Roman" w:hAnsi="Times New Roman" w:eastAsia="宋体" w:cs="Times New Roman"/>
                <w:color w:val="auto"/>
                <w:kern w:val="2"/>
                <w:highlight w:val="none"/>
                <w:u w:val="none" w:color="auto"/>
                <w:lang w:eastAsia="zh-CN"/>
              </w:rPr>
              <w:t>码头转载点</w:t>
            </w:r>
            <w:r>
              <w:rPr>
                <w:rFonts w:hint="eastAsia" w:cs="Times New Roman"/>
                <w:color w:val="auto"/>
                <w:kern w:val="2"/>
                <w:highlight w:val="none"/>
                <w:u w:val="none" w:color="auto"/>
                <w:lang w:eastAsia="zh-CN"/>
              </w:rPr>
              <w:t>至散货泊位区转载点</w:t>
            </w:r>
            <w:r>
              <w:rPr>
                <w:rFonts w:hint="default" w:ascii="Times New Roman" w:hAnsi="Times New Roman" w:eastAsia="宋体" w:cs="Times New Roman"/>
                <w:color w:val="auto"/>
                <w:kern w:val="2"/>
                <w:highlight w:val="none"/>
                <w:u w:val="none" w:color="auto"/>
                <w:lang w:eastAsia="zh-CN"/>
              </w:rPr>
              <w:t>并行布置</w:t>
            </w:r>
            <w:r>
              <w:rPr>
                <w:rFonts w:hint="eastAsia" w:ascii="Times New Roman" w:hAnsi="Times New Roman" w:cs="Times New Roman"/>
                <w:color w:val="auto"/>
                <w:kern w:val="2"/>
                <w:highlight w:val="none"/>
                <w:u w:val="none" w:color="auto"/>
                <w:lang w:val="en-US" w:eastAsia="zh-CN"/>
              </w:rPr>
              <w:t>有</w:t>
            </w:r>
            <w:r>
              <w:rPr>
                <w:rFonts w:hint="default" w:ascii="Times New Roman" w:hAnsi="Times New Roman" w:eastAsia="宋体" w:cs="Times New Roman"/>
                <w:color w:val="auto"/>
                <w:kern w:val="2"/>
                <w:highlight w:val="none"/>
                <w:u w:val="none" w:color="auto"/>
                <w:lang w:eastAsia="zh-CN"/>
              </w:rPr>
              <w:t>3条2000t/h带式输送机，2条用于煤炭输入，1条用于码头装船。</w:t>
            </w:r>
            <w:r>
              <w:rPr>
                <w:rFonts w:hint="eastAsia" w:cs="Times New Roman"/>
                <w:color w:val="auto"/>
                <w:kern w:val="2"/>
                <w:highlight w:val="none"/>
                <w:u w:val="none" w:color="auto"/>
                <w:lang w:eastAsia="zh-CN"/>
              </w:rPr>
              <w:t>在</w:t>
            </w:r>
            <w:r>
              <w:rPr>
                <w:rFonts w:hint="eastAsia" w:ascii="Times New Roman" w:hAnsi="Times New Roman" w:cs="Times New Roman"/>
                <w:color w:val="auto"/>
                <w:kern w:val="2"/>
                <w:highlight w:val="none"/>
                <w:u w:val="none" w:color="auto"/>
                <w:lang w:val="en-US" w:eastAsia="zh-CN"/>
              </w:rPr>
              <w:t>虞公港</w:t>
            </w:r>
            <w:r>
              <w:rPr>
                <w:rFonts w:hint="eastAsia" w:cs="Times New Roman"/>
                <w:color w:val="auto"/>
                <w:kern w:val="2"/>
                <w:highlight w:val="none"/>
                <w:u w:val="none" w:color="auto"/>
                <w:lang w:val="en-US" w:eastAsia="zh-CN"/>
              </w:rPr>
              <w:t>散货</w:t>
            </w:r>
            <w:r>
              <w:rPr>
                <w:rFonts w:hint="default" w:ascii="Times New Roman" w:hAnsi="Times New Roman" w:eastAsia="宋体" w:cs="Times New Roman"/>
                <w:color w:val="auto"/>
                <w:kern w:val="2"/>
                <w:highlight w:val="none"/>
                <w:u w:val="none" w:color="auto"/>
                <w:lang w:eastAsia="zh-CN"/>
              </w:rPr>
              <w:t>码头</w:t>
            </w:r>
            <w:r>
              <w:rPr>
                <w:rFonts w:hint="default" w:ascii="Times New Roman" w:hAnsi="Times New Roman" w:cs="Times New Roman"/>
                <w:color w:val="auto"/>
                <w:sz w:val="21"/>
                <w:szCs w:val="21"/>
                <w:u w:val="none" w:color="auto"/>
                <w:lang w:val="en-US" w:eastAsia="zh-CN"/>
              </w:rPr>
              <w:t>转载点</w:t>
            </w:r>
            <w:r>
              <w:rPr>
                <w:rFonts w:hint="eastAsia" w:cs="Times New Roman"/>
                <w:color w:val="auto"/>
                <w:sz w:val="21"/>
                <w:szCs w:val="21"/>
                <w:u w:val="none" w:color="auto"/>
                <w:lang w:val="en-US" w:eastAsia="zh-CN"/>
              </w:rPr>
              <w:t>至散货泊位区</w:t>
            </w:r>
            <w:r>
              <w:rPr>
                <w:rFonts w:hint="default" w:ascii="Times New Roman" w:hAnsi="Times New Roman" w:cs="Times New Roman"/>
                <w:color w:val="auto"/>
                <w:sz w:val="21"/>
                <w:szCs w:val="21"/>
                <w:u w:val="none" w:color="auto"/>
                <w:lang w:val="en-US" w:eastAsia="zh-CN"/>
              </w:rPr>
              <w:t>转载点</w:t>
            </w:r>
            <w:r>
              <w:rPr>
                <w:rFonts w:hint="eastAsia" w:cs="Times New Roman"/>
                <w:color w:val="auto"/>
                <w:sz w:val="21"/>
                <w:szCs w:val="21"/>
                <w:u w:val="none" w:color="auto"/>
                <w:lang w:val="en-US" w:eastAsia="zh-CN"/>
              </w:rPr>
              <w:t>的</w:t>
            </w:r>
            <w:r>
              <w:rPr>
                <w:rFonts w:hint="eastAsia" w:cs="Times New Roman"/>
                <w:color w:val="auto"/>
                <w:kern w:val="2"/>
                <w:highlight w:val="none"/>
                <w:u w:val="none" w:color="auto"/>
                <w:lang w:val="en-US" w:eastAsia="zh-CN"/>
              </w:rPr>
              <w:t>每条</w:t>
            </w:r>
            <w:r>
              <w:rPr>
                <w:rFonts w:hint="default" w:ascii="Times New Roman" w:hAnsi="Times New Roman" w:cs="Times New Roman"/>
                <w:color w:val="auto"/>
                <w:sz w:val="21"/>
                <w:szCs w:val="21"/>
                <w:u w:val="none" w:color="auto"/>
                <w:lang w:val="en-US" w:eastAsia="zh-CN"/>
              </w:rPr>
              <w:t>带式输送机</w:t>
            </w:r>
            <w:r>
              <w:rPr>
                <w:rFonts w:hint="eastAsia" w:cs="Times New Roman"/>
                <w:color w:val="auto"/>
                <w:kern w:val="2"/>
                <w:highlight w:val="none"/>
                <w:u w:val="none" w:color="auto"/>
                <w:lang w:val="en-US" w:eastAsia="zh-CN"/>
              </w:rPr>
              <w:t>上设置2台犁式卸料器，将煤炭卸料至T11转载点。本项目新建转载点（T12、T13、T14）及相应带式输送机将T11转载点煤炭输送至本项目3#、4#储煤场。依托</w:t>
            </w:r>
            <w:r>
              <w:rPr>
                <w:rFonts w:hint="eastAsia" w:ascii="Times New Roman" w:hAnsi="Times New Roman" w:cs="Times New Roman"/>
                <w:color w:val="auto"/>
                <w:kern w:val="2"/>
                <w:highlight w:val="none"/>
                <w:u w:val="none" w:color="auto"/>
                <w:lang w:val="en-US" w:eastAsia="zh-CN"/>
              </w:rPr>
              <w:t>虞公港</w:t>
            </w:r>
            <w:r>
              <w:rPr>
                <w:rFonts w:hint="eastAsia" w:cs="Times New Roman"/>
                <w:color w:val="auto"/>
                <w:kern w:val="2"/>
                <w:highlight w:val="none"/>
                <w:u w:val="none" w:color="auto"/>
                <w:lang w:val="en-US" w:eastAsia="zh-CN"/>
              </w:rPr>
              <w:t>散货</w:t>
            </w:r>
            <w:r>
              <w:rPr>
                <w:rFonts w:hint="default" w:ascii="Times New Roman" w:hAnsi="Times New Roman" w:eastAsia="宋体" w:cs="Times New Roman"/>
                <w:color w:val="auto"/>
                <w:kern w:val="2"/>
                <w:highlight w:val="none"/>
                <w:u w:val="none" w:color="auto"/>
                <w:lang w:eastAsia="zh-CN"/>
              </w:rPr>
              <w:t>码头</w:t>
            </w:r>
            <w:r>
              <w:rPr>
                <w:rFonts w:hint="default" w:ascii="Times New Roman" w:hAnsi="Times New Roman" w:eastAsia="宋体" w:cs="Times New Roman"/>
                <w:color w:val="auto"/>
                <w:u w:val="none" w:color="auto"/>
                <w:lang w:val="ru-RU" w:eastAsia="zh-CN"/>
              </w:rPr>
              <w:t>入储煤场带式输送机输送能力为2000t/h，2套，合计入储输送能力为4000t/h</w:t>
            </w:r>
            <w:r>
              <w:rPr>
                <w:rFonts w:hint="eastAsia" w:cs="Times New Roman"/>
                <w:color w:val="auto"/>
                <w:u w:val="none" w:color="auto"/>
                <w:lang w:val="ru-RU" w:eastAsia="zh-CN"/>
              </w:rPr>
              <w:t>。</w:t>
            </w:r>
          </w:p>
          <w:p>
            <w:pPr>
              <w:spacing w:line="360" w:lineRule="auto"/>
              <w:ind w:firstLine="480"/>
              <w:rPr>
                <w:rFonts w:hint="default" w:ascii="Times New Roman" w:hAnsi="Times New Roman" w:eastAsia="宋体" w:cs="Times New Roman"/>
                <w:b w:val="0"/>
                <w:bCs w:val="0"/>
                <w:color w:val="auto"/>
                <w:sz w:val="21"/>
                <w:szCs w:val="21"/>
                <w:u w:val="none" w:color="auto"/>
                <w:lang w:val="en-US" w:eastAsia="zh-CN"/>
              </w:rPr>
            </w:pPr>
            <w:r>
              <w:rPr>
                <w:rFonts w:hint="eastAsia" w:cs="Times New Roman"/>
                <w:color w:val="auto"/>
                <w:kern w:val="2"/>
                <w:highlight w:val="none"/>
                <w:u w:val="none" w:color="auto"/>
                <w:lang w:val="en-US" w:eastAsia="zh-CN"/>
              </w:rPr>
              <w:t>水路出料输送：本项目3#、4#储煤场煤炭</w:t>
            </w:r>
            <w:r>
              <w:rPr>
                <w:rFonts w:hint="default" w:ascii="Times New Roman" w:hAnsi="Times New Roman" w:eastAsia="宋体" w:cs="Times New Roman"/>
                <w:b w:val="0"/>
                <w:bCs w:val="0"/>
                <w:color w:val="auto"/>
                <w:sz w:val="21"/>
                <w:szCs w:val="21"/>
                <w:u w:val="none" w:color="auto"/>
                <w:lang w:val="en-US" w:eastAsia="zh-CN"/>
              </w:rPr>
              <w:t>通过</w:t>
            </w:r>
            <w:r>
              <w:rPr>
                <w:rFonts w:hint="eastAsia" w:cs="Times New Roman"/>
                <w:color w:val="auto"/>
                <w:kern w:val="2"/>
                <w:highlight w:val="none"/>
                <w:u w:val="none" w:color="auto"/>
                <w:lang w:val="en-US" w:eastAsia="zh-CN"/>
              </w:rPr>
              <w:t>新建的</w:t>
            </w:r>
            <w:r>
              <w:rPr>
                <w:rFonts w:hint="default" w:ascii="Times New Roman" w:hAnsi="Times New Roman" w:eastAsia="宋体" w:cs="Times New Roman"/>
                <w:b w:val="0"/>
                <w:bCs w:val="0"/>
                <w:color w:val="auto"/>
                <w:sz w:val="21"/>
                <w:szCs w:val="21"/>
                <w:u w:val="none" w:color="auto"/>
                <w:lang w:val="en-US" w:eastAsia="zh-CN"/>
              </w:rPr>
              <w:t>转载点</w:t>
            </w:r>
            <w:r>
              <w:rPr>
                <w:rFonts w:hint="eastAsia" w:cs="Times New Roman"/>
                <w:b w:val="0"/>
                <w:bCs w:val="0"/>
                <w:color w:val="auto"/>
                <w:sz w:val="21"/>
                <w:szCs w:val="21"/>
                <w:u w:val="none" w:color="auto"/>
                <w:lang w:val="en-US" w:eastAsia="zh-CN"/>
              </w:rPr>
              <w:t>（T16、T17）及相应</w:t>
            </w:r>
            <w:r>
              <w:rPr>
                <w:rFonts w:hint="eastAsia" w:cs="Times New Roman"/>
                <w:color w:val="auto"/>
                <w:kern w:val="2"/>
                <w:highlight w:val="none"/>
                <w:u w:val="none" w:color="auto"/>
                <w:lang w:val="en-US" w:eastAsia="zh-CN"/>
              </w:rPr>
              <w:t>带式输送机输送</w:t>
            </w:r>
            <w:r>
              <w:rPr>
                <w:rFonts w:hint="default" w:ascii="Times New Roman" w:hAnsi="Times New Roman" w:eastAsia="宋体" w:cs="Times New Roman"/>
                <w:b w:val="0"/>
                <w:bCs w:val="0"/>
                <w:color w:val="auto"/>
                <w:sz w:val="21"/>
                <w:szCs w:val="21"/>
                <w:u w:val="none" w:color="auto"/>
                <w:lang w:val="en-US" w:eastAsia="zh-CN"/>
              </w:rPr>
              <w:t>进入</w:t>
            </w:r>
            <w:r>
              <w:rPr>
                <w:rFonts w:hint="eastAsia" w:cs="Times New Roman"/>
                <w:b w:val="0"/>
                <w:bCs w:val="0"/>
                <w:color w:val="auto"/>
                <w:sz w:val="21"/>
                <w:szCs w:val="21"/>
                <w:u w:val="none" w:color="auto"/>
                <w:lang w:val="en-US" w:eastAsia="zh-CN"/>
              </w:rPr>
              <w:t>虞公港</w:t>
            </w:r>
            <w:r>
              <w:rPr>
                <w:rFonts w:hint="default" w:ascii="Times New Roman" w:hAnsi="Times New Roman" w:eastAsia="宋体" w:cs="Times New Roman"/>
                <w:b w:val="0"/>
                <w:bCs w:val="0"/>
                <w:color w:val="auto"/>
                <w:sz w:val="21"/>
                <w:szCs w:val="21"/>
                <w:u w:val="none" w:color="auto"/>
                <w:lang w:val="en-US" w:eastAsia="zh-CN"/>
              </w:rPr>
              <w:t>T15转载点，</w:t>
            </w:r>
            <w:r>
              <w:rPr>
                <w:rFonts w:hint="eastAsia" w:cs="Times New Roman"/>
                <w:b w:val="0"/>
                <w:bCs w:val="0"/>
                <w:color w:val="auto"/>
                <w:sz w:val="21"/>
                <w:szCs w:val="21"/>
                <w:u w:val="none" w:color="auto"/>
                <w:lang w:val="en-US" w:eastAsia="zh-CN"/>
              </w:rPr>
              <w:t>依托</w:t>
            </w:r>
            <w:r>
              <w:rPr>
                <w:rFonts w:hint="eastAsia" w:ascii="Times New Roman" w:hAnsi="Times New Roman" w:cs="Times New Roman"/>
                <w:color w:val="auto"/>
                <w:kern w:val="2"/>
                <w:highlight w:val="none"/>
                <w:u w:val="none" w:color="auto"/>
                <w:lang w:val="en-US" w:eastAsia="zh-CN"/>
              </w:rPr>
              <w:t>虞公港</w:t>
            </w:r>
            <w:r>
              <w:rPr>
                <w:rFonts w:hint="default" w:ascii="Times New Roman" w:hAnsi="Times New Roman" w:eastAsia="宋体" w:cs="Times New Roman"/>
                <w:color w:val="auto"/>
                <w:kern w:val="2"/>
                <w:highlight w:val="none"/>
                <w:u w:val="none" w:color="auto"/>
                <w:lang w:eastAsia="zh-CN"/>
              </w:rPr>
              <w:t>码头</w:t>
            </w:r>
            <w:r>
              <w:rPr>
                <w:rFonts w:hint="eastAsia" w:cs="Times New Roman"/>
                <w:color w:val="auto"/>
                <w:kern w:val="2"/>
                <w:highlight w:val="none"/>
                <w:u w:val="none" w:color="auto"/>
                <w:lang w:eastAsia="zh-CN"/>
              </w:rPr>
              <w:t>带式输送机输及</w:t>
            </w:r>
            <w:r>
              <w:rPr>
                <w:rFonts w:hint="eastAsia" w:cs="Times New Roman"/>
                <w:color w:val="auto"/>
                <w:kern w:val="2"/>
                <w:highlight w:val="none"/>
                <w:u w:val="none" w:color="auto"/>
                <w:lang w:val="en-US" w:eastAsia="zh-CN"/>
              </w:rPr>
              <w:t>转载点</w:t>
            </w:r>
            <w:r>
              <w:rPr>
                <w:rFonts w:hint="eastAsia" w:cs="Times New Roman"/>
                <w:color w:val="auto"/>
                <w:kern w:val="2"/>
                <w:highlight w:val="none"/>
                <w:u w:val="none" w:color="auto"/>
                <w:lang w:eastAsia="zh-CN"/>
              </w:rPr>
              <w:t>送至</w:t>
            </w:r>
            <w:r>
              <w:rPr>
                <w:rFonts w:hint="eastAsia" w:ascii="Times New Roman" w:hAnsi="Times New Roman" w:cs="Times New Roman"/>
                <w:color w:val="auto"/>
                <w:kern w:val="2"/>
                <w:highlight w:val="none"/>
                <w:u w:val="none" w:color="auto"/>
                <w:lang w:val="en-US" w:eastAsia="zh-CN"/>
              </w:rPr>
              <w:t>虞公港</w:t>
            </w:r>
            <w:r>
              <w:rPr>
                <w:rFonts w:hint="eastAsia" w:cs="Times New Roman"/>
                <w:color w:val="auto"/>
                <w:kern w:val="2"/>
                <w:highlight w:val="none"/>
                <w:u w:val="none" w:color="auto"/>
                <w:lang w:eastAsia="zh-CN"/>
              </w:rPr>
              <w:t>码头，</w:t>
            </w:r>
            <w:r>
              <w:rPr>
                <w:rFonts w:hint="eastAsia" w:cs="Times New Roman"/>
                <w:color w:val="auto"/>
                <w:u w:val="none" w:color="auto"/>
                <w:lang w:val="ru-RU" w:eastAsia="zh-CN"/>
              </w:rPr>
              <w:t>出料</w:t>
            </w:r>
            <w:r>
              <w:rPr>
                <w:rFonts w:hint="default" w:ascii="Times New Roman" w:hAnsi="Times New Roman" w:eastAsia="宋体" w:cs="Times New Roman"/>
                <w:color w:val="auto"/>
                <w:u w:val="none" w:color="auto"/>
                <w:lang w:val="ru-RU" w:eastAsia="zh-CN"/>
              </w:rPr>
              <w:t>输送能力为</w:t>
            </w:r>
            <w:r>
              <w:rPr>
                <w:rFonts w:hint="eastAsia" w:cs="Times New Roman"/>
                <w:color w:val="auto"/>
                <w:u w:val="none" w:color="auto"/>
                <w:lang w:val="en-US" w:eastAsia="zh-CN"/>
              </w:rPr>
              <w:t>2</w:t>
            </w:r>
            <w:r>
              <w:rPr>
                <w:rFonts w:hint="default" w:ascii="Times New Roman" w:hAnsi="Times New Roman" w:eastAsia="宋体" w:cs="Times New Roman"/>
                <w:color w:val="auto"/>
                <w:u w:val="none" w:color="auto"/>
                <w:lang w:val="ru-RU" w:eastAsia="zh-CN"/>
              </w:rPr>
              <w:t>000t/h</w:t>
            </w:r>
            <w:r>
              <w:rPr>
                <w:rFonts w:hint="default" w:ascii="Times New Roman" w:hAnsi="Times New Roman" w:eastAsia="宋体" w:cs="Times New Roman"/>
                <w:b w:val="0"/>
                <w:bCs w:val="0"/>
                <w:color w:val="auto"/>
                <w:sz w:val="21"/>
                <w:szCs w:val="21"/>
                <w:u w:val="none" w:color="auto"/>
                <w:lang w:val="en-US" w:eastAsia="zh-CN"/>
              </w:rPr>
              <w:t>。</w:t>
            </w:r>
          </w:p>
          <w:p>
            <w:pPr>
              <w:spacing w:line="360" w:lineRule="auto"/>
              <w:ind w:firstLine="480"/>
              <w:rPr>
                <w:rFonts w:hint="default" w:cs="Times New Roman"/>
                <w:color w:val="auto"/>
                <w:kern w:val="2"/>
                <w:highlight w:val="none"/>
                <w:u w:val="none" w:color="auto"/>
                <w:lang w:val="en-US" w:eastAsia="zh-CN"/>
              </w:rPr>
            </w:pPr>
            <w:r>
              <w:rPr>
                <w:rFonts w:hint="eastAsia" w:cs="Times New Roman"/>
                <w:b w:val="0"/>
                <w:bCs w:val="0"/>
                <w:color w:val="auto"/>
                <w:sz w:val="21"/>
                <w:szCs w:val="21"/>
                <w:u w:val="none" w:color="auto"/>
                <w:lang w:val="en-US" w:eastAsia="zh-CN"/>
              </w:rPr>
              <w:t>铁路出料输送：本项目</w:t>
            </w:r>
            <w:r>
              <w:rPr>
                <w:rFonts w:hint="eastAsia" w:cs="Times New Roman"/>
                <w:color w:val="auto"/>
                <w:kern w:val="2"/>
                <w:highlight w:val="none"/>
                <w:u w:val="none" w:color="auto"/>
                <w:lang w:val="en-US" w:eastAsia="zh-CN"/>
              </w:rPr>
              <w:t>3#、4#储煤场煤炭</w:t>
            </w:r>
            <w:r>
              <w:rPr>
                <w:rFonts w:hint="default" w:ascii="Times New Roman" w:hAnsi="Times New Roman" w:eastAsia="宋体" w:cs="Times New Roman"/>
                <w:b w:val="0"/>
                <w:bCs w:val="0"/>
                <w:color w:val="auto"/>
                <w:sz w:val="21"/>
                <w:szCs w:val="21"/>
                <w:u w:val="none" w:color="auto"/>
                <w:lang w:val="en-US" w:eastAsia="zh-CN"/>
              </w:rPr>
              <w:t>通过</w:t>
            </w:r>
            <w:r>
              <w:rPr>
                <w:rFonts w:hint="eastAsia" w:cs="Times New Roman"/>
                <w:color w:val="auto"/>
                <w:kern w:val="2"/>
                <w:highlight w:val="none"/>
                <w:u w:val="none" w:color="auto"/>
                <w:lang w:val="en-US" w:eastAsia="zh-CN"/>
              </w:rPr>
              <w:t>新建的</w:t>
            </w:r>
            <w:r>
              <w:rPr>
                <w:rFonts w:hint="default" w:ascii="Times New Roman" w:hAnsi="Times New Roman" w:eastAsia="宋体" w:cs="Times New Roman"/>
                <w:b w:val="0"/>
                <w:bCs w:val="0"/>
                <w:color w:val="auto"/>
                <w:sz w:val="21"/>
                <w:szCs w:val="21"/>
                <w:u w:val="none" w:color="auto"/>
                <w:lang w:val="en-US" w:eastAsia="zh-CN"/>
              </w:rPr>
              <w:t>转载点</w:t>
            </w:r>
            <w:r>
              <w:rPr>
                <w:rFonts w:hint="eastAsia" w:cs="Times New Roman"/>
                <w:b w:val="0"/>
                <w:bCs w:val="0"/>
                <w:color w:val="auto"/>
                <w:sz w:val="21"/>
                <w:szCs w:val="21"/>
                <w:u w:val="none" w:color="auto"/>
                <w:lang w:val="en-US" w:eastAsia="zh-CN"/>
              </w:rPr>
              <w:t>（T16、T17）及相应</w:t>
            </w:r>
            <w:r>
              <w:rPr>
                <w:rFonts w:hint="eastAsia" w:cs="Times New Roman"/>
                <w:color w:val="auto"/>
                <w:kern w:val="2"/>
                <w:highlight w:val="none"/>
                <w:u w:val="none" w:color="auto"/>
                <w:lang w:val="en-US" w:eastAsia="zh-CN"/>
              </w:rPr>
              <w:t>带式输送机输送</w:t>
            </w:r>
            <w:r>
              <w:rPr>
                <w:rFonts w:hint="default" w:ascii="Times New Roman" w:hAnsi="Times New Roman" w:eastAsia="宋体" w:cs="Times New Roman"/>
                <w:b w:val="0"/>
                <w:bCs w:val="0"/>
                <w:color w:val="auto"/>
                <w:sz w:val="21"/>
                <w:szCs w:val="21"/>
                <w:u w:val="none" w:color="auto"/>
                <w:lang w:val="en-US" w:eastAsia="zh-CN"/>
              </w:rPr>
              <w:t>进入</w:t>
            </w:r>
            <w:r>
              <w:rPr>
                <w:rFonts w:hint="eastAsia" w:cs="Times New Roman"/>
                <w:b w:val="0"/>
                <w:bCs w:val="0"/>
                <w:color w:val="auto"/>
                <w:sz w:val="21"/>
                <w:szCs w:val="21"/>
                <w:u w:val="none" w:color="auto"/>
                <w:lang w:val="en-US" w:eastAsia="zh-CN"/>
              </w:rPr>
              <w:t>虞公港</w:t>
            </w:r>
            <w:r>
              <w:rPr>
                <w:rFonts w:hint="default" w:ascii="Times New Roman" w:hAnsi="Times New Roman" w:eastAsia="宋体" w:cs="Times New Roman"/>
                <w:b w:val="0"/>
                <w:bCs w:val="0"/>
                <w:color w:val="auto"/>
                <w:sz w:val="21"/>
                <w:szCs w:val="21"/>
                <w:u w:val="none" w:color="auto"/>
                <w:lang w:val="en-US" w:eastAsia="zh-CN"/>
              </w:rPr>
              <w:t>T</w:t>
            </w:r>
            <w:r>
              <w:rPr>
                <w:rFonts w:hint="eastAsia" w:cs="Times New Roman"/>
                <w:b w:val="0"/>
                <w:bCs w:val="0"/>
                <w:color w:val="auto"/>
                <w:sz w:val="21"/>
                <w:szCs w:val="21"/>
                <w:u w:val="none" w:color="auto"/>
                <w:lang w:val="en-US" w:eastAsia="zh-CN"/>
              </w:rPr>
              <w:t>8转载点，依托虞公港T8、T6</w:t>
            </w:r>
            <w:r>
              <w:rPr>
                <w:rFonts w:hint="default" w:ascii="Times New Roman" w:hAnsi="Times New Roman" w:eastAsia="宋体" w:cs="Times New Roman"/>
                <w:b w:val="0"/>
                <w:bCs w:val="0"/>
                <w:color w:val="auto"/>
                <w:sz w:val="21"/>
                <w:szCs w:val="21"/>
                <w:u w:val="none" w:color="auto"/>
                <w:lang w:val="en-US" w:eastAsia="zh-CN"/>
              </w:rPr>
              <w:t>转载点</w:t>
            </w:r>
            <w:r>
              <w:rPr>
                <w:rFonts w:hint="eastAsia" w:cs="Times New Roman"/>
                <w:b w:val="0"/>
                <w:bCs w:val="0"/>
                <w:color w:val="auto"/>
                <w:sz w:val="21"/>
                <w:szCs w:val="21"/>
                <w:u w:val="none" w:color="auto"/>
                <w:lang w:val="en-US" w:eastAsia="zh-CN"/>
              </w:rPr>
              <w:t>及</w:t>
            </w:r>
            <w:r>
              <w:rPr>
                <w:rFonts w:hint="eastAsia" w:cs="Times New Roman"/>
                <w:color w:val="auto"/>
                <w:kern w:val="2"/>
                <w:highlight w:val="none"/>
                <w:u w:val="none" w:color="auto"/>
                <w:lang w:eastAsia="zh-CN"/>
              </w:rPr>
              <w:t>带式输送机送至</w:t>
            </w:r>
            <w:r>
              <w:rPr>
                <w:rFonts w:hint="eastAsia" w:ascii="Times New Roman" w:hAnsi="Times New Roman" w:cs="Times New Roman"/>
                <w:color w:val="auto"/>
                <w:kern w:val="2"/>
                <w:highlight w:val="none"/>
                <w:u w:val="none" w:color="auto"/>
                <w:lang w:val="en-US" w:eastAsia="zh-CN"/>
              </w:rPr>
              <w:t>虞公港</w:t>
            </w:r>
            <w:r>
              <w:rPr>
                <w:rFonts w:hint="eastAsia" w:cs="Times New Roman"/>
                <w:color w:val="auto"/>
                <w:kern w:val="2"/>
                <w:highlight w:val="none"/>
                <w:u w:val="none" w:color="auto"/>
                <w:lang w:eastAsia="zh-CN"/>
              </w:rPr>
              <w:t>火车装车系统，</w:t>
            </w:r>
            <w:r>
              <w:rPr>
                <w:rFonts w:hint="eastAsia" w:cs="Times New Roman"/>
                <w:color w:val="auto"/>
                <w:u w:val="none" w:color="auto"/>
                <w:lang w:val="ru-RU" w:eastAsia="zh-CN"/>
              </w:rPr>
              <w:t>出料</w:t>
            </w:r>
            <w:r>
              <w:rPr>
                <w:rFonts w:hint="default" w:ascii="Times New Roman" w:hAnsi="Times New Roman" w:eastAsia="宋体" w:cs="Times New Roman"/>
                <w:color w:val="auto"/>
                <w:u w:val="none" w:color="auto"/>
                <w:lang w:val="ru-RU" w:eastAsia="zh-CN"/>
              </w:rPr>
              <w:t>输送能力为</w:t>
            </w:r>
            <w:r>
              <w:rPr>
                <w:rFonts w:hint="eastAsia" w:cs="Times New Roman"/>
                <w:color w:val="auto"/>
                <w:u w:val="none" w:color="auto"/>
                <w:lang w:val="en-US" w:eastAsia="zh-CN"/>
              </w:rPr>
              <w:t>3</w:t>
            </w:r>
            <w:r>
              <w:rPr>
                <w:rFonts w:hint="default" w:ascii="Times New Roman" w:hAnsi="Times New Roman" w:eastAsia="宋体" w:cs="Times New Roman"/>
                <w:color w:val="auto"/>
                <w:u w:val="none" w:color="auto"/>
                <w:lang w:val="ru-RU" w:eastAsia="zh-CN"/>
              </w:rPr>
              <w:t>000t/h</w:t>
            </w:r>
            <w:r>
              <w:rPr>
                <w:rFonts w:hint="eastAsia" w:cs="Times New Roman"/>
                <w:color w:val="auto"/>
                <w:u w:val="none" w:color="auto"/>
                <w:lang w:val="ru-RU" w:eastAsia="zh-CN"/>
              </w:rPr>
              <w:t>。</w:t>
            </w:r>
          </w:p>
          <w:p>
            <w:pPr>
              <w:spacing w:line="360" w:lineRule="auto"/>
              <w:ind w:firstLine="480"/>
              <w:rPr>
                <w:rFonts w:hint="eastAsia" w:cs="Times New Roman"/>
                <w:color w:val="auto"/>
                <w:kern w:val="2"/>
                <w:highlight w:val="none"/>
                <w:u w:val="none" w:color="auto"/>
                <w:lang w:val="en-US" w:eastAsia="zh-CN"/>
              </w:rPr>
            </w:pPr>
            <w:r>
              <w:rPr>
                <w:rFonts w:hint="eastAsia" w:cs="Times New Roman"/>
                <w:color w:val="auto"/>
                <w:kern w:val="2"/>
                <w:highlight w:val="none"/>
                <w:u w:val="none" w:color="auto"/>
                <w:lang w:eastAsia="zh-CN"/>
              </w:rPr>
              <w:t>（</w:t>
            </w:r>
            <w:r>
              <w:rPr>
                <w:rFonts w:hint="eastAsia" w:cs="Times New Roman"/>
                <w:color w:val="auto"/>
                <w:kern w:val="2"/>
                <w:highlight w:val="none"/>
                <w:u w:val="none" w:color="auto"/>
                <w:lang w:val="en-US" w:eastAsia="zh-CN"/>
              </w:rPr>
              <w:t>4</w:t>
            </w:r>
            <w:r>
              <w:rPr>
                <w:rFonts w:hint="eastAsia" w:cs="Times New Roman"/>
                <w:color w:val="auto"/>
                <w:kern w:val="2"/>
                <w:highlight w:val="none"/>
                <w:u w:val="none" w:color="auto"/>
                <w:lang w:eastAsia="zh-CN"/>
              </w:rPr>
              <w:t>）</w:t>
            </w:r>
            <w:r>
              <w:rPr>
                <w:rFonts w:hint="eastAsia" w:cs="Times New Roman"/>
                <w:color w:val="auto"/>
                <w:kern w:val="2"/>
                <w:highlight w:val="none"/>
                <w:u w:val="none" w:color="auto"/>
                <w:lang w:val="en-US" w:eastAsia="zh-CN"/>
              </w:rPr>
              <w:t>煤炭堆、取料</w:t>
            </w:r>
          </w:p>
          <w:p>
            <w:pPr>
              <w:spacing w:line="360" w:lineRule="auto"/>
              <w:ind w:firstLine="480"/>
              <w:rPr>
                <w:rFonts w:hint="default" w:cs="Times New Roman"/>
                <w:color w:val="auto"/>
                <w:kern w:val="2"/>
                <w:highlight w:val="none"/>
                <w:u w:val="none" w:color="auto"/>
                <w:lang w:val="en-US" w:eastAsia="zh-CN"/>
              </w:rPr>
            </w:pPr>
            <w:r>
              <w:rPr>
                <w:rFonts w:hint="eastAsia" w:cs="Times New Roman"/>
                <w:color w:val="auto"/>
                <w:kern w:val="2"/>
                <w:highlight w:val="none"/>
                <w:u w:val="none" w:color="auto"/>
                <w:lang w:val="en-US" w:eastAsia="zh-CN"/>
              </w:rPr>
              <w:t>本项目每个储煤场</w:t>
            </w:r>
            <w:r>
              <w:rPr>
                <w:rFonts w:hint="eastAsia" w:ascii="Times New Roman" w:hAnsi="Times New Roman" w:cs="Times New Roman"/>
                <w:color w:val="auto"/>
                <w:kern w:val="2"/>
                <w:highlight w:val="none"/>
                <w:u w:val="none" w:color="auto"/>
                <w:lang w:val="en-US" w:eastAsia="zh-CN"/>
              </w:rPr>
              <w:t>布置2台DQL2000/3000.40</w:t>
            </w:r>
            <w:r>
              <w:rPr>
                <w:rFonts w:hint="default" w:ascii="Times New Roman" w:hAnsi="Times New Roman" w:cs="Times New Roman"/>
                <w:color w:val="auto"/>
                <w:kern w:val="2"/>
                <w:highlight w:val="none"/>
                <w:u w:val="none" w:color="auto"/>
                <w:lang w:val="en-US" w:eastAsia="zh-CN"/>
              </w:rPr>
              <w:t>斗轮堆取料机</w:t>
            </w:r>
            <w:r>
              <w:rPr>
                <w:rFonts w:hint="eastAsia" w:ascii="Times New Roman" w:hAnsi="Times New Roman" w:cs="Times New Roman"/>
                <w:color w:val="auto"/>
                <w:kern w:val="2"/>
                <w:highlight w:val="none"/>
                <w:u w:val="none" w:color="auto"/>
                <w:lang w:val="en-US" w:eastAsia="zh-CN"/>
              </w:rPr>
              <w:t>，</w:t>
            </w:r>
            <w:r>
              <w:rPr>
                <w:rFonts w:hint="default" w:ascii="Times New Roman" w:hAnsi="Times New Roman" w:cs="Times New Roman"/>
                <w:color w:val="auto"/>
                <w:kern w:val="2"/>
                <w:highlight w:val="none"/>
                <w:u w:val="none" w:color="auto"/>
                <w:lang w:val="en-US" w:eastAsia="zh-CN"/>
              </w:rPr>
              <w:t>回转半径为40m</w:t>
            </w:r>
            <w:r>
              <w:rPr>
                <w:rFonts w:hint="eastAsia" w:cs="Times New Roman"/>
                <w:color w:val="auto"/>
                <w:kern w:val="2"/>
                <w:highlight w:val="none"/>
                <w:u w:val="none" w:color="auto"/>
                <w:lang w:val="en-US" w:eastAsia="zh-CN"/>
              </w:rPr>
              <w:t>。通过斗轮堆取料机进行煤炭入储煤棚堆存和出场取料。</w:t>
            </w:r>
          </w:p>
          <w:p>
            <w:pPr>
              <w:spacing w:line="360" w:lineRule="auto"/>
              <w:ind w:firstLine="480"/>
              <w:rPr>
                <w:rFonts w:hint="eastAsia" w:cs="Times New Roman"/>
                <w:color w:val="auto"/>
                <w:kern w:val="2"/>
                <w:highlight w:val="none"/>
                <w:u w:val="none" w:color="auto"/>
                <w:lang w:val="en-US" w:eastAsia="zh-CN"/>
              </w:rPr>
            </w:pPr>
            <w:r>
              <w:rPr>
                <w:rFonts w:hint="eastAsia" w:cs="Times New Roman"/>
                <w:color w:val="auto"/>
                <w:kern w:val="2"/>
                <w:highlight w:val="none"/>
                <w:u w:val="none" w:color="auto"/>
                <w:lang w:val="en-US" w:eastAsia="zh-CN"/>
              </w:rPr>
              <w:t>（5）煤炭储存</w:t>
            </w:r>
          </w:p>
          <w:p>
            <w:pPr>
              <w:spacing w:line="360" w:lineRule="auto"/>
              <w:ind w:firstLine="480"/>
              <w:rPr>
                <w:rFonts w:hint="eastAsia" w:ascii="Times New Roman" w:hAnsi="Times New Roman" w:cs="Times New Roman"/>
                <w:color w:val="auto"/>
                <w:kern w:val="2"/>
                <w:highlight w:val="none"/>
                <w:u w:val="none" w:color="auto"/>
                <w:lang w:val="en-US" w:eastAsia="zh-CN"/>
              </w:rPr>
            </w:pPr>
            <w:r>
              <w:rPr>
                <w:rFonts w:hint="eastAsia" w:ascii="Times New Roman" w:hAnsi="Times New Roman" w:cs="Times New Roman"/>
                <w:color w:val="auto"/>
                <w:kern w:val="2"/>
                <w:highlight w:val="none"/>
                <w:u w:val="none" w:color="auto"/>
                <w:lang w:val="en-US" w:eastAsia="zh-CN"/>
              </w:rPr>
              <w:t>本项目设置2座储煤场（3#、4#），为</w:t>
            </w:r>
            <w:r>
              <w:rPr>
                <w:rFonts w:hint="default" w:ascii="Times New Roman" w:hAnsi="Times New Roman" w:eastAsia="宋体" w:cs="Times New Roman"/>
                <w:color w:val="auto"/>
                <w:kern w:val="2"/>
                <w:highlight w:val="none"/>
                <w:u w:val="none" w:color="auto"/>
                <w:lang w:eastAsia="zh-CN"/>
              </w:rPr>
              <w:t>长条形煤堆场</w:t>
            </w:r>
            <w:r>
              <w:rPr>
                <w:rFonts w:hint="eastAsia" w:ascii="Times New Roman" w:hAnsi="Times New Roman" w:cs="Times New Roman"/>
                <w:color w:val="auto"/>
                <w:kern w:val="2"/>
                <w:highlight w:val="none"/>
                <w:u w:val="none" w:color="auto"/>
                <w:lang w:eastAsia="zh-CN"/>
              </w:rPr>
              <w:t>，单座有效场容30万t，</w:t>
            </w:r>
            <w:r>
              <w:rPr>
                <w:rFonts w:hint="default" w:ascii="Times New Roman" w:hAnsi="Times New Roman" w:eastAsia="宋体" w:cs="Times New Roman"/>
                <w:color w:val="auto"/>
                <w:kern w:val="2"/>
                <w:highlight w:val="none"/>
                <w:u w:val="none" w:color="auto"/>
                <w:lang w:eastAsia="zh-CN"/>
              </w:rPr>
              <w:t>静态储煤能力</w:t>
            </w:r>
            <w:r>
              <w:rPr>
                <w:rFonts w:hint="eastAsia" w:ascii="Times New Roman" w:hAnsi="Times New Roman" w:cs="Times New Roman"/>
                <w:color w:val="auto"/>
                <w:kern w:val="2"/>
                <w:highlight w:val="none"/>
                <w:u w:val="none" w:color="auto"/>
                <w:lang w:val="en-US" w:eastAsia="zh-CN"/>
              </w:rPr>
              <w:t>合计</w:t>
            </w:r>
            <w:r>
              <w:rPr>
                <w:rFonts w:hint="default" w:ascii="Times New Roman" w:hAnsi="Times New Roman" w:eastAsia="宋体" w:cs="Times New Roman"/>
                <w:color w:val="auto"/>
                <w:kern w:val="2"/>
                <w:highlight w:val="none"/>
                <w:u w:val="none" w:color="auto"/>
                <w:lang w:eastAsia="zh-CN"/>
              </w:rPr>
              <w:t>为60</w:t>
            </w:r>
            <w:r>
              <w:rPr>
                <w:rFonts w:hint="default" w:ascii="Times New Roman" w:hAnsi="Times New Roman" w:cs="Times New Roman"/>
                <w:color w:val="auto"/>
                <w:kern w:val="2"/>
                <w:highlight w:val="none"/>
                <w:u w:val="none" w:color="auto"/>
                <w:lang w:val="en-US" w:eastAsia="zh-CN"/>
              </w:rPr>
              <w:t>万t，呈东西向布置。单座储煤场长430m，煤场宽度为110m，压实堆煤高度15.65m，非压实堆煤高度18m，堆积角度为38°</w:t>
            </w:r>
            <w:r>
              <w:rPr>
                <w:rFonts w:hint="eastAsia" w:ascii="Times New Roman" w:hAnsi="Times New Roman" w:cs="Times New Roman"/>
                <w:color w:val="auto"/>
                <w:kern w:val="2"/>
                <w:highlight w:val="none"/>
                <w:u w:val="none" w:color="auto"/>
                <w:lang w:val="en-US" w:eastAsia="zh-CN"/>
              </w:rPr>
              <w:t>。储煤场采用钢骨架膜结构封闭。每个储煤棚可储存4堆煤，煤堆与储煤棚设计间距为4m的安全通道，煤堆之间的间距为10m。</w:t>
            </w:r>
          </w:p>
          <w:p>
            <w:pPr>
              <w:spacing w:line="360" w:lineRule="auto"/>
              <w:ind w:firstLine="480"/>
              <w:rPr>
                <w:rFonts w:hint="eastAsia" w:ascii="Times New Roman" w:hAnsi="Times New Roman" w:cs="Times New Roman"/>
                <w:color w:val="auto"/>
                <w:kern w:val="2"/>
                <w:highlight w:val="none"/>
                <w:u w:val="none" w:color="auto"/>
                <w:lang w:val="en-US" w:eastAsia="zh-CN"/>
              </w:rPr>
            </w:pPr>
            <w:r>
              <w:rPr>
                <w:rFonts w:hint="eastAsia" w:ascii="Times New Roman" w:hAnsi="Times New Roman" w:cs="Times New Roman"/>
                <w:color w:val="auto"/>
                <w:kern w:val="2"/>
                <w:highlight w:val="none"/>
                <w:u w:val="none" w:color="auto"/>
                <w:lang w:val="en-US" w:eastAsia="zh-CN"/>
              </w:rPr>
              <w:t>分层压实堆放：将煤堆分为多层，逐层压实。采用推煤机或装载机初步平整后，再反复碾压，确保煤层密实。根据煤堆高度，至少需压实5层以上，以确保整体密实度。</w:t>
            </w:r>
          </w:p>
          <w:p>
            <w:pPr>
              <w:spacing w:line="360" w:lineRule="auto"/>
              <w:ind w:firstLine="480"/>
              <w:rPr>
                <w:rFonts w:hint="eastAsia" w:ascii="Times New Roman" w:hAnsi="Times New Roman" w:cs="Times New Roman"/>
                <w:color w:val="auto"/>
                <w:kern w:val="2"/>
                <w:highlight w:val="none"/>
                <w:u w:val="none" w:color="auto"/>
                <w:lang w:val="en-US" w:eastAsia="zh-CN"/>
              </w:rPr>
            </w:pPr>
            <w:r>
              <w:rPr>
                <w:rFonts w:hint="eastAsia" w:ascii="Times New Roman" w:hAnsi="Times New Roman" w:cs="Times New Roman"/>
                <w:color w:val="auto"/>
                <w:kern w:val="2"/>
                <w:highlight w:val="none"/>
                <w:u w:val="none" w:color="auto"/>
                <w:lang w:val="en-US" w:eastAsia="zh-CN"/>
              </w:rPr>
              <w:t>压实前需将煤的含水量调整至最佳状态，过干时需洒水润湿，过湿时需翻松晾晒。确保堆积密度达到1.0～1.1 t/m</w:t>
            </w:r>
            <w:r>
              <w:rPr>
                <w:rFonts w:hint="eastAsia" w:ascii="Times New Roman" w:hAnsi="Times New Roman" w:cs="Times New Roman"/>
                <w:color w:val="auto"/>
                <w:kern w:val="2"/>
                <w:highlight w:val="none"/>
                <w:u w:val="none" w:color="auto"/>
                <w:vertAlign w:val="superscript"/>
                <w:lang w:val="en-US" w:eastAsia="zh-CN"/>
              </w:rPr>
              <w:t>3</w:t>
            </w:r>
            <w:r>
              <w:rPr>
                <w:rFonts w:hint="eastAsia" w:ascii="Times New Roman" w:hAnsi="Times New Roman" w:cs="Times New Roman"/>
                <w:color w:val="auto"/>
                <w:kern w:val="2"/>
                <w:highlight w:val="none"/>
                <w:u w:val="none" w:color="auto"/>
                <w:lang w:val="en-US" w:eastAsia="zh-CN"/>
              </w:rPr>
              <w:t>。</w:t>
            </w:r>
          </w:p>
          <w:p>
            <w:pPr>
              <w:spacing w:line="360" w:lineRule="auto"/>
              <w:ind w:firstLine="480"/>
              <w:rPr>
                <w:rFonts w:hint="default" w:ascii="Times New Roman" w:hAnsi="Times New Roman" w:cs="Times New Roman"/>
                <w:color w:val="auto"/>
                <w:kern w:val="2"/>
                <w:highlight w:val="none"/>
                <w:u w:val="none" w:color="auto"/>
                <w:lang w:val="en-US" w:eastAsia="zh-CN"/>
              </w:rPr>
            </w:pPr>
            <w:r>
              <w:rPr>
                <w:rFonts w:hint="eastAsia" w:ascii="Times New Roman" w:hAnsi="Times New Roman" w:cs="Times New Roman"/>
                <w:color w:val="auto"/>
                <w:kern w:val="2"/>
                <w:highlight w:val="none"/>
                <w:u w:val="none" w:color="auto"/>
                <w:lang w:val="en-US" w:eastAsia="zh-CN"/>
              </w:rPr>
              <w:t>通过喷洒煤氧抑制剂来抑制煤氧化反应，预防煤自燃。在压实后喷涂阻封材料，形成0.2～3毫米厚的致密防护膜，形成罩盖，进一步隔绝空气。</w:t>
            </w:r>
          </w:p>
          <w:p>
            <w:pPr>
              <w:spacing w:line="360" w:lineRule="auto"/>
              <w:ind w:firstLine="480"/>
              <w:rPr>
                <w:rFonts w:hint="eastAsia" w:cs="Times New Roman"/>
                <w:color w:val="auto"/>
                <w:kern w:val="2"/>
                <w:highlight w:val="none"/>
                <w:u w:val="none" w:color="auto"/>
                <w:lang w:val="en-US" w:eastAsia="zh-CN"/>
              </w:rPr>
            </w:pPr>
            <w:r>
              <w:rPr>
                <w:rFonts w:hint="eastAsia" w:cs="Times New Roman"/>
                <w:color w:val="auto"/>
                <w:kern w:val="2"/>
                <w:highlight w:val="none"/>
                <w:u w:val="none" w:color="auto"/>
                <w:lang w:val="en-US" w:eastAsia="zh-CN"/>
              </w:rPr>
              <w:t>（6）装船外运</w:t>
            </w:r>
          </w:p>
          <w:p>
            <w:pPr>
              <w:spacing w:line="360" w:lineRule="auto"/>
              <w:ind w:firstLine="480"/>
              <w:rPr>
                <w:rFonts w:hint="default" w:ascii="Times New Roman" w:hAnsi="Times New Roman" w:eastAsia="宋体" w:cs="Times New Roman"/>
                <w:color w:val="auto"/>
                <w:kern w:val="2"/>
                <w:highlight w:val="none"/>
                <w:u w:val="none" w:color="auto"/>
                <w:lang w:eastAsia="zh-CN"/>
              </w:rPr>
            </w:pPr>
            <w:r>
              <w:rPr>
                <w:rFonts w:hint="default" w:ascii="Times New Roman" w:hAnsi="Times New Roman" w:eastAsia="宋体" w:cs="Times New Roman"/>
                <w:color w:val="auto"/>
                <w:kern w:val="2"/>
                <w:highlight w:val="none"/>
                <w:u w:val="none" w:color="auto"/>
                <w:lang w:eastAsia="zh-CN"/>
              </w:rPr>
              <w:t>本工程外运分为装船外运</w:t>
            </w:r>
            <w:r>
              <w:rPr>
                <w:rFonts w:hint="eastAsia" w:ascii="Times New Roman" w:hAnsi="Times New Roman" w:cs="Times New Roman"/>
                <w:color w:val="auto"/>
                <w:kern w:val="2"/>
                <w:highlight w:val="none"/>
                <w:u w:val="none" w:color="auto"/>
                <w:lang w:val="en-US" w:eastAsia="zh-CN"/>
              </w:rPr>
              <w:t>和</w:t>
            </w:r>
            <w:r>
              <w:rPr>
                <w:rFonts w:hint="default" w:ascii="Times New Roman" w:hAnsi="Times New Roman" w:eastAsia="宋体" w:cs="Times New Roman"/>
                <w:color w:val="auto"/>
                <w:kern w:val="2"/>
                <w:highlight w:val="none"/>
                <w:u w:val="none" w:color="auto"/>
                <w:lang w:eastAsia="zh-CN"/>
              </w:rPr>
              <w:t>装火车外运</w:t>
            </w:r>
            <w:r>
              <w:rPr>
                <w:rFonts w:hint="eastAsia" w:ascii="Times New Roman" w:hAnsi="Times New Roman" w:cs="Times New Roman"/>
                <w:color w:val="auto"/>
                <w:kern w:val="2"/>
                <w:highlight w:val="none"/>
                <w:u w:val="none" w:color="auto"/>
                <w:lang w:eastAsia="zh-CN"/>
              </w:rPr>
              <w:t>。</w:t>
            </w:r>
            <w:r>
              <w:rPr>
                <w:rFonts w:hint="default" w:ascii="Times New Roman" w:hAnsi="Times New Roman" w:eastAsia="宋体" w:cs="Times New Roman"/>
                <w:color w:val="auto"/>
                <w:kern w:val="2"/>
                <w:highlight w:val="none"/>
                <w:u w:val="none" w:color="auto"/>
                <w:lang w:eastAsia="zh-CN"/>
              </w:rPr>
              <w:t>装船外运</w:t>
            </w:r>
            <w:r>
              <w:rPr>
                <w:rFonts w:hint="eastAsia" w:ascii="Times New Roman" w:hAnsi="Times New Roman" w:cs="Times New Roman"/>
                <w:color w:val="auto"/>
                <w:kern w:val="2"/>
                <w:highlight w:val="none"/>
                <w:u w:val="none" w:color="auto"/>
                <w:lang w:val="en-US" w:eastAsia="zh-CN"/>
              </w:rPr>
              <w:t>依托</w:t>
            </w:r>
            <w:r>
              <w:rPr>
                <w:rFonts w:hint="default" w:ascii="Times New Roman" w:hAnsi="Times New Roman" w:eastAsia="宋体" w:cs="Times New Roman"/>
                <w:color w:val="auto"/>
                <w:kern w:val="2"/>
                <w:highlight w:val="none"/>
                <w:u w:val="none" w:color="auto"/>
                <w:lang w:eastAsia="zh-CN"/>
              </w:rPr>
              <w:t>虞公港码头配置</w:t>
            </w:r>
            <w:r>
              <w:rPr>
                <w:rFonts w:hint="eastAsia" w:cs="Times New Roman"/>
                <w:color w:val="auto"/>
                <w:kern w:val="2"/>
                <w:highlight w:val="none"/>
                <w:u w:val="none" w:color="auto"/>
                <w:lang w:eastAsia="zh-CN"/>
              </w:rPr>
              <w:t>的</w:t>
            </w:r>
            <w:r>
              <w:rPr>
                <w:rFonts w:hint="default" w:ascii="Times New Roman" w:hAnsi="Times New Roman" w:eastAsia="宋体" w:cs="Times New Roman"/>
                <w:color w:val="auto"/>
                <w:kern w:val="2"/>
                <w:highlight w:val="none"/>
                <w:u w:val="none" w:color="auto"/>
                <w:lang w:eastAsia="zh-CN"/>
              </w:rPr>
              <w:t>1台SL2000t/h-18m直线移动式装船机</w:t>
            </w:r>
            <w:r>
              <w:rPr>
                <w:rFonts w:hint="eastAsia" w:ascii="Times New Roman" w:hAnsi="Times New Roman" w:cs="Times New Roman"/>
                <w:color w:val="auto"/>
                <w:kern w:val="2"/>
                <w:highlight w:val="none"/>
                <w:u w:val="none" w:color="auto"/>
                <w:lang w:val="en-US" w:eastAsia="zh-CN"/>
              </w:rPr>
              <w:t>进行装船作业</w:t>
            </w:r>
            <w:r>
              <w:rPr>
                <w:rFonts w:hint="eastAsia" w:ascii="Times New Roman" w:hAnsi="Times New Roman" w:cs="Times New Roman"/>
                <w:color w:val="auto"/>
                <w:kern w:val="2"/>
                <w:highlight w:val="none"/>
                <w:u w:val="none" w:color="auto"/>
                <w:lang w:eastAsia="zh-CN"/>
              </w:rPr>
              <w:t>，</w:t>
            </w:r>
            <w:r>
              <w:rPr>
                <w:rFonts w:hint="default" w:ascii="Times New Roman" w:hAnsi="Times New Roman" w:eastAsia="宋体" w:cs="Times New Roman"/>
                <w:color w:val="auto"/>
                <w:kern w:val="2"/>
                <w:highlight w:val="none"/>
                <w:u w:val="none" w:color="auto"/>
                <w:lang w:eastAsia="zh-CN"/>
              </w:rPr>
              <w:t>装船外运规模为200万吨/年。</w:t>
            </w:r>
            <w:r>
              <w:rPr>
                <w:rFonts w:hint="eastAsia" w:cs="Times New Roman"/>
                <w:color w:val="auto"/>
                <w:kern w:val="2"/>
                <w:highlight w:val="none"/>
                <w:u w:val="none" w:color="auto"/>
                <w:lang w:val="en-US" w:eastAsia="zh-CN"/>
              </w:rPr>
              <w:t>储煤场煤炭经T16装载点带式输送机系统输送至虞公港码头T15转载点，经转载输送至其装船系统进行装船作业，经装船机装船实现煤炭水路外运。</w:t>
            </w:r>
          </w:p>
          <w:p>
            <w:pPr>
              <w:spacing w:line="360" w:lineRule="auto"/>
              <w:ind w:firstLine="480"/>
              <w:rPr>
                <w:rFonts w:hint="eastAsia" w:cs="Times New Roman"/>
                <w:color w:val="auto"/>
                <w:kern w:val="2"/>
                <w:highlight w:val="none"/>
                <w:u w:val="none" w:color="auto"/>
                <w:lang w:val="en-US" w:eastAsia="zh-CN"/>
              </w:rPr>
            </w:pPr>
            <w:r>
              <w:rPr>
                <w:rFonts w:hint="eastAsia" w:cs="Times New Roman"/>
                <w:color w:val="auto"/>
                <w:kern w:val="2"/>
                <w:highlight w:val="none"/>
                <w:u w:val="none" w:color="auto"/>
                <w:lang w:val="en-US" w:eastAsia="zh-CN"/>
              </w:rPr>
              <w:t>（7）火车装车外运</w:t>
            </w:r>
          </w:p>
          <w:p>
            <w:pPr>
              <w:widowControl w:val="0"/>
              <w:numPr>
                <w:ilvl w:val="0"/>
                <w:numId w:val="0"/>
              </w:numPr>
              <w:spacing w:line="360" w:lineRule="auto"/>
              <w:ind w:firstLine="630" w:firstLineChars="300"/>
              <w:jc w:val="both"/>
              <w:rPr>
                <w:rFonts w:hint="eastAsia" w:cs="Times New Roman"/>
                <w:color w:val="auto"/>
                <w:kern w:val="2"/>
                <w:highlight w:val="none"/>
                <w:u w:val="none" w:color="auto"/>
                <w:lang w:val="en-US" w:eastAsia="zh-CN"/>
              </w:rPr>
            </w:pPr>
            <w:r>
              <w:rPr>
                <w:rFonts w:hint="default" w:ascii="Times New Roman" w:hAnsi="Times New Roman" w:eastAsia="宋体" w:cs="Times New Roman"/>
                <w:color w:val="auto"/>
                <w:kern w:val="2"/>
                <w:highlight w:val="none"/>
                <w:u w:val="none" w:color="auto"/>
                <w:lang w:eastAsia="zh-CN"/>
              </w:rPr>
              <w:t>火车装车系统设计能力3000t/h</w:t>
            </w:r>
            <w:r>
              <w:rPr>
                <w:rFonts w:hint="eastAsia" w:ascii="Times New Roman" w:hAnsi="Times New Roman" w:cs="Times New Roman"/>
                <w:color w:val="auto"/>
                <w:kern w:val="2"/>
                <w:highlight w:val="none"/>
                <w:u w:val="none" w:color="auto"/>
                <w:lang w:eastAsia="zh-CN"/>
              </w:rPr>
              <w:t>，</w:t>
            </w:r>
            <w:r>
              <w:rPr>
                <w:rFonts w:hint="default" w:ascii="Times New Roman" w:hAnsi="Times New Roman" w:eastAsia="宋体" w:cs="Times New Roman"/>
                <w:color w:val="auto"/>
                <w:kern w:val="2"/>
                <w:highlight w:val="none"/>
                <w:u w:val="none" w:color="auto"/>
                <w:lang w:eastAsia="zh-CN"/>
              </w:rPr>
              <w:t>装火车外运规模为440万吨/年</w:t>
            </w:r>
            <w:r>
              <w:rPr>
                <w:rFonts w:hint="eastAsia" w:ascii="Times New Roman" w:hAnsi="Times New Roman" w:cs="Times New Roman"/>
                <w:color w:val="auto"/>
                <w:kern w:val="2"/>
                <w:highlight w:val="none"/>
                <w:u w:val="none" w:color="auto"/>
                <w:lang w:eastAsia="zh-CN"/>
              </w:rPr>
              <w:t>。</w:t>
            </w:r>
            <w:r>
              <w:rPr>
                <w:rFonts w:hint="default" w:cs="Times New Roman"/>
                <w:color w:val="auto"/>
                <w:kern w:val="2"/>
                <w:highlight w:val="none"/>
                <w:u w:val="none" w:color="auto"/>
                <w:lang w:val="en-US" w:eastAsia="zh-CN"/>
              </w:rPr>
              <w:t>本项目火车装车设计至4#储煤场东侧的T17转载点，后续T17转载点至T18转载点栈桥、T18转载点至</w:t>
            </w:r>
            <w:r>
              <w:rPr>
                <w:rFonts w:hint="eastAsia" w:cs="Times New Roman"/>
                <w:color w:val="auto"/>
                <w:kern w:val="2"/>
                <w:highlight w:val="none"/>
                <w:u w:val="none" w:color="auto"/>
                <w:lang w:val="en-US" w:eastAsia="zh-CN"/>
              </w:rPr>
              <w:t>T6转载点</w:t>
            </w:r>
            <w:r>
              <w:rPr>
                <w:rFonts w:hint="default" w:cs="Times New Roman"/>
                <w:color w:val="auto"/>
                <w:kern w:val="2"/>
                <w:highlight w:val="none"/>
                <w:u w:val="none" w:color="auto"/>
                <w:lang w:val="en-US" w:eastAsia="zh-CN"/>
              </w:rPr>
              <w:t>栈桥</w:t>
            </w:r>
            <w:r>
              <w:rPr>
                <w:rFonts w:hint="eastAsia" w:cs="Times New Roman"/>
                <w:color w:val="auto"/>
                <w:kern w:val="2"/>
                <w:highlight w:val="none"/>
                <w:u w:val="none" w:color="auto"/>
                <w:lang w:val="en-US" w:eastAsia="zh-CN"/>
              </w:rPr>
              <w:t>、火车装车系统均依托虞公港工程，依托</w:t>
            </w:r>
            <w:r>
              <w:rPr>
                <w:rFonts w:hint="eastAsia" w:cs="Times New Roman"/>
                <w:b w:val="0"/>
                <w:bCs w:val="0"/>
                <w:color w:val="auto"/>
                <w:sz w:val="21"/>
                <w:szCs w:val="21"/>
                <w:u w:val="none" w:color="auto"/>
                <w:lang w:val="en-US" w:eastAsia="zh-CN"/>
              </w:rPr>
              <w:t>虞公港铁路专用线</w:t>
            </w:r>
            <w:r>
              <w:rPr>
                <w:rFonts w:hint="eastAsia" w:cs="Times New Roman"/>
                <w:color w:val="auto"/>
                <w:kern w:val="2"/>
                <w:highlight w:val="none"/>
                <w:u w:val="none" w:color="auto"/>
                <w:lang w:val="en-US" w:eastAsia="zh-CN"/>
              </w:rPr>
              <w:t>将煤炭外运。</w:t>
            </w:r>
          </w:p>
          <w:p>
            <w:pPr>
              <w:widowControl w:val="0"/>
              <w:numPr>
                <w:ilvl w:val="0"/>
                <w:numId w:val="0"/>
              </w:numPr>
              <w:spacing w:line="360" w:lineRule="auto"/>
              <w:ind w:firstLine="420" w:firstLineChars="200"/>
              <w:jc w:val="both"/>
              <w:rPr>
                <w:rFonts w:hint="default" w:cs="Times New Roman"/>
                <w:color w:val="auto"/>
                <w:kern w:val="2"/>
                <w:highlight w:val="none"/>
                <w:u w:val="none" w:color="auto"/>
                <w:lang w:val="en-US" w:eastAsia="zh-CN"/>
              </w:rPr>
            </w:pPr>
            <w:r>
              <w:rPr>
                <w:rFonts w:hint="eastAsia" w:cs="Times New Roman"/>
                <w:color w:val="auto"/>
                <w:kern w:val="2"/>
                <w:highlight w:val="none"/>
                <w:u w:val="none" w:color="auto"/>
                <w:lang w:val="en-US" w:eastAsia="zh-CN"/>
              </w:rPr>
              <w:t>定量装车站是将装车系统设在铁路上方，主要由缓冲仓、定量斗、装车溜槽和计算机控制系统等几部分组成。具有装车连续、稳定、效率高、装车精度高、自动化程度高等优点。</w:t>
            </w:r>
          </w:p>
          <w:p>
            <w:pPr>
              <w:spacing w:line="360" w:lineRule="auto"/>
              <w:ind w:firstLine="420" w:firstLineChars="200"/>
              <w:jc w:val="left"/>
              <w:rPr>
                <w:rFonts w:hint="eastAsia" w:cs="Times New Roman"/>
                <w:color w:val="auto"/>
                <w:kern w:val="2"/>
                <w:highlight w:val="none"/>
                <w:u w:val="none" w:color="auto"/>
                <w:lang w:eastAsia="zh-CN"/>
              </w:rPr>
            </w:pPr>
            <w:r>
              <w:rPr>
                <w:rFonts w:hint="eastAsia" w:cs="Times New Roman"/>
                <w:color w:val="auto"/>
                <w:kern w:val="2"/>
                <w:highlight w:val="none"/>
                <w:u w:val="none" w:color="auto"/>
                <w:lang w:eastAsia="zh-CN"/>
              </w:rPr>
              <w:t>产污环节：</w:t>
            </w:r>
          </w:p>
          <w:p>
            <w:pPr>
              <w:spacing w:line="360" w:lineRule="auto"/>
              <w:ind w:firstLine="420" w:firstLineChars="200"/>
              <w:jc w:val="left"/>
              <w:rPr>
                <w:rFonts w:hint="eastAsia" w:cs="Times New Roman"/>
                <w:color w:val="auto"/>
                <w:kern w:val="2"/>
                <w:highlight w:val="none"/>
                <w:u w:val="none" w:color="auto"/>
                <w:lang w:eastAsia="zh-CN"/>
              </w:rPr>
            </w:pPr>
            <w:r>
              <w:rPr>
                <w:rFonts w:hint="eastAsia" w:cs="Times New Roman"/>
                <w:color w:val="auto"/>
                <w:kern w:val="2"/>
                <w:highlight w:val="none"/>
                <w:u w:val="none" w:color="auto"/>
                <w:lang w:eastAsia="zh-CN"/>
              </w:rPr>
              <w:t>（</w:t>
            </w:r>
            <w:r>
              <w:rPr>
                <w:rFonts w:hint="eastAsia" w:cs="Times New Roman"/>
                <w:color w:val="auto"/>
                <w:kern w:val="2"/>
                <w:highlight w:val="none"/>
                <w:u w:val="none" w:color="auto"/>
                <w:lang w:val="en-US" w:eastAsia="zh-CN"/>
              </w:rPr>
              <w:t>1</w:t>
            </w:r>
            <w:r>
              <w:rPr>
                <w:rFonts w:hint="eastAsia" w:cs="Times New Roman"/>
                <w:color w:val="auto"/>
                <w:kern w:val="2"/>
                <w:highlight w:val="none"/>
                <w:u w:val="none" w:color="auto"/>
                <w:lang w:eastAsia="zh-CN"/>
              </w:rPr>
              <w:t>）废水：转载点地面冲洗废水、生活污水、初期雨水等。</w:t>
            </w:r>
          </w:p>
          <w:p>
            <w:pPr>
              <w:spacing w:line="360" w:lineRule="auto"/>
              <w:ind w:firstLine="420" w:firstLineChars="200"/>
              <w:jc w:val="left"/>
              <w:rPr>
                <w:rFonts w:hint="eastAsia" w:cs="Times New Roman"/>
                <w:color w:val="auto"/>
                <w:kern w:val="2"/>
                <w:highlight w:val="none"/>
                <w:u w:val="none" w:color="auto"/>
                <w:lang w:eastAsia="zh-CN"/>
              </w:rPr>
            </w:pPr>
            <w:r>
              <w:rPr>
                <w:rFonts w:hint="eastAsia" w:cs="Times New Roman"/>
                <w:color w:val="auto"/>
                <w:kern w:val="2"/>
                <w:highlight w:val="none"/>
                <w:u w:val="none" w:color="auto"/>
                <w:lang w:eastAsia="zh-CN"/>
              </w:rPr>
              <w:t>（</w:t>
            </w:r>
            <w:r>
              <w:rPr>
                <w:rFonts w:hint="eastAsia" w:cs="Times New Roman"/>
                <w:color w:val="auto"/>
                <w:kern w:val="2"/>
                <w:highlight w:val="none"/>
                <w:u w:val="none" w:color="auto"/>
                <w:lang w:val="en-US" w:eastAsia="zh-CN"/>
              </w:rPr>
              <w:t>2</w:t>
            </w:r>
            <w:r>
              <w:rPr>
                <w:rFonts w:hint="eastAsia" w:cs="Times New Roman"/>
                <w:color w:val="auto"/>
                <w:kern w:val="2"/>
                <w:highlight w:val="none"/>
                <w:u w:val="none" w:color="auto"/>
                <w:lang w:eastAsia="zh-CN"/>
              </w:rPr>
              <w:t>）废气：煤炭卸船、输送、堆取、装船、火车装车等过程产生的粉尘。</w:t>
            </w:r>
          </w:p>
          <w:p>
            <w:pPr>
              <w:spacing w:line="360" w:lineRule="auto"/>
              <w:ind w:firstLine="420" w:firstLineChars="200"/>
              <w:jc w:val="left"/>
              <w:rPr>
                <w:rFonts w:hint="eastAsia" w:cs="Times New Roman"/>
                <w:color w:val="auto"/>
                <w:kern w:val="2"/>
                <w:highlight w:val="none"/>
                <w:u w:val="none" w:color="auto"/>
                <w:lang w:eastAsia="zh-CN"/>
              </w:rPr>
            </w:pPr>
            <w:r>
              <w:rPr>
                <w:rFonts w:hint="eastAsia" w:cs="Times New Roman"/>
                <w:color w:val="auto"/>
                <w:kern w:val="2"/>
                <w:highlight w:val="none"/>
                <w:u w:val="none" w:color="auto"/>
                <w:lang w:eastAsia="zh-CN"/>
              </w:rPr>
              <w:t>（</w:t>
            </w:r>
            <w:r>
              <w:rPr>
                <w:rFonts w:hint="eastAsia" w:cs="Times New Roman"/>
                <w:color w:val="auto"/>
                <w:kern w:val="2"/>
                <w:highlight w:val="none"/>
                <w:u w:val="none" w:color="auto"/>
                <w:lang w:val="en-US" w:eastAsia="zh-CN"/>
              </w:rPr>
              <w:t>3</w:t>
            </w:r>
            <w:r>
              <w:rPr>
                <w:rFonts w:hint="eastAsia" w:cs="Times New Roman"/>
                <w:color w:val="auto"/>
                <w:kern w:val="2"/>
                <w:highlight w:val="none"/>
                <w:u w:val="none" w:color="auto"/>
                <w:lang w:eastAsia="zh-CN"/>
              </w:rPr>
              <w:t>）噪声：</w:t>
            </w:r>
            <w:r>
              <w:rPr>
                <w:rFonts w:hint="default" w:ascii="Times New Roman" w:hAnsi="Times New Roman" w:cs="Times New Roman"/>
                <w:color w:val="auto"/>
                <w:kern w:val="2"/>
                <w:highlight w:val="none"/>
                <w:u w:val="none" w:color="auto"/>
                <w:lang w:val="en-US" w:eastAsia="zh-CN"/>
              </w:rPr>
              <w:t>斗轮堆取料机</w:t>
            </w:r>
            <w:r>
              <w:rPr>
                <w:rFonts w:hint="eastAsia" w:ascii="Times New Roman" w:hAnsi="Times New Roman" w:cs="Times New Roman"/>
                <w:color w:val="auto"/>
                <w:kern w:val="2"/>
                <w:highlight w:val="none"/>
                <w:u w:val="none" w:color="auto"/>
                <w:lang w:val="en-US" w:eastAsia="zh-CN"/>
              </w:rPr>
              <w:t>等生产设备运行噪声</w:t>
            </w:r>
            <w:r>
              <w:rPr>
                <w:rFonts w:hint="eastAsia" w:cs="Times New Roman"/>
                <w:color w:val="auto"/>
                <w:kern w:val="2"/>
                <w:highlight w:val="none"/>
                <w:u w:val="none" w:color="auto"/>
                <w:lang w:eastAsia="zh-CN"/>
              </w:rPr>
              <w:t>等。</w:t>
            </w:r>
          </w:p>
          <w:p>
            <w:pPr>
              <w:spacing w:line="360" w:lineRule="auto"/>
              <w:ind w:firstLine="420" w:firstLineChars="200"/>
              <w:jc w:val="left"/>
              <w:rPr>
                <w:rFonts w:hint="default" w:ascii="Times New Roman" w:hAnsi="Times New Roman" w:cs="Times New Roman"/>
                <w:color w:val="0000FF"/>
                <w:szCs w:val="22"/>
                <w:u w:val="none" w:color="auto"/>
              </w:rPr>
            </w:pPr>
            <w:r>
              <w:rPr>
                <w:rFonts w:hint="eastAsia" w:cs="Times New Roman"/>
                <w:color w:val="auto"/>
                <w:kern w:val="2"/>
                <w:highlight w:val="none"/>
                <w:u w:val="none" w:color="auto"/>
                <w:lang w:eastAsia="zh-CN"/>
              </w:rPr>
              <w:t>（</w:t>
            </w:r>
            <w:r>
              <w:rPr>
                <w:rFonts w:hint="eastAsia" w:cs="Times New Roman"/>
                <w:color w:val="auto"/>
                <w:kern w:val="2"/>
                <w:highlight w:val="none"/>
                <w:u w:val="none" w:color="auto"/>
                <w:lang w:val="en-US" w:eastAsia="zh-CN"/>
              </w:rPr>
              <w:t>4</w:t>
            </w:r>
            <w:r>
              <w:rPr>
                <w:rFonts w:hint="eastAsia" w:cs="Times New Roman"/>
                <w:color w:val="auto"/>
                <w:kern w:val="2"/>
                <w:highlight w:val="none"/>
                <w:u w:val="none" w:color="auto"/>
                <w:lang w:eastAsia="zh-CN"/>
              </w:rPr>
              <w:t>）固废：初期雨水池沉渣、生活垃圾等。</w:t>
            </w:r>
          </w:p>
          <w:p>
            <w:pPr>
              <w:ind w:firstLine="480"/>
              <w:rPr>
                <w:rFonts w:hint="default" w:ascii="Times New Roman" w:hAnsi="Times New Roman" w:cs="Times New Roman"/>
                <w:color w:val="0000FF"/>
                <w:szCs w:val="22"/>
                <w:u w:val="none" w:color="auto"/>
              </w:rPr>
            </w:pPr>
          </w:p>
          <w:p>
            <w:pPr>
              <w:ind w:firstLine="480"/>
              <w:rPr>
                <w:rFonts w:hint="default" w:ascii="Times New Roman" w:hAnsi="Times New Roman" w:cs="Times New Roman"/>
                <w:color w:val="0000FF"/>
                <w:szCs w:val="22"/>
                <w:u w:val="none" w:color="auto"/>
              </w:rPr>
            </w:pPr>
          </w:p>
          <w:p>
            <w:pPr>
              <w:ind w:firstLine="480"/>
              <w:rPr>
                <w:rFonts w:hint="default" w:ascii="Times New Roman" w:hAnsi="Times New Roman" w:cs="Times New Roman"/>
                <w:color w:val="0000FF"/>
                <w:szCs w:val="22"/>
                <w:u w:val="none" w:color="auto"/>
              </w:rPr>
            </w:pPr>
          </w:p>
          <w:p>
            <w:pPr>
              <w:spacing w:line="360" w:lineRule="auto"/>
              <w:ind w:firstLine="465"/>
              <w:jc w:val="left"/>
              <w:rPr>
                <w:rFonts w:hint="default" w:ascii="Times New Roman" w:hAnsi="Times New Roman" w:cs="Times New Roman"/>
                <w:bCs/>
                <w:color w:val="0000FF"/>
                <w:szCs w:val="21"/>
                <w:u w:val="none" w:color="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387" w:type="dxa"/>
            <w:noWrap w:val="0"/>
            <w:vAlign w:val="center"/>
          </w:tcPr>
          <w:p>
            <w:pPr>
              <w:pStyle w:val="28"/>
              <w:adjustRightInd w:val="0"/>
              <w:snapToGrid w:val="0"/>
              <w:spacing w:before="0" w:beforeAutospacing="0" w:after="0" w:afterAutospacing="0"/>
              <w:jc w:val="center"/>
              <w:rPr>
                <w:rFonts w:hint="default" w:ascii="Times New Roman" w:hAnsi="Times New Roman" w:cs="Times New Roman"/>
                <w:color w:val="0000FF"/>
                <w:sz w:val="21"/>
                <w:szCs w:val="21"/>
                <w:u w:val="none" w:color="auto"/>
              </w:rPr>
            </w:pPr>
            <w:r>
              <w:rPr>
                <w:rFonts w:hint="default" w:ascii="Times New Roman" w:hAnsi="Times New Roman" w:cs="Times New Roman"/>
                <w:bCs/>
                <w:color w:val="auto"/>
                <w:kern w:val="2"/>
                <w:sz w:val="21"/>
                <w:szCs w:val="21"/>
                <w:u w:val="none" w:color="auto"/>
              </w:rPr>
              <w:t>与项目有关的原有环境污染问题</w:t>
            </w:r>
          </w:p>
        </w:tc>
        <w:tc>
          <w:tcPr>
            <w:tcW w:w="8673" w:type="dxa"/>
            <w:noWrap w:val="0"/>
            <w:vAlign w:val="top"/>
          </w:tcPr>
          <w:p>
            <w:pPr>
              <w:pStyle w:val="65"/>
              <w:bidi w:val="0"/>
              <w:ind w:left="0" w:leftChars="0" w:firstLine="0" w:firstLineChars="0"/>
              <w:outlineLvl w:val="9"/>
              <w:rPr>
                <w:rFonts w:hint="default" w:ascii="Times New Roman" w:hAnsi="Times New Roman" w:eastAsia="宋体" w:cs="Times New Roman"/>
                <w:b/>
                <w:bCs/>
                <w:color w:val="auto"/>
                <w:sz w:val="21"/>
                <w:szCs w:val="21"/>
                <w:u w:val="none" w:color="auto"/>
                <w:lang w:val="en-US" w:eastAsia="zh-CN"/>
              </w:rPr>
            </w:pPr>
            <w:r>
              <w:rPr>
                <w:rFonts w:hint="eastAsia" w:cs="Times New Roman"/>
                <w:b/>
                <w:bCs/>
                <w:color w:val="auto"/>
                <w:kern w:val="2"/>
                <w:sz w:val="21"/>
                <w:szCs w:val="21"/>
                <w:u w:val="none" w:color="auto"/>
                <w:lang w:val="en-US" w:eastAsia="zh-CN" w:bidi="ar-SA"/>
              </w:rPr>
              <w:t xml:space="preserve">    1、</w:t>
            </w:r>
            <w:r>
              <w:rPr>
                <w:rFonts w:hint="eastAsia" w:ascii="Times New Roman" w:hAnsi="Times New Roman" w:cs="Times New Roman"/>
                <w:b/>
                <w:bCs/>
                <w:color w:val="auto"/>
                <w:sz w:val="21"/>
                <w:szCs w:val="21"/>
                <w:u w:val="none" w:color="auto"/>
                <w:lang w:val="en-US" w:eastAsia="zh-CN"/>
              </w:rPr>
              <w:t>原有环境污染问题</w:t>
            </w:r>
          </w:p>
          <w:p>
            <w:pPr>
              <w:pStyle w:val="65"/>
              <w:bidi w:val="0"/>
              <w:outlineLvl w:val="9"/>
              <w:rPr>
                <w:rFonts w:hint="eastAsia" w:cs="Times New Roman"/>
                <w:color w:val="auto"/>
                <w:szCs w:val="21"/>
                <w:u w:val="none" w:color="auto"/>
                <w:lang w:val="en-US" w:eastAsia="zh-CN"/>
              </w:rPr>
            </w:pPr>
            <w:r>
              <w:rPr>
                <w:rFonts w:hint="eastAsia" w:cs="Times New Roman"/>
                <w:color w:val="auto"/>
                <w:szCs w:val="21"/>
                <w:u w:val="none" w:color="auto"/>
                <w:lang w:val="en-US" w:eastAsia="zh-CN"/>
              </w:rPr>
              <w:t>本项目为新建项目，地块范围内目前为耕地、林地、居民楼房等，不存在与本项目有关的原有环境污染问题。</w:t>
            </w:r>
          </w:p>
          <w:p>
            <w:pPr>
              <w:numPr>
                <w:ilvl w:val="0"/>
                <w:numId w:val="0"/>
              </w:numPr>
              <w:tabs>
                <w:tab w:val="left" w:pos="3316"/>
              </w:tabs>
              <w:spacing w:line="360" w:lineRule="auto"/>
              <w:ind w:firstLine="422" w:firstLineChars="200"/>
              <w:rPr>
                <w:rFonts w:hint="default" w:ascii="Times New Roman" w:hAnsi="Times New Roman" w:eastAsia="宋体" w:cs="Times New Roman"/>
                <w:b/>
                <w:bCs/>
                <w:color w:val="auto"/>
                <w:sz w:val="21"/>
                <w:szCs w:val="21"/>
                <w:u w:val="none" w:color="auto"/>
                <w:lang w:val="en-US" w:eastAsia="zh-CN"/>
              </w:rPr>
            </w:pPr>
            <w:r>
              <w:rPr>
                <w:rFonts w:hint="eastAsia" w:cs="Times New Roman"/>
                <w:b/>
                <w:bCs/>
                <w:color w:val="auto"/>
                <w:sz w:val="21"/>
                <w:szCs w:val="21"/>
                <w:u w:val="none" w:color="auto"/>
                <w:lang w:val="en-US" w:eastAsia="zh-CN"/>
              </w:rPr>
              <w:t>2、依托工程情况</w:t>
            </w:r>
          </w:p>
          <w:p>
            <w:pPr>
              <w:spacing w:line="360" w:lineRule="auto"/>
              <w:ind w:firstLine="420" w:firstLineChars="200"/>
              <w:rPr>
                <w:rFonts w:hint="eastAsia" w:ascii="Times New Roman" w:eastAsia="宋体" w:cs="Times New Roman"/>
                <w:color w:val="auto"/>
                <w:highlight w:val="none"/>
              </w:rPr>
            </w:pPr>
            <w:r>
              <w:rPr>
                <w:rFonts w:hint="default" w:ascii="Times New Roman" w:hAnsi="Times New Roman" w:cs="Times New Roman"/>
                <w:color w:val="auto"/>
                <w:sz w:val="21"/>
                <w:szCs w:val="21"/>
                <w:highlight w:val="none"/>
                <w:u w:val="none" w:color="auto"/>
                <w:lang w:eastAsia="zh-CN"/>
              </w:rPr>
              <w:t>湘阴港区虞公港作业区位于湘江东岸、湘阴县三塘镇吴公村，是湘阴港区重点发展的作业区</w:t>
            </w:r>
            <w:r>
              <w:rPr>
                <w:rFonts w:hint="eastAsia" w:ascii="Times New Roman" w:eastAsia="宋体" w:cs="Times New Roman"/>
                <w:color w:val="auto"/>
                <w:highlight w:val="none"/>
              </w:rPr>
              <w:t>，规划港口岸线长1620米，以内贸集装箱、散货、件杂货运输为主，主要为湘阴、湘江新区及周边地区农副产品、建材及各类加工原材料进出服务。</w:t>
            </w:r>
            <w:r>
              <w:rPr>
                <w:rFonts w:hint="default" w:ascii="Times New Roman" w:hAnsi="Times New Roman" w:cs="Times New Roman"/>
                <w:color w:val="auto"/>
                <w:sz w:val="21"/>
                <w:szCs w:val="21"/>
                <w:highlight w:val="none"/>
                <w:u w:val="none" w:color="auto"/>
                <w:lang w:eastAsia="zh-CN"/>
              </w:rPr>
              <w:t>所在航道区域属于2000t级航道，已经达到Ⅱ级航道标准，航道尺度为2.8×90×550m（水深×航宽×弯曲半径），单向通航孔10m×75m（净高×净宽），双向通航孔10m×150m（净高×净宽）。</w:t>
            </w:r>
            <w:r>
              <w:rPr>
                <w:rFonts w:hint="eastAsia" w:ascii="Times New Roman" w:eastAsia="宋体" w:cs="Times New Roman"/>
                <w:color w:val="auto"/>
                <w:highlight w:val="none"/>
              </w:rPr>
              <w:t>规划为多用途泊位区和散货泊位区。共规划港口岸线1.62公里、货运泊位12个，通过能力2800万吨（含散货2100万吨、件杂货300万吨、集装箱30万标箱），分三期建设。</w:t>
            </w:r>
          </w:p>
          <w:p>
            <w:pPr>
              <w:numPr>
                <w:ilvl w:val="0"/>
                <w:numId w:val="9"/>
              </w:numPr>
              <w:spacing w:line="360" w:lineRule="auto"/>
              <w:ind w:firstLine="420" w:firstLineChars="200"/>
              <w:rPr>
                <w:rFonts w:hint="eastAsia" w:ascii="Times New Roman" w:eastAsia="宋体" w:cs="Times New Roman"/>
                <w:color w:val="auto"/>
                <w:highlight w:val="none"/>
                <w:lang w:eastAsia="zh-CN"/>
              </w:rPr>
            </w:pPr>
            <w:r>
              <w:rPr>
                <w:rFonts w:hint="default" w:ascii="Times New Roman" w:hAnsi="Times New Roman" w:cs="Times New Roman"/>
                <w:color w:val="auto"/>
                <w:sz w:val="21"/>
                <w:szCs w:val="21"/>
                <w:highlight w:val="none"/>
                <w:u w:val="none" w:color="auto"/>
                <w:lang w:eastAsia="zh-CN"/>
              </w:rPr>
              <w:t>虞公港</w:t>
            </w:r>
            <w:r>
              <w:rPr>
                <w:rFonts w:hint="eastAsia" w:ascii="Times New Roman" w:eastAsia="宋体" w:cs="Times New Roman"/>
                <w:color w:val="auto"/>
                <w:highlight w:val="none"/>
                <w:lang w:eastAsia="zh-CN"/>
              </w:rPr>
              <w:t>一期工程</w:t>
            </w:r>
          </w:p>
          <w:p>
            <w:pPr>
              <w:numPr>
                <w:ilvl w:val="0"/>
                <w:numId w:val="0"/>
              </w:numPr>
              <w:spacing w:line="360" w:lineRule="auto"/>
              <w:ind w:firstLine="420" w:firstLineChars="200"/>
              <w:rPr>
                <w:rFonts w:hint="eastAsia" w:ascii="Times New Roman" w:eastAsia="宋体" w:cs="Times New Roman"/>
                <w:color w:val="auto"/>
                <w:highlight w:val="none"/>
                <w:lang w:eastAsia="zh-CN"/>
              </w:rPr>
            </w:pPr>
            <w:r>
              <w:rPr>
                <w:rFonts w:hint="eastAsia" w:ascii="Times New Roman" w:eastAsia="宋体" w:cs="Times New Roman"/>
                <w:color w:val="auto"/>
                <w:highlight w:val="none"/>
                <w:lang w:eastAsia="zh-CN"/>
              </w:rPr>
              <w:t>《湘阴虞公港一期工程环境影响报告书》于2022年12月5日取得岳阳市生态环境局批复（岳环评〔2022〕75号</w:t>
            </w:r>
            <w:r>
              <w:rPr>
                <w:rFonts w:hint="eastAsia" w:cs="Times New Roman"/>
                <w:color w:val="auto"/>
                <w:highlight w:val="none"/>
                <w:lang w:eastAsia="zh-CN"/>
              </w:rPr>
              <w:t>，附件</w:t>
            </w:r>
            <w:r>
              <w:rPr>
                <w:rFonts w:hint="eastAsia" w:cs="Times New Roman"/>
                <w:color w:val="auto"/>
                <w:highlight w:val="none"/>
                <w:lang w:val="en-US" w:eastAsia="zh-CN"/>
              </w:rPr>
              <w:t>6</w:t>
            </w:r>
            <w:r>
              <w:rPr>
                <w:rFonts w:hint="eastAsia" w:ascii="Times New Roman" w:eastAsia="宋体" w:cs="Times New Roman"/>
                <w:color w:val="auto"/>
                <w:highlight w:val="none"/>
                <w:lang w:eastAsia="zh-CN"/>
              </w:rPr>
              <w:t>），主要工程内容包括新建3000吨级泊位4个（水工结构兼顾5000吨级），其中多用途泊位、散货泊位各2个，占用岸线总长522m。码头主要由平台、引桥等组成，陆域生产区包括堆场、卸料仓库、火车散货装卸场、辅助生产设施及生产管理区等。设计吞吐量990万吨/年。</w:t>
            </w:r>
          </w:p>
          <w:p>
            <w:pPr>
              <w:spacing w:line="360" w:lineRule="auto"/>
              <w:ind w:firstLine="420" w:firstLineChars="200"/>
              <w:rPr>
                <w:rFonts w:hint="default" w:cs="Times New Roman"/>
                <w:color w:val="auto"/>
                <w:highlight w:val="none"/>
                <w:lang w:val="en-US" w:eastAsia="zh-CN"/>
              </w:rPr>
            </w:pPr>
            <w:r>
              <w:rPr>
                <w:rFonts w:hint="eastAsia" w:ascii="Times New Roman" w:eastAsia="宋体" w:cs="Times New Roman"/>
                <w:color w:val="auto"/>
                <w:highlight w:val="none"/>
                <w:lang w:eastAsia="zh-CN"/>
              </w:rPr>
              <w:t>一期工程于202</w:t>
            </w:r>
            <w:r>
              <w:rPr>
                <w:rFonts w:hint="eastAsia" w:cs="Times New Roman"/>
                <w:color w:val="auto"/>
                <w:highlight w:val="none"/>
                <w:lang w:val="en-US" w:eastAsia="zh-CN"/>
              </w:rPr>
              <w:t>3</w:t>
            </w:r>
            <w:r>
              <w:rPr>
                <w:rFonts w:hint="eastAsia" w:ascii="Times New Roman" w:eastAsia="宋体" w:cs="Times New Roman"/>
                <w:color w:val="auto"/>
                <w:highlight w:val="none"/>
                <w:lang w:eastAsia="zh-CN"/>
              </w:rPr>
              <w:t>年</w:t>
            </w:r>
            <w:r>
              <w:rPr>
                <w:rFonts w:hint="eastAsia" w:cs="Times New Roman"/>
                <w:color w:val="auto"/>
                <w:highlight w:val="none"/>
                <w:lang w:val="en-US" w:eastAsia="zh-CN"/>
              </w:rPr>
              <w:t>3月15日</w:t>
            </w:r>
            <w:r>
              <w:rPr>
                <w:rFonts w:hint="eastAsia" w:ascii="Times New Roman" w:eastAsia="宋体" w:cs="Times New Roman"/>
                <w:color w:val="auto"/>
                <w:highlight w:val="none"/>
                <w:lang w:eastAsia="zh-CN"/>
              </w:rPr>
              <w:t>开工建设，2024年12月</w:t>
            </w:r>
            <w:r>
              <w:rPr>
                <w:rFonts w:hint="eastAsia" w:cs="Times New Roman"/>
                <w:color w:val="auto"/>
                <w:highlight w:val="none"/>
                <w:lang w:val="en-US" w:eastAsia="zh-CN"/>
              </w:rPr>
              <w:t>20多用途泊位竣工，</w:t>
            </w:r>
            <w:r>
              <w:rPr>
                <w:rFonts w:hint="eastAsia" w:ascii="Times New Roman" w:eastAsia="宋体" w:cs="Times New Roman"/>
                <w:color w:val="auto"/>
                <w:highlight w:val="none"/>
                <w:lang w:eastAsia="zh-CN"/>
              </w:rPr>
              <w:t>2025年</w:t>
            </w:r>
            <w:r>
              <w:rPr>
                <w:rFonts w:hint="eastAsia" w:ascii="Times New Roman" w:eastAsia="宋体" w:cs="Times New Roman"/>
                <w:color w:val="auto"/>
                <w:highlight w:val="none"/>
                <w:lang w:val="en-US" w:eastAsia="zh-CN"/>
              </w:rPr>
              <w:t>3</w:t>
            </w:r>
            <w:r>
              <w:rPr>
                <w:rFonts w:hint="eastAsia" w:ascii="Times New Roman" w:eastAsia="宋体" w:cs="Times New Roman"/>
                <w:color w:val="auto"/>
                <w:highlight w:val="none"/>
                <w:lang w:eastAsia="zh-CN"/>
              </w:rPr>
              <w:t>月</w:t>
            </w:r>
            <w:r>
              <w:rPr>
                <w:rFonts w:hint="eastAsia" w:ascii="Times New Roman" w:eastAsia="宋体" w:cs="Times New Roman"/>
                <w:color w:val="auto"/>
                <w:highlight w:val="none"/>
                <w:lang w:val="en-US" w:eastAsia="zh-CN"/>
              </w:rPr>
              <w:t>5</w:t>
            </w:r>
            <w:r>
              <w:rPr>
                <w:rFonts w:hint="eastAsia" w:ascii="Times New Roman" w:eastAsia="宋体" w:cs="Times New Roman"/>
                <w:color w:val="auto"/>
                <w:highlight w:val="none"/>
                <w:lang w:eastAsia="zh-CN"/>
              </w:rPr>
              <w:t>日完成《湘阴虞公港一期工程阶段性竣工环境保护验收调查报告》自主验收资料报送登记（岳环验备</w:t>
            </w:r>
            <w:r>
              <w:rPr>
                <w:rFonts w:hint="eastAsia" w:ascii="Times New Roman" w:eastAsia="宋体" w:cs="Times New Roman"/>
                <w:color w:val="auto"/>
                <w:highlight w:val="none"/>
                <w:lang w:val="en-US" w:eastAsia="zh-CN"/>
              </w:rPr>
              <w:t>[2025]06号，附件6</w:t>
            </w:r>
            <w:r>
              <w:rPr>
                <w:rFonts w:hint="eastAsia" w:ascii="Times New Roman" w:eastAsia="宋体" w:cs="Times New Roman"/>
                <w:color w:val="auto"/>
                <w:highlight w:val="none"/>
                <w:lang w:eastAsia="zh-CN"/>
              </w:rPr>
              <w:t>）</w:t>
            </w:r>
            <w:r>
              <w:rPr>
                <w:rFonts w:hint="eastAsia" w:cs="Times New Roman"/>
                <w:color w:val="auto"/>
                <w:highlight w:val="none"/>
                <w:lang w:eastAsia="zh-CN"/>
              </w:rPr>
              <w:t>，验收内容为多用途泊位（水域工程和陆域工程）及配套的公辅工程、环保工程等</w:t>
            </w:r>
            <w:r>
              <w:rPr>
                <w:rFonts w:hint="eastAsia" w:ascii="Times New Roman" w:eastAsia="宋体" w:cs="Times New Roman"/>
                <w:color w:val="auto"/>
                <w:highlight w:val="none"/>
                <w:lang w:eastAsia="zh-CN"/>
              </w:rPr>
              <w:t>。</w:t>
            </w:r>
          </w:p>
          <w:p>
            <w:pPr>
              <w:spacing w:line="360" w:lineRule="auto"/>
              <w:ind w:firstLine="420" w:firstLineChars="200"/>
              <w:rPr>
                <w:rFonts w:hint="eastAsia" w:ascii="Times New Roman" w:eastAsia="宋体" w:cs="Times New Roman"/>
                <w:color w:val="auto"/>
                <w:highlight w:val="none"/>
                <w:lang w:eastAsia="zh-CN"/>
              </w:rPr>
            </w:pPr>
            <w:r>
              <w:rPr>
                <w:rFonts w:hint="eastAsia" w:ascii="Times New Roman" w:eastAsia="宋体" w:cs="Times New Roman"/>
                <w:color w:val="auto"/>
                <w:highlight w:val="none"/>
                <w:lang w:eastAsia="zh-CN"/>
              </w:rPr>
              <w:t>一期工程（散货泊位）于</w:t>
            </w:r>
            <w:r>
              <w:rPr>
                <w:rFonts w:hint="eastAsia" w:cs="Times New Roman"/>
                <w:color w:val="auto"/>
                <w:highlight w:val="none"/>
                <w:lang w:val="en-US" w:eastAsia="zh-CN"/>
              </w:rPr>
              <w:t>2022年12月9日开工建设，</w:t>
            </w:r>
            <w:r>
              <w:rPr>
                <w:rFonts w:hint="eastAsia" w:ascii="Times New Roman" w:eastAsia="宋体" w:cs="Times New Roman"/>
                <w:color w:val="auto"/>
                <w:highlight w:val="none"/>
                <w:lang w:val="en-US" w:eastAsia="zh-CN"/>
              </w:rPr>
              <w:t>2025年5月8日竣工，</w:t>
            </w:r>
            <w:r>
              <w:rPr>
                <w:rFonts w:hint="eastAsia" w:ascii="Times New Roman" w:eastAsia="宋体" w:cs="Times New Roman"/>
                <w:color w:val="auto"/>
                <w:highlight w:val="none"/>
                <w:lang w:eastAsia="zh-CN"/>
              </w:rPr>
              <w:t>2025年</w:t>
            </w:r>
            <w:r>
              <w:rPr>
                <w:rFonts w:hint="eastAsia" w:cs="Times New Roman"/>
                <w:color w:val="auto"/>
                <w:highlight w:val="none"/>
                <w:lang w:val="en-US" w:eastAsia="zh-CN"/>
              </w:rPr>
              <w:t>8</w:t>
            </w:r>
            <w:r>
              <w:rPr>
                <w:rFonts w:hint="eastAsia" w:ascii="Times New Roman" w:eastAsia="宋体" w:cs="Times New Roman"/>
                <w:color w:val="auto"/>
                <w:highlight w:val="none"/>
                <w:lang w:eastAsia="zh-CN"/>
              </w:rPr>
              <w:t>月</w:t>
            </w:r>
            <w:r>
              <w:rPr>
                <w:rFonts w:hint="eastAsia" w:cs="Times New Roman"/>
                <w:color w:val="auto"/>
                <w:highlight w:val="none"/>
                <w:lang w:val="en-US" w:eastAsia="zh-CN"/>
              </w:rPr>
              <w:t>12</w:t>
            </w:r>
            <w:r>
              <w:rPr>
                <w:rFonts w:hint="eastAsia" w:ascii="Times New Roman" w:eastAsia="宋体" w:cs="Times New Roman"/>
                <w:color w:val="auto"/>
                <w:highlight w:val="none"/>
                <w:lang w:eastAsia="zh-CN"/>
              </w:rPr>
              <w:t>日完成《湘阴虞公港一期工程（散货泊位）竣工环境保护验收调查报告》自主验收资料报送登记</w:t>
            </w:r>
            <w:r>
              <w:rPr>
                <w:rFonts w:hint="eastAsia" w:cs="Times New Roman"/>
                <w:color w:val="auto"/>
                <w:highlight w:val="none"/>
                <w:lang w:eastAsia="zh-CN"/>
              </w:rPr>
              <w:t>（编号</w:t>
            </w:r>
            <w:r>
              <w:rPr>
                <w:rFonts w:hint="eastAsia" w:cs="Times New Roman"/>
                <w:color w:val="auto"/>
                <w:highlight w:val="none"/>
                <w:lang w:val="en-US" w:eastAsia="zh-CN"/>
              </w:rPr>
              <w:t>2025001，附件6</w:t>
            </w:r>
            <w:r>
              <w:rPr>
                <w:rFonts w:hint="eastAsia" w:cs="Times New Roman"/>
                <w:color w:val="auto"/>
                <w:highlight w:val="none"/>
                <w:lang w:eastAsia="zh-CN"/>
              </w:rPr>
              <w:t>），验收内容为散货货泊（水域工程和陆域工程）及配套的公辅工程、环保工程等。</w:t>
            </w:r>
          </w:p>
          <w:p>
            <w:pPr>
              <w:numPr>
                <w:ilvl w:val="0"/>
                <w:numId w:val="10"/>
              </w:numPr>
              <w:spacing w:line="360" w:lineRule="auto"/>
              <w:ind w:firstLine="420" w:firstLineChars="200"/>
              <w:rPr>
                <w:rFonts w:hint="eastAsia" w:ascii="Times New Roman" w:eastAsia="宋体" w:cs="Times New Roman"/>
                <w:color w:val="auto"/>
                <w:highlight w:val="none"/>
                <w:lang w:eastAsia="zh-CN"/>
              </w:rPr>
            </w:pPr>
            <w:r>
              <w:rPr>
                <w:rFonts w:hint="default" w:ascii="Times New Roman" w:hAnsi="Times New Roman" w:cs="Times New Roman"/>
                <w:color w:val="auto"/>
                <w:sz w:val="21"/>
                <w:szCs w:val="21"/>
                <w:highlight w:val="none"/>
                <w:u w:val="none" w:color="auto"/>
                <w:lang w:eastAsia="zh-CN"/>
              </w:rPr>
              <w:t>虞公港</w:t>
            </w:r>
            <w:r>
              <w:rPr>
                <w:rFonts w:hint="eastAsia" w:ascii="Times New Roman" w:eastAsia="宋体" w:cs="Times New Roman"/>
                <w:color w:val="auto"/>
                <w:highlight w:val="none"/>
                <w:lang w:eastAsia="zh-CN"/>
              </w:rPr>
              <w:t>二期工程</w:t>
            </w:r>
          </w:p>
          <w:p>
            <w:pPr>
              <w:numPr>
                <w:ilvl w:val="0"/>
                <w:numId w:val="0"/>
              </w:numPr>
              <w:spacing w:line="360" w:lineRule="auto"/>
              <w:ind w:firstLine="420" w:firstLineChars="200"/>
              <w:rPr>
                <w:rFonts w:hint="eastAsia" w:ascii="Times New Roman" w:eastAsia="宋体" w:cs="Times New Roman"/>
                <w:color w:val="auto"/>
                <w:highlight w:val="none"/>
                <w:lang w:eastAsia="zh-CN"/>
              </w:rPr>
            </w:pPr>
            <w:r>
              <w:rPr>
                <w:rFonts w:hint="eastAsia" w:ascii="Times New Roman" w:eastAsia="宋体" w:cs="Times New Roman"/>
                <w:color w:val="auto"/>
                <w:highlight w:val="none"/>
                <w:lang w:eastAsia="zh-CN"/>
              </w:rPr>
              <w:t>《湘阴虞公港</w:t>
            </w:r>
            <w:r>
              <w:rPr>
                <w:rFonts w:hint="eastAsia" w:cs="Times New Roman"/>
                <w:color w:val="auto"/>
                <w:highlight w:val="none"/>
                <w:lang w:eastAsia="zh-CN"/>
              </w:rPr>
              <w:t>二</w:t>
            </w:r>
            <w:r>
              <w:rPr>
                <w:rFonts w:hint="eastAsia" w:ascii="Times New Roman" w:eastAsia="宋体" w:cs="Times New Roman"/>
                <w:color w:val="auto"/>
                <w:highlight w:val="none"/>
                <w:lang w:eastAsia="zh-CN"/>
              </w:rPr>
              <w:t>期工程环境影响报告书》</w:t>
            </w:r>
            <w:r>
              <w:rPr>
                <w:rFonts w:hint="eastAsia" w:cs="Times New Roman"/>
                <w:color w:val="auto"/>
                <w:highlight w:val="none"/>
                <w:lang w:eastAsia="zh-CN"/>
              </w:rPr>
              <w:t>于</w:t>
            </w:r>
            <w:r>
              <w:rPr>
                <w:rFonts w:hint="eastAsia" w:cs="Times New Roman"/>
                <w:color w:val="auto"/>
                <w:highlight w:val="none"/>
                <w:lang w:val="en-US" w:eastAsia="zh-CN"/>
              </w:rPr>
              <w:t>2025年12月30日</w:t>
            </w:r>
            <w:r>
              <w:rPr>
                <w:rFonts w:hint="eastAsia" w:ascii="Times New Roman" w:eastAsia="宋体" w:cs="Times New Roman"/>
                <w:color w:val="auto"/>
                <w:highlight w:val="none"/>
                <w:lang w:eastAsia="zh-CN"/>
              </w:rPr>
              <w:t>取得岳阳市生态环境局批复（岳环评〔202</w:t>
            </w:r>
            <w:r>
              <w:rPr>
                <w:rFonts w:hint="eastAsia" w:cs="Times New Roman"/>
                <w:color w:val="auto"/>
                <w:highlight w:val="none"/>
                <w:lang w:val="en-US" w:eastAsia="zh-CN"/>
              </w:rPr>
              <w:t>5</w:t>
            </w:r>
            <w:r>
              <w:rPr>
                <w:rFonts w:hint="eastAsia" w:ascii="Times New Roman" w:eastAsia="宋体" w:cs="Times New Roman"/>
                <w:color w:val="auto"/>
                <w:highlight w:val="none"/>
                <w:lang w:eastAsia="zh-CN"/>
              </w:rPr>
              <w:t>〕</w:t>
            </w:r>
            <w:r>
              <w:rPr>
                <w:rFonts w:hint="eastAsia" w:cs="Times New Roman"/>
                <w:color w:val="auto"/>
                <w:highlight w:val="none"/>
                <w:lang w:val="en-US" w:eastAsia="zh-CN"/>
              </w:rPr>
              <w:t>63</w:t>
            </w:r>
            <w:r>
              <w:rPr>
                <w:rFonts w:hint="eastAsia" w:ascii="Times New Roman" w:eastAsia="宋体" w:cs="Times New Roman"/>
                <w:color w:val="auto"/>
                <w:highlight w:val="none"/>
                <w:lang w:eastAsia="zh-CN"/>
              </w:rPr>
              <w:t>号</w:t>
            </w:r>
            <w:r>
              <w:rPr>
                <w:rFonts w:hint="eastAsia" w:cs="Times New Roman"/>
                <w:color w:val="auto"/>
                <w:highlight w:val="none"/>
                <w:lang w:eastAsia="zh-CN"/>
              </w:rPr>
              <w:t>，附件</w:t>
            </w:r>
            <w:r>
              <w:rPr>
                <w:rFonts w:hint="eastAsia" w:cs="Times New Roman"/>
                <w:color w:val="auto"/>
                <w:highlight w:val="none"/>
                <w:lang w:val="en-US" w:eastAsia="zh-CN"/>
              </w:rPr>
              <w:t>6</w:t>
            </w:r>
            <w:r>
              <w:rPr>
                <w:rFonts w:hint="eastAsia" w:ascii="Times New Roman" w:eastAsia="宋体" w:cs="Times New Roman"/>
                <w:color w:val="auto"/>
                <w:highlight w:val="none"/>
                <w:lang w:eastAsia="zh-CN"/>
              </w:rPr>
              <w:t>）</w:t>
            </w:r>
            <w:r>
              <w:rPr>
                <w:rFonts w:hint="eastAsia" w:cs="Times New Roman"/>
                <w:color w:val="auto"/>
                <w:highlight w:val="none"/>
                <w:lang w:eastAsia="zh-CN"/>
              </w:rPr>
              <w:t>。工程</w:t>
            </w:r>
            <w:r>
              <w:rPr>
                <w:rFonts w:hint="eastAsia" w:ascii="Times New Roman" w:eastAsia="宋体" w:cs="Times New Roman"/>
                <w:color w:val="auto"/>
                <w:highlight w:val="none"/>
                <w:lang w:eastAsia="zh-CN"/>
              </w:rPr>
              <w:t>位于岳阳市湘阴县三塘镇，湘阴湘江大桥下游16km处右岸，紧邻湘阴虞公港一期工程。拟建2个3000吨级多用途泊位、2个3000吨级散货泊位。货物年设计吞吐量为800万吨，主要满足长株潭箱量转移及虞公港临港产业自身发展需求。码头主要由平台、引桥等组成，陆域生产区包括堆场、卸料仓库、火车散货装卸场、辅助生产设施及生产管理区等。二期工程正在建设中，预计2027上半年建成。</w:t>
            </w:r>
          </w:p>
          <w:p>
            <w:pPr>
              <w:numPr>
                <w:ilvl w:val="0"/>
                <w:numId w:val="10"/>
              </w:numPr>
              <w:spacing w:line="360" w:lineRule="auto"/>
              <w:ind w:left="0" w:leftChars="0" w:firstLine="420" w:firstLineChars="200"/>
              <w:rPr>
                <w:rFonts w:hint="default" w:ascii="Times New Roman" w:hAnsi="Times New Roman" w:cs="Times New Roman"/>
                <w:color w:val="auto"/>
                <w:sz w:val="21"/>
                <w:szCs w:val="21"/>
                <w:highlight w:val="none"/>
                <w:u w:val="none" w:color="auto"/>
                <w:lang w:eastAsia="zh-CN"/>
              </w:rPr>
            </w:pPr>
            <w:r>
              <w:rPr>
                <w:rFonts w:hint="eastAsia" w:ascii="Times New Roman" w:eastAsia="宋体" w:cs="Times New Roman"/>
                <w:color w:val="auto"/>
                <w:highlight w:val="none"/>
                <w:lang w:eastAsia="zh-CN"/>
              </w:rPr>
              <w:t>虞公港</w:t>
            </w:r>
            <w:r>
              <w:rPr>
                <w:rFonts w:hint="default" w:ascii="Times New Roman" w:hAnsi="Times New Roman" w:cs="Times New Roman"/>
                <w:color w:val="auto"/>
                <w:sz w:val="21"/>
                <w:szCs w:val="21"/>
                <w:highlight w:val="none"/>
                <w:u w:val="none" w:color="auto"/>
                <w:lang w:eastAsia="zh-CN"/>
              </w:rPr>
              <w:t>铁路专用线</w:t>
            </w:r>
          </w:p>
          <w:p>
            <w:pPr>
              <w:numPr>
                <w:ilvl w:val="0"/>
                <w:numId w:val="0"/>
              </w:numPr>
              <w:spacing w:line="360" w:lineRule="auto"/>
              <w:rPr>
                <w:rFonts w:hint="default" w:ascii="Times New Roman" w:eastAsia="宋体" w:cs="Times New Roman"/>
                <w:color w:val="auto"/>
                <w:highlight w:val="none"/>
                <w:lang w:val="en-US" w:eastAsia="zh-CN"/>
              </w:rPr>
            </w:pPr>
            <w:r>
              <w:rPr>
                <w:rFonts w:hint="eastAsia" w:cs="Times New Roman"/>
                <w:color w:val="00B050"/>
                <w:sz w:val="21"/>
                <w:szCs w:val="21"/>
                <w:highlight w:val="none"/>
                <w:u w:val="none" w:color="auto"/>
                <w:lang w:val="en-US" w:eastAsia="zh-CN"/>
              </w:rPr>
              <w:t xml:space="preserve">    </w:t>
            </w:r>
            <w:r>
              <w:rPr>
                <w:rFonts w:hint="eastAsia" w:ascii="Times New Roman" w:eastAsia="宋体" w:cs="Times New Roman"/>
                <w:color w:val="auto"/>
                <w:highlight w:val="none"/>
                <w:lang w:eastAsia="zh-CN"/>
              </w:rPr>
              <w:t>《湘阴县虞公港铁路专用线工程环境影响报告书》</w:t>
            </w:r>
            <w:r>
              <w:rPr>
                <w:rFonts w:hint="eastAsia" w:cs="Times New Roman"/>
                <w:color w:val="auto"/>
                <w:highlight w:val="none"/>
                <w:lang w:eastAsia="zh-CN"/>
              </w:rPr>
              <w:t>于</w:t>
            </w:r>
            <w:r>
              <w:rPr>
                <w:rFonts w:hint="eastAsia" w:cs="Times New Roman"/>
                <w:color w:val="auto"/>
                <w:highlight w:val="none"/>
                <w:lang w:val="en-US" w:eastAsia="zh-CN"/>
              </w:rPr>
              <w:t>2025年2月21日</w:t>
            </w:r>
            <w:r>
              <w:rPr>
                <w:rFonts w:hint="eastAsia" w:ascii="Times New Roman" w:eastAsia="宋体" w:cs="Times New Roman"/>
                <w:color w:val="auto"/>
                <w:highlight w:val="none"/>
                <w:lang w:eastAsia="zh-CN"/>
              </w:rPr>
              <w:t>取得</w:t>
            </w:r>
            <w:r>
              <w:rPr>
                <w:rFonts w:hint="eastAsia" w:cs="Times New Roman"/>
                <w:color w:val="auto"/>
                <w:highlight w:val="none"/>
                <w:lang w:eastAsia="zh-CN"/>
              </w:rPr>
              <w:t>湖南省生态环境厅</w:t>
            </w:r>
            <w:r>
              <w:rPr>
                <w:rFonts w:hint="eastAsia" w:ascii="Times New Roman" w:eastAsia="宋体" w:cs="Times New Roman"/>
                <w:color w:val="auto"/>
                <w:highlight w:val="none"/>
                <w:lang w:eastAsia="zh-CN"/>
              </w:rPr>
              <w:t>批复（</w:t>
            </w:r>
            <w:r>
              <w:rPr>
                <w:rFonts w:hint="eastAsia" w:cs="Times New Roman"/>
                <w:color w:val="auto"/>
                <w:highlight w:val="none"/>
                <w:lang w:eastAsia="zh-CN"/>
              </w:rPr>
              <w:t>湘环许</w:t>
            </w:r>
            <w:r>
              <w:rPr>
                <w:rFonts w:hint="eastAsia" w:ascii="Times New Roman" w:eastAsia="宋体" w:cs="Times New Roman"/>
                <w:color w:val="auto"/>
                <w:highlight w:val="none"/>
                <w:lang w:eastAsia="zh-CN"/>
              </w:rPr>
              <w:t>〔202</w:t>
            </w:r>
            <w:r>
              <w:rPr>
                <w:rFonts w:hint="eastAsia" w:cs="Times New Roman"/>
                <w:color w:val="auto"/>
                <w:highlight w:val="none"/>
                <w:lang w:val="en-US" w:eastAsia="zh-CN"/>
              </w:rPr>
              <w:t>5</w:t>
            </w:r>
            <w:r>
              <w:rPr>
                <w:rFonts w:hint="eastAsia" w:ascii="Times New Roman" w:eastAsia="宋体" w:cs="Times New Roman"/>
                <w:color w:val="auto"/>
                <w:highlight w:val="none"/>
                <w:lang w:eastAsia="zh-CN"/>
              </w:rPr>
              <w:t>〕</w:t>
            </w:r>
            <w:r>
              <w:rPr>
                <w:rFonts w:hint="eastAsia" w:cs="Times New Roman"/>
                <w:color w:val="auto"/>
                <w:highlight w:val="none"/>
                <w:lang w:val="en-US" w:eastAsia="zh-CN"/>
              </w:rPr>
              <w:t>67</w:t>
            </w:r>
            <w:r>
              <w:rPr>
                <w:rFonts w:hint="eastAsia" w:ascii="Times New Roman" w:eastAsia="宋体" w:cs="Times New Roman"/>
                <w:color w:val="auto"/>
                <w:highlight w:val="none"/>
                <w:lang w:eastAsia="zh-CN"/>
              </w:rPr>
              <w:t>号</w:t>
            </w:r>
            <w:r>
              <w:rPr>
                <w:rFonts w:hint="eastAsia" w:cs="Times New Roman"/>
                <w:color w:val="auto"/>
                <w:highlight w:val="none"/>
                <w:lang w:eastAsia="zh-CN"/>
              </w:rPr>
              <w:t>，附件</w:t>
            </w:r>
            <w:r>
              <w:rPr>
                <w:rFonts w:hint="eastAsia" w:cs="Times New Roman"/>
                <w:color w:val="auto"/>
                <w:highlight w:val="none"/>
                <w:lang w:val="en-US" w:eastAsia="zh-CN"/>
              </w:rPr>
              <w:t>6</w:t>
            </w:r>
            <w:r>
              <w:rPr>
                <w:rFonts w:hint="eastAsia" w:ascii="Times New Roman" w:eastAsia="宋体" w:cs="Times New Roman"/>
                <w:color w:val="auto"/>
                <w:highlight w:val="none"/>
                <w:lang w:eastAsia="zh-CN"/>
              </w:rPr>
              <w:t>）</w:t>
            </w:r>
            <w:r>
              <w:rPr>
                <w:rFonts w:hint="eastAsia" w:cs="Times New Roman"/>
                <w:color w:val="auto"/>
                <w:highlight w:val="none"/>
                <w:lang w:eastAsia="zh-CN"/>
              </w:rPr>
              <w:t>。项目出接轨站古培塘站后，并行京广铁路于1.3km处下穿平益高速跨京广铁路大桥，至汨罗市青春大道往西，并行规划的通港公路西行至虞公港港区终点，正线全长约22.433km，适应性改建既有古培塘站（K1500+252.1~K1502+200），设置交接线2条，有效长度1050m；机待线1条，有效长度75m；安全线1条，有效长度50m。新建虞公港站，设置到发线3条（含正线），有效长度850m；机待线1条，有效长度75m；停放线2条，有效长度分别为260m、120m；整备线1条，有效长度不小于85m。新建2个铁路装卸作业场，散货货物装卸场内设置1条装卸作业线，有效长度2020m；集装箱兼笨重货物装卸场内设置1束2线装卸作业线，有效长度均为780m。配套建设其他生产</w:t>
            </w:r>
            <w:r>
              <w:rPr>
                <w:rFonts w:hint="eastAsia" w:ascii="Times New Roman" w:eastAsia="宋体" w:cs="Times New Roman"/>
                <w:color w:val="auto"/>
                <w:highlight w:val="none"/>
                <w:lang w:eastAsia="zh-CN"/>
              </w:rPr>
              <w:t>配套基础设施。虞公港铁路专用线及火车装车系统已于2024年10月开工建设，预计2027上半年建成。</w:t>
            </w:r>
          </w:p>
          <w:p>
            <w:pPr>
              <w:numPr>
                <w:ilvl w:val="0"/>
                <w:numId w:val="0"/>
              </w:numPr>
              <w:spacing w:line="360" w:lineRule="auto"/>
              <w:rPr>
                <w:rFonts w:hint="eastAsia" w:cs="Times New Roman"/>
                <w:color w:val="auto"/>
                <w:highlight w:val="none"/>
                <w:lang w:val="en-US" w:eastAsia="zh-CN"/>
              </w:rPr>
            </w:pPr>
            <w:r>
              <w:rPr>
                <w:rFonts w:hint="eastAsia" w:ascii="Times New Roman" w:eastAsia="宋体" w:cs="Times New Roman"/>
                <w:color w:val="auto"/>
                <w:highlight w:val="none"/>
                <w:lang w:val="en-US" w:eastAsia="zh-CN"/>
              </w:rPr>
              <w:t xml:space="preserve">    </w:t>
            </w:r>
            <w:r>
              <w:rPr>
                <w:rFonts w:hint="eastAsia" w:cs="Times New Roman"/>
                <w:color w:val="auto"/>
                <w:highlight w:val="none"/>
                <w:lang w:val="en-US" w:eastAsia="zh-CN"/>
              </w:rPr>
              <w:t>（4）依托可行性分析</w:t>
            </w:r>
          </w:p>
          <w:p>
            <w:pPr>
              <w:numPr>
                <w:ilvl w:val="0"/>
                <w:numId w:val="0"/>
              </w:numPr>
              <w:spacing w:line="360" w:lineRule="auto"/>
              <w:ind w:firstLine="420" w:firstLineChars="200"/>
              <w:rPr>
                <w:rFonts w:hint="default" w:ascii="Times New Roman" w:hAnsi="Times New Roman" w:eastAsia="宋体" w:cs="Times New Roman"/>
                <w:b/>
                <w:color w:val="auto"/>
                <w:sz w:val="21"/>
                <w:szCs w:val="21"/>
                <w:u w:val="none" w:color="auto"/>
                <w:lang w:val="en-US" w:eastAsia="zh-CN"/>
              </w:rPr>
            </w:pPr>
            <w:r>
              <w:rPr>
                <w:rFonts w:hint="eastAsia" w:cs="Times New Roman"/>
                <w:color w:val="auto"/>
                <w:highlight w:val="none"/>
                <w:lang w:val="en-US" w:eastAsia="zh-CN"/>
              </w:rPr>
              <w:t>虞公港一期工程已建成运行，并完成环保竣工验收。本项目所需依托生产设施、设备及辅助办公生活设施正常运行。根据验收监测报告，依托的环保设施等运行正常，污染物达标排放。</w:t>
            </w:r>
            <w:r>
              <w:rPr>
                <w:rFonts w:hint="eastAsia" w:ascii="Times New Roman" w:eastAsia="宋体" w:cs="Times New Roman"/>
                <w:color w:val="auto"/>
                <w:highlight w:val="none"/>
                <w:lang w:val="en-US" w:eastAsia="zh-CN"/>
              </w:rPr>
              <w:t>根据</w:t>
            </w:r>
            <w:r>
              <w:rPr>
                <w:rFonts w:hint="eastAsia" w:cs="Times New Roman"/>
                <w:color w:val="auto"/>
                <w:highlight w:val="none"/>
                <w:lang w:val="en-US" w:eastAsia="zh-CN"/>
              </w:rPr>
              <w:t>湖南虞公港铁路建设有限公司及湖南虞公港建设投资有限公司的承诺函（附件6），本项目依托的虞公港铁路专用线将于2027年上半年建成并投入运营。本项目依托的铁路定量装车系统将于2027年和配套铁路同步建成。</w:t>
            </w:r>
            <w:r>
              <w:rPr>
                <w:rFonts w:hint="eastAsia" w:ascii="Times New Roman" w:eastAsia="宋体" w:cs="Times New Roman"/>
                <w:color w:val="auto"/>
                <w:highlight w:val="none"/>
                <w:lang w:eastAsia="zh-CN"/>
              </w:rPr>
              <w:t>本项目计划</w:t>
            </w:r>
            <w:r>
              <w:rPr>
                <w:rFonts w:hint="eastAsia" w:ascii="Times New Roman" w:eastAsia="宋体" w:cs="Times New Roman"/>
                <w:color w:val="auto"/>
                <w:highlight w:val="none"/>
                <w:lang w:val="en-US" w:eastAsia="zh-CN"/>
              </w:rPr>
              <w:t>2027年12月建成</w:t>
            </w:r>
            <w:r>
              <w:rPr>
                <w:rFonts w:hint="eastAsia" w:cs="Times New Roman"/>
                <w:color w:val="auto"/>
                <w:highlight w:val="none"/>
                <w:lang w:val="en-US" w:eastAsia="zh-CN"/>
              </w:rPr>
              <w:t>投运，以上依托工程在按计划完成建设的前提下，本项目依托可行。本项目须</w:t>
            </w:r>
            <w:r>
              <w:rPr>
                <w:rFonts w:hint="eastAsia" w:ascii="Times New Roman" w:eastAsia="宋体" w:cs="Times New Roman"/>
                <w:color w:val="auto"/>
                <w:highlight w:val="none"/>
                <w:lang w:val="en-US" w:eastAsia="zh-CN"/>
              </w:rPr>
              <w:t>在相关依托工程完成</w:t>
            </w:r>
            <w:r>
              <w:rPr>
                <w:rFonts w:hint="eastAsia" w:cs="Times New Roman"/>
                <w:color w:val="auto"/>
                <w:highlight w:val="none"/>
                <w:lang w:val="en-US" w:eastAsia="zh-CN"/>
              </w:rPr>
              <w:t>环保</w:t>
            </w:r>
            <w:r>
              <w:rPr>
                <w:rFonts w:hint="eastAsia" w:ascii="Times New Roman" w:eastAsia="宋体" w:cs="Times New Roman"/>
                <w:color w:val="auto"/>
                <w:highlight w:val="none"/>
                <w:lang w:val="en-US" w:eastAsia="zh-CN"/>
              </w:rPr>
              <w:t>竣工验收</w:t>
            </w:r>
            <w:r>
              <w:rPr>
                <w:rFonts w:hint="eastAsia" w:cs="Times New Roman"/>
                <w:color w:val="auto"/>
                <w:highlight w:val="none"/>
                <w:lang w:val="en-US" w:eastAsia="zh-CN"/>
              </w:rPr>
              <w:t>正常</w:t>
            </w:r>
            <w:r>
              <w:rPr>
                <w:rFonts w:hint="eastAsia" w:ascii="Times New Roman" w:eastAsia="宋体" w:cs="Times New Roman"/>
                <w:color w:val="auto"/>
                <w:highlight w:val="none"/>
                <w:lang w:val="en-US" w:eastAsia="zh-CN"/>
              </w:rPr>
              <w:t>运行后，方能投产使用。</w:t>
            </w:r>
          </w:p>
          <w:p>
            <w:pPr>
              <w:adjustRightInd w:val="0"/>
              <w:snapToGrid w:val="0"/>
              <w:jc w:val="center"/>
              <w:rPr>
                <w:rFonts w:hint="default" w:ascii="Times New Roman" w:hAnsi="Times New Roman" w:eastAsia="宋体" w:cs="Times New Roman"/>
                <w:b/>
                <w:color w:val="auto"/>
                <w:sz w:val="21"/>
                <w:szCs w:val="21"/>
                <w:u w:val="none" w:color="auto"/>
                <w:lang w:val="en-US" w:eastAsia="zh-CN"/>
              </w:rPr>
            </w:pPr>
          </w:p>
          <w:p>
            <w:pPr>
              <w:pStyle w:val="2"/>
              <w:rPr>
                <w:rFonts w:hint="default" w:ascii="Times New Roman" w:hAnsi="Times New Roman" w:eastAsia="宋体" w:cs="Times New Roman"/>
                <w:b/>
                <w:color w:val="auto"/>
                <w:sz w:val="21"/>
                <w:szCs w:val="21"/>
                <w:u w:val="none" w:color="auto"/>
                <w:lang w:val="en-US" w:eastAsia="zh-CN"/>
              </w:rPr>
            </w:pPr>
          </w:p>
          <w:p>
            <w:pPr>
              <w:adjustRightInd w:val="0"/>
              <w:snapToGrid w:val="0"/>
              <w:jc w:val="center"/>
              <w:rPr>
                <w:rFonts w:hint="default" w:ascii="Times New Roman" w:hAnsi="Times New Roman" w:eastAsia="宋体" w:cs="Times New Roman"/>
                <w:b/>
                <w:color w:val="auto"/>
                <w:sz w:val="21"/>
                <w:szCs w:val="21"/>
                <w:u w:val="none" w:color="auto"/>
                <w:lang w:val="en-US" w:eastAsia="zh-CN"/>
              </w:rPr>
            </w:pPr>
          </w:p>
          <w:p>
            <w:pPr>
              <w:adjustRightInd w:val="0"/>
              <w:snapToGrid w:val="0"/>
              <w:jc w:val="center"/>
              <w:rPr>
                <w:rFonts w:hint="default" w:ascii="Times New Roman" w:hAnsi="Times New Roman" w:eastAsia="宋体" w:cs="Times New Roman"/>
                <w:b/>
                <w:color w:val="auto"/>
                <w:sz w:val="21"/>
                <w:szCs w:val="21"/>
                <w:u w:val="none" w:color="auto"/>
                <w:lang w:val="en-US" w:eastAsia="zh-CN"/>
              </w:rPr>
            </w:pPr>
          </w:p>
          <w:p>
            <w:pPr>
              <w:adjustRightInd w:val="0"/>
              <w:snapToGrid w:val="0"/>
              <w:jc w:val="center"/>
              <w:rPr>
                <w:rFonts w:hint="default" w:ascii="Times New Roman" w:hAnsi="Times New Roman" w:eastAsia="宋体" w:cs="Times New Roman"/>
                <w:b/>
                <w:color w:val="auto"/>
                <w:sz w:val="21"/>
                <w:szCs w:val="21"/>
                <w:u w:val="none" w:color="auto"/>
                <w:lang w:val="en-US" w:eastAsia="zh-CN"/>
              </w:rPr>
            </w:pPr>
          </w:p>
          <w:p>
            <w:pPr>
              <w:pStyle w:val="28"/>
              <w:adjustRightInd w:val="0"/>
              <w:snapToGrid w:val="0"/>
              <w:spacing w:line="360" w:lineRule="auto"/>
              <w:ind w:firstLine="420" w:firstLineChars="200"/>
              <w:rPr>
                <w:rFonts w:hint="eastAsia" w:ascii="Times New Roman" w:hAnsi="Times New Roman" w:eastAsia="宋体" w:cs="Times New Roman"/>
                <w:color w:val="0000FF"/>
                <w:sz w:val="21"/>
                <w:szCs w:val="21"/>
                <w:u w:val="none" w:color="auto"/>
                <w:lang w:eastAsia="zh-CN"/>
              </w:rPr>
            </w:pPr>
          </w:p>
        </w:tc>
      </w:tr>
    </w:tbl>
    <w:p>
      <w:pPr>
        <w:pStyle w:val="28"/>
        <w:jc w:val="center"/>
        <w:rPr>
          <w:rFonts w:ascii="黑体" w:hAnsi="黑体" w:eastAsia="黑体"/>
          <w:snapToGrid w:val="0"/>
          <w:color w:val="0000FF"/>
          <w:sz w:val="36"/>
          <w:szCs w:val="36"/>
          <w:u w:val="none" w:color="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8"/>
        <w:adjustRightInd w:val="0"/>
        <w:snapToGrid w:val="0"/>
        <w:spacing w:before="0" w:beforeAutospacing="0" w:after="0" w:afterAutospacing="0" w:line="14" w:lineRule="auto"/>
        <w:jc w:val="center"/>
        <w:outlineLvl w:val="9"/>
        <w:rPr>
          <w:rFonts w:hint="eastAsia" w:ascii="黑体" w:hAnsi="黑体" w:eastAsia="黑体"/>
          <w:snapToGrid w:val="0"/>
          <w:color w:val="0000FF"/>
          <w:sz w:val="30"/>
          <w:szCs w:val="30"/>
          <w:u w:val="none" w:color="auto"/>
        </w:rPr>
      </w:pPr>
    </w:p>
    <w:p>
      <w:pPr>
        <w:pStyle w:val="28"/>
        <w:keepNext w:val="0"/>
        <w:keepLines w:val="0"/>
        <w:pageBreakBefore w:val="0"/>
        <w:widowControl/>
        <w:kinsoku/>
        <w:wordWrap/>
        <w:overflowPunct/>
        <w:topLinePunct w:val="0"/>
        <w:autoSpaceDE/>
        <w:autoSpaceDN/>
        <w:bidi w:val="0"/>
        <w:adjustRightInd/>
        <w:snapToGrid/>
        <w:jc w:val="center"/>
        <w:textAlignment w:val="auto"/>
        <w:outlineLvl w:val="0"/>
        <w:rPr>
          <w:rFonts w:ascii="黑体" w:hAnsi="黑体" w:eastAsia="黑体"/>
          <w:snapToGrid w:val="0"/>
          <w:color w:val="auto"/>
          <w:sz w:val="30"/>
          <w:szCs w:val="30"/>
          <w:u w:val="none" w:color="auto"/>
        </w:rPr>
      </w:pPr>
      <w:bookmarkStart w:id="7" w:name="_Toc6363"/>
      <w:r>
        <w:rPr>
          <w:rFonts w:hint="eastAsia" w:ascii="黑体" w:hAnsi="黑体" w:eastAsia="黑体"/>
          <w:snapToGrid w:val="0"/>
          <w:color w:val="auto"/>
          <w:sz w:val="30"/>
          <w:szCs w:val="30"/>
          <w:u w:val="none" w:color="auto"/>
        </w:rPr>
        <w:t>三、区域环境质量现状、环境保护目标及评价标准</w:t>
      </w:r>
      <w:bookmarkEnd w:id="7"/>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9"/>
        <w:gridCol w:w="83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64" w:hRule="atLeast"/>
          <w:jc w:val="center"/>
        </w:trPr>
        <w:tc>
          <w:tcPr>
            <w:tcW w:w="729" w:type="dxa"/>
            <w:noWrap w:val="0"/>
            <w:vAlign w:val="center"/>
          </w:tcPr>
          <w:p>
            <w:pPr>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区域</w:t>
            </w:r>
          </w:p>
          <w:p>
            <w:pPr>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环境</w:t>
            </w:r>
          </w:p>
          <w:p>
            <w:pPr>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质量</w:t>
            </w:r>
          </w:p>
          <w:p>
            <w:pPr>
              <w:adjustRightInd w:val="0"/>
              <w:snapToGrid w:val="0"/>
              <w:jc w:val="center"/>
              <w:rPr>
                <w:rFonts w:hint="default" w:ascii="Times New Roman" w:hAnsi="Times New Roman" w:eastAsia="宋体" w:cs="Times New Roman"/>
                <w:color w:val="0000FF"/>
                <w:kern w:val="0"/>
                <w:szCs w:val="21"/>
                <w:u w:val="none" w:color="auto"/>
              </w:rPr>
            </w:pPr>
            <w:r>
              <w:rPr>
                <w:rFonts w:hint="default" w:ascii="Times New Roman" w:hAnsi="Times New Roman" w:eastAsia="宋体" w:cs="Times New Roman"/>
                <w:color w:val="auto"/>
                <w:kern w:val="0"/>
                <w:szCs w:val="21"/>
                <w:u w:val="none" w:color="auto"/>
              </w:rPr>
              <w:t>现状</w:t>
            </w:r>
          </w:p>
        </w:tc>
        <w:tc>
          <w:tcPr>
            <w:tcW w:w="8332" w:type="dxa"/>
            <w:noWrap w:val="0"/>
            <w:vAlign w:val="center"/>
          </w:tcPr>
          <w:p>
            <w:pPr>
              <w:spacing w:before="120" w:beforeLines="50" w:line="360" w:lineRule="auto"/>
              <w:ind w:firstLine="422" w:firstLineChars="200"/>
              <w:rPr>
                <w:rFonts w:hint="default" w:ascii="Times New Roman" w:hAnsi="Times New Roman" w:eastAsia="宋体" w:cs="Times New Roman"/>
                <w:bCs/>
                <w:color w:val="auto"/>
                <w:sz w:val="21"/>
                <w:szCs w:val="21"/>
                <w:u w:val="none" w:color="auto"/>
              </w:rPr>
            </w:pPr>
            <w:r>
              <w:rPr>
                <w:rFonts w:hint="eastAsia" w:ascii="Times New Roman" w:hAnsi="Times New Roman" w:eastAsia="宋体" w:cs="Times New Roman"/>
                <w:b/>
                <w:color w:val="auto"/>
                <w:sz w:val="21"/>
                <w:szCs w:val="21"/>
                <w:u w:val="none" w:color="auto"/>
                <w:lang w:val="en-US" w:eastAsia="zh-CN"/>
              </w:rPr>
              <w:t>1、</w:t>
            </w:r>
            <w:r>
              <w:rPr>
                <w:rFonts w:hint="default" w:ascii="Times New Roman" w:hAnsi="Times New Roman" w:eastAsia="宋体" w:cs="Times New Roman"/>
                <w:b/>
                <w:color w:val="auto"/>
                <w:sz w:val="21"/>
                <w:szCs w:val="21"/>
                <w:u w:val="none" w:color="auto"/>
              </w:rPr>
              <w:t>大气环境质量现状</w:t>
            </w:r>
          </w:p>
          <w:p>
            <w:pPr>
              <w:pStyle w:val="21"/>
              <w:keepNext w:val="0"/>
              <w:keepLines w:val="0"/>
              <w:pageBreakBefore w:val="0"/>
              <w:widowControl/>
              <w:kinsoku/>
              <w:wordWrap/>
              <w:overflowPunct/>
              <w:topLinePunct w:val="0"/>
              <w:autoSpaceDE/>
              <w:autoSpaceDN/>
              <w:bidi w:val="0"/>
              <w:adjustRightInd/>
              <w:snapToGrid/>
              <w:spacing w:before="0" w:after="0" w:line="360" w:lineRule="auto"/>
              <w:ind w:left="0" w:leftChars="0" w:firstLine="48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根据生态环境部办公厅2020年12月24日印发的《建设项目环境影响报告表编制技术指南（污染影响类）（试行）》中具体编制要求，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p>
          <w:p>
            <w:pPr>
              <w:pStyle w:val="21"/>
              <w:keepNext w:val="0"/>
              <w:keepLines w:val="0"/>
              <w:pageBreakBefore w:val="0"/>
              <w:widowControl/>
              <w:numPr>
                <w:ilvl w:val="0"/>
                <w:numId w:val="11"/>
              </w:numPr>
              <w:kinsoku/>
              <w:wordWrap/>
              <w:overflowPunct/>
              <w:topLinePunct w:val="0"/>
              <w:autoSpaceDE/>
              <w:autoSpaceDN/>
              <w:bidi w:val="0"/>
              <w:adjustRightInd/>
              <w:snapToGrid/>
              <w:spacing w:before="0" w:after="0" w:line="360" w:lineRule="auto"/>
              <w:ind w:left="0" w:leftChars="0" w:firstLine="480"/>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基本污染物</w:t>
            </w:r>
          </w:p>
          <w:p>
            <w:pPr>
              <w:pStyle w:val="21"/>
              <w:keepNext w:val="0"/>
              <w:keepLines w:val="0"/>
              <w:pageBreakBefore w:val="0"/>
              <w:widowControl/>
              <w:kinsoku/>
              <w:wordWrap/>
              <w:overflowPunct/>
              <w:topLinePunct w:val="0"/>
              <w:autoSpaceDE/>
              <w:autoSpaceDN/>
              <w:bidi w:val="0"/>
              <w:adjustRightInd/>
              <w:snapToGrid/>
              <w:spacing w:before="0" w:after="0" w:line="360" w:lineRule="auto"/>
              <w:ind w:left="0" w:leftChars="0" w:firstLine="48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本项目大气常规污染物引用</w:t>
            </w:r>
            <w:r>
              <w:rPr>
                <w:rFonts w:hint="default" w:ascii="Times New Roman" w:hAnsi="Times New Roman" w:eastAsia="宋体" w:cs="Times New Roman"/>
                <w:color w:val="auto"/>
                <w:sz w:val="21"/>
                <w:szCs w:val="21"/>
                <w:u w:val="none" w:color="auto"/>
                <w:lang w:eastAsia="zh-CN"/>
              </w:rPr>
              <w:t>《岳阳市2024年度生态环境质量公报》中湘阴</w:t>
            </w:r>
            <w:r>
              <w:rPr>
                <w:rFonts w:hint="default" w:ascii="Times New Roman" w:hAnsi="Times New Roman" w:eastAsia="宋体" w:cs="Times New Roman"/>
                <w:color w:val="auto"/>
                <w:sz w:val="21"/>
                <w:szCs w:val="21"/>
                <w:u w:val="none" w:color="auto"/>
              </w:rPr>
              <w:t>县环境空气污染物浓度均值统计数据，202</w:t>
            </w:r>
            <w:r>
              <w:rPr>
                <w:rFonts w:hint="default"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rPr>
              <w:t>年</w:t>
            </w:r>
            <w:r>
              <w:rPr>
                <w:rFonts w:hint="default" w:ascii="Times New Roman" w:hAnsi="Times New Roman" w:eastAsia="宋体" w:cs="Times New Roman"/>
                <w:color w:val="auto"/>
                <w:sz w:val="21"/>
                <w:szCs w:val="21"/>
                <w:u w:val="none" w:color="auto"/>
                <w:lang w:eastAsia="zh-CN"/>
              </w:rPr>
              <w:t>湘阴</w:t>
            </w:r>
            <w:r>
              <w:rPr>
                <w:rFonts w:hint="default" w:ascii="Times New Roman" w:hAnsi="Times New Roman" w:eastAsia="宋体" w:cs="Times New Roman"/>
                <w:color w:val="auto"/>
                <w:sz w:val="21"/>
                <w:szCs w:val="21"/>
                <w:u w:val="none" w:color="auto"/>
              </w:rPr>
              <w:t>县环境质量状况</w:t>
            </w:r>
            <w:r>
              <w:rPr>
                <w:rFonts w:hint="default" w:ascii="Times New Roman" w:hAnsi="Times New Roman" w:eastAsia="宋体" w:cs="Times New Roman"/>
                <w:color w:val="auto"/>
                <w:sz w:val="21"/>
                <w:szCs w:val="21"/>
                <w:u w:val="none" w:color="auto"/>
                <w:lang w:eastAsia="zh-CN"/>
              </w:rPr>
              <w:t>见</w:t>
            </w:r>
            <w:r>
              <w:rPr>
                <w:rFonts w:hint="default" w:ascii="Times New Roman" w:hAnsi="Times New Roman" w:eastAsia="宋体" w:cs="Times New Roman"/>
                <w:color w:val="auto"/>
                <w:sz w:val="21"/>
                <w:szCs w:val="21"/>
                <w:u w:val="none" w:color="auto"/>
              </w:rPr>
              <w:t>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rPr>
              <w:t>表3</w:t>
            </w:r>
            <w:r>
              <w:rPr>
                <w:rFonts w:hint="default" w:ascii="Times New Roman" w:hAnsi="Times New Roman" w:eastAsia="宋体" w:cs="Times New Roman"/>
                <w:b/>
                <w:bCs/>
                <w:color w:val="auto"/>
                <w:kern w:val="0"/>
                <w:sz w:val="21"/>
                <w:szCs w:val="21"/>
                <w:highlight w:val="none"/>
                <w:u w:val="none" w:color="auto"/>
                <w:lang w:val="en-US" w:eastAsia="zh-CN"/>
              </w:rPr>
              <w:t xml:space="preserve">-1  </w:t>
            </w:r>
            <w:r>
              <w:rPr>
                <w:rFonts w:hint="default" w:ascii="Times New Roman" w:hAnsi="Times New Roman" w:eastAsia="宋体" w:cs="Times New Roman"/>
                <w:b/>
                <w:bCs/>
                <w:color w:val="auto"/>
                <w:kern w:val="0"/>
                <w:sz w:val="21"/>
                <w:szCs w:val="21"/>
                <w:highlight w:val="none"/>
                <w:u w:val="none" w:color="auto"/>
              </w:rPr>
              <w:t>202</w:t>
            </w:r>
            <w:r>
              <w:rPr>
                <w:rFonts w:hint="default" w:ascii="Times New Roman" w:hAnsi="Times New Roman" w:eastAsia="宋体" w:cs="Times New Roman"/>
                <w:b/>
                <w:bCs/>
                <w:color w:val="auto"/>
                <w:kern w:val="0"/>
                <w:sz w:val="21"/>
                <w:szCs w:val="21"/>
                <w:highlight w:val="none"/>
                <w:u w:val="none" w:color="auto"/>
                <w:lang w:val="en-US" w:eastAsia="zh-CN"/>
              </w:rPr>
              <w:t>4</w:t>
            </w:r>
            <w:r>
              <w:rPr>
                <w:rFonts w:hint="default" w:ascii="Times New Roman" w:hAnsi="Times New Roman" w:eastAsia="宋体" w:cs="Times New Roman"/>
                <w:b/>
                <w:bCs/>
                <w:color w:val="auto"/>
                <w:kern w:val="0"/>
                <w:sz w:val="21"/>
                <w:szCs w:val="21"/>
                <w:highlight w:val="none"/>
                <w:u w:val="none" w:color="auto"/>
              </w:rPr>
              <w:t>年</w:t>
            </w:r>
            <w:r>
              <w:rPr>
                <w:rFonts w:hint="default" w:ascii="Times New Roman" w:hAnsi="Times New Roman" w:eastAsia="宋体" w:cs="Times New Roman"/>
                <w:b/>
                <w:bCs/>
                <w:color w:val="auto"/>
                <w:kern w:val="0"/>
                <w:sz w:val="21"/>
                <w:szCs w:val="21"/>
                <w:highlight w:val="none"/>
                <w:u w:val="none" w:color="auto"/>
                <w:lang w:eastAsia="zh-CN"/>
              </w:rPr>
              <w:t>湘阴</w:t>
            </w:r>
            <w:r>
              <w:rPr>
                <w:rFonts w:hint="default" w:ascii="Times New Roman" w:hAnsi="Times New Roman" w:eastAsia="宋体" w:cs="Times New Roman"/>
                <w:b/>
                <w:bCs/>
                <w:color w:val="auto"/>
                <w:kern w:val="0"/>
                <w:sz w:val="21"/>
                <w:szCs w:val="21"/>
                <w:highlight w:val="none"/>
                <w:u w:val="none" w:color="auto"/>
              </w:rPr>
              <w:t>县空气环境质量状况</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011"/>
              <w:gridCol w:w="625"/>
              <w:gridCol w:w="2424"/>
              <w:gridCol w:w="1307"/>
              <w:gridCol w:w="1100"/>
              <w:gridCol w:w="740"/>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25" w:hRule="atLeast"/>
                <w:jc w:val="center"/>
              </w:trPr>
              <w:tc>
                <w:tcPr>
                  <w:tcW w:w="624" w:type="pct"/>
                  <w:tcBorders>
                    <w:tl2br w:val="nil"/>
                    <w:tr2bl w:val="nil"/>
                  </w:tcBorders>
                  <w:noWrap/>
                  <w:vAlign w:val="center"/>
                </w:tcPr>
                <w:p>
                  <w:pPr>
                    <w:pStyle w:val="71"/>
                    <w:spacing w:line="320" w:lineRule="exact"/>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监测点名称</w:t>
                  </w:r>
                </w:p>
              </w:tc>
              <w:tc>
                <w:tcPr>
                  <w:tcW w:w="385" w:type="pct"/>
                  <w:tcBorders>
                    <w:tl2br w:val="nil"/>
                    <w:tr2bl w:val="nil"/>
                  </w:tcBorders>
                  <w:noWrap/>
                  <w:vAlign w:val="center"/>
                </w:tcPr>
                <w:p>
                  <w:pPr>
                    <w:pStyle w:val="71"/>
                    <w:spacing w:line="320" w:lineRule="exact"/>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污染物</w:t>
                  </w:r>
                </w:p>
              </w:tc>
              <w:tc>
                <w:tcPr>
                  <w:tcW w:w="1494" w:type="pct"/>
                  <w:tcBorders>
                    <w:tl2br w:val="nil"/>
                    <w:tr2bl w:val="nil"/>
                  </w:tcBorders>
                  <w:noWrap/>
                  <w:vAlign w:val="center"/>
                </w:tcPr>
                <w:p>
                  <w:pPr>
                    <w:pStyle w:val="71"/>
                    <w:spacing w:line="320" w:lineRule="exact"/>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年评价指标</w:t>
                  </w:r>
                </w:p>
              </w:tc>
              <w:tc>
                <w:tcPr>
                  <w:tcW w:w="806" w:type="pct"/>
                  <w:tcBorders>
                    <w:tl2br w:val="nil"/>
                    <w:tr2bl w:val="nil"/>
                  </w:tcBorders>
                  <w:noWrap/>
                  <w:vAlign w:val="center"/>
                </w:tcPr>
                <w:p>
                  <w:pPr>
                    <w:pStyle w:val="71"/>
                    <w:spacing w:line="320" w:lineRule="exact"/>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现状浓度</w:t>
                  </w:r>
                </w:p>
                <w:p>
                  <w:pPr>
                    <w:pStyle w:val="71"/>
                    <w:spacing w:line="320" w:lineRule="exact"/>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（µg/m</w:t>
                  </w:r>
                  <w:r>
                    <w:rPr>
                      <w:rFonts w:hint="default" w:ascii="Times New Roman" w:hAnsi="Times New Roman" w:eastAsia="宋体" w:cs="Times New Roman"/>
                      <w:b/>
                      <w:bCs/>
                      <w:color w:val="auto"/>
                      <w:sz w:val="21"/>
                      <w:szCs w:val="21"/>
                      <w:u w:val="none" w:color="auto"/>
                      <w:vertAlign w:val="superscript"/>
                    </w:rPr>
                    <w:t>3</w:t>
                  </w:r>
                  <w:r>
                    <w:rPr>
                      <w:rFonts w:hint="default" w:ascii="Times New Roman" w:hAnsi="Times New Roman" w:eastAsia="宋体" w:cs="Times New Roman"/>
                      <w:b/>
                      <w:bCs/>
                      <w:color w:val="auto"/>
                      <w:sz w:val="21"/>
                      <w:szCs w:val="21"/>
                      <w:u w:val="none" w:color="auto"/>
                    </w:rPr>
                    <w:t>）</w:t>
                  </w:r>
                </w:p>
              </w:tc>
              <w:tc>
                <w:tcPr>
                  <w:tcW w:w="678" w:type="pct"/>
                  <w:tcBorders>
                    <w:tl2br w:val="nil"/>
                    <w:tr2bl w:val="nil"/>
                  </w:tcBorders>
                  <w:noWrap/>
                  <w:vAlign w:val="center"/>
                </w:tcPr>
                <w:p>
                  <w:pPr>
                    <w:pStyle w:val="71"/>
                    <w:spacing w:line="320" w:lineRule="exact"/>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标准值</w:t>
                  </w:r>
                </w:p>
                <w:p>
                  <w:pPr>
                    <w:pStyle w:val="71"/>
                    <w:spacing w:line="320" w:lineRule="exact"/>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（µg/m</w:t>
                  </w:r>
                  <w:r>
                    <w:rPr>
                      <w:rFonts w:hint="default" w:ascii="Times New Roman" w:hAnsi="Times New Roman" w:eastAsia="宋体" w:cs="Times New Roman"/>
                      <w:b/>
                      <w:bCs/>
                      <w:color w:val="auto"/>
                      <w:sz w:val="21"/>
                      <w:szCs w:val="21"/>
                      <w:u w:val="none" w:color="auto"/>
                      <w:vertAlign w:val="superscript"/>
                    </w:rPr>
                    <w:t>3</w:t>
                  </w:r>
                  <w:r>
                    <w:rPr>
                      <w:rFonts w:hint="default" w:ascii="Times New Roman" w:hAnsi="Times New Roman" w:eastAsia="宋体" w:cs="Times New Roman"/>
                      <w:b/>
                      <w:bCs/>
                      <w:color w:val="auto"/>
                      <w:sz w:val="21"/>
                      <w:szCs w:val="21"/>
                      <w:u w:val="none" w:color="auto"/>
                    </w:rPr>
                    <w:t>）</w:t>
                  </w:r>
                </w:p>
              </w:tc>
              <w:tc>
                <w:tcPr>
                  <w:tcW w:w="456" w:type="pct"/>
                  <w:tcBorders>
                    <w:tl2br w:val="nil"/>
                    <w:tr2bl w:val="nil"/>
                  </w:tcBorders>
                  <w:noWrap/>
                  <w:vAlign w:val="center"/>
                </w:tcPr>
                <w:p>
                  <w:pPr>
                    <w:pStyle w:val="71"/>
                    <w:spacing w:line="320" w:lineRule="exact"/>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占标率（%）</w:t>
                  </w:r>
                </w:p>
              </w:tc>
              <w:tc>
                <w:tcPr>
                  <w:tcW w:w="554" w:type="pct"/>
                  <w:tcBorders>
                    <w:tl2br w:val="nil"/>
                    <w:tr2bl w:val="nil"/>
                  </w:tcBorders>
                  <w:noWrap/>
                  <w:vAlign w:val="center"/>
                </w:tcPr>
                <w:p>
                  <w:pPr>
                    <w:pStyle w:val="71"/>
                    <w:spacing w:line="320" w:lineRule="exact"/>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达标</w:t>
                  </w:r>
                </w:p>
                <w:p>
                  <w:pPr>
                    <w:pStyle w:val="71"/>
                    <w:spacing w:line="320" w:lineRule="exact"/>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67" w:hRule="atLeast"/>
                <w:jc w:val="center"/>
              </w:trPr>
              <w:tc>
                <w:tcPr>
                  <w:tcW w:w="624" w:type="pct"/>
                  <w:vMerge w:val="restar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湘阴</w:t>
                  </w:r>
                  <w:r>
                    <w:rPr>
                      <w:rFonts w:hint="default" w:ascii="Times New Roman" w:hAnsi="Times New Roman" w:eastAsia="宋体" w:cs="Times New Roman"/>
                      <w:color w:val="auto"/>
                      <w:sz w:val="21"/>
                      <w:szCs w:val="21"/>
                      <w:u w:val="none" w:color="auto"/>
                    </w:rPr>
                    <w:t>县</w:t>
                  </w:r>
                </w:p>
              </w:tc>
              <w:tc>
                <w:tcPr>
                  <w:tcW w:w="385"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SO</w:t>
                  </w:r>
                  <w:r>
                    <w:rPr>
                      <w:rFonts w:hint="default" w:ascii="Times New Roman" w:hAnsi="Times New Roman" w:eastAsia="宋体" w:cs="Times New Roman"/>
                      <w:color w:val="auto"/>
                      <w:sz w:val="21"/>
                      <w:szCs w:val="21"/>
                      <w:u w:val="none" w:color="auto"/>
                      <w:vertAlign w:val="subscript"/>
                    </w:rPr>
                    <w:t>2</w:t>
                  </w:r>
                </w:p>
              </w:tc>
              <w:tc>
                <w:tcPr>
                  <w:tcW w:w="1494" w:type="pct"/>
                  <w:tcBorders>
                    <w:tl2br w:val="nil"/>
                    <w:tr2bl w:val="nil"/>
                  </w:tcBorders>
                  <w:noWrap/>
                  <w:vAlign w:val="center"/>
                </w:tcPr>
                <w:p>
                  <w:pPr>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vertAlign w:val="baseline"/>
                      <w:lang w:val="en-US" w:eastAsia="zh-CN"/>
                    </w:rPr>
                    <w:t>年平均质量浓度</w:t>
                  </w:r>
                </w:p>
              </w:tc>
              <w:tc>
                <w:tcPr>
                  <w:tcW w:w="806"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w:t>
                  </w:r>
                </w:p>
              </w:tc>
              <w:tc>
                <w:tcPr>
                  <w:tcW w:w="678"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60</w:t>
                  </w:r>
                </w:p>
              </w:tc>
              <w:tc>
                <w:tcPr>
                  <w:tcW w:w="456"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10.0</w:t>
                  </w:r>
                </w:p>
              </w:tc>
              <w:tc>
                <w:tcPr>
                  <w:tcW w:w="554"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67" w:hRule="atLeast"/>
                <w:jc w:val="center"/>
              </w:trPr>
              <w:tc>
                <w:tcPr>
                  <w:tcW w:w="624" w:type="pct"/>
                  <w:vMerge w:val="continue"/>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p>
              </w:tc>
              <w:tc>
                <w:tcPr>
                  <w:tcW w:w="385"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NO</w:t>
                  </w:r>
                  <w:r>
                    <w:rPr>
                      <w:rFonts w:hint="default" w:ascii="Times New Roman" w:hAnsi="Times New Roman" w:eastAsia="宋体" w:cs="Times New Roman"/>
                      <w:color w:val="auto"/>
                      <w:sz w:val="21"/>
                      <w:szCs w:val="21"/>
                      <w:u w:val="none" w:color="auto"/>
                      <w:vertAlign w:val="subscript"/>
                    </w:rPr>
                    <w:t>2</w:t>
                  </w:r>
                </w:p>
              </w:tc>
              <w:tc>
                <w:tcPr>
                  <w:tcW w:w="1494" w:type="pct"/>
                  <w:tcBorders>
                    <w:tl2br w:val="nil"/>
                    <w:tr2bl w:val="nil"/>
                  </w:tcBorders>
                  <w:noWrap/>
                  <w:vAlign w:val="center"/>
                </w:tcPr>
                <w:p>
                  <w:pPr>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vertAlign w:val="baseline"/>
                      <w:lang w:val="en-US" w:eastAsia="zh-CN"/>
                    </w:rPr>
                    <w:t>年平均质量浓度</w:t>
                  </w:r>
                </w:p>
              </w:tc>
              <w:tc>
                <w:tcPr>
                  <w:tcW w:w="806"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14</w:t>
                  </w:r>
                </w:p>
              </w:tc>
              <w:tc>
                <w:tcPr>
                  <w:tcW w:w="678"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40</w:t>
                  </w:r>
                </w:p>
              </w:tc>
              <w:tc>
                <w:tcPr>
                  <w:tcW w:w="456"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35.0</w:t>
                  </w:r>
                </w:p>
              </w:tc>
              <w:tc>
                <w:tcPr>
                  <w:tcW w:w="554"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67" w:hRule="atLeast"/>
                <w:jc w:val="center"/>
              </w:trPr>
              <w:tc>
                <w:tcPr>
                  <w:tcW w:w="624" w:type="pct"/>
                  <w:vMerge w:val="continue"/>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p>
              </w:tc>
              <w:tc>
                <w:tcPr>
                  <w:tcW w:w="385"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PM</w:t>
                  </w:r>
                  <w:r>
                    <w:rPr>
                      <w:rFonts w:hint="default" w:ascii="Times New Roman" w:hAnsi="Times New Roman" w:eastAsia="宋体" w:cs="Times New Roman"/>
                      <w:color w:val="auto"/>
                      <w:sz w:val="21"/>
                      <w:szCs w:val="21"/>
                      <w:u w:val="none" w:color="auto"/>
                      <w:vertAlign w:val="subscript"/>
                    </w:rPr>
                    <w:t>10</w:t>
                  </w:r>
                </w:p>
              </w:tc>
              <w:tc>
                <w:tcPr>
                  <w:tcW w:w="1494" w:type="pct"/>
                  <w:tcBorders>
                    <w:tl2br w:val="nil"/>
                    <w:tr2bl w:val="nil"/>
                  </w:tcBorders>
                  <w:noWrap/>
                  <w:vAlign w:val="center"/>
                </w:tcPr>
                <w:p>
                  <w:pPr>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vertAlign w:val="baseline"/>
                      <w:lang w:val="en-US" w:eastAsia="zh-CN"/>
                    </w:rPr>
                    <w:t>年平均质量浓度</w:t>
                  </w:r>
                </w:p>
              </w:tc>
              <w:tc>
                <w:tcPr>
                  <w:tcW w:w="806"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43</w:t>
                  </w:r>
                </w:p>
              </w:tc>
              <w:tc>
                <w:tcPr>
                  <w:tcW w:w="678"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70</w:t>
                  </w:r>
                </w:p>
              </w:tc>
              <w:tc>
                <w:tcPr>
                  <w:tcW w:w="456"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61.4</w:t>
                  </w:r>
                </w:p>
              </w:tc>
              <w:tc>
                <w:tcPr>
                  <w:tcW w:w="554"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67" w:hRule="atLeast"/>
                <w:jc w:val="center"/>
              </w:trPr>
              <w:tc>
                <w:tcPr>
                  <w:tcW w:w="624" w:type="pct"/>
                  <w:vMerge w:val="continue"/>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p>
              </w:tc>
              <w:tc>
                <w:tcPr>
                  <w:tcW w:w="385"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PM</w:t>
                  </w:r>
                  <w:r>
                    <w:rPr>
                      <w:rFonts w:hint="default" w:ascii="Times New Roman" w:hAnsi="Times New Roman" w:eastAsia="宋体" w:cs="Times New Roman"/>
                      <w:color w:val="auto"/>
                      <w:sz w:val="21"/>
                      <w:szCs w:val="21"/>
                      <w:u w:val="none" w:color="auto"/>
                      <w:vertAlign w:val="subscript"/>
                    </w:rPr>
                    <w:t>2.5</w:t>
                  </w:r>
                </w:p>
              </w:tc>
              <w:tc>
                <w:tcPr>
                  <w:tcW w:w="1494" w:type="pct"/>
                  <w:tcBorders>
                    <w:tl2br w:val="nil"/>
                    <w:tr2bl w:val="nil"/>
                  </w:tcBorders>
                  <w:noWrap/>
                  <w:vAlign w:val="center"/>
                </w:tcPr>
                <w:p>
                  <w:pPr>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vertAlign w:val="baseline"/>
                      <w:lang w:val="en-US" w:eastAsia="zh-CN"/>
                    </w:rPr>
                    <w:t>年平均质量浓度</w:t>
                  </w:r>
                </w:p>
              </w:tc>
              <w:tc>
                <w:tcPr>
                  <w:tcW w:w="806"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34</w:t>
                  </w:r>
                </w:p>
              </w:tc>
              <w:tc>
                <w:tcPr>
                  <w:tcW w:w="678"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35</w:t>
                  </w:r>
                </w:p>
              </w:tc>
              <w:tc>
                <w:tcPr>
                  <w:tcW w:w="456"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97.1</w:t>
                  </w:r>
                </w:p>
              </w:tc>
              <w:tc>
                <w:tcPr>
                  <w:tcW w:w="554"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67" w:hRule="atLeast"/>
                <w:jc w:val="center"/>
              </w:trPr>
              <w:tc>
                <w:tcPr>
                  <w:tcW w:w="624" w:type="pct"/>
                  <w:vMerge w:val="continue"/>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p>
              </w:tc>
              <w:tc>
                <w:tcPr>
                  <w:tcW w:w="385"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w:t>
                  </w:r>
                </w:p>
              </w:tc>
              <w:tc>
                <w:tcPr>
                  <w:tcW w:w="149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vertAlign w:val="baseline"/>
                      <w:lang w:val="en-US" w:eastAsia="zh-CN"/>
                    </w:rPr>
                    <w:t>95%日平均质量浓度</w:t>
                  </w:r>
                </w:p>
              </w:tc>
              <w:tc>
                <w:tcPr>
                  <w:tcW w:w="806"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1000</w:t>
                  </w:r>
                </w:p>
              </w:tc>
              <w:tc>
                <w:tcPr>
                  <w:tcW w:w="678"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4000</w:t>
                  </w:r>
                </w:p>
              </w:tc>
              <w:tc>
                <w:tcPr>
                  <w:tcW w:w="456"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25.0</w:t>
                  </w:r>
                </w:p>
              </w:tc>
              <w:tc>
                <w:tcPr>
                  <w:tcW w:w="554"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75" w:hRule="atLeast"/>
                <w:jc w:val="center"/>
              </w:trPr>
              <w:tc>
                <w:tcPr>
                  <w:tcW w:w="624" w:type="pct"/>
                  <w:vMerge w:val="continue"/>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p>
              </w:tc>
              <w:tc>
                <w:tcPr>
                  <w:tcW w:w="385"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O</w:t>
                  </w:r>
                  <w:r>
                    <w:rPr>
                      <w:rFonts w:hint="default" w:ascii="Times New Roman" w:hAnsi="Times New Roman" w:eastAsia="宋体" w:cs="Times New Roman"/>
                      <w:color w:val="auto"/>
                      <w:sz w:val="21"/>
                      <w:szCs w:val="21"/>
                      <w:u w:val="none" w:color="auto"/>
                      <w:vertAlign w:val="subscript"/>
                    </w:rPr>
                    <w:t>3</w:t>
                  </w:r>
                </w:p>
              </w:tc>
              <w:tc>
                <w:tcPr>
                  <w:tcW w:w="149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vertAlign w:val="baseline"/>
                      <w:lang w:val="en-US" w:eastAsia="zh-CN"/>
                    </w:rPr>
                    <w:t>90%8h平均质量浓度</w:t>
                  </w:r>
                </w:p>
              </w:tc>
              <w:tc>
                <w:tcPr>
                  <w:tcW w:w="806"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146</w:t>
                  </w:r>
                </w:p>
              </w:tc>
              <w:tc>
                <w:tcPr>
                  <w:tcW w:w="678"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160</w:t>
                  </w:r>
                </w:p>
              </w:tc>
              <w:tc>
                <w:tcPr>
                  <w:tcW w:w="456"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91.2</w:t>
                  </w:r>
                </w:p>
              </w:tc>
              <w:tc>
                <w:tcPr>
                  <w:tcW w:w="554" w:type="pct"/>
                  <w:tcBorders>
                    <w:tl2br w:val="nil"/>
                    <w:tr2bl w:val="nil"/>
                  </w:tcBorders>
                  <w:noWrap/>
                  <w:vAlign w:val="center"/>
                </w:tcPr>
                <w:p>
                  <w:pPr>
                    <w:pStyle w:val="71"/>
                    <w:spacing w:line="320" w:lineRule="exac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达标</w:t>
                  </w:r>
                </w:p>
              </w:tc>
            </w:tr>
          </w:tbl>
          <w:p>
            <w:pPr>
              <w:pStyle w:val="21"/>
              <w:widowControl/>
              <w:spacing w:after="0" w:line="360" w:lineRule="auto"/>
              <w:ind w:left="0" w:leftChars="0" w:firstLine="48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由上表可知，SO</w:t>
            </w:r>
            <w:r>
              <w:rPr>
                <w:rFonts w:hint="default" w:ascii="Times New Roman" w:hAnsi="Times New Roman" w:eastAsia="宋体" w:cs="Times New Roman"/>
                <w:color w:val="auto"/>
                <w:sz w:val="21"/>
                <w:szCs w:val="21"/>
                <w:u w:val="none" w:color="auto"/>
                <w:vertAlign w:val="subscript"/>
              </w:rPr>
              <w:t>2</w:t>
            </w:r>
            <w:r>
              <w:rPr>
                <w:rFonts w:hint="default" w:ascii="Times New Roman" w:hAnsi="Times New Roman" w:eastAsia="宋体" w:cs="Times New Roman"/>
                <w:color w:val="auto"/>
                <w:sz w:val="21"/>
                <w:szCs w:val="21"/>
                <w:u w:val="none" w:color="auto"/>
              </w:rPr>
              <w:t>、NO</w:t>
            </w:r>
            <w:r>
              <w:rPr>
                <w:rFonts w:hint="default" w:ascii="Times New Roman" w:hAnsi="Times New Roman" w:eastAsia="宋体" w:cs="Times New Roman"/>
                <w:color w:val="auto"/>
                <w:sz w:val="21"/>
                <w:szCs w:val="21"/>
                <w:u w:val="none" w:color="auto"/>
                <w:vertAlign w:val="subscript"/>
              </w:rPr>
              <w:t>2</w:t>
            </w:r>
            <w:r>
              <w:rPr>
                <w:rFonts w:hint="default" w:ascii="Times New Roman" w:hAnsi="Times New Roman" w:eastAsia="宋体" w:cs="Times New Roman"/>
                <w:color w:val="auto"/>
                <w:sz w:val="21"/>
                <w:szCs w:val="21"/>
                <w:u w:val="none" w:color="auto"/>
              </w:rPr>
              <w:t>、PM</w:t>
            </w:r>
            <w:r>
              <w:rPr>
                <w:rFonts w:hint="default" w:ascii="Times New Roman" w:hAnsi="Times New Roman" w:eastAsia="宋体" w:cs="Times New Roman"/>
                <w:color w:val="auto"/>
                <w:sz w:val="21"/>
                <w:szCs w:val="21"/>
                <w:u w:val="none" w:color="auto"/>
                <w:vertAlign w:val="subscript"/>
              </w:rPr>
              <w:t>10</w:t>
            </w:r>
            <w:r>
              <w:rPr>
                <w:rFonts w:hint="default" w:ascii="Times New Roman" w:hAnsi="Times New Roman" w:eastAsia="宋体" w:cs="Times New Roman"/>
                <w:color w:val="auto"/>
                <w:sz w:val="21"/>
                <w:szCs w:val="21"/>
                <w:u w:val="none" w:color="auto"/>
              </w:rPr>
              <w:t>、PM</w:t>
            </w:r>
            <w:r>
              <w:rPr>
                <w:rFonts w:hint="default" w:ascii="Times New Roman" w:hAnsi="Times New Roman" w:eastAsia="宋体" w:cs="Times New Roman"/>
                <w:color w:val="auto"/>
                <w:sz w:val="21"/>
                <w:szCs w:val="21"/>
                <w:u w:val="none" w:color="auto"/>
                <w:vertAlign w:val="subscript"/>
              </w:rPr>
              <w:t>2.5</w:t>
            </w:r>
            <w:r>
              <w:rPr>
                <w:rFonts w:hint="default" w:ascii="Times New Roman" w:hAnsi="Times New Roman" w:eastAsia="宋体" w:cs="Times New Roman"/>
                <w:color w:val="auto"/>
                <w:sz w:val="21"/>
                <w:szCs w:val="21"/>
                <w:u w:val="none" w:color="auto"/>
              </w:rPr>
              <w:t>年平均质量浓度和CO95百分位数日平均质量浓度、O</w:t>
            </w:r>
            <w:r>
              <w:rPr>
                <w:rFonts w:hint="default" w:ascii="Times New Roman" w:hAnsi="Times New Roman" w:eastAsia="宋体" w:cs="Times New Roman"/>
                <w:color w:val="auto"/>
                <w:sz w:val="21"/>
                <w:szCs w:val="21"/>
                <w:u w:val="none" w:color="auto"/>
                <w:vertAlign w:val="subscript"/>
              </w:rPr>
              <w:t>3</w:t>
            </w:r>
            <w:r>
              <w:rPr>
                <w:rFonts w:hint="default" w:ascii="Times New Roman" w:hAnsi="Times New Roman" w:eastAsia="宋体" w:cs="Times New Roman"/>
                <w:color w:val="auto"/>
                <w:sz w:val="21"/>
                <w:szCs w:val="21"/>
                <w:u w:val="none" w:color="auto"/>
              </w:rPr>
              <w:t>90百分位数最大8小时平均质量浓度均符合《环境空气质量标准》（GB3095-2012）二级标准要求，故项目所在区域为达标区。</w:t>
            </w:r>
          </w:p>
          <w:p>
            <w:pPr>
              <w:keepNext/>
              <w:keepLines w:val="0"/>
              <w:numPr>
                <w:ilvl w:val="0"/>
                <w:numId w:val="12"/>
              </w:numPr>
              <w:suppressLineNumbers w:val="0"/>
              <w:spacing w:before="0" w:beforeAutospacing="0" w:after="0" w:afterAutospacing="0" w:line="360" w:lineRule="auto"/>
              <w:ind w:right="0" w:firstLine="480"/>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rPr>
              <w:t>特征污染物</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bCs/>
                <w:color w:val="0000FF"/>
                <w:szCs w:val="21"/>
                <w:highlight w:val="none"/>
                <w:u w:val="none" w:color="auto"/>
              </w:rPr>
            </w:pPr>
            <w:r>
              <w:rPr>
                <w:rFonts w:hint="default" w:ascii="Times New Roman" w:hAnsi="Times New Roman" w:eastAsia="宋体" w:cs="Times New Roman"/>
                <w:color w:val="auto"/>
                <w:highlight w:val="none"/>
                <w:u w:val="none" w:color="auto"/>
                <w:lang w:val="en-US" w:eastAsia="zh-CN"/>
              </w:rPr>
              <w:t>为了解项目评价区域内TSP环境质量现状，本环评引用《湘阴虞公港二期工程环境影响报告书》中由</w:t>
            </w:r>
            <w:r>
              <w:rPr>
                <w:rFonts w:hint="default" w:ascii="Times New Roman" w:hAnsi="Times New Roman" w:eastAsia="宋体" w:cs="Times New Roman"/>
                <w:color w:val="auto"/>
                <w:highlight w:val="none"/>
              </w:rPr>
              <w:t>中国检验认证集团湖南有限公司</w:t>
            </w:r>
            <w:r>
              <w:rPr>
                <w:rFonts w:hint="default" w:ascii="Times New Roman" w:hAnsi="Times New Roman" w:eastAsia="宋体" w:cs="Times New Roman"/>
                <w:color w:val="auto"/>
                <w:highlight w:val="none"/>
                <w:u w:val="none" w:color="auto"/>
                <w:lang w:val="en-US" w:eastAsia="zh-CN"/>
              </w:rPr>
              <w:t>于</w:t>
            </w:r>
            <w:r>
              <w:rPr>
                <w:rFonts w:hint="default" w:ascii="Times New Roman" w:hAnsi="Times New Roman" w:eastAsia="宋体" w:cs="Times New Roman"/>
                <w:color w:val="auto"/>
                <w:highlight w:val="none"/>
              </w:rPr>
              <w:t>2025年3月25日-31日</w:t>
            </w:r>
            <w:r>
              <w:rPr>
                <w:rFonts w:hint="default" w:ascii="Times New Roman" w:hAnsi="Times New Roman" w:eastAsia="宋体" w:cs="Times New Roman"/>
                <w:color w:val="auto"/>
                <w:highlight w:val="none"/>
                <w:u w:val="none" w:color="auto"/>
                <w:lang w:val="en-US" w:eastAsia="zh-CN"/>
              </w:rPr>
              <w:t>对评价区域内TSP进行的一期现场采样监测数据。监测点位位于本项目南侧约1.7km处</w:t>
            </w:r>
            <w:r>
              <w:rPr>
                <w:rFonts w:hint="eastAsia" w:ascii="Times New Roman" w:hAnsi="Times New Roman" w:eastAsia="宋体" w:cs="Times New Roman"/>
                <w:color w:val="auto"/>
                <w:highlight w:val="none"/>
                <w:u w:val="none" w:color="auto"/>
                <w:lang w:val="en-US" w:eastAsia="zh-CN"/>
              </w:rPr>
              <w:t>（附图8）</w:t>
            </w:r>
            <w:r>
              <w:rPr>
                <w:rFonts w:hint="default" w:ascii="Times New Roman" w:hAnsi="Times New Roman" w:eastAsia="宋体" w:cs="Times New Roman"/>
                <w:color w:val="auto"/>
                <w:highlight w:val="none"/>
                <w:u w:val="none" w:color="auto"/>
                <w:lang w:val="en-US" w:eastAsia="zh-CN"/>
              </w:rPr>
              <w:t>，</w:t>
            </w:r>
            <w:r>
              <w:rPr>
                <w:rFonts w:hint="default" w:ascii="Times New Roman" w:hAnsi="Times New Roman" w:eastAsia="宋体" w:cs="Times New Roman"/>
                <w:color w:val="auto"/>
                <w:szCs w:val="21"/>
                <w:highlight w:val="none"/>
                <w:u w:val="none" w:color="auto"/>
              </w:rPr>
              <w:t>根据《</w:t>
            </w:r>
            <w:r>
              <w:rPr>
                <w:rStyle w:val="35"/>
                <w:rFonts w:hint="default" w:ascii="Times New Roman" w:hAnsi="Times New Roman" w:eastAsia="宋体" w:cs="Times New Roman"/>
                <w:color w:val="auto"/>
                <w:kern w:val="0"/>
                <w:szCs w:val="21"/>
                <w:highlight w:val="none"/>
                <w:u w:val="none" w:color="auto"/>
              </w:rPr>
              <w:t>建设项目环境影响报告表编制技术指南</w:t>
            </w:r>
            <w:r>
              <w:rPr>
                <w:rStyle w:val="35"/>
                <w:rFonts w:hint="default" w:ascii="Times New Roman" w:hAnsi="Times New Roman" w:eastAsia="宋体" w:cs="Times New Roman"/>
                <w:color w:val="auto"/>
                <w:kern w:val="0"/>
                <w:szCs w:val="21"/>
                <w:highlight w:val="none"/>
                <w:u w:val="none" w:color="auto"/>
                <w:lang w:eastAsia="zh-CN"/>
              </w:rPr>
              <w:t>（</w:t>
            </w:r>
            <w:r>
              <w:rPr>
                <w:rStyle w:val="35"/>
                <w:rFonts w:hint="default" w:ascii="Times New Roman" w:hAnsi="Times New Roman" w:eastAsia="宋体" w:cs="Times New Roman"/>
                <w:color w:val="auto"/>
                <w:kern w:val="0"/>
                <w:szCs w:val="21"/>
                <w:highlight w:val="none"/>
                <w:u w:val="none" w:color="auto"/>
              </w:rPr>
              <w:t>污染影响类）</w:t>
            </w:r>
            <w:r>
              <w:rPr>
                <w:rFonts w:hint="default" w:ascii="Times New Roman" w:hAnsi="Times New Roman" w:eastAsia="宋体" w:cs="Times New Roman"/>
                <w:color w:val="auto"/>
                <w:szCs w:val="21"/>
                <w:highlight w:val="none"/>
                <w:u w:val="none" w:color="auto"/>
              </w:rPr>
              <w:t>》，环境空气质量现状调查可引用建设项目周边5km范围内近3年的现有监测资料</w:t>
            </w:r>
            <w:r>
              <w:rPr>
                <w:rFonts w:hint="default" w:ascii="Times New Roman" w:hAnsi="Times New Roman" w:eastAsia="宋体" w:cs="Times New Roman"/>
                <w:color w:val="auto"/>
                <w:szCs w:val="21"/>
                <w:highlight w:val="none"/>
                <w:u w:val="none" w:color="auto"/>
                <w:lang w:eastAsia="zh-CN"/>
              </w:rPr>
              <w:t>，</w:t>
            </w:r>
            <w:r>
              <w:rPr>
                <w:rFonts w:hint="default" w:ascii="Times New Roman" w:hAnsi="Times New Roman" w:eastAsia="宋体" w:cs="Times New Roman"/>
                <w:color w:val="auto"/>
                <w:szCs w:val="21"/>
                <w:highlight w:val="none"/>
                <w:u w:val="none" w:color="auto"/>
                <w:lang w:val="en-US" w:eastAsia="zh-CN"/>
              </w:rPr>
              <w:t>因此</w:t>
            </w:r>
            <w:r>
              <w:rPr>
                <w:rFonts w:hint="default" w:ascii="Times New Roman" w:hAnsi="Times New Roman" w:eastAsia="宋体" w:cs="Times New Roman"/>
                <w:color w:val="auto"/>
                <w:szCs w:val="21"/>
                <w:highlight w:val="none"/>
                <w:u w:val="none" w:color="auto"/>
              </w:rPr>
              <w:t>本项目引用的特征污染物监测数据距离及时限均可行</w:t>
            </w:r>
            <w:r>
              <w:rPr>
                <w:rFonts w:hint="default" w:ascii="Times New Roman" w:hAnsi="Times New Roman" w:eastAsia="宋体" w:cs="Times New Roman"/>
                <w:color w:val="auto"/>
                <w:szCs w:val="21"/>
                <w:highlight w:val="none"/>
                <w:u w:val="none" w:color="auto"/>
                <w:lang w:eastAsia="zh-CN"/>
              </w:rPr>
              <w:t>，</w:t>
            </w:r>
            <w:r>
              <w:rPr>
                <w:rFonts w:hint="default" w:ascii="Times New Roman" w:hAnsi="Times New Roman" w:eastAsia="宋体" w:cs="Times New Roman"/>
                <w:color w:val="auto"/>
                <w:highlight w:val="none"/>
                <w:u w:val="none" w:color="auto"/>
                <w:lang w:val="en-US" w:eastAsia="zh-CN"/>
              </w:rPr>
              <w:t>数据符合引用要求。其他污染物环境质量现状详见下表：</w:t>
            </w:r>
          </w:p>
          <w:p>
            <w:pPr>
              <w:pStyle w:val="94"/>
              <w:numPr>
                <w:ilvl w:val="0"/>
                <w:numId w:val="0"/>
              </w:numPr>
              <w:adjustRightInd/>
              <w:snapToGrid/>
              <w:rPr>
                <w:rFonts w:hint="default" w:ascii="Times New Roman" w:hAnsi="Times New Roman" w:eastAsia="宋体" w:cs="Times New Roman"/>
                <w:highlight w:val="none"/>
              </w:rPr>
            </w:pPr>
          </w:p>
          <w:p>
            <w:pPr>
              <w:pStyle w:val="94"/>
              <w:numPr>
                <w:ilvl w:val="0"/>
                <w:numId w:val="0"/>
              </w:numPr>
              <w:adjustRightInd/>
              <w:snapToGrid/>
              <w:rPr>
                <w:rFonts w:hint="default" w:ascii="Times New Roman" w:hAnsi="Times New Roman" w:eastAsia="宋体" w:cs="Times New Roman"/>
                <w:highlight w:val="none"/>
              </w:rPr>
            </w:pPr>
          </w:p>
          <w:p>
            <w:pPr>
              <w:pStyle w:val="94"/>
              <w:numPr>
                <w:ilvl w:val="0"/>
                <w:numId w:val="0"/>
              </w:numPr>
              <w:adjustRightInd/>
              <w:snapToGrid/>
              <w:rPr>
                <w:rFonts w:hint="default" w:ascii="Times New Roman" w:hAnsi="Times New Roman" w:eastAsia="宋体" w:cs="Times New Roman"/>
                <w:highlight w:val="none"/>
              </w:rPr>
            </w:pPr>
          </w:p>
          <w:p>
            <w:pPr>
              <w:pStyle w:val="94"/>
              <w:numPr>
                <w:ilvl w:val="0"/>
                <w:numId w:val="0"/>
              </w:numPr>
              <w:adjustRightInd/>
              <w:snapToGrid/>
              <w:rPr>
                <w:rFonts w:hint="default" w:ascii="Times New Roman" w:hAnsi="Times New Roman" w:eastAsia="宋体" w:cs="Times New Roman"/>
                <w:highlight w:val="none"/>
              </w:rPr>
            </w:pPr>
          </w:p>
          <w:p>
            <w:pPr>
              <w:pStyle w:val="94"/>
              <w:numPr>
                <w:ilvl w:val="0"/>
                <w:numId w:val="0"/>
              </w:numPr>
              <w:adjustRightInd/>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表</w:t>
            </w:r>
            <w:r>
              <w:rPr>
                <w:rFonts w:hint="default" w:ascii="Times New Roman" w:hAnsi="Times New Roman" w:eastAsia="宋体" w:cs="Times New Roman"/>
                <w:highlight w:val="none"/>
                <w:lang w:val="en-US" w:eastAsia="zh-CN"/>
              </w:rPr>
              <w:t>3-</w:t>
            </w:r>
            <w:r>
              <w:rPr>
                <w:rFonts w:hint="eastAsia"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rPr>
              <w:t>TSP的24小时平均浓度监测结果单位：</w:t>
            </w:r>
            <w:r>
              <w:rPr>
                <w:rFonts w:hint="default" w:ascii="Times New Roman" w:hAnsi="Times New Roman" w:eastAsia="宋体" w:cs="Times New Roman"/>
                <w:color w:val="000000"/>
                <w:highlight w:val="none"/>
                <w:lang w:val="en-US" w:eastAsia="zh-CN"/>
              </w:rPr>
              <w:t>m</w:t>
            </w:r>
            <w:r>
              <w:rPr>
                <w:rFonts w:hint="default" w:ascii="Times New Roman" w:hAnsi="Times New Roman" w:eastAsia="宋体" w:cs="Times New Roman"/>
                <w:color w:val="000000"/>
                <w:highlight w:val="none"/>
              </w:rPr>
              <w:t>g</w:t>
            </w:r>
            <w:r>
              <w:rPr>
                <w:rFonts w:hint="default" w:ascii="Times New Roman" w:hAnsi="Times New Roman" w:eastAsia="宋体" w:cs="Times New Roman"/>
                <w:highlight w:val="none"/>
              </w:rPr>
              <w:t>/m³</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40"/>
              <w:gridCol w:w="588"/>
              <w:gridCol w:w="655"/>
              <w:gridCol w:w="655"/>
              <w:gridCol w:w="655"/>
              <w:gridCol w:w="655"/>
              <w:gridCol w:w="655"/>
              <w:gridCol w:w="655"/>
              <w:gridCol w:w="659"/>
              <w:gridCol w:w="566"/>
              <w:gridCol w:w="495"/>
              <w:gridCol w:w="479"/>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jc w:val="center"/>
              </w:trPr>
              <w:tc>
                <w:tcPr>
                  <w:tcW w:w="740"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lang w:eastAsia="zh-CN"/>
                    </w:rPr>
                    <w:t>监测</w:t>
                  </w:r>
                  <w:r>
                    <w:rPr>
                      <w:rFonts w:hint="default" w:ascii="Times New Roman" w:hAnsi="Times New Roman" w:eastAsia="宋体" w:cs="Times New Roman"/>
                      <w:bCs/>
                      <w:sz w:val="21"/>
                      <w:szCs w:val="21"/>
                      <w:highlight w:val="none"/>
                    </w:rPr>
                    <w:t>点位</w:t>
                  </w:r>
                </w:p>
              </w:tc>
              <w:tc>
                <w:tcPr>
                  <w:tcW w:w="588" w:type="dxa"/>
                  <w:vMerge w:val="restart"/>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检测项目</w:t>
                  </w:r>
                </w:p>
              </w:tc>
              <w:tc>
                <w:tcPr>
                  <w:tcW w:w="4589" w:type="dxa"/>
                  <w:gridSpan w:val="7"/>
                  <w:tcBorders>
                    <w:top w:val="single" w:color="auto" w:sz="4" w:space="0"/>
                    <w:left w:val="nil"/>
                    <w:bottom w:val="single" w:color="auto" w:sz="4" w:space="0"/>
                    <w:right w:val="single" w:color="auto" w:sz="4" w:space="0"/>
                  </w:tcBorders>
                  <w:noWrap w:val="0"/>
                  <w:vAlign w:val="center"/>
                </w:tcPr>
                <w:p>
                  <w:pPr>
                    <w:pStyle w:val="5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检测结果（mg/m³）</w:t>
                  </w:r>
                </w:p>
              </w:tc>
              <w:tc>
                <w:tcPr>
                  <w:tcW w:w="566" w:type="dxa"/>
                  <w:vMerge w:val="restart"/>
                  <w:tcBorders>
                    <w:top w:val="single" w:color="auto" w:sz="4" w:space="0"/>
                    <w:left w:val="nil"/>
                    <w:bottom w:val="single" w:color="auto" w:sz="4" w:space="0"/>
                    <w:right w:val="single" w:color="auto" w:sz="4" w:space="0"/>
                  </w:tcBorders>
                  <w:noWrap w:val="0"/>
                  <w:vAlign w:val="center"/>
                </w:tcPr>
                <w:p>
                  <w:pPr>
                    <w:pStyle w:val="52"/>
                    <w:tabs>
                      <w:tab w:val="left" w:pos="480"/>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标准值</w:t>
                  </w:r>
                </w:p>
              </w:tc>
              <w:tc>
                <w:tcPr>
                  <w:tcW w:w="495" w:type="dxa"/>
                  <w:vMerge w:val="restart"/>
                  <w:tcBorders>
                    <w:top w:val="single" w:color="auto" w:sz="4" w:space="0"/>
                    <w:left w:val="nil"/>
                    <w:bottom w:val="single" w:color="auto" w:sz="4" w:space="0"/>
                    <w:right w:val="single" w:color="auto" w:sz="4" w:space="0"/>
                  </w:tcBorders>
                  <w:noWrap w:val="0"/>
                  <w:vAlign w:val="center"/>
                </w:tcPr>
                <w:p>
                  <w:pPr>
                    <w:pStyle w:val="52"/>
                    <w:tabs>
                      <w:tab w:val="left" w:pos="480"/>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超标倍数</w:t>
                  </w:r>
                </w:p>
              </w:tc>
              <w:tc>
                <w:tcPr>
                  <w:tcW w:w="479" w:type="dxa"/>
                  <w:vMerge w:val="restart"/>
                  <w:tcBorders>
                    <w:top w:val="single" w:color="auto" w:sz="4" w:space="0"/>
                    <w:left w:val="nil"/>
                    <w:bottom w:val="single" w:color="auto" w:sz="4" w:space="0"/>
                    <w:right w:val="single" w:color="auto" w:sz="4" w:space="0"/>
                  </w:tcBorders>
                  <w:noWrap w:val="0"/>
                  <w:vAlign w:val="center"/>
                </w:tcPr>
                <w:p>
                  <w:pPr>
                    <w:pStyle w:val="52"/>
                    <w:tabs>
                      <w:tab w:val="left" w:pos="480"/>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超标率</w:t>
                  </w:r>
                </w:p>
              </w:tc>
              <w:tc>
                <w:tcPr>
                  <w:tcW w:w="649" w:type="dxa"/>
                  <w:vMerge w:val="restart"/>
                  <w:tcBorders>
                    <w:top w:val="single" w:color="auto" w:sz="4" w:space="0"/>
                    <w:left w:val="nil"/>
                    <w:bottom w:val="single" w:color="auto" w:sz="4" w:space="0"/>
                    <w:right w:val="single" w:color="auto" w:sz="4" w:space="0"/>
                  </w:tcBorders>
                  <w:noWrap w:val="0"/>
                  <w:vAlign w:val="center"/>
                </w:tcPr>
                <w:p>
                  <w:pPr>
                    <w:pStyle w:val="52"/>
                    <w:tabs>
                      <w:tab w:val="left" w:pos="480"/>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7" w:hRule="atLeast"/>
                <w:jc w:val="center"/>
              </w:trPr>
              <w:tc>
                <w:tcPr>
                  <w:tcW w:w="7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tabs>
                      <w:tab w:val="left" w:pos="480"/>
                    </w:tabs>
                    <w:spacing w:line="240" w:lineRule="auto"/>
                    <w:ind w:firstLine="0" w:firstLineChars="0"/>
                    <w:jc w:val="center"/>
                    <w:rPr>
                      <w:rFonts w:hint="default" w:ascii="Times New Roman" w:hAnsi="Times New Roman" w:eastAsia="宋体" w:cs="Times New Roman"/>
                      <w:bCs/>
                      <w:sz w:val="21"/>
                      <w:szCs w:val="21"/>
                      <w:highlight w:val="none"/>
                    </w:rPr>
                  </w:pPr>
                </w:p>
              </w:tc>
              <w:tc>
                <w:tcPr>
                  <w:tcW w:w="588" w:type="dxa"/>
                  <w:vMerge w:val="continue"/>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p>
              </w:tc>
              <w:tc>
                <w:tcPr>
                  <w:tcW w:w="655"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3月25日</w:t>
                  </w:r>
                </w:p>
              </w:tc>
              <w:tc>
                <w:tcPr>
                  <w:tcW w:w="655"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3月26日</w:t>
                  </w:r>
                </w:p>
              </w:tc>
              <w:tc>
                <w:tcPr>
                  <w:tcW w:w="655"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3月27日</w:t>
                  </w:r>
                </w:p>
              </w:tc>
              <w:tc>
                <w:tcPr>
                  <w:tcW w:w="655"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3月28日</w:t>
                  </w:r>
                </w:p>
              </w:tc>
              <w:tc>
                <w:tcPr>
                  <w:tcW w:w="655"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3月29日</w:t>
                  </w:r>
                </w:p>
              </w:tc>
              <w:tc>
                <w:tcPr>
                  <w:tcW w:w="655"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3月30日</w:t>
                  </w:r>
                </w:p>
              </w:tc>
              <w:tc>
                <w:tcPr>
                  <w:tcW w:w="659"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3月31日</w:t>
                  </w:r>
                </w:p>
              </w:tc>
              <w:tc>
                <w:tcPr>
                  <w:tcW w:w="566" w:type="dxa"/>
                  <w:vMerge w:val="continue"/>
                  <w:tcBorders>
                    <w:top w:val="single" w:color="auto" w:sz="4" w:space="0"/>
                    <w:left w:val="nil"/>
                    <w:bottom w:val="single" w:color="auto" w:sz="4" w:space="0"/>
                    <w:right w:val="single" w:color="auto" w:sz="4" w:space="0"/>
                  </w:tcBorders>
                  <w:noWrap w:val="0"/>
                  <w:vAlign w:val="center"/>
                </w:tcPr>
                <w:p>
                  <w:pPr>
                    <w:widowControl/>
                    <w:tabs>
                      <w:tab w:val="left" w:pos="480"/>
                    </w:tabs>
                    <w:spacing w:line="240" w:lineRule="auto"/>
                    <w:ind w:firstLine="0" w:firstLineChars="0"/>
                    <w:jc w:val="center"/>
                    <w:rPr>
                      <w:rFonts w:hint="default" w:ascii="Times New Roman" w:hAnsi="Times New Roman" w:eastAsia="宋体" w:cs="Times New Roman"/>
                      <w:bCs/>
                      <w:kern w:val="0"/>
                      <w:sz w:val="21"/>
                      <w:szCs w:val="21"/>
                      <w:highlight w:val="none"/>
                    </w:rPr>
                  </w:pPr>
                </w:p>
              </w:tc>
              <w:tc>
                <w:tcPr>
                  <w:tcW w:w="495" w:type="dxa"/>
                  <w:vMerge w:val="continue"/>
                  <w:tcBorders>
                    <w:top w:val="single" w:color="auto" w:sz="4" w:space="0"/>
                    <w:left w:val="nil"/>
                    <w:bottom w:val="single" w:color="auto" w:sz="4" w:space="0"/>
                    <w:right w:val="single" w:color="auto" w:sz="4" w:space="0"/>
                  </w:tcBorders>
                  <w:noWrap w:val="0"/>
                  <w:vAlign w:val="center"/>
                </w:tcPr>
                <w:p>
                  <w:pPr>
                    <w:widowControl/>
                    <w:tabs>
                      <w:tab w:val="left" w:pos="480"/>
                    </w:tabs>
                    <w:spacing w:line="240" w:lineRule="auto"/>
                    <w:ind w:firstLine="0" w:firstLineChars="0"/>
                    <w:jc w:val="center"/>
                    <w:rPr>
                      <w:rFonts w:hint="default" w:ascii="Times New Roman" w:hAnsi="Times New Roman" w:eastAsia="宋体" w:cs="Times New Roman"/>
                      <w:bCs/>
                      <w:kern w:val="0"/>
                      <w:sz w:val="21"/>
                      <w:szCs w:val="21"/>
                      <w:highlight w:val="none"/>
                    </w:rPr>
                  </w:pPr>
                </w:p>
              </w:tc>
              <w:tc>
                <w:tcPr>
                  <w:tcW w:w="479" w:type="dxa"/>
                  <w:vMerge w:val="continue"/>
                  <w:tcBorders>
                    <w:top w:val="single" w:color="auto" w:sz="4" w:space="0"/>
                    <w:left w:val="nil"/>
                    <w:bottom w:val="single" w:color="auto" w:sz="4" w:space="0"/>
                    <w:right w:val="single" w:color="auto" w:sz="4" w:space="0"/>
                  </w:tcBorders>
                  <w:noWrap w:val="0"/>
                  <w:vAlign w:val="center"/>
                </w:tcPr>
                <w:p>
                  <w:pPr>
                    <w:widowControl/>
                    <w:tabs>
                      <w:tab w:val="left" w:pos="480"/>
                    </w:tabs>
                    <w:spacing w:line="240" w:lineRule="auto"/>
                    <w:ind w:firstLine="0" w:firstLineChars="0"/>
                    <w:jc w:val="center"/>
                    <w:rPr>
                      <w:rFonts w:hint="default" w:ascii="Times New Roman" w:hAnsi="Times New Roman" w:eastAsia="宋体" w:cs="Times New Roman"/>
                      <w:bCs/>
                      <w:kern w:val="0"/>
                      <w:sz w:val="21"/>
                      <w:szCs w:val="21"/>
                      <w:highlight w:val="none"/>
                    </w:rPr>
                  </w:pPr>
                </w:p>
              </w:tc>
              <w:tc>
                <w:tcPr>
                  <w:tcW w:w="649" w:type="dxa"/>
                  <w:vMerge w:val="continue"/>
                  <w:tcBorders>
                    <w:top w:val="single" w:color="auto" w:sz="4" w:space="0"/>
                    <w:left w:val="nil"/>
                    <w:bottom w:val="single" w:color="auto" w:sz="4" w:space="0"/>
                    <w:right w:val="single" w:color="auto" w:sz="4" w:space="0"/>
                  </w:tcBorders>
                  <w:noWrap w:val="0"/>
                  <w:vAlign w:val="center"/>
                </w:tcPr>
                <w:p>
                  <w:pPr>
                    <w:widowControl/>
                    <w:tabs>
                      <w:tab w:val="left" w:pos="480"/>
                    </w:tabs>
                    <w:spacing w:line="240" w:lineRule="auto"/>
                    <w:ind w:firstLine="0" w:firstLineChars="0"/>
                    <w:jc w:val="center"/>
                    <w:rPr>
                      <w:rFonts w:hint="default" w:ascii="Times New Roman" w:hAnsi="Times New Roman" w:eastAsia="宋体" w:cs="Times New Roman"/>
                      <w:bCs/>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8"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sz w:val="21"/>
                      <w:szCs w:val="21"/>
                      <w:highlight w:val="none"/>
                      <w:lang w:eastAsia="zh-CN"/>
                    </w:rPr>
                    <w:t>虞公港二期工程下风向</w:t>
                  </w:r>
                  <w:r>
                    <w:rPr>
                      <w:rFonts w:hint="default" w:ascii="Times New Roman" w:hAnsi="Times New Roman" w:eastAsia="宋体" w:cs="Times New Roman"/>
                      <w:sz w:val="21"/>
                      <w:szCs w:val="21"/>
                      <w:highlight w:val="none"/>
                      <w:lang w:val="en-US" w:eastAsia="zh-CN"/>
                    </w:rPr>
                    <w:t>G1</w:t>
                  </w:r>
                </w:p>
              </w:tc>
              <w:tc>
                <w:tcPr>
                  <w:tcW w:w="588" w:type="dxa"/>
                  <w:tcBorders>
                    <w:top w:val="single" w:color="auto" w:sz="4" w:space="0"/>
                    <w:left w:val="nil"/>
                    <w:bottom w:val="single" w:color="auto" w:sz="4" w:space="0"/>
                    <w:right w:val="single" w:color="auto" w:sz="4" w:space="0"/>
                  </w:tcBorders>
                  <w:noWrap w:val="0"/>
                  <w:vAlign w:val="center"/>
                </w:tcPr>
                <w:p>
                  <w:pPr>
                    <w:pStyle w:val="5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w:t>
                  </w:r>
                </w:p>
              </w:tc>
              <w:tc>
                <w:tcPr>
                  <w:tcW w:w="655"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0.200</w:t>
                  </w:r>
                </w:p>
              </w:tc>
              <w:tc>
                <w:tcPr>
                  <w:tcW w:w="655"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rPr>
                    <w:t>150</w:t>
                  </w:r>
                </w:p>
              </w:tc>
              <w:tc>
                <w:tcPr>
                  <w:tcW w:w="655"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rPr>
                    <w:t>217</w:t>
                  </w:r>
                </w:p>
              </w:tc>
              <w:tc>
                <w:tcPr>
                  <w:tcW w:w="655"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rPr>
                    <w:t>217</w:t>
                  </w:r>
                </w:p>
              </w:tc>
              <w:tc>
                <w:tcPr>
                  <w:tcW w:w="655"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rPr>
                    <w:t>167</w:t>
                  </w:r>
                </w:p>
              </w:tc>
              <w:tc>
                <w:tcPr>
                  <w:tcW w:w="655"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rPr>
                    <w:t>200</w:t>
                  </w:r>
                </w:p>
              </w:tc>
              <w:tc>
                <w:tcPr>
                  <w:tcW w:w="659"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rPr>
                    <w:t>183</w:t>
                  </w:r>
                </w:p>
              </w:tc>
              <w:tc>
                <w:tcPr>
                  <w:tcW w:w="566"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w:t>
                  </w:r>
                </w:p>
              </w:tc>
              <w:tc>
                <w:tcPr>
                  <w:tcW w:w="495"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w:t>
                  </w:r>
                </w:p>
              </w:tc>
              <w:tc>
                <w:tcPr>
                  <w:tcW w:w="479" w:type="dxa"/>
                  <w:tcBorders>
                    <w:top w:val="single" w:color="auto" w:sz="4" w:space="0"/>
                    <w:left w:val="nil"/>
                    <w:bottom w:val="single" w:color="auto" w:sz="4" w:space="0"/>
                    <w:right w:val="single" w:color="auto" w:sz="4" w:space="0"/>
                  </w:tcBorders>
                  <w:noWrap w:val="0"/>
                  <w:vAlign w:val="center"/>
                </w:tcPr>
                <w:p>
                  <w:pPr>
                    <w:tabs>
                      <w:tab w:val="left" w:pos="480"/>
                    </w:tabs>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w:t>
                  </w:r>
                </w:p>
              </w:tc>
              <w:tc>
                <w:tcPr>
                  <w:tcW w:w="649" w:type="dxa"/>
                  <w:tcBorders>
                    <w:top w:val="single" w:color="auto" w:sz="4" w:space="0"/>
                    <w:left w:val="nil"/>
                    <w:bottom w:val="single" w:color="auto" w:sz="4" w:space="0"/>
                    <w:right w:val="single" w:color="auto" w:sz="4" w:space="0"/>
                  </w:tcBorders>
                  <w:noWrap w:val="0"/>
                  <w:vAlign w:val="center"/>
                </w:tcPr>
                <w:p>
                  <w:pPr>
                    <w:widowControl/>
                    <w:tabs>
                      <w:tab w:val="left" w:pos="480"/>
                    </w:tabs>
                    <w:spacing w:line="240" w:lineRule="auto"/>
                    <w:ind w:firstLine="0" w:firstLineChars="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bl>
          <w:p>
            <w:pPr>
              <w:spacing w:line="360" w:lineRule="auto"/>
              <w:ind w:firstLine="420" w:firstLineChars="20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评价结果表明，项目所在区域监测点位的TSP满足《环境空气质量标准》（GB3095-2012）二级标准要求。</w:t>
            </w:r>
          </w:p>
          <w:p>
            <w:pPr>
              <w:spacing w:line="360" w:lineRule="auto"/>
              <w:ind w:firstLine="422" w:firstLineChars="200"/>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2、水环境质量现状</w:t>
            </w:r>
          </w:p>
          <w:p>
            <w:pPr>
              <w:spacing w:line="360" w:lineRule="auto"/>
              <w:ind w:firstLine="420" w:firstLineChars="20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本项目生产、生活废水不外排。项目周边地表水体主要为北侧南湖和西侧湘江。为了解项目区域地表水的质量现状，本环评引用《湘阴虞公港二期工程环境影响报告书》中由中国检验认证集团湖南有限公司于2025年3月18日-20日对周边水体南湖、湘江进行的一期采样监测数据</w:t>
            </w:r>
            <w:r>
              <w:rPr>
                <w:rFonts w:hint="eastAsia" w:ascii="Times New Roman" w:hAnsi="Times New Roman" w:eastAsia="宋体" w:cs="Times New Roman"/>
                <w:color w:val="auto"/>
                <w:highlight w:val="none"/>
                <w:u w:val="none" w:color="auto"/>
                <w:lang w:val="en-US" w:eastAsia="zh-CN"/>
              </w:rPr>
              <w:t>（监测点位见附图8）</w:t>
            </w:r>
            <w:r>
              <w:rPr>
                <w:rFonts w:hint="default" w:ascii="Times New Roman" w:hAnsi="Times New Roman" w:eastAsia="宋体" w:cs="Times New Roman"/>
                <w:color w:val="auto"/>
                <w:highlight w:val="none"/>
                <w:u w:val="none" w:color="auto"/>
                <w:lang w:val="en-US" w:eastAsia="zh-CN"/>
              </w:rPr>
              <w:t>，详见表</w:t>
            </w:r>
            <w:r>
              <w:rPr>
                <w:rFonts w:hint="eastAsia" w:ascii="Times New Roman" w:hAnsi="Times New Roman" w:eastAsia="宋体"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lang w:val="en-US" w:eastAsia="zh-CN"/>
              </w:rPr>
              <w:t>-</w:t>
            </w:r>
            <w:r>
              <w:rPr>
                <w:rFonts w:hint="eastAsia" w:ascii="Times New Roman" w:hAnsi="Times New Roman" w:eastAsia="宋体"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lang w:val="en-US" w:eastAsia="zh-CN"/>
              </w:rPr>
              <w:t>。</w:t>
            </w:r>
          </w:p>
          <w:p>
            <w:pPr>
              <w:pStyle w:val="94"/>
              <w:numPr>
                <w:ilvl w:val="0"/>
                <w:numId w:val="0"/>
              </w:numPr>
              <w:rPr>
                <w:rFonts w:hint="default" w:ascii="Times New Roman" w:hAnsi="Times New Roman" w:eastAsia="宋体" w:cs="Times New Roman"/>
                <w:sz w:val="18"/>
                <w:szCs w:val="18"/>
                <w:highlight w:val="none"/>
              </w:rPr>
            </w:pPr>
            <w:r>
              <w:rPr>
                <w:rFonts w:hint="default" w:ascii="Times New Roman" w:hAnsi="Times New Roman" w:eastAsia="宋体" w:cs="Times New Roman"/>
                <w:highlight w:val="none"/>
              </w:rPr>
              <w:t>表</w:t>
            </w:r>
            <w:r>
              <w:rPr>
                <w:rFonts w:hint="eastAsia"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3</w:t>
            </w:r>
            <w:r>
              <w:rPr>
                <w:rFonts w:hint="default" w:ascii="Times New Roman" w:hAnsi="Times New Roman" w:eastAsia="宋体" w:cs="Times New Roman"/>
                <w:highlight w:val="none"/>
              </w:rPr>
              <w:t>地表水环境质量现状监测结果</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sz w:val="18"/>
                <w:szCs w:val="18"/>
                <w:highlight w:val="none"/>
              </w:rPr>
              <w:t>单位：mg/L</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48"/>
              <w:gridCol w:w="987"/>
              <w:gridCol w:w="988"/>
              <w:gridCol w:w="783"/>
              <w:gridCol w:w="840"/>
              <w:gridCol w:w="936"/>
              <w:gridCol w:w="762"/>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blHeader/>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kern w:val="0"/>
                      <w:sz w:val="21"/>
                      <w:szCs w:val="21"/>
                      <w:highlight w:val="none"/>
                    </w:rPr>
                  </w:pPr>
                  <w:r>
                    <w:rPr>
                      <w:rFonts w:hint="default" w:ascii="Times New Roman" w:hAnsi="Times New Roman" w:eastAsia="宋体" w:cs="Times New Roman"/>
                      <w:b w:val="0"/>
                      <w:bCs/>
                      <w:kern w:val="0"/>
                      <w:sz w:val="21"/>
                      <w:szCs w:val="21"/>
                      <w:highlight w:val="none"/>
                    </w:rPr>
                    <w:t>采样点位</w:t>
                  </w:r>
                </w:p>
              </w:tc>
              <w:tc>
                <w:tcPr>
                  <w:tcW w:w="1701" w:type="pct"/>
                  <w:gridSpan w:val="3"/>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kern w:val="0"/>
                      <w:sz w:val="21"/>
                      <w:szCs w:val="21"/>
                      <w:highlight w:val="none"/>
                      <w:lang w:val="en-US" w:eastAsia="zh-CN"/>
                    </w:rPr>
                  </w:pPr>
                  <w:r>
                    <w:rPr>
                      <w:rFonts w:hint="default" w:ascii="Times New Roman" w:hAnsi="Times New Roman" w:eastAsia="宋体" w:cs="Times New Roman"/>
                      <w:b w:val="0"/>
                      <w:bCs/>
                      <w:kern w:val="0"/>
                      <w:sz w:val="21"/>
                      <w:szCs w:val="21"/>
                      <w:highlight w:val="none"/>
                    </w:rPr>
                    <w:t>湘江</w:t>
                  </w:r>
                  <w:r>
                    <w:rPr>
                      <w:rFonts w:hint="default" w:ascii="Times New Roman" w:hAnsi="Times New Roman" w:eastAsia="宋体" w:cs="Times New Roman"/>
                      <w:b w:val="0"/>
                      <w:bCs/>
                      <w:kern w:val="0"/>
                      <w:sz w:val="21"/>
                      <w:szCs w:val="21"/>
                      <w:highlight w:val="none"/>
                      <w:lang w:eastAsia="zh-CN"/>
                    </w:rPr>
                    <w:t>监测断面</w:t>
                  </w:r>
                  <w:r>
                    <w:rPr>
                      <w:rFonts w:hint="default" w:ascii="Times New Roman" w:hAnsi="Times New Roman" w:eastAsia="宋体" w:cs="Times New Roman"/>
                      <w:b w:val="0"/>
                      <w:bCs/>
                      <w:kern w:val="0"/>
                      <w:sz w:val="21"/>
                      <w:szCs w:val="21"/>
                      <w:highlight w:val="none"/>
                      <w:lang w:val="en-US" w:eastAsia="zh-CN"/>
                    </w:rPr>
                    <w:t>S1</w:t>
                  </w:r>
                </w:p>
                <w:p>
                  <w:pPr>
                    <w:keepNext/>
                    <w:keepLines/>
                    <w:tabs>
                      <w:tab w:val="left" w:pos="480"/>
                    </w:tabs>
                    <w:spacing w:line="240" w:lineRule="atLeast"/>
                    <w:ind w:firstLine="0" w:firstLineChars="0"/>
                    <w:jc w:val="center"/>
                    <w:rPr>
                      <w:rFonts w:hint="default" w:ascii="Times New Roman" w:hAnsi="Times New Roman" w:eastAsia="宋体" w:cs="Times New Roman"/>
                      <w:b w:val="0"/>
                      <w:bCs/>
                      <w:kern w:val="0"/>
                      <w:sz w:val="21"/>
                      <w:szCs w:val="21"/>
                      <w:highlight w:val="none"/>
                    </w:rPr>
                  </w:pPr>
                  <w:r>
                    <w:rPr>
                      <w:rFonts w:hint="default" w:ascii="Times New Roman" w:hAnsi="Times New Roman" w:eastAsia="宋体" w:cs="Times New Roman"/>
                      <w:b w:val="0"/>
                      <w:bCs/>
                      <w:kern w:val="0"/>
                      <w:sz w:val="21"/>
                      <w:szCs w:val="21"/>
                      <w:highlight w:val="none"/>
                    </w:rPr>
                    <w:t>（</w:t>
                  </w:r>
                  <w:r>
                    <w:rPr>
                      <w:rFonts w:hint="default" w:ascii="Times New Roman" w:hAnsi="Times New Roman" w:eastAsia="宋体" w:cs="Times New Roman"/>
                      <w:b w:val="0"/>
                      <w:bCs/>
                      <w:kern w:val="0"/>
                      <w:sz w:val="21"/>
                      <w:szCs w:val="21"/>
                      <w:highlight w:val="none"/>
                      <w:lang w:eastAsia="zh-CN"/>
                    </w:rPr>
                    <w:t>本项目西南侧约</w:t>
                  </w:r>
                  <w:r>
                    <w:rPr>
                      <w:rFonts w:hint="default" w:ascii="Times New Roman" w:hAnsi="Times New Roman" w:eastAsia="宋体" w:cs="Times New Roman"/>
                      <w:b w:val="0"/>
                      <w:bCs/>
                      <w:kern w:val="0"/>
                      <w:sz w:val="21"/>
                      <w:szCs w:val="21"/>
                      <w:highlight w:val="none"/>
                      <w:lang w:val="en-US" w:eastAsia="zh-CN"/>
                    </w:rPr>
                    <w:t>1.1km</w:t>
                  </w:r>
                  <w:r>
                    <w:rPr>
                      <w:rFonts w:hint="default" w:ascii="Times New Roman" w:hAnsi="Times New Roman" w:eastAsia="宋体" w:cs="Times New Roman"/>
                      <w:b w:val="0"/>
                      <w:bCs/>
                      <w:kern w:val="0"/>
                      <w:sz w:val="21"/>
                      <w:szCs w:val="21"/>
                      <w:highlight w:val="none"/>
                    </w:rPr>
                    <w:t>）</w:t>
                  </w:r>
                </w:p>
              </w:tc>
              <w:tc>
                <w:tcPr>
                  <w:tcW w:w="1565" w:type="pct"/>
                  <w:gridSpan w:val="3"/>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kern w:val="0"/>
                      <w:sz w:val="21"/>
                      <w:szCs w:val="21"/>
                      <w:highlight w:val="none"/>
                      <w:lang w:val="en-US" w:eastAsia="zh-CN"/>
                    </w:rPr>
                  </w:pPr>
                  <w:r>
                    <w:rPr>
                      <w:rFonts w:hint="default" w:ascii="Times New Roman" w:hAnsi="Times New Roman" w:eastAsia="宋体" w:cs="Times New Roman"/>
                      <w:b w:val="0"/>
                      <w:bCs/>
                      <w:kern w:val="0"/>
                      <w:sz w:val="21"/>
                      <w:szCs w:val="21"/>
                      <w:highlight w:val="none"/>
                    </w:rPr>
                    <w:t>南湖</w:t>
                  </w:r>
                  <w:r>
                    <w:rPr>
                      <w:rFonts w:hint="default" w:ascii="Times New Roman" w:hAnsi="Times New Roman" w:eastAsia="宋体" w:cs="Times New Roman"/>
                      <w:b w:val="0"/>
                      <w:bCs/>
                      <w:kern w:val="0"/>
                      <w:sz w:val="21"/>
                      <w:szCs w:val="21"/>
                      <w:highlight w:val="none"/>
                      <w:lang w:eastAsia="zh-CN"/>
                    </w:rPr>
                    <w:t>监测断面</w:t>
                  </w:r>
                  <w:r>
                    <w:rPr>
                      <w:rFonts w:hint="default" w:ascii="Times New Roman" w:hAnsi="Times New Roman" w:eastAsia="宋体" w:cs="Times New Roman"/>
                      <w:b w:val="0"/>
                      <w:bCs/>
                      <w:kern w:val="0"/>
                      <w:sz w:val="21"/>
                      <w:szCs w:val="21"/>
                      <w:highlight w:val="none"/>
                      <w:lang w:val="en-US" w:eastAsia="zh-CN"/>
                    </w:rPr>
                    <w:t>S2</w:t>
                  </w:r>
                </w:p>
                <w:p>
                  <w:pPr>
                    <w:keepNext/>
                    <w:keepLines/>
                    <w:tabs>
                      <w:tab w:val="left" w:pos="480"/>
                    </w:tabs>
                    <w:spacing w:line="240" w:lineRule="atLeast"/>
                    <w:ind w:firstLine="0" w:firstLineChars="0"/>
                    <w:jc w:val="center"/>
                    <w:rPr>
                      <w:rFonts w:hint="default" w:ascii="Times New Roman" w:hAnsi="Times New Roman" w:eastAsia="宋体" w:cs="Times New Roman"/>
                      <w:b w:val="0"/>
                      <w:bCs/>
                      <w:kern w:val="0"/>
                      <w:sz w:val="21"/>
                      <w:szCs w:val="21"/>
                      <w:highlight w:val="none"/>
                    </w:rPr>
                  </w:pPr>
                  <w:r>
                    <w:rPr>
                      <w:rFonts w:hint="default" w:ascii="Times New Roman" w:hAnsi="Times New Roman" w:eastAsia="宋体" w:cs="Times New Roman"/>
                      <w:b w:val="0"/>
                      <w:bCs/>
                      <w:kern w:val="0"/>
                      <w:sz w:val="21"/>
                      <w:szCs w:val="21"/>
                      <w:highlight w:val="none"/>
                    </w:rPr>
                    <w:t>（</w:t>
                  </w:r>
                  <w:r>
                    <w:rPr>
                      <w:rFonts w:hint="default" w:ascii="Times New Roman" w:hAnsi="Times New Roman" w:eastAsia="宋体" w:cs="Times New Roman"/>
                      <w:b w:val="0"/>
                      <w:bCs/>
                      <w:kern w:val="0"/>
                      <w:sz w:val="21"/>
                      <w:szCs w:val="21"/>
                      <w:highlight w:val="none"/>
                      <w:lang w:eastAsia="zh-CN"/>
                    </w:rPr>
                    <w:t>本项目北侧约</w:t>
                  </w:r>
                  <w:r>
                    <w:rPr>
                      <w:rFonts w:hint="default" w:ascii="Times New Roman" w:hAnsi="Times New Roman" w:eastAsia="宋体" w:cs="Times New Roman"/>
                      <w:b w:val="0"/>
                      <w:bCs/>
                      <w:kern w:val="0"/>
                      <w:sz w:val="21"/>
                      <w:szCs w:val="21"/>
                      <w:highlight w:val="none"/>
                      <w:lang w:val="en-US" w:eastAsia="zh-CN"/>
                    </w:rPr>
                    <w:t>300m</w:t>
                  </w:r>
                  <w:r>
                    <w:rPr>
                      <w:rFonts w:hint="default" w:ascii="Times New Roman" w:hAnsi="Times New Roman" w:eastAsia="宋体" w:cs="Times New Roman"/>
                      <w:b w:val="0"/>
                      <w:bCs/>
                      <w:kern w:val="0"/>
                      <w:sz w:val="21"/>
                      <w:szCs w:val="21"/>
                      <w:highlight w:val="none"/>
                    </w:rPr>
                    <w:t>）</w:t>
                  </w:r>
                </w:p>
              </w:tc>
              <w:tc>
                <w:tcPr>
                  <w:tcW w:w="778" w:type="pct"/>
                  <w:vMerge w:val="restart"/>
                  <w:tcBorders>
                    <w:top w:val="single" w:color="auto" w:sz="4" w:space="0"/>
                    <w:left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kern w:val="0"/>
                      <w:sz w:val="21"/>
                      <w:szCs w:val="21"/>
                      <w:highlight w:val="none"/>
                    </w:rPr>
                  </w:pPr>
                  <w:r>
                    <w:rPr>
                      <w:rFonts w:hint="default" w:ascii="Times New Roman" w:hAnsi="Times New Roman" w:eastAsia="宋体" w:cs="Times New Roman"/>
                      <w:b w:val="0"/>
                      <w:bCs/>
                      <w:kern w:val="0"/>
                      <w:sz w:val="21"/>
                      <w:szCs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日期</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3.18</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3.19</w:t>
                  </w:r>
                </w:p>
              </w:tc>
              <w:tc>
                <w:tcPr>
                  <w:tcW w:w="483"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3.20</w:t>
                  </w:r>
                </w:p>
              </w:tc>
              <w:tc>
                <w:tcPr>
                  <w:tcW w:w="51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3.18</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3.19</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3.20</w:t>
                  </w:r>
                </w:p>
              </w:tc>
              <w:tc>
                <w:tcPr>
                  <w:tcW w:w="778" w:type="pct"/>
                  <w:vMerge w:val="continue"/>
                  <w:tcBorders>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高锰酸盐指数</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1.7</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1.6</w:t>
                  </w:r>
                </w:p>
              </w:tc>
              <w:tc>
                <w:tcPr>
                  <w:tcW w:w="483"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1.8</w:t>
                  </w:r>
                </w:p>
              </w:tc>
              <w:tc>
                <w:tcPr>
                  <w:tcW w:w="51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2.3</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2.4</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2.1</w:t>
                  </w:r>
                </w:p>
              </w:tc>
              <w:tc>
                <w:tcPr>
                  <w:tcW w:w="77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石油类</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ND</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ND</w:t>
                  </w:r>
                </w:p>
              </w:tc>
              <w:tc>
                <w:tcPr>
                  <w:tcW w:w="483"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ND</w:t>
                  </w:r>
                </w:p>
              </w:tc>
              <w:tc>
                <w:tcPr>
                  <w:tcW w:w="51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ND</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ND</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ND</w:t>
                  </w:r>
                </w:p>
              </w:tc>
              <w:tc>
                <w:tcPr>
                  <w:tcW w:w="77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溶解氧</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9.83</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9.66</w:t>
                  </w:r>
                </w:p>
              </w:tc>
              <w:tc>
                <w:tcPr>
                  <w:tcW w:w="483"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10.02</w:t>
                  </w:r>
                </w:p>
              </w:tc>
              <w:tc>
                <w:tcPr>
                  <w:tcW w:w="51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10.14</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10.17</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10.02</w:t>
                  </w:r>
                </w:p>
              </w:tc>
              <w:tc>
                <w:tcPr>
                  <w:tcW w:w="77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总磷</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0.05</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0.07</w:t>
                  </w:r>
                </w:p>
              </w:tc>
              <w:tc>
                <w:tcPr>
                  <w:tcW w:w="483"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0.07</w:t>
                  </w:r>
                </w:p>
              </w:tc>
              <w:tc>
                <w:tcPr>
                  <w:tcW w:w="51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0.03</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0.02</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0.02</w:t>
                  </w:r>
                </w:p>
              </w:tc>
              <w:tc>
                <w:tcPr>
                  <w:tcW w:w="77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uto"/>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≤0.2（湘江）/0.05（南湖）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五日生化需氧量</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2.4</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2.7</w:t>
                  </w:r>
                </w:p>
              </w:tc>
              <w:tc>
                <w:tcPr>
                  <w:tcW w:w="483"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3.0</w:t>
                  </w:r>
                </w:p>
              </w:tc>
              <w:tc>
                <w:tcPr>
                  <w:tcW w:w="51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3.4</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3.3</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3.6</w:t>
                  </w:r>
                </w:p>
              </w:tc>
              <w:tc>
                <w:tcPr>
                  <w:tcW w:w="77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pH值</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7.9</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7.9</w:t>
                  </w:r>
                </w:p>
              </w:tc>
              <w:tc>
                <w:tcPr>
                  <w:tcW w:w="483"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7.9</w:t>
                  </w:r>
                </w:p>
              </w:tc>
              <w:tc>
                <w:tcPr>
                  <w:tcW w:w="51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7.9</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7.9</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7.9</w:t>
                  </w:r>
                </w:p>
              </w:tc>
              <w:tc>
                <w:tcPr>
                  <w:tcW w:w="77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化学需氧量</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12</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11</w:t>
                  </w:r>
                </w:p>
              </w:tc>
              <w:tc>
                <w:tcPr>
                  <w:tcW w:w="483"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12</w:t>
                  </w:r>
                </w:p>
              </w:tc>
              <w:tc>
                <w:tcPr>
                  <w:tcW w:w="51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19</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19</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18</w:t>
                  </w:r>
                </w:p>
              </w:tc>
              <w:tc>
                <w:tcPr>
                  <w:tcW w:w="77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氨氮</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0.512</w:t>
                  </w:r>
                </w:p>
              </w:tc>
              <w:tc>
                <w:tcPr>
                  <w:tcW w:w="609"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0.408</w:t>
                  </w:r>
                </w:p>
              </w:tc>
              <w:tc>
                <w:tcPr>
                  <w:tcW w:w="483"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0.414</w:t>
                  </w:r>
                </w:p>
              </w:tc>
              <w:tc>
                <w:tcPr>
                  <w:tcW w:w="518" w:type="pct"/>
                  <w:tcBorders>
                    <w:top w:val="single" w:color="auto" w:sz="4" w:space="0"/>
                    <w:left w:val="single" w:color="auto" w:sz="4" w:space="0"/>
                    <w:bottom w:val="single" w:color="auto" w:sz="4" w:space="0"/>
                    <w:right w:val="single" w:color="auto" w:sz="4" w:space="0"/>
                  </w:tcBorders>
                  <w:noWrap/>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0.285</w:t>
                  </w:r>
                </w:p>
              </w:tc>
              <w:tc>
                <w:tcPr>
                  <w:tcW w:w="577" w:type="pct"/>
                  <w:tcBorders>
                    <w:top w:val="single" w:color="auto" w:sz="4" w:space="0"/>
                    <w:left w:val="single" w:color="auto" w:sz="4" w:space="0"/>
                    <w:bottom w:val="single" w:color="auto" w:sz="4" w:space="0"/>
                    <w:right w:val="single" w:color="auto" w:sz="4" w:space="0"/>
                  </w:tcBorders>
                  <w:noWrap/>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0.285</w:t>
                  </w:r>
                </w:p>
              </w:tc>
              <w:tc>
                <w:tcPr>
                  <w:tcW w:w="470" w:type="pct"/>
                  <w:tcBorders>
                    <w:top w:val="single" w:color="auto" w:sz="4" w:space="0"/>
                    <w:left w:val="single" w:color="auto" w:sz="4" w:space="0"/>
                    <w:bottom w:val="single" w:color="auto" w:sz="4" w:space="0"/>
                    <w:right w:val="single" w:color="auto" w:sz="4" w:space="0"/>
                  </w:tcBorders>
                  <w:noWrap/>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0.229</w:t>
                  </w:r>
                </w:p>
              </w:tc>
              <w:tc>
                <w:tcPr>
                  <w:tcW w:w="778" w:type="pct"/>
                  <w:tcBorders>
                    <w:top w:val="single" w:color="auto" w:sz="4" w:space="0"/>
                    <w:left w:val="single" w:color="auto" w:sz="4" w:space="0"/>
                    <w:bottom w:val="single" w:color="auto" w:sz="4" w:space="0"/>
                    <w:right w:val="single" w:color="auto" w:sz="4" w:space="0"/>
                  </w:tcBorders>
                  <w:noWrap w:val="0"/>
                  <w:vAlign w:val="center"/>
                </w:tcPr>
                <w:p>
                  <w:pPr>
                    <w:keepNext/>
                    <w:keepLines/>
                    <w:tabs>
                      <w:tab w:val="left" w:pos="480"/>
                    </w:tabs>
                    <w:spacing w:line="240" w:lineRule="atLeast"/>
                    <w:ind w:firstLine="0" w:firstLineChars="0"/>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≤1.0</w:t>
                  </w:r>
                </w:p>
              </w:tc>
            </w:tr>
          </w:tbl>
          <w:p>
            <w:pPr>
              <w:spacing w:line="360" w:lineRule="auto"/>
              <w:ind w:firstLine="420" w:firstLineChars="200"/>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color w:val="auto"/>
                <w:highlight w:val="none"/>
                <w:lang w:eastAsia="zh-CN"/>
              </w:rPr>
              <w:t>湘江、南湖</w:t>
            </w:r>
            <w:r>
              <w:rPr>
                <w:rFonts w:hint="default" w:ascii="Times New Roman" w:hAnsi="Times New Roman" w:eastAsia="宋体" w:cs="Times New Roman"/>
                <w:color w:val="auto"/>
                <w:highlight w:val="none"/>
              </w:rPr>
              <w:t>2个监测断面各项监测因子均能满足《地表水环境质量标准》（GB3838-2002）Ⅲ类标准</w:t>
            </w:r>
            <w:r>
              <w:rPr>
                <w:rFonts w:hint="default" w:ascii="Times New Roman" w:hAnsi="Times New Roman" w:eastAsia="宋体" w:cs="Times New Roman"/>
                <w:color w:val="auto"/>
                <w:sz w:val="21"/>
                <w:highlight w:val="none"/>
                <w:u w:val="none" w:color="auto"/>
                <w:lang w:eastAsia="zh-CN"/>
              </w:rPr>
              <w:t>。</w:t>
            </w:r>
          </w:p>
          <w:p>
            <w:pPr>
              <w:spacing w:line="360" w:lineRule="auto"/>
              <w:ind w:firstLine="422" w:firstLineChars="200"/>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3、声环境质量现状</w:t>
            </w:r>
          </w:p>
          <w:p>
            <w:pPr>
              <w:pStyle w:val="96"/>
              <w:bidi w:val="0"/>
              <w:rPr>
                <w:rFonts w:hint="default" w:ascii="Times New Roman" w:hAnsi="Times New Roman" w:eastAsia="宋体" w:cs="Times New Roman"/>
                <w:lang w:val="en-US" w:eastAsia="zh-CN"/>
              </w:rPr>
            </w:pPr>
            <w:r>
              <w:rPr>
                <w:rFonts w:hint="default" w:ascii="Times New Roman" w:hAnsi="Times New Roman" w:eastAsia="宋体" w:cs="Times New Roman"/>
                <w:color w:val="auto"/>
                <w:kern w:val="2"/>
                <w:sz w:val="21"/>
                <w:szCs w:val="24"/>
                <w:highlight w:val="none"/>
                <w:lang w:val="en-US" w:eastAsia="zh-CN" w:bidi="ar-SA"/>
              </w:rPr>
              <w:t>根据生态环境部办公厅2020年12月24日印发的《建设项目环境影响报告表编制技术指南（污染影响类）（试行）》中具体编制要求“声环境：厂界外周边50米范围内存在声环境保护目标的建设项目，应监测保护目标声环境质量现状并评价达标情况，各点位应监测昼夜间噪声，</w:t>
            </w:r>
            <w:r>
              <w:rPr>
                <w:rFonts w:hint="default" w:ascii="Times New Roman" w:hAnsi="Times New Roman" w:eastAsia="宋体" w:cs="Times New Roman"/>
                <w:lang w:val="en-US" w:eastAsia="zh-CN"/>
              </w:rPr>
              <w:t>监测时间不少于1天，项目夜间不生产则仅监测昼间噪声。”</w:t>
            </w:r>
          </w:p>
          <w:p>
            <w:pPr>
              <w:pStyle w:val="97"/>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为充分了解工程涉及区域的声环境现状，</w:t>
            </w:r>
            <w:r>
              <w:rPr>
                <w:rFonts w:hint="default" w:ascii="Times New Roman" w:hAnsi="Times New Roman" w:eastAsia="宋体" w:cs="Times New Roman"/>
                <w:color w:val="auto"/>
                <w:highlight w:val="none"/>
              </w:rPr>
              <w:t>本次评价</w:t>
            </w:r>
            <w:r>
              <w:rPr>
                <w:rFonts w:hint="default" w:ascii="Times New Roman" w:hAnsi="Times New Roman" w:eastAsia="宋体" w:cs="Times New Roman"/>
                <w:color w:val="auto"/>
                <w:highlight w:val="none"/>
                <w:lang w:val="en-US" w:eastAsia="zh-CN"/>
              </w:rPr>
              <w:t>委托湖南聚鸿环保科技有限公司于2026年1月28日对</w:t>
            </w:r>
            <w:r>
              <w:rPr>
                <w:rFonts w:hint="default" w:ascii="Times New Roman" w:hAnsi="Times New Roman" w:eastAsia="宋体" w:cs="Times New Roman"/>
                <w:lang w:val="en-US" w:eastAsia="zh-CN"/>
              </w:rPr>
              <w:t>项目</w:t>
            </w:r>
            <w:r>
              <w:rPr>
                <w:rFonts w:hint="default" w:ascii="Times New Roman" w:hAnsi="Times New Roman" w:eastAsia="宋体" w:cs="Times New Roman"/>
                <w:color w:val="auto"/>
                <w:sz w:val="21"/>
                <w:szCs w:val="21"/>
                <w:highlight w:val="none"/>
                <w:u w:val="none"/>
              </w:rPr>
              <w:t>区域声环境敏感点</w:t>
            </w:r>
            <w:r>
              <w:rPr>
                <w:rFonts w:hint="default" w:ascii="Times New Roman" w:hAnsi="Times New Roman" w:eastAsia="宋体" w:cs="Times New Roman"/>
                <w:color w:val="auto"/>
                <w:sz w:val="21"/>
                <w:szCs w:val="21"/>
                <w:highlight w:val="none"/>
                <w:u w:val="none"/>
                <w:lang w:val="en-US" w:eastAsia="zh-CN"/>
              </w:rPr>
              <w:t>昼夜间声环境现状</w:t>
            </w:r>
            <w:r>
              <w:rPr>
                <w:rFonts w:hint="default" w:ascii="Times New Roman" w:hAnsi="Times New Roman" w:eastAsia="宋体" w:cs="Times New Roman"/>
                <w:color w:val="auto"/>
                <w:sz w:val="21"/>
                <w:szCs w:val="21"/>
                <w:highlight w:val="none"/>
                <w:u w:val="none"/>
              </w:rPr>
              <w:t>进行了现场监测</w:t>
            </w:r>
            <w:r>
              <w:rPr>
                <w:rFonts w:hint="default"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eastAsia="zh-CN"/>
              </w:rPr>
              <w:t>监测点位见附图</w:t>
            </w:r>
            <w:r>
              <w:rPr>
                <w:rFonts w:hint="eastAsia" w:ascii="Times New Roman" w:hAnsi="Times New Roman" w:eastAsia="宋体" w:cs="Times New Roman"/>
                <w:color w:val="auto"/>
                <w:sz w:val="21"/>
                <w:szCs w:val="21"/>
                <w:highlight w:val="none"/>
                <w:u w:val="none"/>
                <w:lang w:val="en-US" w:eastAsia="zh-CN"/>
              </w:rPr>
              <w:t>7，</w:t>
            </w:r>
            <w:r>
              <w:rPr>
                <w:rFonts w:hint="default" w:ascii="Times New Roman" w:hAnsi="Times New Roman" w:eastAsia="宋体" w:cs="Times New Roman"/>
                <w:color w:val="auto"/>
                <w:sz w:val="21"/>
                <w:szCs w:val="21"/>
                <w:highlight w:val="none"/>
                <w:u w:val="none"/>
              </w:rPr>
              <w:t>声环境现状监测结果</w:t>
            </w:r>
            <w:r>
              <w:rPr>
                <w:rFonts w:hint="default" w:ascii="Times New Roman" w:hAnsi="Times New Roman" w:eastAsia="宋体" w:cs="Times New Roman"/>
                <w:color w:val="auto"/>
                <w:sz w:val="21"/>
                <w:szCs w:val="21"/>
                <w:highlight w:val="none"/>
                <w:u w:val="none"/>
                <w:lang w:eastAsia="zh-CN"/>
              </w:rPr>
              <w:t>见</w:t>
            </w:r>
            <w:r>
              <w:rPr>
                <w:rFonts w:hint="default" w:ascii="Times New Roman" w:hAnsi="Times New Roman" w:eastAsia="宋体" w:cs="Times New Roman"/>
                <w:color w:val="auto"/>
                <w:sz w:val="21"/>
                <w:szCs w:val="21"/>
                <w:highlight w:val="none"/>
                <w:u w:val="none"/>
              </w:rPr>
              <w:t>下表。</w:t>
            </w:r>
          </w:p>
          <w:p>
            <w:pPr>
              <w:pStyle w:val="94"/>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highlight w:val="none"/>
                <w:lang w:eastAsia="zh-CN"/>
              </w:rPr>
              <w:t>表</w:t>
            </w:r>
            <w:r>
              <w:rPr>
                <w:rFonts w:hint="eastAsia"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eastAsia="zh-CN"/>
              </w:rPr>
              <w:t xml:space="preserve">-4 </w:t>
            </w:r>
            <w:r>
              <w:rPr>
                <w:rFonts w:hint="default" w:ascii="Times New Roman" w:hAnsi="Times New Roman" w:eastAsia="宋体" w:cs="Times New Roman"/>
                <w:highlight w:val="none"/>
              </w:rPr>
              <w:t>声环境现状监测结果</w:t>
            </w:r>
            <w:r>
              <w:rPr>
                <w:rFonts w:hint="default" w:ascii="Times New Roman" w:hAnsi="Times New Roman" w:eastAsia="宋体" w:cs="Times New Roman"/>
                <w:highlight w:val="none"/>
                <w:lang w:val="en-US" w:eastAsia="zh-CN"/>
              </w:rPr>
              <w:t xml:space="preserve">    单位dB（A）</w:t>
            </w:r>
          </w:p>
          <w:tbl>
            <w:tblPr>
              <w:tblStyle w:val="31"/>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7"/>
              <w:gridCol w:w="1838"/>
              <w:gridCol w:w="2040"/>
              <w:gridCol w:w="1800"/>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trPr>
              <w:tc>
                <w:tcPr>
                  <w:tcW w:w="757" w:type="dxa"/>
                  <w:vMerge w:val="restart"/>
                  <w:tcBorders>
                    <w:tl2br w:val="nil"/>
                  </w:tcBorders>
                  <w:shd w:val="clear" w:color="auto" w:fill="auto"/>
                  <w:noWrap w:val="0"/>
                  <w:vAlign w:val="center"/>
                </w:tcPr>
                <w:p>
                  <w:pPr>
                    <w:pStyle w:val="99"/>
                    <w:bidi w:val="0"/>
                    <w:rPr>
                      <w:rFonts w:hint="default" w:ascii="Times New Roman" w:hAnsi="Times New Roman" w:eastAsia="宋体" w:cs="Times New Roman"/>
                      <w:b w:val="0"/>
                      <w:color w:val="000000"/>
                    </w:rPr>
                  </w:pPr>
                  <w:r>
                    <w:rPr>
                      <w:rFonts w:hint="default" w:ascii="Times New Roman" w:hAnsi="Times New Roman" w:eastAsia="宋体" w:cs="Times New Roman"/>
                      <w:b w:val="0"/>
                      <w:color w:val="000000"/>
                    </w:rPr>
                    <w:t>编号</w:t>
                  </w:r>
                </w:p>
              </w:tc>
              <w:tc>
                <w:tcPr>
                  <w:tcW w:w="3878" w:type="dxa"/>
                  <w:gridSpan w:val="2"/>
                  <w:shd w:val="clear" w:color="auto" w:fill="auto"/>
                  <w:noWrap w:val="0"/>
                  <w:vAlign w:val="center"/>
                </w:tcPr>
                <w:p>
                  <w:pPr>
                    <w:pStyle w:val="99"/>
                    <w:bidi w:val="0"/>
                    <w:rPr>
                      <w:rFonts w:hint="default" w:ascii="Times New Roman" w:hAnsi="Times New Roman" w:eastAsia="宋体" w:cs="Times New Roman"/>
                      <w:b w:val="0"/>
                      <w:color w:val="000000"/>
                      <w:lang w:val="en-US" w:eastAsia="zh-CN"/>
                    </w:rPr>
                  </w:pPr>
                  <w:r>
                    <w:rPr>
                      <w:rFonts w:hint="default" w:ascii="Times New Roman" w:hAnsi="Times New Roman" w:eastAsia="宋体" w:cs="Times New Roman"/>
                      <w:b w:val="0"/>
                      <w:color w:val="000000"/>
                      <w:lang w:val="en-US" w:eastAsia="zh-CN"/>
                    </w:rPr>
                    <w:t>测点位置</w:t>
                  </w:r>
                </w:p>
              </w:tc>
              <w:tc>
                <w:tcPr>
                  <w:tcW w:w="3408" w:type="dxa"/>
                  <w:gridSpan w:val="2"/>
                  <w:shd w:val="clear" w:color="auto" w:fill="auto"/>
                  <w:noWrap w:val="0"/>
                  <w:vAlign w:val="center"/>
                </w:tcPr>
                <w:p>
                  <w:pPr>
                    <w:pStyle w:val="99"/>
                    <w:bidi w:val="0"/>
                    <w:rPr>
                      <w:rFonts w:hint="default" w:ascii="Times New Roman" w:hAnsi="Times New Roman" w:eastAsia="宋体" w:cs="Times New Roman"/>
                      <w:b w:val="0"/>
                      <w:color w:val="000000"/>
                    </w:rPr>
                  </w:pPr>
                  <w:r>
                    <w:rPr>
                      <w:rFonts w:hint="default" w:ascii="Times New Roman" w:hAnsi="Times New Roman" w:eastAsia="宋体" w:cs="Times New Roman"/>
                      <w:b w:val="0"/>
                      <w:color w:val="000000"/>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trPr>
              <w:tc>
                <w:tcPr>
                  <w:tcW w:w="757" w:type="dxa"/>
                  <w:vMerge w:val="continue"/>
                  <w:shd w:val="clear" w:color="auto" w:fill="auto"/>
                  <w:noWrap w:val="0"/>
                  <w:vAlign w:val="center"/>
                </w:tcPr>
                <w:p>
                  <w:pPr>
                    <w:bidi w:val="0"/>
                    <w:rPr>
                      <w:rFonts w:hint="default" w:ascii="Times New Roman" w:hAnsi="Times New Roman" w:eastAsia="宋体" w:cs="Times New Roman"/>
                      <w:b w:val="0"/>
                      <w:color w:val="000000"/>
                      <w:highlight w:val="none"/>
                    </w:rPr>
                  </w:pPr>
                </w:p>
              </w:tc>
              <w:tc>
                <w:tcPr>
                  <w:tcW w:w="1838" w:type="dxa"/>
                  <w:shd w:val="clear" w:color="auto" w:fill="auto"/>
                  <w:noWrap w:val="0"/>
                  <w:vAlign w:val="center"/>
                </w:tcPr>
                <w:p>
                  <w:pPr>
                    <w:pStyle w:val="99"/>
                    <w:bidi w:val="0"/>
                    <w:rPr>
                      <w:rFonts w:hint="default" w:ascii="Times New Roman" w:hAnsi="Times New Roman" w:eastAsia="宋体" w:cs="Times New Roman"/>
                      <w:b w:val="0"/>
                      <w:bCs/>
                      <w:color w:val="000000"/>
                      <w:kern w:val="2"/>
                      <w:sz w:val="21"/>
                      <w:szCs w:val="21"/>
                      <w:highlight w:val="none"/>
                      <w:u w:val="none"/>
                      <w:lang w:val="en-US" w:eastAsia="zh-CN" w:bidi="ar"/>
                    </w:rPr>
                  </w:pPr>
                  <w:r>
                    <w:rPr>
                      <w:rFonts w:hint="default" w:ascii="Times New Roman" w:hAnsi="Times New Roman" w:eastAsia="宋体" w:cs="Times New Roman"/>
                      <w:b w:val="0"/>
                      <w:color w:val="000000"/>
                      <w:highlight w:val="none"/>
                      <w:lang w:val="en-US" w:eastAsia="zh-CN"/>
                    </w:rPr>
                    <w:t>点位名称</w:t>
                  </w:r>
                </w:p>
              </w:tc>
              <w:tc>
                <w:tcPr>
                  <w:tcW w:w="2040" w:type="dxa"/>
                  <w:shd w:val="clear" w:color="auto" w:fill="auto"/>
                  <w:noWrap w:val="0"/>
                  <w:vAlign w:val="center"/>
                </w:tcPr>
                <w:p>
                  <w:pPr>
                    <w:pStyle w:val="99"/>
                    <w:bidi w:val="0"/>
                    <w:rPr>
                      <w:rFonts w:hint="default" w:ascii="Times New Roman" w:hAnsi="Times New Roman" w:eastAsia="宋体" w:cs="Times New Roman"/>
                      <w:b w:val="0"/>
                      <w:bCs/>
                      <w:color w:val="000000"/>
                      <w:kern w:val="2"/>
                      <w:sz w:val="21"/>
                      <w:szCs w:val="21"/>
                      <w:highlight w:val="none"/>
                      <w:u w:val="none"/>
                      <w:lang w:val="en-US" w:eastAsia="zh-CN" w:bidi="ar"/>
                    </w:rPr>
                  </w:pPr>
                  <w:r>
                    <w:rPr>
                      <w:rFonts w:hint="default" w:ascii="Times New Roman" w:hAnsi="Times New Roman" w:eastAsia="宋体" w:cs="Times New Roman"/>
                      <w:b w:val="0"/>
                      <w:color w:val="000000"/>
                      <w:highlight w:val="none"/>
                      <w:lang w:val="en-US" w:eastAsia="zh-CN"/>
                    </w:rPr>
                    <w:t>相对项目位置</w:t>
                  </w:r>
                </w:p>
              </w:tc>
              <w:tc>
                <w:tcPr>
                  <w:tcW w:w="1800" w:type="dxa"/>
                  <w:shd w:val="clear" w:color="auto" w:fill="auto"/>
                  <w:noWrap w:val="0"/>
                  <w:vAlign w:val="center"/>
                </w:tcPr>
                <w:p>
                  <w:pPr>
                    <w:pStyle w:val="99"/>
                    <w:bidi w:val="0"/>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b w:val="0"/>
                      <w:color w:val="000000"/>
                      <w:highlight w:val="none"/>
                    </w:rPr>
                    <w:t>昼间</w:t>
                  </w:r>
                </w:p>
              </w:tc>
              <w:tc>
                <w:tcPr>
                  <w:tcW w:w="1608" w:type="dxa"/>
                  <w:shd w:val="clear" w:color="auto" w:fill="auto"/>
                  <w:noWrap w:val="0"/>
                  <w:vAlign w:val="center"/>
                </w:tcPr>
                <w:p>
                  <w:pPr>
                    <w:pStyle w:val="99"/>
                    <w:bidi w:val="0"/>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b w:val="0"/>
                      <w:color w:val="000000"/>
                      <w:highlight w:val="no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5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lang w:val="en-US" w:eastAsia="zh-CN"/>
                    </w:rPr>
                    <w:t>N1</w:t>
                  </w:r>
                </w:p>
              </w:tc>
              <w:tc>
                <w:tcPr>
                  <w:tcW w:w="1838"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虞公庙民房1#</w:t>
                  </w:r>
                </w:p>
              </w:tc>
              <w:tc>
                <w:tcPr>
                  <w:tcW w:w="2040" w:type="dxa"/>
                  <w:shd w:val="clear" w:color="auto" w:fill="auto"/>
                  <w:noWrap w:val="0"/>
                  <w:vAlign w:val="center"/>
                </w:tcPr>
                <w:p>
                  <w:pPr>
                    <w:spacing w:line="320" w:lineRule="exact"/>
                    <w:jc w:val="center"/>
                    <w:rPr>
                      <w:rFonts w:hint="default" w:ascii="Times New Roman" w:hAnsi="Times New Roman" w:eastAsia="宋体" w:cs="Times New Roman"/>
                      <w:b w:val="0"/>
                      <w:bCs/>
                      <w:color w:val="000000"/>
                      <w:kern w:val="2"/>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南侧约5m</w:t>
                  </w:r>
                </w:p>
              </w:tc>
              <w:tc>
                <w:tcPr>
                  <w:tcW w:w="1800" w:type="dxa"/>
                  <w:shd w:val="clear" w:color="auto" w:fill="auto"/>
                  <w:noWrap w:val="0"/>
                  <w:vAlign w:val="center"/>
                </w:tcPr>
                <w:p>
                  <w:pPr>
                    <w:pStyle w:val="99"/>
                    <w:bidi w:val="0"/>
                    <w:rPr>
                      <w:rFonts w:hint="default" w:ascii="Times New Roman" w:hAnsi="Times New Roman" w:eastAsia="宋体" w:cs="Times New Roman"/>
                      <w:b w:val="0"/>
                      <w:bCs/>
                      <w:color w:val="000000"/>
                      <w:kern w:val="2"/>
                      <w:sz w:val="21"/>
                      <w:szCs w:val="21"/>
                      <w:highlight w:val="none"/>
                      <w:u w:val="none"/>
                      <w:lang w:val="en-US" w:eastAsia="zh-CN" w:bidi="ar"/>
                    </w:rPr>
                  </w:pPr>
                  <w:r>
                    <w:rPr>
                      <w:rFonts w:hint="default" w:ascii="Times New Roman" w:hAnsi="Times New Roman" w:eastAsia="宋体" w:cs="Times New Roman"/>
                      <w:b w:val="0"/>
                      <w:bCs/>
                      <w:color w:val="000000"/>
                      <w:kern w:val="2"/>
                      <w:sz w:val="21"/>
                      <w:szCs w:val="21"/>
                      <w:highlight w:val="none"/>
                      <w:u w:val="none"/>
                      <w:lang w:val="en-US" w:eastAsia="zh-CN" w:bidi="ar"/>
                    </w:rPr>
                    <w:t>52.1</w:t>
                  </w:r>
                </w:p>
              </w:tc>
              <w:tc>
                <w:tcPr>
                  <w:tcW w:w="1608" w:type="dxa"/>
                  <w:shd w:val="clear" w:color="auto" w:fill="auto"/>
                  <w:noWrap w:val="0"/>
                  <w:vAlign w:val="center"/>
                </w:tcPr>
                <w:p>
                  <w:pPr>
                    <w:pStyle w:val="99"/>
                    <w:bidi w:val="0"/>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b w:val="0"/>
                      <w:color w:val="000000"/>
                      <w:highlight w:val="none"/>
                      <w:lang w:val="en-US" w:eastAsia="zh-CN"/>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57" w:type="dxa"/>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N2</w:t>
                  </w:r>
                </w:p>
              </w:tc>
              <w:tc>
                <w:tcPr>
                  <w:tcW w:w="1838" w:type="dxa"/>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虞公庙民房2#</w:t>
                  </w:r>
                </w:p>
              </w:tc>
              <w:tc>
                <w:tcPr>
                  <w:tcW w:w="2040" w:type="dxa"/>
                  <w:shd w:val="clear" w:color="auto" w:fill="auto"/>
                  <w:noWrap w:val="0"/>
                  <w:vAlign w:val="center"/>
                </w:tcPr>
                <w:p>
                  <w:pPr>
                    <w:spacing w:line="320" w:lineRule="exact"/>
                    <w:jc w:val="center"/>
                    <w:rPr>
                      <w:rFonts w:hint="default" w:ascii="Times New Roman" w:hAnsi="Times New Roman" w:eastAsia="宋体" w:cs="Times New Roman"/>
                      <w:b w:val="0"/>
                      <w:bCs/>
                      <w:color w:val="000000"/>
                      <w:kern w:val="2"/>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南侧约13m</w:t>
                  </w:r>
                </w:p>
              </w:tc>
              <w:tc>
                <w:tcPr>
                  <w:tcW w:w="1800" w:type="dxa"/>
                  <w:shd w:val="clear" w:color="auto" w:fill="auto"/>
                  <w:noWrap w:val="0"/>
                  <w:vAlign w:val="center"/>
                </w:tcPr>
                <w:p>
                  <w:pPr>
                    <w:pStyle w:val="99"/>
                    <w:bidi w:val="0"/>
                    <w:rPr>
                      <w:rFonts w:hint="default" w:ascii="Times New Roman" w:hAnsi="Times New Roman" w:eastAsia="宋体" w:cs="Times New Roman"/>
                      <w:b w:val="0"/>
                      <w:bCs/>
                      <w:color w:val="000000"/>
                      <w:kern w:val="2"/>
                      <w:sz w:val="21"/>
                      <w:szCs w:val="21"/>
                      <w:highlight w:val="none"/>
                      <w:u w:val="none"/>
                      <w:lang w:val="en-US" w:eastAsia="zh-CN" w:bidi="ar"/>
                    </w:rPr>
                  </w:pPr>
                  <w:r>
                    <w:rPr>
                      <w:rFonts w:hint="default" w:ascii="Times New Roman" w:hAnsi="Times New Roman" w:eastAsia="宋体" w:cs="Times New Roman"/>
                      <w:b w:val="0"/>
                      <w:bCs/>
                      <w:color w:val="000000"/>
                      <w:kern w:val="2"/>
                      <w:sz w:val="21"/>
                      <w:szCs w:val="21"/>
                      <w:highlight w:val="none"/>
                      <w:u w:val="none"/>
                      <w:lang w:val="en-US" w:eastAsia="zh-CN" w:bidi="ar"/>
                    </w:rPr>
                    <w:t>52.8</w:t>
                  </w:r>
                </w:p>
              </w:tc>
              <w:tc>
                <w:tcPr>
                  <w:tcW w:w="1608" w:type="dxa"/>
                  <w:shd w:val="clear" w:color="auto" w:fill="auto"/>
                  <w:noWrap w:val="0"/>
                  <w:vAlign w:val="center"/>
                </w:tcPr>
                <w:p>
                  <w:pPr>
                    <w:pStyle w:val="99"/>
                    <w:bidi w:val="0"/>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b w:val="0"/>
                      <w:color w:val="000000"/>
                      <w:highlight w:val="none"/>
                      <w:lang w:val="en-US" w:eastAsia="zh-CN"/>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57" w:type="dxa"/>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N3</w:t>
                  </w:r>
                </w:p>
              </w:tc>
              <w:tc>
                <w:tcPr>
                  <w:tcW w:w="1838" w:type="dxa"/>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虞公庙民房3#</w:t>
                  </w:r>
                </w:p>
              </w:tc>
              <w:tc>
                <w:tcPr>
                  <w:tcW w:w="2040" w:type="dxa"/>
                  <w:shd w:val="clear" w:color="auto" w:fill="auto"/>
                  <w:noWrap w:val="0"/>
                  <w:vAlign w:val="center"/>
                </w:tcPr>
                <w:p>
                  <w:pPr>
                    <w:spacing w:line="320" w:lineRule="exact"/>
                    <w:jc w:val="center"/>
                    <w:rPr>
                      <w:rFonts w:hint="default" w:ascii="Times New Roman" w:hAnsi="Times New Roman" w:eastAsia="宋体" w:cs="Times New Roman"/>
                      <w:b w:val="0"/>
                      <w:bCs/>
                      <w:color w:val="000000"/>
                      <w:kern w:val="2"/>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南侧约29m</w:t>
                  </w:r>
                </w:p>
              </w:tc>
              <w:tc>
                <w:tcPr>
                  <w:tcW w:w="1800" w:type="dxa"/>
                  <w:shd w:val="clear" w:color="auto" w:fill="auto"/>
                  <w:noWrap w:val="0"/>
                  <w:vAlign w:val="center"/>
                </w:tcPr>
                <w:p>
                  <w:pPr>
                    <w:pStyle w:val="99"/>
                    <w:bidi w:val="0"/>
                    <w:rPr>
                      <w:rFonts w:hint="default" w:ascii="Times New Roman" w:hAnsi="Times New Roman" w:eastAsia="宋体" w:cs="Times New Roman"/>
                      <w:b w:val="0"/>
                      <w:bCs/>
                      <w:color w:val="000000"/>
                      <w:kern w:val="2"/>
                      <w:sz w:val="21"/>
                      <w:szCs w:val="21"/>
                      <w:highlight w:val="none"/>
                      <w:u w:val="none"/>
                      <w:lang w:val="en-US" w:eastAsia="zh-CN" w:bidi="ar"/>
                    </w:rPr>
                  </w:pPr>
                  <w:r>
                    <w:rPr>
                      <w:rFonts w:hint="default" w:ascii="Times New Roman" w:hAnsi="Times New Roman" w:eastAsia="宋体" w:cs="Times New Roman"/>
                      <w:b w:val="0"/>
                      <w:bCs/>
                      <w:color w:val="000000"/>
                      <w:kern w:val="2"/>
                      <w:sz w:val="21"/>
                      <w:szCs w:val="21"/>
                      <w:highlight w:val="none"/>
                      <w:u w:val="none"/>
                      <w:lang w:val="en-US" w:eastAsia="zh-CN" w:bidi="ar"/>
                    </w:rPr>
                    <w:t>53.6</w:t>
                  </w:r>
                </w:p>
              </w:tc>
              <w:tc>
                <w:tcPr>
                  <w:tcW w:w="1608" w:type="dxa"/>
                  <w:shd w:val="clear" w:color="auto" w:fill="auto"/>
                  <w:noWrap w:val="0"/>
                  <w:vAlign w:val="center"/>
                </w:tcPr>
                <w:p>
                  <w:pPr>
                    <w:pStyle w:val="99"/>
                    <w:bidi w:val="0"/>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b w:val="0"/>
                      <w:color w:val="000000"/>
                      <w:highlight w:val="none"/>
                      <w:lang w:val="en-US" w:eastAsia="zh-CN"/>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57" w:type="dxa"/>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N4</w:t>
                  </w:r>
                </w:p>
              </w:tc>
              <w:tc>
                <w:tcPr>
                  <w:tcW w:w="1838" w:type="dxa"/>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虞公庙民房4#</w:t>
                  </w:r>
                </w:p>
              </w:tc>
              <w:tc>
                <w:tcPr>
                  <w:tcW w:w="2040" w:type="dxa"/>
                  <w:shd w:val="clear" w:color="auto" w:fill="auto"/>
                  <w:noWrap w:val="0"/>
                  <w:vAlign w:val="center"/>
                </w:tcPr>
                <w:p>
                  <w:pPr>
                    <w:spacing w:line="320" w:lineRule="exact"/>
                    <w:jc w:val="center"/>
                    <w:rPr>
                      <w:rFonts w:hint="default" w:ascii="Times New Roman" w:hAnsi="Times New Roman" w:eastAsia="宋体" w:cs="Times New Roman"/>
                      <w:b w:val="0"/>
                      <w:bCs/>
                      <w:color w:val="000000"/>
                      <w:kern w:val="2"/>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南侧约43m</w:t>
                  </w:r>
                </w:p>
              </w:tc>
              <w:tc>
                <w:tcPr>
                  <w:tcW w:w="1800" w:type="dxa"/>
                  <w:shd w:val="clear" w:color="auto" w:fill="auto"/>
                  <w:noWrap w:val="0"/>
                  <w:vAlign w:val="center"/>
                </w:tcPr>
                <w:p>
                  <w:pPr>
                    <w:pStyle w:val="99"/>
                    <w:bidi w:val="0"/>
                    <w:rPr>
                      <w:rFonts w:hint="default" w:ascii="Times New Roman" w:hAnsi="Times New Roman" w:eastAsia="宋体" w:cs="Times New Roman"/>
                      <w:b w:val="0"/>
                      <w:bCs/>
                      <w:color w:val="000000"/>
                      <w:kern w:val="2"/>
                      <w:sz w:val="21"/>
                      <w:szCs w:val="21"/>
                      <w:highlight w:val="none"/>
                      <w:u w:val="none"/>
                      <w:lang w:val="en-US" w:eastAsia="zh-CN" w:bidi="ar"/>
                    </w:rPr>
                  </w:pPr>
                  <w:r>
                    <w:rPr>
                      <w:rFonts w:hint="default" w:ascii="Times New Roman" w:hAnsi="Times New Roman" w:eastAsia="宋体" w:cs="Times New Roman"/>
                      <w:b w:val="0"/>
                      <w:bCs/>
                      <w:color w:val="000000"/>
                      <w:kern w:val="2"/>
                      <w:sz w:val="21"/>
                      <w:szCs w:val="21"/>
                      <w:highlight w:val="none"/>
                      <w:u w:val="none"/>
                      <w:lang w:val="en-US" w:eastAsia="zh-CN" w:bidi="ar"/>
                    </w:rPr>
                    <w:t>52.4</w:t>
                  </w:r>
                </w:p>
              </w:tc>
              <w:tc>
                <w:tcPr>
                  <w:tcW w:w="1608" w:type="dxa"/>
                  <w:shd w:val="clear" w:color="auto" w:fill="auto"/>
                  <w:noWrap w:val="0"/>
                  <w:vAlign w:val="center"/>
                </w:tcPr>
                <w:p>
                  <w:pPr>
                    <w:pStyle w:val="99"/>
                    <w:bidi w:val="0"/>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b w:val="0"/>
                      <w:color w:val="000000"/>
                      <w:highlight w:val="none"/>
                      <w:lang w:val="en-US" w:eastAsia="zh-CN"/>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57" w:type="dxa"/>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N5</w:t>
                  </w:r>
                </w:p>
              </w:tc>
              <w:tc>
                <w:tcPr>
                  <w:tcW w:w="1838" w:type="dxa"/>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虞公庙民房5#</w:t>
                  </w:r>
                </w:p>
              </w:tc>
              <w:tc>
                <w:tcPr>
                  <w:tcW w:w="2040" w:type="dxa"/>
                  <w:shd w:val="clear" w:color="auto" w:fill="auto"/>
                  <w:noWrap w:val="0"/>
                  <w:vAlign w:val="center"/>
                </w:tcPr>
                <w:p>
                  <w:pPr>
                    <w:spacing w:line="320" w:lineRule="exact"/>
                    <w:jc w:val="center"/>
                    <w:rPr>
                      <w:rFonts w:hint="default" w:ascii="Times New Roman" w:hAnsi="Times New Roman" w:eastAsia="宋体" w:cs="Times New Roman"/>
                      <w:b w:val="0"/>
                      <w:bCs/>
                      <w:color w:val="000000"/>
                      <w:kern w:val="2"/>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南侧约43m</w:t>
                  </w:r>
                </w:p>
              </w:tc>
              <w:tc>
                <w:tcPr>
                  <w:tcW w:w="1800" w:type="dxa"/>
                  <w:shd w:val="clear" w:color="auto" w:fill="auto"/>
                  <w:noWrap w:val="0"/>
                  <w:vAlign w:val="center"/>
                </w:tcPr>
                <w:p>
                  <w:pPr>
                    <w:pStyle w:val="99"/>
                    <w:bidi w:val="0"/>
                    <w:rPr>
                      <w:rFonts w:hint="default" w:ascii="Times New Roman" w:hAnsi="Times New Roman" w:eastAsia="宋体" w:cs="Times New Roman"/>
                      <w:b w:val="0"/>
                      <w:bCs/>
                      <w:color w:val="000000"/>
                      <w:kern w:val="2"/>
                      <w:sz w:val="21"/>
                      <w:szCs w:val="21"/>
                      <w:highlight w:val="none"/>
                      <w:u w:val="none"/>
                      <w:lang w:val="en-US" w:eastAsia="zh-CN" w:bidi="ar"/>
                    </w:rPr>
                  </w:pPr>
                  <w:r>
                    <w:rPr>
                      <w:rFonts w:hint="default" w:ascii="Times New Roman" w:hAnsi="Times New Roman" w:eastAsia="宋体" w:cs="Times New Roman"/>
                      <w:b w:val="0"/>
                      <w:bCs/>
                      <w:color w:val="000000"/>
                      <w:kern w:val="2"/>
                      <w:sz w:val="21"/>
                      <w:szCs w:val="21"/>
                      <w:highlight w:val="none"/>
                      <w:u w:val="none"/>
                      <w:lang w:val="en-US" w:eastAsia="zh-CN" w:bidi="ar"/>
                    </w:rPr>
                    <w:t>53.8</w:t>
                  </w:r>
                </w:p>
              </w:tc>
              <w:tc>
                <w:tcPr>
                  <w:tcW w:w="1608" w:type="dxa"/>
                  <w:shd w:val="clear" w:color="auto" w:fill="auto"/>
                  <w:noWrap w:val="0"/>
                  <w:vAlign w:val="center"/>
                </w:tcPr>
                <w:p>
                  <w:pPr>
                    <w:pStyle w:val="99"/>
                    <w:bidi w:val="0"/>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b w:val="0"/>
                      <w:color w:val="000000"/>
                      <w:highlight w:val="none"/>
                      <w:lang w:val="en-US" w:eastAsia="zh-CN"/>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57" w:type="dxa"/>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N6</w:t>
                  </w:r>
                </w:p>
              </w:tc>
              <w:tc>
                <w:tcPr>
                  <w:tcW w:w="1838" w:type="dxa"/>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虞公庙民房6#</w:t>
                  </w:r>
                </w:p>
              </w:tc>
              <w:tc>
                <w:tcPr>
                  <w:tcW w:w="2040" w:type="dxa"/>
                  <w:shd w:val="clear" w:color="auto" w:fill="auto"/>
                  <w:noWrap w:val="0"/>
                  <w:vAlign w:val="center"/>
                </w:tcPr>
                <w:p>
                  <w:pPr>
                    <w:spacing w:line="320" w:lineRule="exact"/>
                    <w:jc w:val="center"/>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color w:val="auto"/>
                      <w:sz w:val="21"/>
                      <w:szCs w:val="21"/>
                      <w:highlight w:val="none"/>
                      <w:lang w:val="en-US" w:eastAsia="zh-CN"/>
                    </w:rPr>
                    <w:t>南侧约30m</w:t>
                  </w:r>
                </w:p>
              </w:tc>
              <w:tc>
                <w:tcPr>
                  <w:tcW w:w="1800" w:type="dxa"/>
                  <w:shd w:val="clear" w:color="auto" w:fill="auto"/>
                  <w:noWrap w:val="0"/>
                  <w:vAlign w:val="center"/>
                </w:tcPr>
                <w:p>
                  <w:pPr>
                    <w:pStyle w:val="99"/>
                    <w:bidi w:val="0"/>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b w:val="0"/>
                      <w:color w:val="000000"/>
                      <w:highlight w:val="none"/>
                      <w:lang w:val="en-US" w:eastAsia="zh-CN"/>
                    </w:rPr>
                    <w:t>53.5</w:t>
                  </w:r>
                </w:p>
              </w:tc>
              <w:tc>
                <w:tcPr>
                  <w:tcW w:w="1608" w:type="dxa"/>
                  <w:shd w:val="clear" w:color="auto" w:fill="auto"/>
                  <w:noWrap w:val="0"/>
                  <w:vAlign w:val="center"/>
                </w:tcPr>
                <w:p>
                  <w:pPr>
                    <w:pStyle w:val="99"/>
                    <w:bidi w:val="0"/>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b w:val="0"/>
                      <w:color w:val="000000"/>
                      <w:highlight w:val="none"/>
                      <w:lang w:val="en-US" w:eastAsia="zh-CN"/>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57" w:type="dxa"/>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N7</w:t>
                  </w:r>
                </w:p>
              </w:tc>
              <w:tc>
                <w:tcPr>
                  <w:tcW w:w="1838"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虞公庙民房7#</w:t>
                  </w:r>
                </w:p>
              </w:tc>
              <w:tc>
                <w:tcPr>
                  <w:tcW w:w="2040" w:type="dxa"/>
                  <w:shd w:val="clear" w:color="auto" w:fill="auto"/>
                  <w:noWrap w:val="0"/>
                  <w:vAlign w:val="center"/>
                </w:tcPr>
                <w:p>
                  <w:pPr>
                    <w:spacing w:line="320" w:lineRule="exact"/>
                    <w:jc w:val="center"/>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color w:val="auto"/>
                      <w:sz w:val="21"/>
                      <w:szCs w:val="21"/>
                      <w:highlight w:val="none"/>
                      <w:lang w:val="en-US" w:eastAsia="zh-CN"/>
                    </w:rPr>
                    <w:t>西侧相邻</w:t>
                  </w:r>
                </w:p>
              </w:tc>
              <w:tc>
                <w:tcPr>
                  <w:tcW w:w="1800" w:type="dxa"/>
                  <w:shd w:val="clear" w:color="auto" w:fill="auto"/>
                  <w:noWrap w:val="0"/>
                  <w:vAlign w:val="center"/>
                </w:tcPr>
                <w:p>
                  <w:pPr>
                    <w:pStyle w:val="99"/>
                    <w:bidi w:val="0"/>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b w:val="0"/>
                      <w:color w:val="000000"/>
                      <w:highlight w:val="none"/>
                      <w:lang w:val="en-US" w:eastAsia="zh-CN"/>
                    </w:rPr>
                    <w:t>51.1</w:t>
                  </w:r>
                </w:p>
              </w:tc>
              <w:tc>
                <w:tcPr>
                  <w:tcW w:w="1608" w:type="dxa"/>
                  <w:shd w:val="clear" w:color="auto" w:fill="auto"/>
                  <w:noWrap w:val="0"/>
                  <w:vAlign w:val="center"/>
                </w:tcPr>
                <w:p>
                  <w:pPr>
                    <w:pStyle w:val="99"/>
                    <w:bidi w:val="0"/>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b w:val="0"/>
                      <w:color w:val="000000"/>
                      <w:highlight w:val="none"/>
                      <w:lang w:val="en-US" w:eastAsia="zh-CN"/>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635" w:type="dxa"/>
                  <w:gridSpan w:val="3"/>
                  <w:shd w:val="clear" w:color="auto" w:fill="auto"/>
                  <w:noWrap w:val="0"/>
                  <w:vAlign w:val="center"/>
                </w:tcPr>
                <w:p>
                  <w:pPr>
                    <w:pStyle w:val="99"/>
                    <w:bidi w:val="0"/>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b w:val="0"/>
                      <w:color w:val="000000"/>
                      <w:highlight w:val="none"/>
                    </w:rPr>
                    <w:t>《声环境质量标准》（GB3096-2008）</w:t>
                  </w:r>
                  <w:r>
                    <w:rPr>
                      <w:rFonts w:hint="default" w:ascii="Times New Roman" w:hAnsi="Times New Roman" w:eastAsia="宋体" w:cs="Times New Roman"/>
                      <w:b w:val="0"/>
                      <w:color w:val="000000"/>
                      <w:highlight w:val="none"/>
                      <w:lang w:val="en-US" w:eastAsia="zh-CN"/>
                    </w:rPr>
                    <w:t>2类标准限值</w:t>
                  </w:r>
                </w:p>
              </w:tc>
              <w:tc>
                <w:tcPr>
                  <w:tcW w:w="1800" w:type="dxa"/>
                  <w:shd w:val="clear" w:color="auto" w:fill="auto"/>
                  <w:noWrap w:val="0"/>
                  <w:vAlign w:val="center"/>
                </w:tcPr>
                <w:p>
                  <w:pPr>
                    <w:pStyle w:val="99"/>
                    <w:bidi w:val="0"/>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b w:val="0"/>
                      <w:color w:val="000000"/>
                      <w:highlight w:val="none"/>
                      <w:lang w:val="en-US" w:eastAsia="zh-CN"/>
                    </w:rPr>
                    <w:t>60</w:t>
                  </w:r>
                </w:p>
              </w:tc>
              <w:tc>
                <w:tcPr>
                  <w:tcW w:w="1608" w:type="dxa"/>
                  <w:shd w:val="clear" w:color="auto" w:fill="auto"/>
                  <w:noWrap w:val="0"/>
                  <w:vAlign w:val="center"/>
                </w:tcPr>
                <w:p>
                  <w:pPr>
                    <w:pStyle w:val="99"/>
                    <w:bidi w:val="0"/>
                    <w:rPr>
                      <w:rFonts w:hint="default" w:ascii="Times New Roman" w:hAnsi="Times New Roman" w:eastAsia="宋体" w:cs="Times New Roman"/>
                      <w:b w:val="0"/>
                      <w:color w:val="000000"/>
                      <w:highlight w:val="none"/>
                      <w:lang w:val="en-US" w:eastAsia="zh-CN"/>
                    </w:rPr>
                  </w:pPr>
                  <w:r>
                    <w:rPr>
                      <w:rFonts w:hint="default" w:ascii="Times New Roman" w:hAnsi="Times New Roman" w:eastAsia="宋体" w:cs="Times New Roman"/>
                      <w:b w:val="0"/>
                      <w:color w:val="000000"/>
                      <w:highlight w:val="none"/>
                      <w:lang w:val="en-US" w:eastAsia="zh-CN"/>
                    </w:rPr>
                    <w:t>50</w:t>
                  </w:r>
                </w:p>
              </w:tc>
            </w:tr>
          </w:tbl>
          <w:p>
            <w:pPr>
              <w:pStyle w:val="21"/>
              <w:keepNext w:val="0"/>
              <w:keepLines w:val="0"/>
              <w:pageBreakBefore w:val="0"/>
              <w:widowControl/>
              <w:kinsoku/>
              <w:wordWrap/>
              <w:overflowPunct/>
              <w:topLinePunct w:val="0"/>
              <w:autoSpaceDE/>
              <w:autoSpaceDN/>
              <w:bidi w:val="0"/>
              <w:adjustRightInd/>
              <w:snapToGrid/>
              <w:spacing w:before="0" w:beforeLines="0" w:after="0" w:line="360" w:lineRule="auto"/>
              <w:ind w:left="0" w:leftChars="0" w:firstLine="420" w:firstLineChars="200"/>
              <w:textAlignment w:val="auto"/>
              <w:rPr>
                <w:rFonts w:hint="default" w:ascii="Times New Roman" w:hAnsi="Times New Roman" w:eastAsia="宋体" w:cs="Times New Roman"/>
                <w:color w:val="0000FF"/>
                <w:sz w:val="21"/>
                <w:szCs w:val="21"/>
                <w:highlight w:val="none"/>
                <w:u w:val="none" w:color="auto"/>
                <w:lang w:val="en-US" w:eastAsia="zh-CN"/>
              </w:rPr>
            </w:pPr>
            <w:r>
              <w:rPr>
                <w:rFonts w:hint="default" w:ascii="Times New Roman" w:hAnsi="Times New Roman" w:eastAsia="宋体" w:cs="Times New Roman"/>
                <w:highlight w:val="none"/>
                <w:lang w:val="en-US" w:eastAsia="zh-CN"/>
              </w:rPr>
              <w:t>根据</w:t>
            </w:r>
            <w:r>
              <w:rPr>
                <w:rFonts w:hint="default" w:ascii="Times New Roman" w:hAnsi="Times New Roman" w:eastAsia="宋体" w:cs="Times New Roman"/>
                <w:highlight w:val="none"/>
              </w:rPr>
              <w:t>表3-</w:t>
            </w:r>
            <w:r>
              <w:rPr>
                <w:rFonts w:hint="default" w:ascii="Times New Roman" w:hAnsi="Times New Roman" w:eastAsia="宋体" w:cs="Times New Roman"/>
                <w:highlight w:val="none"/>
                <w:lang w:val="en-US" w:eastAsia="zh-CN"/>
              </w:rPr>
              <w:t>4的监测结果，项目评价范围内敏感目标昼间、夜间声环境质量现</w:t>
            </w:r>
            <w:r>
              <w:rPr>
                <w:rFonts w:hint="default" w:ascii="Times New Roman" w:hAnsi="Times New Roman" w:eastAsia="宋体" w:cs="Times New Roman"/>
                <w:lang w:val="en-US" w:eastAsia="zh-CN"/>
              </w:rPr>
              <w:t>状满足</w:t>
            </w:r>
            <w:r>
              <w:rPr>
                <w:rFonts w:hint="default" w:ascii="Times New Roman" w:hAnsi="Times New Roman" w:eastAsia="宋体" w:cs="Times New Roman"/>
              </w:rPr>
              <w:t>《声环境质量标准》（GB3096-2008）中</w:t>
            </w:r>
            <w:r>
              <w:rPr>
                <w:rFonts w:hint="default" w:ascii="Times New Roman" w:hAnsi="Times New Roman" w:eastAsia="宋体" w:cs="Times New Roman"/>
                <w:lang w:val="en-US" w:eastAsia="zh-CN"/>
              </w:rPr>
              <w:t>2类标准限值要求。</w:t>
            </w:r>
          </w:p>
          <w:p>
            <w:pPr>
              <w:spacing w:line="360" w:lineRule="auto"/>
              <w:ind w:firstLine="422" w:firstLineChars="200"/>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val="en-US" w:eastAsia="zh-CN"/>
              </w:rPr>
              <w:t>4</w:t>
            </w:r>
            <w:r>
              <w:rPr>
                <w:rFonts w:hint="default" w:ascii="Times New Roman" w:hAnsi="Times New Roman" w:eastAsia="宋体" w:cs="Times New Roman"/>
                <w:b/>
                <w:color w:val="auto"/>
                <w:sz w:val="21"/>
                <w:szCs w:val="21"/>
                <w:u w:val="none" w:color="auto"/>
              </w:rPr>
              <w:t>、生态环境质量现状</w:t>
            </w:r>
          </w:p>
          <w:p>
            <w:pPr>
              <w:spacing w:line="360" w:lineRule="auto"/>
              <w:ind w:firstLine="420" w:firstLineChars="200"/>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根据《建设项目环境影响报告表编制技术指南(污染影响类)》“产业园区外建设项目新增用地且用地范围内含有生态环境保护目标时，应进行生态现状调查”。</w:t>
            </w:r>
          </w:p>
          <w:p>
            <w:pPr>
              <w:spacing w:line="360" w:lineRule="auto"/>
              <w:ind w:firstLine="420" w:firstLineChars="200"/>
              <w:rPr>
                <w:rFonts w:hint="default" w:ascii="Times New Roman" w:hAnsi="Times New Roman" w:eastAsia="宋体" w:cs="Times New Roman"/>
                <w:color w:val="auto"/>
                <w:kern w:val="0"/>
                <w:highlight w:val="none"/>
                <w:u w:val="none" w:color="auto"/>
                <w:lang w:eastAsia="zh-CN"/>
              </w:rPr>
            </w:pPr>
            <w:r>
              <w:rPr>
                <w:rFonts w:hint="default" w:ascii="Times New Roman" w:hAnsi="Times New Roman" w:eastAsia="宋体" w:cs="Times New Roman"/>
                <w:color w:val="auto"/>
                <w:kern w:val="0"/>
                <w:highlight w:val="none"/>
                <w:u w:val="none" w:color="auto"/>
                <w:lang w:eastAsia="zh-CN"/>
              </w:rPr>
              <w:t>本项目用地总面积15.1734公顷，</w:t>
            </w:r>
            <w:r>
              <w:rPr>
                <w:rFonts w:hint="default" w:ascii="Times New Roman" w:hAnsi="Times New Roman" w:eastAsia="宋体" w:cs="Times New Roman"/>
                <w:color w:val="auto"/>
                <w:kern w:val="0"/>
                <w:highlight w:val="none"/>
                <w:u w:val="none" w:color="auto"/>
                <w:lang w:val="en-US" w:eastAsia="zh-CN"/>
              </w:rPr>
              <w:t>主要为耕地、园地、林地、其他农用地、建设用地等。</w:t>
            </w:r>
            <w:r>
              <w:rPr>
                <w:rFonts w:hint="default" w:ascii="Times New Roman" w:hAnsi="Times New Roman" w:eastAsia="宋体" w:cs="Times New Roman"/>
                <w:color w:val="auto"/>
                <w:kern w:val="0"/>
                <w:highlight w:val="none"/>
                <w:u w:val="none" w:color="auto"/>
                <w:lang w:eastAsia="zh-CN"/>
              </w:rPr>
              <w:t>其中：耕地面积7.0228公顷（水田面积4.2138公顷、旱地面积2.8090公顷）、园地面积0.3568公顷、林地面积2.5687公顷、其他农用地1.5781公顷、建设用地3.1403公顷。</w:t>
            </w:r>
          </w:p>
          <w:p>
            <w:pPr>
              <w:spacing w:line="360" w:lineRule="auto"/>
              <w:ind w:firstLine="420" w:firstLineChars="20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highlight w:val="none"/>
                <w:lang w:eastAsia="zh-CN"/>
              </w:rPr>
              <w:t>本项目区域</w:t>
            </w:r>
            <w:r>
              <w:rPr>
                <w:rFonts w:hint="default" w:ascii="Times New Roman" w:hAnsi="Times New Roman" w:eastAsia="宋体" w:cs="Times New Roman"/>
                <w:highlight w:val="none"/>
              </w:rPr>
              <w:t>生态系统以农田生态系统和城镇生态系统为主</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主要植物有樟、木樨和石楠等绿化乔木，</w:t>
            </w:r>
            <w:r>
              <w:rPr>
                <w:rFonts w:hint="default" w:ascii="Times New Roman" w:hAnsi="Times New Roman" w:eastAsia="宋体" w:cs="Times New Roman"/>
                <w:color w:val="auto"/>
                <w:highlight w:val="none"/>
              </w:rPr>
              <w:t>主要动物有</w:t>
            </w:r>
            <w:r>
              <w:rPr>
                <w:rFonts w:hint="default" w:ascii="Times New Roman" w:hAnsi="Times New Roman" w:eastAsia="宋体" w:cs="Times New Roman"/>
                <w:bCs/>
                <w:color w:val="auto"/>
                <w:highlight w:val="none"/>
              </w:rPr>
              <w:t>家燕、喜鹊、八哥、麻雀等。</w:t>
            </w:r>
          </w:p>
          <w:p>
            <w:pPr>
              <w:spacing w:line="360" w:lineRule="auto"/>
              <w:ind w:firstLine="420" w:firstLineChars="200"/>
              <w:rPr>
                <w:rFonts w:hint="eastAsia"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本项目用地范围内不占用永久基本农田，未在生态保护红线范围内，不涉及自然保护区、风景名胜区、文物古迹、古树明木、珍稀动植物保护物种等生态环境保护目标。</w:t>
            </w:r>
            <w:r>
              <w:rPr>
                <w:rFonts w:hint="eastAsia" w:cs="Times New Roman"/>
                <w:color w:val="auto"/>
                <w:sz w:val="21"/>
                <w:szCs w:val="21"/>
                <w:highlight w:val="none"/>
                <w:u w:val="none" w:color="auto"/>
                <w:lang w:eastAsia="zh-CN"/>
              </w:rPr>
              <w:t>现状见图</w:t>
            </w:r>
            <w:r>
              <w:rPr>
                <w:rFonts w:hint="eastAsia" w:cs="Times New Roman"/>
                <w:color w:val="auto"/>
                <w:sz w:val="21"/>
                <w:szCs w:val="21"/>
                <w:highlight w:val="none"/>
                <w:u w:val="none" w:color="auto"/>
                <w:lang w:val="en-US" w:eastAsia="zh-CN"/>
              </w:rPr>
              <w:t>3-1。</w:t>
            </w:r>
          </w:p>
          <w:p>
            <w:pPr>
              <w:pStyle w:val="2"/>
              <w:jc w:val="center"/>
              <w:rPr>
                <w:rFonts w:hint="default" w:ascii="Times New Roman" w:hAnsi="Times New Roman" w:eastAsia="宋体" w:cs="Times New Roman"/>
                <w:b/>
                <w:color w:val="auto"/>
                <w:sz w:val="21"/>
                <w:szCs w:val="21"/>
                <w:u w:val="none" w:color="auto"/>
                <w:lang w:val="en-US" w:eastAsia="zh-CN"/>
              </w:rPr>
            </w:pPr>
            <w:r>
              <w:drawing>
                <wp:inline distT="0" distB="0" distL="114300" distR="114300">
                  <wp:extent cx="2424430" cy="1757680"/>
                  <wp:effectExtent l="0" t="0" r="13970" b="1397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2424430" cy="17576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26665" cy="1747520"/>
                  <wp:effectExtent l="0" t="0" r="6985" b="508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5"/>
                          <a:srcRect l="7863" r="4530"/>
                          <a:stretch>
                            <a:fillRect/>
                          </a:stretch>
                        </pic:blipFill>
                        <pic:spPr>
                          <a:xfrm>
                            <a:off x="0" y="0"/>
                            <a:ext cx="2526665" cy="1747520"/>
                          </a:xfrm>
                          <a:prstGeom prst="rect">
                            <a:avLst/>
                          </a:prstGeom>
                          <a:noFill/>
                          <a:ln>
                            <a:noFill/>
                          </a:ln>
                        </pic:spPr>
                      </pic:pic>
                    </a:graphicData>
                  </a:graphic>
                </wp:inline>
              </w:drawing>
            </w:r>
            <w:r>
              <w:rPr>
                <w:rFonts w:hint="eastAsia"/>
                <w:b/>
                <w:bCs/>
                <w:lang w:eastAsia="zh-CN"/>
              </w:rPr>
              <w:t>图</w:t>
            </w:r>
            <w:r>
              <w:rPr>
                <w:rFonts w:hint="eastAsia"/>
                <w:b/>
                <w:bCs/>
                <w:lang w:val="en-US" w:eastAsia="zh-CN"/>
              </w:rPr>
              <w:t>3-1项目用地现状图</w:t>
            </w:r>
          </w:p>
          <w:p>
            <w:pPr>
              <w:spacing w:line="360" w:lineRule="auto"/>
              <w:ind w:firstLine="422" w:firstLineChars="200"/>
              <w:rPr>
                <w:rFonts w:hint="default" w:ascii="Times New Roman" w:hAnsi="Times New Roman" w:eastAsia="宋体" w:cs="Times New Roman"/>
                <w:b/>
                <w:color w:val="auto"/>
                <w:sz w:val="21"/>
                <w:szCs w:val="21"/>
                <w:u w:val="none" w:color="auto"/>
                <w:lang w:eastAsia="zh-CN"/>
              </w:rPr>
            </w:pPr>
            <w:r>
              <w:rPr>
                <w:rFonts w:hint="default" w:ascii="Times New Roman" w:hAnsi="Times New Roman" w:eastAsia="宋体" w:cs="Times New Roman"/>
                <w:b/>
                <w:color w:val="auto"/>
                <w:sz w:val="21"/>
                <w:szCs w:val="21"/>
                <w:u w:val="none" w:color="auto"/>
                <w:lang w:val="en-US" w:eastAsia="zh-CN"/>
              </w:rPr>
              <w:t>5</w:t>
            </w:r>
            <w:r>
              <w:rPr>
                <w:rFonts w:hint="default" w:ascii="Times New Roman" w:hAnsi="Times New Roman" w:eastAsia="宋体" w:cs="Times New Roman"/>
                <w:b/>
                <w:color w:val="auto"/>
                <w:sz w:val="21"/>
                <w:szCs w:val="21"/>
                <w:u w:val="none" w:color="auto"/>
              </w:rPr>
              <w:t>、</w:t>
            </w:r>
            <w:r>
              <w:rPr>
                <w:rFonts w:hint="default" w:ascii="Times New Roman" w:hAnsi="Times New Roman" w:eastAsia="宋体" w:cs="Times New Roman"/>
                <w:b/>
                <w:color w:val="auto"/>
                <w:sz w:val="21"/>
                <w:szCs w:val="21"/>
                <w:u w:val="none" w:color="auto"/>
                <w:lang w:eastAsia="zh-CN"/>
              </w:rPr>
              <w:t>地下水、土壤质量现状</w:t>
            </w:r>
          </w:p>
          <w:p>
            <w:pPr>
              <w:pStyle w:val="100"/>
              <w:bidi w:val="0"/>
              <w:rPr>
                <w:rFonts w:hint="default" w:ascii="Times New Roman" w:hAnsi="Times New Roman" w:eastAsia="宋体" w:cs="Times New Roman"/>
              </w:rPr>
            </w:pPr>
            <w:r>
              <w:rPr>
                <w:rFonts w:hint="default" w:ascii="Times New Roman" w:hAnsi="Times New Roman" w:eastAsia="宋体" w:cs="Times New Roman"/>
                <w:color w:val="auto"/>
              </w:rPr>
              <w:t>根据《建设项目环境影响报告表编制技术指南（污染影响类）</w:t>
            </w:r>
            <w:r>
              <w:rPr>
                <w:rFonts w:hint="default" w:ascii="Times New Roman" w:hAnsi="Times New Roman" w:eastAsia="宋体" w:cs="Times New Roman"/>
                <w:color w:val="auto"/>
                <w:lang w:eastAsia="zh-CN"/>
              </w:rPr>
              <w:t>（试行）》</w:t>
            </w:r>
            <w:r>
              <w:rPr>
                <w:rFonts w:hint="default" w:ascii="Times New Roman" w:hAnsi="Times New Roman" w:eastAsia="宋体" w:cs="Times New Roman"/>
                <w:color w:val="auto"/>
              </w:rPr>
              <w:t>可知，地下水、土壤原则上不开展环境质</w:t>
            </w:r>
            <w:r>
              <w:rPr>
                <w:rFonts w:hint="default" w:ascii="Times New Roman" w:hAnsi="Times New Roman" w:eastAsia="宋体" w:cs="Times New Roman"/>
              </w:rPr>
              <w:t>量现状调查。建设项目存在地下水环境污染途径的，应结合污染源、保护目标分布情况开展现状调查以留作背景值。</w:t>
            </w:r>
          </w:p>
          <w:p>
            <w:pPr>
              <w:spacing w:line="360" w:lineRule="auto"/>
              <w:ind w:firstLine="420" w:firstLineChars="200"/>
              <w:rPr>
                <w:rFonts w:hint="default" w:ascii="Times New Roman" w:hAnsi="Times New Roman" w:eastAsia="宋体" w:cs="Times New Roman"/>
              </w:rPr>
            </w:pPr>
            <w:r>
              <w:rPr>
                <w:rFonts w:hint="default" w:ascii="Times New Roman" w:hAnsi="Times New Roman" w:eastAsia="宋体" w:cs="Times New Roman"/>
              </w:rPr>
              <w:t>项目</w:t>
            </w:r>
            <w:r>
              <w:rPr>
                <w:rFonts w:hint="default" w:ascii="Times New Roman" w:hAnsi="Times New Roman" w:eastAsia="宋体" w:cs="Times New Roman"/>
                <w:lang w:eastAsia="zh-CN"/>
              </w:rPr>
              <w:t>生产区地面、废水池等均按要求进行</w:t>
            </w:r>
            <w:r>
              <w:rPr>
                <w:rFonts w:hint="default" w:ascii="Times New Roman" w:hAnsi="Times New Roman" w:eastAsia="宋体" w:cs="Times New Roman"/>
              </w:rPr>
              <w:t>硬化</w:t>
            </w:r>
            <w:r>
              <w:rPr>
                <w:rFonts w:hint="default" w:ascii="Times New Roman" w:hAnsi="Times New Roman" w:eastAsia="宋体" w:cs="Times New Roman"/>
                <w:lang w:eastAsia="zh-CN"/>
              </w:rPr>
              <w:t>、</w:t>
            </w:r>
            <w:r>
              <w:rPr>
                <w:rFonts w:hint="default" w:ascii="Times New Roman" w:hAnsi="Times New Roman" w:eastAsia="宋体" w:cs="Times New Roman"/>
              </w:rPr>
              <w:t>防渗处理</w:t>
            </w:r>
            <w:r>
              <w:rPr>
                <w:rFonts w:hint="default" w:ascii="Times New Roman" w:hAnsi="Times New Roman" w:eastAsia="宋体" w:cs="Times New Roman"/>
                <w:lang w:eastAsia="zh-CN"/>
              </w:rPr>
              <w:t>。正常情况下</w:t>
            </w:r>
            <w:r>
              <w:rPr>
                <w:rFonts w:hint="default" w:ascii="Times New Roman" w:hAnsi="Times New Roman" w:eastAsia="宋体" w:cs="Times New Roman"/>
              </w:rPr>
              <w:t>不存在污染途径，本次评价不开展地下水</w:t>
            </w:r>
            <w:r>
              <w:rPr>
                <w:rFonts w:hint="default" w:ascii="Times New Roman" w:hAnsi="Times New Roman" w:eastAsia="宋体" w:cs="Times New Roman"/>
                <w:lang w:eastAsia="zh-CN"/>
              </w:rPr>
              <w:t>、</w:t>
            </w:r>
            <w:r>
              <w:rPr>
                <w:rFonts w:hint="default" w:ascii="Times New Roman" w:hAnsi="Times New Roman" w:eastAsia="宋体" w:cs="Times New Roman"/>
              </w:rPr>
              <w:t>土壤环境质量现状调查。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29" w:type="dxa"/>
            <w:noWrap w:val="0"/>
            <w:vAlign w:val="center"/>
          </w:tcPr>
          <w:p>
            <w:pPr>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环境</w:t>
            </w:r>
          </w:p>
          <w:p>
            <w:pPr>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保护</w:t>
            </w:r>
          </w:p>
          <w:p>
            <w:pPr>
              <w:adjustRightInd w:val="0"/>
              <w:snapToGrid w:val="0"/>
              <w:jc w:val="center"/>
              <w:rPr>
                <w:rFonts w:hint="default" w:ascii="Times New Roman" w:hAnsi="Times New Roman" w:eastAsia="宋体" w:cs="Times New Roman"/>
                <w:color w:val="0000FF"/>
                <w:kern w:val="0"/>
                <w:szCs w:val="21"/>
                <w:u w:val="none" w:color="auto"/>
              </w:rPr>
            </w:pPr>
            <w:r>
              <w:rPr>
                <w:rFonts w:hint="default" w:ascii="Times New Roman" w:hAnsi="Times New Roman" w:eastAsia="宋体" w:cs="Times New Roman"/>
                <w:color w:val="auto"/>
                <w:kern w:val="0"/>
                <w:szCs w:val="21"/>
                <w:u w:val="none" w:color="auto"/>
              </w:rPr>
              <w:t>目标</w:t>
            </w:r>
          </w:p>
        </w:tc>
        <w:tc>
          <w:tcPr>
            <w:tcW w:w="8332" w:type="dxa"/>
            <w:noWrap w:val="0"/>
            <w:vAlign w:val="center"/>
          </w:tcPr>
          <w:p>
            <w:pPr>
              <w:spacing w:before="120" w:beforeLines="50" w:line="360" w:lineRule="auto"/>
              <w:ind w:firstLine="422" w:firstLineChars="200"/>
              <w:rPr>
                <w:rFonts w:hint="default" w:ascii="Times New Roman" w:hAnsi="Times New Roman" w:eastAsia="宋体" w:cs="Times New Roman"/>
                <w:b/>
                <w:bCs w:val="0"/>
                <w:lang w:val="en-US" w:eastAsia="zh-CN"/>
              </w:rPr>
            </w:pPr>
            <w:r>
              <w:rPr>
                <w:rFonts w:hint="eastAsia" w:ascii="Times New Roman" w:hAnsi="Times New Roman" w:eastAsia="宋体" w:cs="Times New Roman"/>
                <w:b/>
                <w:bCs w:val="0"/>
                <w:lang w:val="en-US" w:eastAsia="zh-CN"/>
              </w:rPr>
              <w:t>1、</w:t>
            </w:r>
            <w:r>
              <w:rPr>
                <w:rFonts w:hint="default" w:ascii="Times New Roman" w:hAnsi="Times New Roman" w:eastAsia="宋体" w:cs="Times New Roman"/>
                <w:b/>
                <w:bCs w:val="0"/>
                <w:lang w:val="en-US" w:eastAsia="zh-CN"/>
              </w:rPr>
              <w:t>大气环境保护目标</w:t>
            </w:r>
          </w:p>
          <w:p>
            <w:pPr>
              <w:spacing w:line="360" w:lineRule="auto"/>
              <w:ind w:firstLine="420" w:firstLineChars="200"/>
              <w:rPr>
                <w:rFonts w:hint="default" w:ascii="Times New Roman" w:hAnsi="Times New Roman" w:eastAsia="宋体" w:cs="Times New Roman"/>
                <w:color w:val="0000FF"/>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本项目位于</w:t>
            </w:r>
            <w:r>
              <w:rPr>
                <w:rFonts w:hint="default" w:ascii="Times New Roman" w:hAnsi="Times New Roman" w:eastAsia="宋体" w:cs="Times New Roman"/>
                <w:color w:val="auto"/>
                <w:sz w:val="21"/>
                <w:szCs w:val="21"/>
                <w:u w:val="none" w:color="auto"/>
                <w:lang w:eastAsia="zh-CN"/>
              </w:rPr>
              <w:t>湖南省岳阳市湘阴县三塘镇虞公港</w:t>
            </w:r>
            <w:r>
              <w:rPr>
                <w:rFonts w:hint="default" w:ascii="Times New Roman" w:hAnsi="Times New Roman" w:eastAsia="宋体" w:cs="Times New Roman"/>
                <w:color w:val="auto"/>
                <w:sz w:val="21"/>
                <w:szCs w:val="21"/>
                <w:highlight w:val="none"/>
                <w:u w:val="none" w:color="auto"/>
                <w:lang w:val="en-US" w:eastAsia="zh-CN"/>
              </w:rPr>
              <w:t>。根据对建设项目地块及周边环境的调查，厂界外500m范围内有横岭湖南级自然保护区的实验区（本项目西侧约330m</w:t>
            </w:r>
            <w:r>
              <w:rPr>
                <w:rFonts w:hint="eastAsia" w:ascii="Times New Roman" w:hAnsi="Times New Roman" w:eastAsia="宋体" w:cs="Times New Roman"/>
                <w:color w:val="auto"/>
                <w:sz w:val="21"/>
                <w:szCs w:val="21"/>
                <w:highlight w:val="none"/>
                <w:u w:val="none" w:color="auto"/>
                <w:lang w:val="en-US" w:eastAsia="zh-CN"/>
              </w:rPr>
              <w:t>，附图11</w:t>
            </w:r>
            <w:r>
              <w:rPr>
                <w:rFonts w:hint="default" w:ascii="Times New Roman" w:hAnsi="Times New Roman" w:eastAsia="宋体" w:cs="Times New Roman"/>
                <w:color w:val="auto"/>
                <w:sz w:val="21"/>
                <w:szCs w:val="21"/>
                <w:highlight w:val="none"/>
                <w:u w:val="none" w:color="auto"/>
                <w:lang w:val="en-US" w:eastAsia="zh-CN"/>
              </w:rPr>
              <w:t>）、居民点等，无其他自然保护区、风景名胜区。本</w:t>
            </w:r>
            <w:r>
              <w:rPr>
                <w:rFonts w:hint="default" w:ascii="Times New Roman" w:hAnsi="Times New Roman" w:eastAsia="宋体" w:cs="Times New Roman"/>
                <w:color w:val="auto"/>
                <w:sz w:val="21"/>
                <w:szCs w:val="21"/>
                <w:u w:val="none" w:color="auto"/>
                <w:lang w:eastAsia="zh-CN"/>
              </w:rPr>
              <w:t>项目用地范围内存在虞公庙待拆迁居民约</w:t>
            </w:r>
            <w:r>
              <w:rPr>
                <w:rFonts w:hint="default" w:ascii="Times New Roman" w:hAnsi="Times New Roman" w:eastAsia="宋体" w:cs="Times New Roman"/>
                <w:color w:val="auto"/>
                <w:sz w:val="21"/>
                <w:szCs w:val="21"/>
                <w:u w:val="none" w:color="auto"/>
                <w:lang w:val="en-US" w:eastAsia="zh-CN"/>
              </w:rPr>
              <w:t>57户，由湘阴县政府完成拆迁工作后本项目方开始施工建设，待拆迁居民点不作为本项目环境保护目标。大气</w:t>
            </w:r>
            <w:r>
              <w:rPr>
                <w:rFonts w:hint="default" w:ascii="Times New Roman" w:hAnsi="Times New Roman" w:eastAsia="宋体" w:cs="Times New Roman"/>
                <w:color w:val="auto"/>
                <w:sz w:val="21"/>
                <w:szCs w:val="21"/>
                <w:highlight w:val="none"/>
                <w:u w:val="none" w:color="auto"/>
                <w:lang w:val="en-US" w:eastAsia="zh-CN"/>
              </w:rPr>
              <w:t>环境保护目标详见表3-5</w:t>
            </w:r>
            <w:r>
              <w:rPr>
                <w:rFonts w:hint="eastAsia" w:ascii="Times New Roman" w:hAnsi="Times New Roman" w:eastAsia="宋体" w:cs="Times New Roman"/>
                <w:color w:val="auto"/>
                <w:sz w:val="21"/>
                <w:szCs w:val="21"/>
                <w:highlight w:val="none"/>
                <w:u w:val="none" w:color="auto"/>
                <w:lang w:val="en-US" w:eastAsia="zh-CN"/>
              </w:rPr>
              <w:t>、表3-6</w:t>
            </w:r>
            <w:r>
              <w:rPr>
                <w:rFonts w:hint="default" w:ascii="Times New Roman" w:hAnsi="Times New Roman" w:eastAsia="宋体" w:cs="Times New Roman"/>
                <w:color w:val="auto"/>
                <w:sz w:val="21"/>
                <w:szCs w:val="21"/>
                <w:highlight w:val="none"/>
                <w:u w:val="none" w:color="auto"/>
                <w:lang w:val="en-US" w:eastAsia="zh-CN"/>
              </w:rPr>
              <w:t>及附图5。</w:t>
            </w:r>
          </w:p>
          <w:p>
            <w:pPr>
              <w:adjustRightInd w:val="0"/>
              <w:snapToGrid w:val="0"/>
              <w:jc w:val="center"/>
              <w:rPr>
                <w:rFonts w:hint="default" w:ascii="Times New Roman" w:hAnsi="Times New Roman" w:eastAsia="宋体" w:cs="Times New Roman"/>
                <w:b/>
                <w:bCs/>
                <w:color w:val="auto"/>
                <w:kern w:val="0"/>
                <w:sz w:val="21"/>
                <w:szCs w:val="21"/>
                <w:u w:val="none" w:color="auto"/>
                <w:lang w:eastAsia="zh-CN"/>
              </w:rPr>
            </w:pPr>
            <w:r>
              <w:rPr>
                <w:rFonts w:hint="default" w:ascii="Times New Roman" w:hAnsi="Times New Roman" w:eastAsia="宋体" w:cs="Times New Roman"/>
                <w:b/>
                <w:bCs/>
                <w:color w:val="auto"/>
                <w:kern w:val="0"/>
                <w:sz w:val="21"/>
                <w:szCs w:val="21"/>
                <w:u w:val="none" w:color="auto"/>
              </w:rPr>
              <w:t>表3-</w:t>
            </w:r>
            <w:r>
              <w:rPr>
                <w:rFonts w:hint="default" w:ascii="Times New Roman" w:hAnsi="Times New Roman" w:eastAsia="宋体" w:cs="Times New Roman"/>
                <w:b/>
                <w:bCs/>
                <w:color w:val="auto"/>
                <w:kern w:val="0"/>
                <w:sz w:val="21"/>
                <w:szCs w:val="21"/>
                <w:u w:val="none" w:color="auto"/>
                <w:lang w:val="en-US" w:eastAsia="zh-CN"/>
              </w:rPr>
              <w:t>5大气</w:t>
            </w:r>
            <w:r>
              <w:rPr>
                <w:rFonts w:hint="default" w:ascii="Times New Roman" w:hAnsi="Times New Roman" w:eastAsia="宋体" w:cs="Times New Roman"/>
                <w:b/>
                <w:bCs/>
                <w:color w:val="auto"/>
                <w:kern w:val="0"/>
                <w:sz w:val="21"/>
                <w:szCs w:val="21"/>
                <w:u w:val="none" w:color="auto"/>
              </w:rPr>
              <w:t>环境保护目标表</w:t>
            </w:r>
            <w:r>
              <w:rPr>
                <w:rFonts w:hint="default" w:ascii="Times New Roman" w:hAnsi="Times New Roman" w:eastAsia="宋体" w:cs="Times New Roman"/>
                <w:b/>
                <w:bCs/>
                <w:color w:val="auto"/>
                <w:kern w:val="0"/>
                <w:sz w:val="21"/>
                <w:szCs w:val="21"/>
                <w:u w:val="none" w:color="auto"/>
                <w:lang w:eastAsia="zh-CN"/>
              </w:rPr>
              <w:t>（</w:t>
            </w:r>
            <w:r>
              <w:rPr>
                <w:rFonts w:hint="default" w:ascii="Times New Roman" w:hAnsi="Times New Roman" w:eastAsia="宋体" w:cs="Times New Roman"/>
                <w:b/>
                <w:bCs/>
                <w:color w:val="auto"/>
                <w:kern w:val="0"/>
                <w:sz w:val="21"/>
                <w:szCs w:val="21"/>
                <w:u w:val="none" w:color="auto"/>
                <w:lang w:val="en-US" w:eastAsia="zh-CN"/>
              </w:rPr>
              <w:t>1</w:t>
            </w:r>
            <w:r>
              <w:rPr>
                <w:rFonts w:hint="default" w:ascii="Times New Roman" w:hAnsi="Times New Roman" w:eastAsia="宋体" w:cs="Times New Roman"/>
                <w:b/>
                <w:bCs/>
                <w:color w:val="auto"/>
                <w:kern w:val="0"/>
                <w:sz w:val="21"/>
                <w:szCs w:val="21"/>
                <w:u w:val="none" w:color="auto"/>
                <w:lang w:eastAsia="zh-CN"/>
              </w:rPr>
              <w:t>）</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200"/>
              <w:gridCol w:w="1080"/>
              <w:gridCol w:w="1005"/>
              <w:gridCol w:w="825"/>
              <w:gridCol w:w="540"/>
              <w:gridCol w:w="1140"/>
              <w:gridCol w:w="795"/>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8" w:type="dxa"/>
                  <w:vMerge w:val="restart"/>
                  <w:noWrap w:val="0"/>
                  <w:vAlign w:val="center"/>
                </w:tcPr>
                <w:p>
                  <w:pPr>
                    <w:pStyle w:val="71"/>
                    <w:spacing w:line="240" w:lineRule="auto"/>
                    <w:jc w:val="center"/>
                    <w:rPr>
                      <w:rFonts w:hint="default" w:ascii="Times New Roman" w:hAnsi="Times New Roman" w:eastAsia="宋体" w:cs="Times New Roman"/>
                      <w:b/>
                      <w:color w:val="auto"/>
                      <w:sz w:val="21"/>
                      <w:szCs w:val="21"/>
                      <w:u w:val="none" w:color="auto"/>
                    </w:rPr>
                  </w:pPr>
                  <w:bookmarkStart w:id="8" w:name="_Hlk5866606"/>
                  <w:r>
                    <w:rPr>
                      <w:rFonts w:hint="default" w:ascii="Times New Roman" w:hAnsi="Times New Roman" w:eastAsia="宋体" w:cs="Times New Roman"/>
                      <w:b/>
                      <w:color w:val="auto"/>
                      <w:sz w:val="21"/>
                      <w:szCs w:val="21"/>
                      <w:u w:val="none" w:color="auto"/>
                    </w:rPr>
                    <w:t>环境</w:t>
                  </w:r>
                </w:p>
                <w:p>
                  <w:pPr>
                    <w:pStyle w:val="71"/>
                    <w:spacing w:line="240" w:lineRule="auto"/>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要素</w:t>
                  </w:r>
                </w:p>
              </w:tc>
              <w:tc>
                <w:tcPr>
                  <w:tcW w:w="1200" w:type="dxa"/>
                  <w:vMerge w:val="restart"/>
                  <w:noWrap w:val="0"/>
                  <w:vAlign w:val="center"/>
                </w:tcPr>
                <w:p>
                  <w:pPr>
                    <w:pStyle w:val="71"/>
                    <w:spacing w:line="240" w:lineRule="auto"/>
                    <w:ind w:firstLine="0" w:firstLineChars="0"/>
                    <w:jc w:val="center"/>
                    <w:rPr>
                      <w:rFonts w:hint="default" w:ascii="Times New Roman" w:hAnsi="Times New Roman" w:eastAsia="宋体" w:cs="Times New Roman"/>
                      <w:b/>
                      <w:bCs w:val="0"/>
                      <w:color w:val="auto"/>
                      <w:sz w:val="21"/>
                      <w:szCs w:val="21"/>
                      <w:u w:val="none" w:color="auto"/>
                    </w:rPr>
                  </w:pPr>
                  <w:r>
                    <w:rPr>
                      <w:rFonts w:hint="default" w:ascii="Times New Roman" w:hAnsi="Times New Roman" w:eastAsia="宋体" w:cs="Times New Roman"/>
                      <w:b/>
                      <w:color w:val="auto"/>
                      <w:sz w:val="21"/>
                      <w:szCs w:val="21"/>
                      <w:u w:val="none" w:color="auto"/>
                    </w:rPr>
                    <w:t>环保目标名称</w:t>
                  </w:r>
                </w:p>
              </w:tc>
              <w:tc>
                <w:tcPr>
                  <w:tcW w:w="2085" w:type="dxa"/>
                  <w:gridSpan w:val="2"/>
                  <w:noWrap w:val="0"/>
                  <w:vAlign w:val="center"/>
                </w:tcPr>
                <w:p>
                  <w:pPr>
                    <w:pStyle w:val="71"/>
                    <w:spacing w:line="240" w:lineRule="auto"/>
                    <w:jc w:val="center"/>
                    <w:rPr>
                      <w:rFonts w:hint="default" w:ascii="Times New Roman" w:hAnsi="Times New Roman" w:eastAsia="宋体" w:cs="Times New Roman"/>
                      <w:b/>
                      <w:bCs w:val="0"/>
                      <w:color w:val="auto"/>
                      <w:sz w:val="21"/>
                      <w:szCs w:val="21"/>
                      <w:u w:val="none" w:color="auto"/>
                    </w:rPr>
                  </w:pPr>
                  <w:r>
                    <w:rPr>
                      <w:rFonts w:hint="default" w:ascii="Times New Roman" w:hAnsi="Times New Roman" w:eastAsia="宋体" w:cs="Times New Roman"/>
                      <w:b/>
                      <w:bCs w:val="0"/>
                      <w:color w:val="auto"/>
                      <w:sz w:val="21"/>
                      <w:szCs w:val="21"/>
                      <w:u w:val="none" w:color="auto"/>
                    </w:rPr>
                    <w:t>坐标</w:t>
                  </w:r>
                </w:p>
              </w:tc>
              <w:tc>
                <w:tcPr>
                  <w:tcW w:w="825" w:type="dxa"/>
                  <w:vMerge w:val="restart"/>
                  <w:noWrap w:val="0"/>
                  <w:vAlign w:val="center"/>
                </w:tcPr>
                <w:p>
                  <w:pPr>
                    <w:pStyle w:val="71"/>
                    <w:spacing w:line="240" w:lineRule="auto"/>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性质</w:t>
                  </w:r>
                </w:p>
              </w:tc>
              <w:tc>
                <w:tcPr>
                  <w:tcW w:w="540" w:type="dxa"/>
                  <w:vMerge w:val="restart"/>
                  <w:noWrap w:val="0"/>
                  <w:vAlign w:val="center"/>
                </w:tcPr>
                <w:p>
                  <w:pPr>
                    <w:pStyle w:val="71"/>
                    <w:spacing w:line="240" w:lineRule="auto"/>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方位</w:t>
                  </w:r>
                </w:p>
              </w:tc>
              <w:tc>
                <w:tcPr>
                  <w:tcW w:w="1140" w:type="dxa"/>
                  <w:vMerge w:val="restart"/>
                  <w:noWrap w:val="0"/>
                  <w:vAlign w:val="center"/>
                </w:tcPr>
                <w:p>
                  <w:pPr>
                    <w:pStyle w:val="71"/>
                    <w:spacing w:line="240" w:lineRule="auto"/>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val="en-US" w:eastAsia="zh-CN"/>
                    </w:rPr>
                    <w:t>距厂界</w:t>
                  </w:r>
                  <w:r>
                    <w:rPr>
                      <w:rFonts w:hint="default" w:ascii="Times New Roman" w:hAnsi="Times New Roman" w:eastAsia="宋体" w:cs="Times New Roman"/>
                      <w:b/>
                      <w:color w:val="auto"/>
                      <w:sz w:val="21"/>
                      <w:szCs w:val="21"/>
                      <w:u w:val="none" w:color="auto"/>
                    </w:rPr>
                    <w:t>距离</w:t>
                  </w:r>
                  <w:r>
                    <w:rPr>
                      <w:rFonts w:hint="default" w:ascii="Times New Roman" w:hAnsi="Times New Roman" w:eastAsia="宋体" w:cs="Times New Roman"/>
                      <w:b/>
                      <w:color w:val="auto"/>
                      <w:sz w:val="21"/>
                      <w:szCs w:val="21"/>
                      <w:u w:val="none" w:color="auto"/>
                      <w:lang w:val="en-US" w:eastAsia="zh-CN"/>
                    </w:rPr>
                    <w:t>/</w:t>
                  </w:r>
                  <w:r>
                    <w:rPr>
                      <w:rFonts w:hint="default" w:ascii="Times New Roman" w:hAnsi="Times New Roman" w:eastAsia="宋体" w:cs="Times New Roman"/>
                      <w:b/>
                      <w:color w:val="auto"/>
                      <w:sz w:val="21"/>
                      <w:szCs w:val="21"/>
                      <w:u w:val="none" w:color="auto"/>
                    </w:rPr>
                    <w:t>m</w:t>
                  </w:r>
                </w:p>
              </w:tc>
              <w:tc>
                <w:tcPr>
                  <w:tcW w:w="795" w:type="dxa"/>
                  <w:vMerge w:val="restart"/>
                  <w:noWrap w:val="0"/>
                  <w:vAlign w:val="center"/>
                </w:tcPr>
                <w:p>
                  <w:pPr>
                    <w:pStyle w:val="71"/>
                    <w:spacing w:line="240" w:lineRule="auto"/>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规模</w:t>
                  </w:r>
                </w:p>
              </w:tc>
              <w:tc>
                <w:tcPr>
                  <w:tcW w:w="873" w:type="dxa"/>
                  <w:vMerge w:val="restart"/>
                  <w:noWrap w:val="0"/>
                  <w:vAlign w:val="center"/>
                </w:tcPr>
                <w:p>
                  <w:pPr>
                    <w:pStyle w:val="71"/>
                    <w:spacing w:line="240" w:lineRule="auto"/>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8"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1200" w:type="dxa"/>
                  <w:vMerge w:val="continue"/>
                  <w:noWrap w:val="0"/>
                  <w:vAlign w:val="center"/>
                </w:tcPr>
                <w:p>
                  <w:pPr>
                    <w:pStyle w:val="71"/>
                    <w:spacing w:line="240" w:lineRule="auto"/>
                    <w:jc w:val="center"/>
                    <w:rPr>
                      <w:rFonts w:hint="default" w:ascii="Times New Roman" w:hAnsi="Times New Roman" w:eastAsia="宋体" w:cs="Times New Roman"/>
                      <w:b/>
                      <w:bCs w:val="0"/>
                      <w:color w:val="auto"/>
                      <w:sz w:val="21"/>
                      <w:szCs w:val="21"/>
                      <w:u w:val="none" w:color="auto"/>
                      <w:lang w:val="en-US" w:eastAsia="zh-CN"/>
                    </w:rPr>
                  </w:pPr>
                </w:p>
              </w:tc>
              <w:tc>
                <w:tcPr>
                  <w:tcW w:w="1080" w:type="dxa"/>
                  <w:noWrap w:val="0"/>
                  <w:vAlign w:val="center"/>
                </w:tcPr>
                <w:p>
                  <w:pPr>
                    <w:pStyle w:val="71"/>
                    <w:spacing w:line="240" w:lineRule="auto"/>
                    <w:jc w:val="center"/>
                    <w:rPr>
                      <w:rFonts w:hint="default" w:ascii="Times New Roman" w:hAnsi="Times New Roman" w:eastAsia="宋体" w:cs="Times New Roman"/>
                      <w:b/>
                      <w:bCs w:val="0"/>
                      <w:color w:val="auto"/>
                      <w:sz w:val="21"/>
                      <w:szCs w:val="21"/>
                      <w:u w:val="none" w:color="auto"/>
                      <w:lang w:eastAsia="zh-CN"/>
                    </w:rPr>
                  </w:pPr>
                  <w:r>
                    <w:rPr>
                      <w:rFonts w:hint="default" w:ascii="Times New Roman" w:hAnsi="Times New Roman" w:eastAsia="宋体" w:cs="Times New Roman"/>
                      <w:b/>
                      <w:bCs w:val="0"/>
                      <w:color w:val="auto"/>
                      <w:sz w:val="21"/>
                      <w:szCs w:val="21"/>
                      <w:u w:val="none" w:color="auto"/>
                      <w:lang w:val="en-US" w:eastAsia="zh-CN"/>
                    </w:rPr>
                    <w:t>经度</w:t>
                  </w:r>
                </w:p>
              </w:tc>
              <w:tc>
                <w:tcPr>
                  <w:tcW w:w="1005" w:type="dxa"/>
                  <w:noWrap w:val="0"/>
                  <w:vAlign w:val="center"/>
                </w:tcPr>
                <w:p>
                  <w:pPr>
                    <w:pStyle w:val="71"/>
                    <w:spacing w:line="240" w:lineRule="auto"/>
                    <w:jc w:val="center"/>
                    <w:rPr>
                      <w:rFonts w:hint="default" w:ascii="Times New Roman" w:hAnsi="Times New Roman" w:eastAsia="宋体" w:cs="Times New Roman"/>
                      <w:b/>
                      <w:bCs w:val="0"/>
                      <w:color w:val="auto"/>
                      <w:sz w:val="21"/>
                      <w:szCs w:val="21"/>
                      <w:u w:val="none" w:color="auto"/>
                      <w:lang w:eastAsia="zh-CN"/>
                    </w:rPr>
                  </w:pPr>
                  <w:r>
                    <w:rPr>
                      <w:rFonts w:hint="default" w:ascii="Times New Roman" w:hAnsi="Times New Roman" w:eastAsia="宋体" w:cs="Times New Roman"/>
                      <w:b/>
                      <w:bCs w:val="0"/>
                      <w:color w:val="auto"/>
                      <w:sz w:val="21"/>
                      <w:szCs w:val="21"/>
                      <w:u w:val="none" w:color="auto"/>
                      <w:lang w:val="en-US" w:eastAsia="zh-CN"/>
                    </w:rPr>
                    <w:t>纬度</w:t>
                  </w:r>
                </w:p>
              </w:tc>
              <w:tc>
                <w:tcPr>
                  <w:tcW w:w="825"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540"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1140"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795"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873"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8" w:type="dxa"/>
                  <w:vMerge w:val="restart"/>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大气</w:t>
                  </w:r>
                </w:p>
                <w:p>
                  <w:pPr>
                    <w:pStyle w:val="71"/>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环境</w:t>
                  </w:r>
                </w:p>
              </w:tc>
              <w:tc>
                <w:tcPr>
                  <w:tcW w:w="1200" w:type="dxa"/>
                  <w:noWrap w:val="0"/>
                  <w:vAlign w:val="center"/>
                </w:tcPr>
                <w:p>
                  <w:pPr>
                    <w:pStyle w:val="7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虞公庙居民点1</w:t>
                  </w:r>
                </w:p>
              </w:tc>
              <w:tc>
                <w:tcPr>
                  <w:tcW w:w="1080"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112°53′45.53681″</w:t>
                  </w:r>
                </w:p>
              </w:tc>
              <w:tc>
                <w:tcPr>
                  <w:tcW w:w="100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28°48′12.92455″</w:t>
                  </w:r>
                </w:p>
              </w:tc>
              <w:tc>
                <w:tcPr>
                  <w:tcW w:w="82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居民</w:t>
                  </w:r>
                </w:p>
              </w:tc>
              <w:tc>
                <w:tcPr>
                  <w:tcW w:w="540" w:type="dxa"/>
                  <w:noWrap w:val="0"/>
                  <w:vAlign w:val="center"/>
                </w:tcPr>
                <w:p>
                  <w:pPr>
                    <w:pStyle w:val="71"/>
                    <w:ind w:firstLine="0" w:firstLineChars="0"/>
                    <w:jc w:val="center"/>
                    <w:rPr>
                      <w:rFonts w:hint="default" w:ascii="Times New Roman" w:hAnsi="Times New Roman" w:eastAsia="宋体" w:cs="Times New Roman"/>
                      <w:color w:val="auto"/>
                      <w:sz w:val="21"/>
                      <w:szCs w:val="21"/>
                      <w:highlight w:val="yellow"/>
                      <w:u w:val="none" w:color="auto"/>
                      <w:lang w:eastAsia="zh-CN"/>
                    </w:rPr>
                  </w:pPr>
                  <w:r>
                    <w:rPr>
                      <w:rFonts w:hint="default" w:ascii="Times New Roman" w:hAnsi="Times New Roman" w:eastAsia="宋体" w:cs="Times New Roman"/>
                      <w:color w:val="auto"/>
                      <w:u w:val="none" w:color="auto"/>
                      <w:lang w:val="en-US" w:eastAsia="zh-CN"/>
                    </w:rPr>
                    <w:t>S</w:t>
                  </w:r>
                </w:p>
              </w:tc>
              <w:tc>
                <w:tcPr>
                  <w:tcW w:w="1140" w:type="dxa"/>
                  <w:noWrap w:val="0"/>
                  <w:vAlign w:val="center"/>
                </w:tcPr>
                <w:p>
                  <w:pPr>
                    <w:pStyle w:val="71"/>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u w:val="none" w:color="auto"/>
                      <w:lang w:val="en-US" w:eastAsia="zh-CN"/>
                    </w:rPr>
                    <w:t>5～500</w:t>
                  </w:r>
                </w:p>
              </w:tc>
              <w:tc>
                <w:tcPr>
                  <w:tcW w:w="79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约43</w:t>
                  </w:r>
                  <w:r>
                    <w:rPr>
                      <w:rFonts w:hint="default" w:ascii="Times New Roman" w:hAnsi="Times New Roman" w:eastAsia="宋体" w:cs="Times New Roman"/>
                      <w:color w:val="auto"/>
                      <w:sz w:val="21"/>
                      <w:szCs w:val="21"/>
                      <w:u w:val="none" w:color="auto"/>
                    </w:rPr>
                    <w:t>户</w:t>
                  </w:r>
                </w:p>
              </w:tc>
              <w:tc>
                <w:tcPr>
                  <w:tcW w:w="873" w:type="dxa"/>
                  <w:vMerge w:val="restart"/>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二类区，</w:t>
                  </w:r>
                  <w:r>
                    <w:rPr>
                      <w:rFonts w:hint="default" w:ascii="Times New Roman" w:hAnsi="Times New Roman" w:eastAsia="宋体" w:cs="Times New Roman"/>
                      <w:color w:val="auto"/>
                      <w:sz w:val="21"/>
                      <w:szCs w:val="21"/>
                      <w:u w:val="none" w:color="auto"/>
                    </w:rPr>
                    <w:t>《环境空气质量标准》（GB3095-20</w:t>
                  </w:r>
                  <w:r>
                    <w:rPr>
                      <w:rFonts w:hint="eastAsia" w:cs="Times New Roman"/>
                      <w:color w:val="auto"/>
                      <w:sz w:val="21"/>
                      <w:szCs w:val="21"/>
                      <w:u w:val="none" w:color="auto"/>
                      <w:lang w:val="en-US" w:eastAsia="zh-CN"/>
                    </w:rPr>
                    <w:t>26</w:t>
                  </w:r>
                  <w:r>
                    <w:rPr>
                      <w:rFonts w:hint="default" w:ascii="Times New Roman" w:hAnsi="Times New Roman" w:eastAsia="宋体" w:cs="Times New Roman"/>
                      <w:color w:val="auto"/>
                      <w:sz w:val="21"/>
                      <w:szCs w:val="21"/>
                      <w:u w:val="none" w:color="auto"/>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8"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1200" w:type="dxa"/>
                  <w:noWrap w:val="0"/>
                  <w:vAlign w:val="center"/>
                </w:tcPr>
                <w:p>
                  <w:pPr>
                    <w:pStyle w:val="7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虞公庙居民点2</w:t>
                  </w:r>
                </w:p>
              </w:tc>
              <w:tc>
                <w:tcPr>
                  <w:tcW w:w="1080"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112°53′31.32324″</w:t>
                  </w:r>
                </w:p>
              </w:tc>
              <w:tc>
                <w:tcPr>
                  <w:tcW w:w="100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28°48′6.66750″</w:t>
                  </w:r>
                </w:p>
              </w:tc>
              <w:tc>
                <w:tcPr>
                  <w:tcW w:w="82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rPr>
                    <w:t>居民</w:t>
                  </w:r>
                </w:p>
              </w:tc>
              <w:tc>
                <w:tcPr>
                  <w:tcW w:w="540" w:type="dxa"/>
                  <w:noWrap w:val="0"/>
                  <w:vAlign w:val="center"/>
                </w:tcPr>
                <w:p>
                  <w:pPr>
                    <w:pStyle w:val="71"/>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SE</w:t>
                  </w:r>
                </w:p>
              </w:tc>
              <w:tc>
                <w:tcPr>
                  <w:tcW w:w="1140" w:type="dxa"/>
                  <w:noWrap w:val="0"/>
                  <w:vAlign w:val="center"/>
                </w:tcPr>
                <w:p>
                  <w:pPr>
                    <w:pStyle w:val="71"/>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390～500</w:t>
                  </w:r>
                </w:p>
              </w:tc>
              <w:tc>
                <w:tcPr>
                  <w:tcW w:w="79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约3户</w:t>
                  </w:r>
                </w:p>
              </w:tc>
              <w:tc>
                <w:tcPr>
                  <w:tcW w:w="873"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8"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1200" w:type="dxa"/>
                  <w:noWrap w:val="0"/>
                  <w:vAlign w:val="center"/>
                </w:tcPr>
                <w:p>
                  <w:pPr>
                    <w:pStyle w:val="7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虞公庙居民点3</w:t>
                  </w:r>
                </w:p>
              </w:tc>
              <w:tc>
                <w:tcPr>
                  <w:tcW w:w="1080"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112°53′43.52837″</w:t>
                  </w:r>
                </w:p>
              </w:tc>
              <w:tc>
                <w:tcPr>
                  <w:tcW w:w="100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28°48′3.57759″</w:t>
                  </w:r>
                </w:p>
              </w:tc>
              <w:tc>
                <w:tcPr>
                  <w:tcW w:w="82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居民</w:t>
                  </w:r>
                </w:p>
              </w:tc>
              <w:tc>
                <w:tcPr>
                  <w:tcW w:w="540" w:type="dxa"/>
                  <w:noWrap w:val="0"/>
                  <w:vAlign w:val="center"/>
                </w:tcPr>
                <w:p>
                  <w:pPr>
                    <w:pStyle w:val="71"/>
                    <w:ind w:firstLine="0" w:firstLineChars="0"/>
                    <w:jc w:val="center"/>
                    <w:rPr>
                      <w:rFonts w:hint="default" w:ascii="Times New Roman" w:hAnsi="Times New Roman" w:eastAsia="宋体" w:cs="Times New Roman"/>
                      <w:color w:val="auto"/>
                      <w:sz w:val="21"/>
                      <w:szCs w:val="21"/>
                      <w:highlight w:val="yellow"/>
                      <w:u w:val="none" w:color="auto"/>
                      <w:lang w:val="en-US" w:eastAsia="zh-CN"/>
                    </w:rPr>
                  </w:pPr>
                  <w:r>
                    <w:rPr>
                      <w:rFonts w:hint="default" w:ascii="Times New Roman" w:hAnsi="Times New Roman" w:eastAsia="宋体" w:cs="Times New Roman"/>
                      <w:color w:val="auto"/>
                      <w:u w:val="none" w:color="auto"/>
                      <w:lang w:val="en-US" w:eastAsia="zh-CN"/>
                    </w:rPr>
                    <w:t>S</w:t>
                  </w:r>
                  <w:r>
                    <w:rPr>
                      <w:rFonts w:hint="default" w:ascii="Times New Roman" w:hAnsi="Times New Roman" w:eastAsia="宋体" w:cs="Times New Roman"/>
                      <w:color w:val="auto"/>
                      <w:u w:val="none" w:color="auto"/>
                    </w:rPr>
                    <w:t>E</w:t>
                  </w:r>
                </w:p>
              </w:tc>
              <w:tc>
                <w:tcPr>
                  <w:tcW w:w="1140" w:type="dxa"/>
                  <w:noWrap w:val="0"/>
                  <w:vAlign w:val="center"/>
                </w:tcPr>
                <w:p>
                  <w:pPr>
                    <w:pStyle w:val="71"/>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u w:val="none" w:color="auto"/>
                      <w:lang w:val="en-US" w:eastAsia="zh-CN"/>
                    </w:rPr>
                    <w:t>300～360</w:t>
                  </w:r>
                </w:p>
              </w:tc>
              <w:tc>
                <w:tcPr>
                  <w:tcW w:w="79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约2户</w:t>
                  </w:r>
                </w:p>
              </w:tc>
              <w:tc>
                <w:tcPr>
                  <w:tcW w:w="873"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8"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1200" w:type="dxa"/>
                  <w:noWrap w:val="0"/>
                  <w:vAlign w:val="center"/>
                </w:tcPr>
                <w:p>
                  <w:pPr>
                    <w:pStyle w:val="7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吴公庙居民点1</w:t>
                  </w:r>
                </w:p>
              </w:tc>
              <w:tc>
                <w:tcPr>
                  <w:tcW w:w="1080"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112°53′13.09280″</w:t>
                  </w:r>
                </w:p>
              </w:tc>
              <w:tc>
                <w:tcPr>
                  <w:tcW w:w="100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28°48′13.07905″</w:t>
                  </w:r>
                </w:p>
              </w:tc>
              <w:tc>
                <w:tcPr>
                  <w:tcW w:w="82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居民</w:t>
                  </w:r>
                </w:p>
              </w:tc>
              <w:tc>
                <w:tcPr>
                  <w:tcW w:w="540" w:type="dxa"/>
                  <w:noWrap w:val="0"/>
                  <w:vAlign w:val="center"/>
                </w:tcPr>
                <w:p>
                  <w:pPr>
                    <w:pStyle w:val="71"/>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S</w:t>
                  </w:r>
                </w:p>
              </w:tc>
              <w:tc>
                <w:tcPr>
                  <w:tcW w:w="1140" w:type="dxa"/>
                  <w:noWrap w:val="0"/>
                  <w:vAlign w:val="center"/>
                </w:tcPr>
                <w:p>
                  <w:pPr>
                    <w:pStyle w:val="71"/>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85～120</w:t>
                  </w:r>
                </w:p>
              </w:tc>
              <w:tc>
                <w:tcPr>
                  <w:tcW w:w="79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约2户</w:t>
                  </w:r>
                </w:p>
              </w:tc>
              <w:tc>
                <w:tcPr>
                  <w:tcW w:w="873"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8"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1200" w:type="dxa"/>
                  <w:noWrap w:val="0"/>
                  <w:vAlign w:val="center"/>
                </w:tcPr>
                <w:p>
                  <w:pPr>
                    <w:pStyle w:val="7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吴公庙居民点2</w:t>
                  </w:r>
                </w:p>
              </w:tc>
              <w:tc>
                <w:tcPr>
                  <w:tcW w:w="1080"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112°53′9.07593″</w:t>
                  </w:r>
                </w:p>
              </w:tc>
              <w:tc>
                <w:tcPr>
                  <w:tcW w:w="100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28°48′16.16895″</w:t>
                  </w:r>
                </w:p>
              </w:tc>
              <w:tc>
                <w:tcPr>
                  <w:tcW w:w="82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居民</w:t>
                  </w:r>
                </w:p>
              </w:tc>
              <w:tc>
                <w:tcPr>
                  <w:tcW w:w="540" w:type="dxa"/>
                  <w:noWrap w:val="0"/>
                  <w:vAlign w:val="center"/>
                </w:tcPr>
                <w:p>
                  <w:pPr>
                    <w:pStyle w:val="71"/>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W</w:t>
                  </w:r>
                </w:p>
              </w:tc>
              <w:tc>
                <w:tcPr>
                  <w:tcW w:w="1140" w:type="dxa"/>
                  <w:noWrap w:val="0"/>
                  <w:vAlign w:val="center"/>
                </w:tcPr>
                <w:p>
                  <w:pPr>
                    <w:pStyle w:val="71"/>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95</w:t>
                  </w:r>
                </w:p>
              </w:tc>
              <w:tc>
                <w:tcPr>
                  <w:tcW w:w="79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约3户</w:t>
                  </w:r>
                </w:p>
              </w:tc>
              <w:tc>
                <w:tcPr>
                  <w:tcW w:w="873"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8"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1200" w:type="dxa"/>
                  <w:noWrap w:val="0"/>
                  <w:vAlign w:val="center"/>
                </w:tcPr>
                <w:p>
                  <w:pPr>
                    <w:pStyle w:val="7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香炉山居民点1</w:t>
                  </w:r>
                </w:p>
              </w:tc>
              <w:tc>
                <w:tcPr>
                  <w:tcW w:w="1080"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112°53′13.71078″</w:t>
                  </w:r>
                </w:p>
              </w:tc>
              <w:tc>
                <w:tcPr>
                  <w:tcW w:w="100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28°48′26.98362″</w:t>
                  </w:r>
                </w:p>
              </w:tc>
              <w:tc>
                <w:tcPr>
                  <w:tcW w:w="82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居民</w:t>
                  </w:r>
                </w:p>
              </w:tc>
              <w:tc>
                <w:tcPr>
                  <w:tcW w:w="540" w:type="dxa"/>
                  <w:noWrap w:val="0"/>
                  <w:vAlign w:val="center"/>
                </w:tcPr>
                <w:p>
                  <w:pPr>
                    <w:pStyle w:val="71"/>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N</w:t>
                  </w:r>
                </w:p>
              </w:tc>
              <w:tc>
                <w:tcPr>
                  <w:tcW w:w="1140" w:type="dxa"/>
                  <w:noWrap w:val="0"/>
                  <w:vAlign w:val="center"/>
                </w:tcPr>
                <w:p>
                  <w:pPr>
                    <w:pStyle w:val="71"/>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60</w:t>
                  </w:r>
                </w:p>
              </w:tc>
              <w:tc>
                <w:tcPr>
                  <w:tcW w:w="79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1户</w:t>
                  </w:r>
                </w:p>
              </w:tc>
              <w:tc>
                <w:tcPr>
                  <w:tcW w:w="873"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8"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1200" w:type="dxa"/>
                  <w:noWrap w:val="0"/>
                  <w:vAlign w:val="center"/>
                </w:tcPr>
                <w:p>
                  <w:pPr>
                    <w:pStyle w:val="7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香炉山居民点2</w:t>
                  </w:r>
                </w:p>
              </w:tc>
              <w:tc>
                <w:tcPr>
                  <w:tcW w:w="1080"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112°53′19.50436″</w:t>
                  </w:r>
                </w:p>
              </w:tc>
              <w:tc>
                <w:tcPr>
                  <w:tcW w:w="100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28°48′35.24912″</w:t>
                  </w:r>
                </w:p>
              </w:tc>
              <w:tc>
                <w:tcPr>
                  <w:tcW w:w="82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居民</w:t>
                  </w:r>
                </w:p>
              </w:tc>
              <w:tc>
                <w:tcPr>
                  <w:tcW w:w="540" w:type="dxa"/>
                  <w:noWrap w:val="0"/>
                  <w:vAlign w:val="center"/>
                </w:tcPr>
                <w:p>
                  <w:pPr>
                    <w:pStyle w:val="71"/>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N</w:t>
                  </w:r>
                </w:p>
              </w:tc>
              <w:tc>
                <w:tcPr>
                  <w:tcW w:w="1140" w:type="dxa"/>
                  <w:noWrap w:val="0"/>
                  <w:vAlign w:val="center"/>
                </w:tcPr>
                <w:p>
                  <w:pPr>
                    <w:pStyle w:val="71"/>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175～500</w:t>
                  </w:r>
                </w:p>
              </w:tc>
              <w:tc>
                <w:tcPr>
                  <w:tcW w:w="795" w:type="dxa"/>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约30户</w:t>
                  </w:r>
                </w:p>
              </w:tc>
              <w:tc>
                <w:tcPr>
                  <w:tcW w:w="873"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r>
            <w:bookmarkEnd w:id="8"/>
          </w:tbl>
          <w:p>
            <w:pPr>
              <w:adjustRightInd w:val="0"/>
              <w:snapToGrid w:val="0"/>
              <w:jc w:val="center"/>
              <w:rPr>
                <w:rFonts w:hint="default" w:ascii="Times New Roman" w:hAnsi="Times New Roman" w:eastAsia="宋体" w:cs="Times New Roman"/>
                <w:b/>
                <w:bCs/>
                <w:color w:val="auto"/>
                <w:kern w:val="0"/>
                <w:sz w:val="21"/>
                <w:szCs w:val="21"/>
                <w:highlight w:val="none"/>
                <w:u w:val="none" w:color="auto"/>
                <w:lang w:eastAsia="zh-CN"/>
              </w:rPr>
            </w:pPr>
            <w:bookmarkStart w:id="9" w:name="_Ref133957767"/>
            <w:r>
              <w:rPr>
                <w:rFonts w:hint="default" w:ascii="Times New Roman" w:hAnsi="Times New Roman" w:eastAsia="宋体" w:cs="Times New Roman"/>
                <w:b/>
                <w:bCs/>
                <w:color w:val="auto"/>
                <w:kern w:val="0"/>
                <w:sz w:val="21"/>
                <w:szCs w:val="21"/>
                <w:highlight w:val="none"/>
                <w:u w:val="none" w:color="auto"/>
              </w:rPr>
              <w:t>表3-</w:t>
            </w:r>
            <w:r>
              <w:rPr>
                <w:rFonts w:hint="eastAsia" w:ascii="Times New Roman" w:hAnsi="Times New Roman" w:eastAsia="宋体" w:cs="Times New Roman"/>
                <w:b/>
                <w:bCs/>
                <w:color w:val="auto"/>
                <w:kern w:val="0"/>
                <w:sz w:val="21"/>
                <w:szCs w:val="21"/>
                <w:highlight w:val="none"/>
                <w:u w:val="none" w:color="auto"/>
                <w:lang w:val="en-US" w:eastAsia="zh-CN"/>
              </w:rPr>
              <w:t>6</w:t>
            </w:r>
            <w:r>
              <w:rPr>
                <w:rFonts w:hint="default" w:ascii="Times New Roman" w:hAnsi="Times New Roman" w:eastAsia="宋体" w:cs="Times New Roman"/>
                <w:b/>
                <w:bCs/>
                <w:color w:val="auto"/>
                <w:kern w:val="0"/>
                <w:sz w:val="21"/>
                <w:szCs w:val="21"/>
                <w:highlight w:val="none"/>
                <w:u w:val="none" w:color="auto"/>
                <w:lang w:val="en-US" w:eastAsia="zh-CN"/>
              </w:rPr>
              <w:t>大气</w:t>
            </w:r>
            <w:r>
              <w:rPr>
                <w:rFonts w:hint="default" w:ascii="Times New Roman" w:hAnsi="Times New Roman" w:eastAsia="宋体" w:cs="Times New Roman"/>
                <w:b/>
                <w:bCs/>
                <w:color w:val="auto"/>
                <w:kern w:val="0"/>
                <w:sz w:val="21"/>
                <w:szCs w:val="21"/>
                <w:highlight w:val="none"/>
                <w:u w:val="none" w:color="auto"/>
              </w:rPr>
              <w:t>环境保护目标表</w:t>
            </w:r>
            <w:r>
              <w:rPr>
                <w:rFonts w:hint="default" w:ascii="Times New Roman" w:hAnsi="Times New Roman" w:eastAsia="宋体" w:cs="Times New Roman"/>
                <w:b/>
                <w:bCs/>
                <w:color w:val="auto"/>
                <w:kern w:val="0"/>
                <w:sz w:val="21"/>
                <w:szCs w:val="21"/>
                <w:highlight w:val="none"/>
                <w:u w:val="none" w:color="auto"/>
                <w:lang w:eastAsia="zh-CN"/>
              </w:rPr>
              <w:t>（</w:t>
            </w:r>
            <w:r>
              <w:rPr>
                <w:rFonts w:hint="default" w:ascii="Times New Roman" w:hAnsi="Times New Roman" w:eastAsia="宋体" w:cs="Times New Roman"/>
                <w:b/>
                <w:bCs/>
                <w:color w:val="auto"/>
                <w:kern w:val="0"/>
                <w:sz w:val="21"/>
                <w:szCs w:val="21"/>
                <w:highlight w:val="none"/>
                <w:u w:val="none" w:color="auto"/>
                <w:lang w:val="en-US" w:eastAsia="zh-CN"/>
              </w:rPr>
              <w:t>2</w:t>
            </w:r>
            <w:r>
              <w:rPr>
                <w:rFonts w:hint="default" w:ascii="Times New Roman" w:hAnsi="Times New Roman" w:eastAsia="宋体" w:cs="Times New Roman"/>
                <w:b/>
                <w:bCs/>
                <w:color w:val="auto"/>
                <w:kern w:val="0"/>
                <w:sz w:val="21"/>
                <w:szCs w:val="21"/>
                <w:highlight w:val="none"/>
                <w:u w:val="none" w:color="auto"/>
                <w:lang w:eastAsia="zh-CN"/>
              </w:rPr>
              <w:t>）</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20"/>
              <w:gridCol w:w="954"/>
              <w:gridCol w:w="587"/>
              <w:gridCol w:w="613"/>
              <w:gridCol w:w="3750"/>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8" w:type="dxa"/>
                  <w:noWrap w:val="0"/>
                  <w:vAlign w:val="center"/>
                </w:tcPr>
                <w:p>
                  <w:pPr>
                    <w:pStyle w:val="71"/>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环境</w:t>
                  </w:r>
                </w:p>
                <w:p>
                  <w:pPr>
                    <w:pStyle w:val="71"/>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要素</w:t>
                  </w:r>
                </w:p>
              </w:tc>
              <w:tc>
                <w:tcPr>
                  <w:tcW w:w="820" w:type="dxa"/>
                  <w:noWrap w:val="0"/>
                  <w:vAlign w:val="center"/>
                </w:tcPr>
                <w:p>
                  <w:pPr>
                    <w:pStyle w:val="71"/>
                    <w:spacing w:line="240" w:lineRule="auto"/>
                    <w:ind w:firstLine="0" w:firstLineChars="0"/>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环保目标名称</w:t>
                  </w:r>
                </w:p>
              </w:tc>
              <w:tc>
                <w:tcPr>
                  <w:tcW w:w="954" w:type="dxa"/>
                  <w:noWrap w:val="0"/>
                  <w:vAlign w:val="center"/>
                </w:tcPr>
                <w:p>
                  <w:pPr>
                    <w:pStyle w:val="71"/>
                    <w:spacing w:line="240" w:lineRule="auto"/>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坐标</w:t>
                  </w:r>
                </w:p>
              </w:tc>
              <w:tc>
                <w:tcPr>
                  <w:tcW w:w="587" w:type="dxa"/>
                  <w:noWrap w:val="0"/>
                  <w:vAlign w:val="center"/>
                </w:tcPr>
                <w:p>
                  <w:pPr>
                    <w:pStyle w:val="71"/>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性质</w:t>
                  </w:r>
                </w:p>
              </w:tc>
              <w:tc>
                <w:tcPr>
                  <w:tcW w:w="613" w:type="dxa"/>
                  <w:noWrap w:val="0"/>
                  <w:vAlign w:val="center"/>
                </w:tcPr>
                <w:p>
                  <w:pPr>
                    <w:pStyle w:val="71"/>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方位</w:t>
                  </w:r>
                </w:p>
              </w:tc>
              <w:tc>
                <w:tcPr>
                  <w:tcW w:w="3750" w:type="dxa"/>
                  <w:noWrap w:val="0"/>
                  <w:vAlign w:val="center"/>
                </w:tcPr>
                <w:p>
                  <w:pPr>
                    <w:pStyle w:val="71"/>
                    <w:spacing w:line="240" w:lineRule="auto"/>
                    <w:jc w:val="center"/>
                    <w:rPr>
                      <w:rFonts w:hint="default" w:ascii="Times New Roman" w:hAnsi="Times New Roman" w:eastAsia="宋体" w:cs="Times New Roman"/>
                      <w:b/>
                      <w:color w:val="auto"/>
                      <w:sz w:val="21"/>
                      <w:szCs w:val="21"/>
                      <w:highlight w:val="none"/>
                      <w:u w:val="none" w:color="auto"/>
                      <w:lang w:eastAsia="zh-CN"/>
                    </w:rPr>
                  </w:pPr>
                  <w:r>
                    <w:rPr>
                      <w:rFonts w:hint="default" w:ascii="Times New Roman" w:hAnsi="Times New Roman" w:eastAsia="宋体" w:cs="Times New Roman"/>
                      <w:b/>
                      <w:color w:val="auto"/>
                      <w:sz w:val="21"/>
                      <w:szCs w:val="21"/>
                      <w:highlight w:val="none"/>
                      <w:u w:val="none" w:color="auto"/>
                      <w:lang w:eastAsia="zh-CN"/>
                    </w:rPr>
                    <w:t>规模</w:t>
                  </w:r>
                </w:p>
              </w:tc>
              <w:tc>
                <w:tcPr>
                  <w:tcW w:w="734" w:type="dxa"/>
                  <w:noWrap w:val="0"/>
                  <w:vAlign w:val="center"/>
                </w:tcPr>
                <w:p>
                  <w:pPr>
                    <w:pStyle w:val="71"/>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8" w:type="dxa"/>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大气</w:t>
                  </w:r>
                </w:p>
                <w:p>
                  <w:pPr>
                    <w:pStyle w:val="71"/>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w:t>
                  </w:r>
                </w:p>
              </w:tc>
              <w:tc>
                <w:tcPr>
                  <w:tcW w:w="820" w:type="dxa"/>
                  <w:noWrap w:val="0"/>
                  <w:vAlign w:val="center"/>
                </w:tcPr>
                <w:p>
                  <w:pPr>
                    <w:pStyle w:val="71"/>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横岭湖省级自然保护区</w:t>
                  </w:r>
                </w:p>
              </w:tc>
              <w:tc>
                <w:tcPr>
                  <w:tcW w:w="954" w:type="dxa"/>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东经112° 36′ 54.22″～112° 53′59.16″，北纬：28° 42′ 20.80″～28° 59′ 47.78″</w:t>
                  </w:r>
                </w:p>
              </w:tc>
              <w:tc>
                <w:tcPr>
                  <w:tcW w:w="587" w:type="dxa"/>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省级自然保护区</w:t>
                  </w:r>
                </w:p>
              </w:tc>
              <w:tc>
                <w:tcPr>
                  <w:tcW w:w="613" w:type="dxa"/>
                  <w:noWrap w:val="0"/>
                  <w:vAlign w:val="center"/>
                </w:tcPr>
                <w:p>
                  <w:pPr>
                    <w:pStyle w:val="71"/>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西侧约</w:t>
                  </w:r>
                  <w:r>
                    <w:rPr>
                      <w:rFonts w:hint="default" w:ascii="Times New Roman" w:hAnsi="Times New Roman" w:eastAsia="宋体" w:cs="Times New Roman"/>
                      <w:color w:val="auto"/>
                      <w:sz w:val="21"/>
                      <w:szCs w:val="21"/>
                      <w:highlight w:val="none"/>
                      <w:u w:val="none" w:color="auto"/>
                      <w:lang w:val="en-US" w:eastAsia="zh-CN"/>
                    </w:rPr>
                    <w:t>330m</w:t>
                  </w:r>
                </w:p>
              </w:tc>
              <w:tc>
                <w:tcPr>
                  <w:tcW w:w="3750" w:type="dxa"/>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省级自然保护区，总面积37168.03公顷，其中：核心区面积14426.19公顷，缓冲区面积11441.76公顷，实验区面积11300.08公顷，保护对象为区域内包括野生动植物在内的所有生物物种及由其构成的湿地生态系统、水域景观、地貌景观等。保护区内有植物106科、196属、397种。分布有各类野生动物440种，其中鱼类12目21科112种，鸟类16目47科207种，爬行类8科29种，哺乳类16科28 种， 两栖类5科12种，虾蟹类5科11种，贝类5科41种。属国家重点保护的野生动物50种。横岭湖是国家Ⅰ级重点保护动物长江江豚主要分布区之一。</w:t>
                  </w:r>
                </w:p>
              </w:tc>
              <w:tc>
                <w:tcPr>
                  <w:tcW w:w="734" w:type="dxa"/>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一类区，</w:t>
                  </w:r>
                  <w:r>
                    <w:rPr>
                      <w:rFonts w:hint="default" w:ascii="Times New Roman" w:hAnsi="Times New Roman" w:eastAsia="宋体" w:cs="Times New Roman"/>
                      <w:color w:val="auto"/>
                      <w:sz w:val="21"/>
                      <w:szCs w:val="21"/>
                      <w:highlight w:val="none"/>
                      <w:u w:val="none" w:color="auto"/>
                    </w:rPr>
                    <w:t>《环境空气质量标准》（GB3095-20</w:t>
                  </w:r>
                  <w:r>
                    <w:rPr>
                      <w:rFonts w:hint="eastAsia" w:cs="Times New Roman"/>
                      <w:color w:val="auto"/>
                      <w:sz w:val="21"/>
                      <w:szCs w:val="21"/>
                      <w:highlight w:val="none"/>
                      <w:u w:val="none" w:color="auto"/>
                      <w:lang w:val="en-US" w:eastAsia="zh-CN"/>
                    </w:rPr>
                    <w:t>26</w:t>
                  </w: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highlight w:val="none"/>
                      <w:u w:val="none" w:color="auto"/>
                      <w:lang w:eastAsia="zh-CN"/>
                    </w:rPr>
                    <w:t>一</w:t>
                  </w:r>
                  <w:r>
                    <w:rPr>
                      <w:rFonts w:hint="default" w:ascii="Times New Roman" w:hAnsi="Times New Roman" w:eastAsia="宋体" w:cs="Times New Roman"/>
                      <w:color w:val="auto"/>
                      <w:sz w:val="21"/>
                      <w:szCs w:val="21"/>
                      <w:highlight w:val="none"/>
                      <w:u w:val="none" w:color="auto"/>
                    </w:rPr>
                    <w:t>级标准</w:t>
                  </w:r>
                </w:p>
              </w:tc>
            </w:tr>
          </w:tbl>
          <w:p>
            <w:pPr>
              <w:spacing w:before="120" w:beforeLines="50" w:line="360" w:lineRule="auto"/>
              <w:ind w:firstLine="422" w:firstLineChars="200"/>
              <w:rPr>
                <w:rFonts w:hint="default" w:ascii="Times New Roman" w:hAnsi="Times New Roman" w:eastAsia="宋体" w:cs="Times New Roman"/>
                <w:b/>
                <w:bCs w:val="0"/>
                <w:lang w:val="en-US" w:eastAsia="zh-CN"/>
              </w:rPr>
            </w:pPr>
            <w:r>
              <w:rPr>
                <w:rFonts w:hint="eastAsia" w:ascii="Times New Roman" w:hAnsi="Times New Roman" w:eastAsia="宋体" w:cs="Times New Roman"/>
                <w:b/>
                <w:bCs w:val="0"/>
                <w:color w:val="auto"/>
                <w:sz w:val="21"/>
                <w:szCs w:val="21"/>
                <w:u w:val="none" w:color="auto"/>
                <w:lang w:val="en-US" w:eastAsia="zh-CN"/>
              </w:rPr>
              <w:t>2、</w:t>
            </w:r>
            <w:r>
              <w:rPr>
                <w:rFonts w:hint="default" w:ascii="Times New Roman" w:hAnsi="Times New Roman" w:eastAsia="宋体" w:cs="Times New Roman"/>
                <w:b/>
                <w:bCs w:val="0"/>
                <w:lang w:val="en-US" w:eastAsia="zh-CN"/>
              </w:rPr>
              <w:t>声环境保护目标</w:t>
            </w:r>
          </w:p>
          <w:p>
            <w:pPr>
              <w:spacing w:line="360" w:lineRule="auto"/>
              <w:ind w:firstLine="420" w:firstLineChars="200"/>
              <w:rPr>
                <w:rFonts w:hint="default" w:ascii="Times New Roman" w:hAnsi="Times New Roman" w:eastAsia="宋体" w:cs="Times New Roman"/>
                <w:color w:val="0000FF"/>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项目厂界外50m范围内声环境保护目标见表3-</w:t>
            </w:r>
            <w:r>
              <w:rPr>
                <w:rFonts w:hint="eastAsia" w:ascii="Times New Roman" w:hAnsi="Times New Roman" w:eastAsia="宋体" w:cs="Times New Roman"/>
                <w:color w:val="auto"/>
                <w:sz w:val="21"/>
                <w:szCs w:val="21"/>
                <w:highlight w:val="none"/>
                <w:u w:val="none" w:color="auto"/>
                <w:lang w:val="en-US" w:eastAsia="zh-CN"/>
              </w:rPr>
              <w:t>7</w:t>
            </w:r>
            <w:r>
              <w:rPr>
                <w:rFonts w:hint="default" w:ascii="Times New Roman" w:hAnsi="Times New Roman" w:eastAsia="宋体" w:cs="Times New Roman"/>
                <w:color w:val="auto"/>
                <w:sz w:val="21"/>
                <w:szCs w:val="21"/>
                <w:highlight w:val="none"/>
                <w:u w:val="none" w:color="auto"/>
                <w:lang w:val="en-US" w:eastAsia="zh-CN"/>
              </w:rPr>
              <w:t>及附图</w:t>
            </w:r>
            <w:r>
              <w:rPr>
                <w:rFonts w:hint="eastAsia" w:ascii="Times New Roman" w:hAnsi="Times New Roman" w:eastAsia="宋体" w:cs="Times New Roman"/>
                <w:color w:val="auto"/>
                <w:sz w:val="21"/>
                <w:szCs w:val="21"/>
                <w:highlight w:val="none"/>
                <w:u w:val="none" w:color="auto"/>
                <w:lang w:val="en-US" w:eastAsia="zh-CN"/>
              </w:rPr>
              <w:t>6</w:t>
            </w:r>
            <w:r>
              <w:rPr>
                <w:rFonts w:hint="default" w:ascii="Times New Roman" w:hAnsi="Times New Roman" w:eastAsia="宋体" w:cs="Times New Roman"/>
                <w:color w:val="auto"/>
                <w:sz w:val="21"/>
                <w:szCs w:val="21"/>
                <w:highlight w:val="none"/>
                <w:u w:val="none" w:color="auto"/>
                <w:lang w:val="en-US" w:eastAsia="zh-CN"/>
              </w:rPr>
              <w:t>。</w:t>
            </w:r>
          </w:p>
          <w:p>
            <w:pPr>
              <w:adjustRightInd w:val="0"/>
              <w:snapToGrid w:val="0"/>
              <w:jc w:val="center"/>
              <w:rPr>
                <w:rFonts w:hint="default" w:ascii="Times New Roman" w:hAnsi="Times New Roman" w:eastAsia="宋体" w:cs="Times New Roman"/>
                <w:b/>
                <w:bCs/>
                <w:color w:val="auto"/>
                <w:kern w:val="0"/>
                <w:sz w:val="21"/>
                <w:szCs w:val="21"/>
                <w:u w:val="none" w:color="auto"/>
              </w:rPr>
            </w:pPr>
            <w:r>
              <w:rPr>
                <w:rFonts w:hint="default" w:ascii="Times New Roman" w:hAnsi="Times New Roman" w:eastAsia="宋体" w:cs="Times New Roman"/>
                <w:b/>
                <w:bCs/>
                <w:color w:val="auto"/>
                <w:kern w:val="0"/>
                <w:sz w:val="21"/>
                <w:szCs w:val="21"/>
                <w:u w:val="none" w:color="auto"/>
              </w:rPr>
              <w:t>表3-</w:t>
            </w:r>
            <w:r>
              <w:rPr>
                <w:rFonts w:hint="eastAsia" w:ascii="Times New Roman" w:hAnsi="Times New Roman" w:eastAsia="宋体" w:cs="Times New Roman"/>
                <w:b/>
                <w:bCs/>
                <w:color w:val="auto"/>
                <w:kern w:val="0"/>
                <w:sz w:val="21"/>
                <w:szCs w:val="21"/>
                <w:u w:val="none" w:color="auto"/>
                <w:lang w:val="en-US" w:eastAsia="zh-CN"/>
              </w:rPr>
              <w:t>7</w:t>
            </w:r>
            <w:r>
              <w:rPr>
                <w:rFonts w:hint="default" w:ascii="Times New Roman" w:hAnsi="Times New Roman" w:eastAsia="宋体" w:cs="Times New Roman"/>
                <w:b/>
                <w:bCs/>
                <w:color w:val="auto"/>
                <w:kern w:val="0"/>
                <w:sz w:val="21"/>
                <w:szCs w:val="21"/>
                <w:u w:val="none" w:color="auto"/>
                <w:lang w:val="en-US" w:eastAsia="zh-CN"/>
              </w:rPr>
              <w:t>声</w:t>
            </w:r>
            <w:r>
              <w:rPr>
                <w:rFonts w:hint="default" w:ascii="Times New Roman" w:hAnsi="Times New Roman" w:eastAsia="宋体" w:cs="Times New Roman"/>
                <w:b/>
                <w:bCs/>
                <w:color w:val="auto"/>
                <w:kern w:val="0"/>
                <w:sz w:val="21"/>
                <w:szCs w:val="21"/>
                <w:u w:val="none" w:color="auto"/>
              </w:rPr>
              <w:t>环境保护目标一览表</w:t>
            </w:r>
          </w:p>
          <w:tbl>
            <w:tblPr>
              <w:tblStyle w:val="31"/>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630"/>
              <w:gridCol w:w="915"/>
              <w:gridCol w:w="1770"/>
              <w:gridCol w:w="1710"/>
              <w:gridCol w:w="375"/>
              <w:gridCol w:w="885"/>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02" w:type="dxa"/>
                  <w:vMerge w:val="restart"/>
                  <w:noWrap w:val="0"/>
                  <w:vAlign w:val="center"/>
                </w:tcPr>
                <w:p>
                  <w:pPr>
                    <w:pStyle w:val="71"/>
                    <w:spacing w:line="240" w:lineRule="auto"/>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环境</w:t>
                  </w:r>
                </w:p>
                <w:p>
                  <w:pPr>
                    <w:pStyle w:val="71"/>
                    <w:spacing w:line="240" w:lineRule="auto"/>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要素</w:t>
                  </w:r>
                </w:p>
              </w:tc>
              <w:tc>
                <w:tcPr>
                  <w:tcW w:w="1545" w:type="dxa"/>
                  <w:gridSpan w:val="2"/>
                  <w:vMerge w:val="restart"/>
                  <w:noWrap w:val="0"/>
                  <w:vAlign w:val="center"/>
                </w:tcPr>
                <w:p>
                  <w:pPr>
                    <w:pStyle w:val="71"/>
                    <w:spacing w:line="240" w:lineRule="auto"/>
                    <w:ind w:firstLine="0" w:firstLineChars="0"/>
                    <w:jc w:val="center"/>
                    <w:rPr>
                      <w:rFonts w:hint="default" w:ascii="Times New Roman" w:hAnsi="Times New Roman" w:eastAsia="宋体" w:cs="Times New Roman"/>
                      <w:b/>
                      <w:bCs w:val="0"/>
                      <w:color w:val="auto"/>
                      <w:sz w:val="21"/>
                      <w:szCs w:val="21"/>
                      <w:u w:val="none" w:color="auto"/>
                    </w:rPr>
                  </w:pPr>
                  <w:r>
                    <w:rPr>
                      <w:rFonts w:hint="default" w:ascii="Times New Roman" w:hAnsi="Times New Roman" w:eastAsia="宋体" w:cs="Times New Roman"/>
                      <w:b/>
                      <w:color w:val="auto"/>
                      <w:sz w:val="21"/>
                      <w:szCs w:val="21"/>
                      <w:u w:val="none" w:color="auto"/>
                    </w:rPr>
                    <w:t>环保目标名称</w:t>
                  </w:r>
                </w:p>
              </w:tc>
              <w:tc>
                <w:tcPr>
                  <w:tcW w:w="3480" w:type="dxa"/>
                  <w:gridSpan w:val="2"/>
                  <w:noWrap w:val="0"/>
                  <w:vAlign w:val="center"/>
                </w:tcPr>
                <w:p>
                  <w:pPr>
                    <w:pStyle w:val="71"/>
                    <w:spacing w:line="240" w:lineRule="auto"/>
                    <w:ind w:firstLine="0" w:firstLineChars="0"/>
                    <w:jc w:val="center"/>
                    <w:rPr>
                      <w:rFonts w:hint="default" w:ascii="Times New Roman" w:hAnsi="Times New Roman" w:eastAsia="宋体" w:cs="Times New Roman"/>
                      <w:b/>
                      <w:color w:val="auto"/>
                      <w:kern w:val="0"/>
                      <w:sz w:val="21"/>
                      <w:szCs w:val="21"/>
                      <w:u w:val="none" w:color="auto"/>
                      <w:lang w:val="en-US" w:eastAsia="zh-CN" w:bidi="ar-SA"/>
                    </w:rPr>
                  </w:pPr>
                  <w:r>
                    <w:rPr>
                      <w:rFonts w:hint="default" w:ascii="Times New Roman" w:hAnsi="Times New Roman" w:eastAsia="宋体" w:cs="Times New Roman"/>
                      <w:b/>
                      <w:bCs w:val="0"/>
                      <w:color w:val="auto"/>
                      <w:sz w:val="21"/>
                      <w:szCs w:val="21"/>
                      <w:u w:val="none" w:color="auto"/>
                    </w:rPr>
                    <w:t>坐标</w:t>
                  </w:r>
                </w:p>
              </w:tc>
              <w:tc>
                <w:tcPr>
                  <w:tcW w:w="375" w:type="dxa"/>
                  <w:vMerge w:val="restart"/>
                  <w:noWrap w:val="0"/>
                  <w:vAlign w:val="center"/>
                </w:tcPr>
                <w:p>
                  <w:pPr>
                    <w:pStyle w:val="71"/>
                    <w:spacing w:line="240" w:lineRule="auto"/>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方位</w:t>
                  </w:r>
                </w:p>
              </w:tc>
              <w:tc>
                <w:tcPr>
                  <w:tcW w:w="885" w:type="dxa"/>
                  <w:vMerge w:val="restart"/>
                  <w:noWrap w:val="0"/>
                  <w:vAlign w:val="center"/>
                </w:tcPr>
                <w:p>
                  <w:pPr>
                    <w:pStyle w:val="71"/>
                    <w:spacing w:line="240" w:lineRule="auto"/>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val="en-US" w:eastAsia="zh-CN"/>
                    </w:rPr>
                    <w:t>距厂界</w:t>
                  </w:r>
                  <w:r>
                    <w:rPr>
                      <w:rFonts w:hint="default" w:ascii="Times New Roman" w:hAnsi="Times New Roman" w:eastAsia="宋体" w:cs="Times New Roman"/>
                      <w:b/>
                      <w:color w:val="auto"/>
                      <w:sz w:val="21"/>
                      <w:szCs w:val="21"/>
                      <w:u w:val="none" w:color="auto"/>
                    </w:rPr>
                    <w:t>距离</w:t>
                  </w:r>
                  <w:r>
                    <w:rPr>
                      <w:rFonts w:hint="default" w:ascii="Times New Roman" w:hAnsi="Times New Roman" w:eastAsia="宋体" w:cs="Times New Roman"/>
                      <w:b/>
                      <w:color w:val="auto"/>
                      <w:sz w:val="21"/>
                      <w:szCs w:val="21"/>
                      <w:u w:val="none" w:color="auto"/>
                      <w:lang w:val="en-US" w:eastAsia="zh-CN"/>
                    </w:rPr>
                    <w:t>/</w:t>
                  </w:r>
                  <w:r>
                    <w:rPr>
                      <w:rFonts w:hint="default" w:ascii="Times New Roman" w:hAnsi="Times New Roman" w:eastAsia="宋体" w:cs="Times New Roman"/>
                      <w:b/>
                      <w:color w:val="auto"/>
                      <w:sz w:val="21"/>
                      <w:szCs w:val="21"/>
                      <w:u w:val="none" w:color="auto"/>
                    </w:rPr>
                    <w:t>m</w:t>
                  </w:r>
                </w:p>
              </w:tc>
              <w:tc>
                <w:tcPr>
                  <w:tcW w:w="957" w:type="dxa"/>
                  <w:vMerge w:val="restart"/>
                  <w:noWrap w:val="0"/>
                  <w:vAlign w:val="center"/>
                </w:tcPr>
                <w:p>
                  <w:pPr>
                    <w:pStyle w:val="71"/>
                    <w:spacing w:line="240" w:lineRule="auto"/>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02"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1545" w:type="dxa"/>
                  <w:gridSpan w:val="2"/>
                  <w:vMerge w:val="continue"/>
                  <w:noWrap w:val="0"/>
                  <w:vAlign w:val="center"/>
                </w:tcPr>
                <w:p>
                  <w:pPr>
                    <w:pStyle w:val="71"/>
                    <w:spacing w:line="240" w:lineRule="auto"/>
                    <w:jc w:val="center"/>
                    <w:rPr>
                      <w:rFonts w:hint="default" w:ascii="Times New Roman" w:hAnsi="Times New Roman" w:eastAsia="宋体" w:cs="Times New Roman"/>
                      <w:b/>
                      <w:bCs w:val="0"/>
                      <w:color w:val="auto"/>
                      <w:sz w:val="21"/>
                      <w:szCs w:val="21"/>
                      <w:u w:val="none" w:color="auto"/>
                      <w:lang w:val="en-US" w:eastAsia="zh-CN"/>
                    </w:rPr>
                  </w:pPr>
                </w:p>
              </w:tc>
              <w:tc>
                <w:tcPr>
                  <w:tcW w:w="1770" w:type="dxa"/>
                  <w:noWrap w:val="0"/>
                  <w:vAlign w:val="center"/>
                </w:tcPr>
                <w:p>
                  <w:pPr>
                    <w:pStyle w:val="71"/>
                    <w:spacing w:line="240" w:lineRule="auto"/>
                    <w:jc w:val="center"/>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经度</w:t>
                  </w:r>
                </w:p>
              </w:tc>
              <w:tc>
                <w:tcPr>
                  <w:tcW w:w="1710" w:type="dxa"/>
                  <w:shd w:val="clear" w:color="auto" w:fill="auto"/>
                  <w:noWrap w:val="0"/>
                  <w:vAlign w:val="center"/>
                </w:tcPr>
                <w:p>
                  <w:pPr>
                    <w:pStyle w:val="71"/>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en-US" w:eastAsia="zh-CN" w:bidi="ar-SA"/>
                    </w:rPr>
                  </w:pPr>
                  <w:r>
                    <w:rPr>
                      <w:rFonts w:hint="default" w:ascii="Times New Roman" w:hAnsi="Times New Roman" w:eastAsia="宋体" w:cs="Times New Roman"/>
                      <w:b/>
                      <w:bCs/>
                      <w:color w:val="auto"/>
                      <w:kern w:val="0"/>
                      <w:sz w:val="21"/>
                      <w:szCs w:val="21"/>
                      <w:u w:val="none" w:color="auto"/>
                      <w:lang w:val="en-US" w:eastAsia="zh-CN" w:bidi="ar-SA"/>
                    </w:rPr>
                    <w:t>纬度</w:t>
                  </w:r>
                </w:p>
              </w:tc>
              <w:tc>
                <w:tcPr>
                  <w:tcW w:w="375"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885"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957"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vMerge w:val="restart"/>
                  <w:noWrap w:val="0"/>
                  <w:vAlign w:val="center"/>
                </w:tcPr>
                <w:p>
                  <w:pPr>
                    <w:pStyle w:val="71"/>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声环境</w:t>
                  </w:r>
                </w:p>
              </w:tc>
              <w:tc>
                <w:tcPr>
                  <w:tcW w:w="630" w:type="dxa"/>
                  <w:vMerge w:val="restart"/>
                  <w:shd w:val="clear" w:color="auto" w:fill="auto"/>
                  <w:noWrap w:val="0"/>
                  <w:vAlign w:val="center"/>
                </w:tcPr>
                <w:p>
                  <w:pPr>
                    <w:spacing w:line="320" w:lineRule="exact"/>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虞公庙居民点1</w:t>
                  </w:r>
                </w:p>
              </w:tc>
              <w:tc>
                <w:tcPr>
                  <w:tcW w:w="915" w:type="dxa"/>
                  <w:shd w:val="clear" w:color="auto" w:fill="auto"/>
                  <w:noWrap w:val="0"/>
                  <w:vAlign w:val="center"/>
                </w:tcPr>
                <w:p>
                  <w:pPr>
                    <w:spacing w:line="320" w:lineRule="exac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b w:val="0"/>
                      <w:bCs w:val="0"/>
                      <w:color w:val="auto"/>
                      <w:kern w:val="2"/>
                      <w:sz w:val="21"/>
                      <w:szCs w:val="21"/>
                      <w:u w:val="none" w:color="auto"/>
                      <w:lang w:val="en-US" w:eastAsia="zh-CN" w:bidi="ar-SA"/>
                    </w:rPr>
                    <w:t>民房1#</w:t>
                  </w:r>
                </w:p>
              </w:tc>
              <w:tc>
                <w:tcPr>
                  <w:tcW w:w="1770" w:type="dxa"/>
                  <w:shd w:val="clear" w:color="auto" w:fill="auto"/>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112°53′26.90489″</w:t>
                  </w:r>
                </w:p>
              </w:tc>
              <w:tc>
                <w:tcPr>
                  <w:tcW w:w="1710" w:type="dxa"/>
                  <w:shd w:val="clear" w:color="auto" w:fill="auto"/>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28°48′15.70735″</w:t>
                  </w:r>
                </w:p>
              </w:tc>
              <w:tc>
                <w:tcPr>
                  <w:tcW w:w="375" w:type="dxa"/>
                  <w:noWrap w:val="0"/>
                  <w:vAlign w:val="center"/>
                </w:tcPr>
                <w:p>
                  <w:pPr>
                    <w:pStyle w:val="71"/>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S</w:t>
                  </w:r>
                </w:p>
              </w:tc>
              <w:tc>
                <w:tcPr>
                  <w:tcW w:w="885" w:type="dxa"/>
                  <w:noWrap w:val="0"/>
                  <w:vAlign w:val="center"/>
                </w:tcPr>
                <w:p>
                  <w:pPr>
                    <w:pStyle w:val="71"/>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lang w:val="en-US" w:eastAsia="zh-CN"/>
                    </w:rPr>
                    <w:t>5</w:t>
                  </w:r>
                </w:p>
              </w:tc>
              <w:tc>
                <w:tcPr>
                  <w:tcW w:w="957" w:type="dxa"/>
                  <w:vMerge w:val="restart"/>
                  <w:noWrap w:val="0"/>
                  <w:vAlign w:val="center"/>
                </w:tcPr>
                <w:p>
                  <w:pPr>
                    <w:pStyle w:val="71"/>
                    <w:spacing w:line="240" w:lineRule="auto"/>
                    <w:jc w:val="center"/>
                    <w:rPr>
                      <w:rFonts w:hint="default" w:ascii="Times New Roman" w:hAnsi="Times New Roman" w:eastAsia="宋体" w:cs="Times New Roman"/>
                      <w:color w:val="auto"/>
                      <w:sz w:val="21"/>
                      <w:szCs w:val="21"/>
                      <w:highlight w:val="yellow"/>
                      <w:u w:val="none" w:color="auto"/>
                    </w:rPr>
                  </w:pPr>
                  <w:r>
                    <w:rPr>
                      <w:rFonts w:hint="default" w:ascii="Times New Roman" w:hAnsi="Times New Roman" w:eastAsia="宋体" w:cs="Times New Roman"/>
                      <w:sz w:val="21"/>
                      <w:szCs w:val="21"/>
                    </w:rPr>
                    <w:t>《声环境质量标准》（GB3096-2008）中</w:t>
                  </w:r>
                  <w:r>
                    <w:rPr>
                      <w:rFonts w:hint="default" w:ascii="Times New Roman" w:hAnsi="Times New Roman" w:eastAsia="宋体" w:cs="Times New Roman"/>
                      <w:sz w:val="21"/>
                      <w:szCs w:val="21"/>
                      <w:lang w:val="en-US" w:eastAsia="zh-CN"/>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630" w:type="dxa"/>
                  <w:vMerge w:val="continue"/>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p>
              </w:tc>
              <w:tc>
                <w:tcPr>
                  <w:tcW w:w="915"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民房2#</w:t>
                  </w:r>
                </w:p>
              </w:tc>
              <w:tc>
                <w:tcPr>
                  <w:tcW w:w="1770" w:type="dxa"/>
                  <w:shd w:val="clear" w:color="auto" w:fill="auto"/>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112°53′28.15051″</w:t>
                  </w:r>
                </w:p>
              </w:tc>
              <w:tc>
                <w:tcPr>
                  <w:tcW w:w="1710" w:type="dxa"/>
                  <w:shd w:val="clear" w:color="auto" w:fill="auto"/>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28°48′15.44664″</w:t>
                  </w:r>
                </w:p>
              </w:tc>
              <w:tc>
                <w:tcPr>
                  <w:tcW w:w="375" w:type="dxa"/>
                  <w:noWrap w:val="0"/>
                  <w:vAlign w:val="center"/>
                </w:tcPr>
                <w:p>
                  <w:pPr>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S</w:t>
                  </w:r>
                </w:p>
              </w:tc>
              <w:tc>
                <w:tcPr>
                  <w:tcW w:w="885" w:type="dxa"/>
                  <w:noWrap w:val="0"/>
                  <w:vAlign w:val="center"/>
                </w:tcPr>
                <w:p>
                  <w:pPr>
                    <w:pStyle w:val="71"/>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lang w:val="en-US" w:eastAsia="zh-CN"/>
                    </w:rPr>
                    <w:t>13</w:t>
                  </w:r>
                </w:p>
              </w:tc>
              <w:tc>
                <w:tcPr>
                  <w:tcW w:w="957"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highlight w:val="yellow"/>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630" w:type="dxa"/>
                  <w:vMerge w:val="continue"/>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p>
              </w:tc>
              <w:tc>
                <w:tcPr>
                  <w:tcW w:w="915"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民房3#</w:t>
                  </w:r>
                </w:p>
              </w:tc>
              <w:tc>
                <w:tcPr>
                  <w:tcW w:w="1770" w:type="dxa"/>
                  <w:shd w:val="clear" w:color="auto" w:fill="auto"/>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112°53′29.48303″</w:t>
                  </w:r>
                </w:p>
              </w:tc>
              <w:tc>
                <w:tcPr>
                  <w:tcW w:w="1710" w:type="dxa"/>
                  <w:shd w:val="clear" w:color="auto" w:fill="auto"/>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28°48′14.83831″</w:t>
                  </w:r>
                </w:p>
              </w:tc>
              <w:tc>
                <w:tcPr>
                  <w:tcW w:w="375" w:type="dxa"/>
                  <w:noWrap w:val="0"/>
                  <w:vAlign w:val="center"/>
                </w:tcPr>
                <w:p>
                  <w:pPr>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S</w:t>
                  </w:r>
                </w:p>
              </w:tc>
              <w:tc>
                <w:tcPr>
                  <w:tcW w:w="885" w:type="dxa"/>
                  <w:noWrap w:val="0"/>
                  <w:vAlign w:val="center"/>
                </w:tcPr>
                <w:p>
                  <w:pPr>
                    <w:pStyle w:val="71"/>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lang w:val="en-US" w:eastAsia="zh-CN"/>
                    </w:rPr>
                    <w:t>29</w:t>
                  </w:r>
                </w:p>
              </w:tc>
              <w:tc>
                <w:tcPr>
                  <w:tcW w:w="957"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highlight w:val="yellow"/>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630" w:type="dxa"/>
                  <w:vMerge w:val="continue"/>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p>
              </w:tc>
              <w:tc>
                <w:tcPr>
                  <w:tcW w:w="915"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民房4#</w:t>
                  </w:r>
                </w:p>
              </w:tc>
              <w:tc>
                <w:tcPr>
                  <w:tcW w:w="1770" w:type="dxa"/>
                  <w:shd w:val="clear" w:color="auto" w:fill="auto"/>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112°53′31.43354″</w:t>
                  </w:r>
                </w:p>
              </w:tc>
              <w:tc>
                <w:tcPr>
                  <w:tcW w:w="1710" w:type="dxa"/>
                  <w:shd w:val="clear" w:color="auto" w:fill="auto"/>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28°48′14.48104″</w:t>
                  </w:r>
                </w:p>
              </w:tc>
              <w:tc>
                <w:tcPr>
                  <w:tcW w:w="375" w:type="dxa"/>
                  <w:noWrap w:val="0"/>
                  <w:vAlign w:val="center"/>
                </w:tcPr>
                <w:p>
                  <w:pPr>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S</w:t>
                  </w:r>
                </w:p>
              </w:tc>
              <w:tc>
                <w:tcPr>
                  <w:tcW w:w="885" w:type="dxa"/>
                  <w:noWrap w:val="0"/>
                  <w:vAlign w:val="center"/>
                </w:tcPr>
                <w:p>
                  <w:pPr>
                    <w:pStyle w:val="71"/>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lang w:val="en-US" w:eastAsia="zh-CN"/>
                    </w:rPr>
                    <w:t>43</w:t>
                  </w:r>
                </w:p>
              </w:tc>
              <w:tc>
                <w:tcPr>
                  <w:tcW w:w="957"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highlight w:val="yellow"/>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630" w:type="dxa"/>
                  <w:vMerge w:val="continue"/>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p>
              </w:tc>
              <w:tc>
                <w:tcPr>
                  <w:tcW w:w="915"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民房5#</w:t>
                  </w:r>
                </w:p>
              </w:tc>
              <w:tc>
                <w:tcPr>
                  <w:tcW w:w="1770" w:type="dxa"/>
                  <w:shd w:val="clear" w:color="auto" w:fill="auto"/>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112°53′32.21566″</w:t>
                  </w:r>
                </w:p>
              </w:tc>
              <w:tc>
                <w:tcPr>
                  <w:tcW w:w="1710" w:type="dxa"/>
                  <w:shd w:val="clear" w:color="auto" w:fill="auto"/>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28°48′14.46173″</w:t>
                  </w:r>
                </w:p>
              </w:tc>
              <w:tc>
                <w:tcPr>
                  <w:tcW w:w="375" w:type="dxa"/>
                  <w:noWrap w:val="0"/>
                  <w:vAlign w:val="center"/>
                </w:tcPr>
                <w:p>
                  <w:pPr>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S</w:t>
                  </w:r>
                </w:p>
              </w:tc>
              <w:tc>
                <w:tcPr>
                  <w:tcW w:w="885" w:type="dxa"/>
                  <w:noWrap w:val="0"/>
                  <w:vAlign w:val="center"/>
                </w:tcPr>
                <w:p>
                  <w:pPr>
                    <w:pStyle w:val="71"/>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lang w:val="en-US" w:eastAsia="zh-CN"/>
                    </w:rPr>
                    <w:t>43</w:t>
                  </w:r>
                </w:p>
              </w:tc>
              <w:tc>
                <w:tcPr>
                  <w:tcW w:w="957"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highlight w:val="yellow"/>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u w:val="none" w:color="auto"/>
                    </w:rPr>
                  </w:pPr>
                </w:p>
              </w:tc>
              <w:tc>
                <w:tcPr>
                  <w:tcW w:w="630" w:type="dxa"/>
                  <w:vMerge w:val="continue"/>
                  <w:shd w:val="clear" w:color="auto" w:fill="auto"/>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p>
              </w:tc>
              <w:tc>
                <w:tcPr>
                  <w:tcW w:w="915"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民房6#</w:t>
                  </w:r>
                </w:p>
              </w:tc>
              <w:tc>
                <w:tcPr>
                  <w:tcW w:w="1770" w:type="dxa"/>
                  <w:shd w:val="clear" w:color="auto" w:fill="auto"/>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112°53′27.12698″</w:t>
                  </w:r>
                </w:p>
              </w:tc>
              <w:tc>
                <w:tcPr>
                  <w:tcW w:w="1710" w:type="dxa"/>
                  <w:shd w:val="clear" w:color="auto" w:fill="auto"/>
                  <w:noWrap w:val="0"/>
                  <w:vAlign w:val="center"/>
                </w:tcPr>
                <w:p>
                  <w:pPr>
                    <w:pStyle w:val="71"/>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28°48′14.76107″</w:t>
                  </w:r>
                </w:p>
              </w:tc>
              <w:tc>
                <w:tcPr>
                  <w:tcW w:w="375" w:type="dxa"/>
                  <w:noWrap w:val="0"/>
                  <w:vAlign w:val="center"/>
                </w:tcPr>
                <w:p>
                  <w:pPr>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S</w:t>
                  </w:r>
                </w:p>
              </w:tc>
              <w:tc>
                <w:tcPr>
                  <w:tcW w:w="885" w:type="dxa"/>
                  <w:noWrap w:val="0"/>
                  <w:vAlign w:val="center"/>
                </w:tcPr>
                <w:p>
                  <w:pPr>
                    <w:pStyle w:val="71"/>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lang w:val="en-US" w:eastAsia="zh-CN"/>
                    </w:rPr>
                    <w:t>30</w:t>
                  </w:r>
                </w:p>
              </w:tc>
              <w:tc>
                <w:tcPr>
                  <w:tcW w:w="957" w:type="dxa"/>
                  <w:vMerge w:val="continue"/>
                  <w:noWrap w:val="0"/>
                  <w:vAlign w:val="center"/>
                </w:tcPr>
                <w:p>
                  <w:pPr>
                    <w:pStyle w:val="71"/>
                    <w:spacing w:line="240" w:lineRule="auto"/>
                    <w:jc w:val="center"/>
                    <w:rPr>
                      <w:rFonts w:hint="default" w:ascii="Times New Roman" w:hAnsi="Times New Roman" w:eastAsia="宋体" w:cs="Times New Roman"/>
                      <w:color w:val="auto"/>
                      <w:sz w:val="21"/>
                      <w:szCs w:val="21"/>
                      <w:highlight w:val="yellow"/>
                      <w:u w:val="none" w:color="auto"/>
                    </w:rPr>
                  </w:pPr>
                </w:p>
              </w:tc>
            </w:tr>
          </w:tbl>
          <w:p>
            <w:pPr>
              <w:spacing w:before="120" w:beforeLines="50" w:line="360" w:lineRule="auto"/>
              <w:ind w:firstLine="422" w:firstLineChars="200"/>
              <w:rPr>
                <w:rFonts w:hint="default" w:ascii="Times New Roman" w:hAnsi="Times New Roman" w:eastAsia="宋体" w:cs="Times New Roman"/>
                <w:b/>
                <w:bCs w:val="0"/>
                <w:lang w:val="en-US" w:eastAsia="zh-CN"/>
              </w:rPr>
            </w:pPr>
            <w:r>
              <w:rPr>
                <w:rFonts w:hint="eastAsia" w:ascii="Times New Roman" w:hAnsi="Times New Roman" w:eastAsia="宋体" w:cs="Times New Roman"/>
                <w:b/>
                <w:bCs w:val="0"/>
                <w:lang w:val="en-US" w:eastAsia="zh-CN"/>
              </w:rPr>
              <w:t>3、</w:t>
            </w:r>
            <w:r>
              <w:rPr>
                <w:rFonts w:hint="default" w:ascii="Times New Roman" w:hAnsi="Times New Roman" w:eastAsia="宋体" w:cs="Times New Roman"/>
                <w:b/>
                <w:bCs w:val="0"/>
                <w:lang w:val="en-US" w:eastAsia="zh-CN"/>
              </w:rPr>
              <w:t>地表水环境保护目标</w:t>
            </w:r>
          </w:p>
          <w:p>
            <w:pPr>
              <w:spacing w:line="360" w:lineRule="auto"/>
              <w:ind w:firstLine="420" w:firstLineChars="200"/>
              <w:rPr>
                <w:rFonts w:hint="default" w:ascii="Times New Roman" w:hAnsi="Times New Roman" w:eastAsia="宋体" w:cs="Times New Roman"/>
                <w:b/>
                <w:bCs/>
                <w:color w:val="0000FF"/>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地表水环境保护目标见表3-</w:t>
            </w:r>
            <w:r>
              <w:rPr>
                <w:rFonts w:hint="eastAsia" w:ascii="Times New Roman" w:hAnsi="Times New Roman" w:eastAsia="宋体"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lang w:val="en-US" w:eastAsia="zh-CN"/>
              </w:rPr>
              <w:t>。</w:t>
            </w:r>
          </w:p>
          <w:p>
            <w:pPr>
              <w:pStyle w:val="8"/>
              <w:keepNext/>
              <w:jc w:val="center"/>
              <w:rPr>
                <w:rFonts w:hint="default" w:ascii="Times New Roman" w:hAnsi="Times New Roman" w:eastAsia="宋体" w:cs="Times New Roman"/>
                <w:b/>
                <w:bCs/>
                <w:color w:val="auto"/>
                <w:kern w:val="0"/>
                <w:sz w:val="21"/>
                <w:szCs w:val="21"/>
                <w:u w:val="none" w:color="auto"/>
                <w:lang w:val="en-US" w:eastAsia="zh-CN" w:bidi="ar-SA"/>
              </w:rPr>
            </w:pPr>
            <w:r>
              <w:rPr>
                <w:rFonts w:hint="default" w:ascii="Times New Roman" w:hAnsi="Times New Roman" w:eastAsia="宋体" w:cs="Times New Roman"/>
                <w:b/>
                <w:bCs/>
                <w:color w:val="auto"/>
                <w:kern w:val="0"/>
                <w:sz w:val="21"/>
                <w:szCs w:val="21"/>
                <w:highlight w:val="none"/>
                <w:u w:val="none" w:color="auto"/>
                <w:lang w:val="en-US" w:eastAsia="zh-CN" w:bidi="ar-SA"/>
              </w:rPr>
              <w:t>表3-</w:t>
            </w:r>
            <w:r>
              <w:rPr>
                <w:rFonts w:hint="eastAsia" w:ascii="Times New Roman" w:hAnsi="Times New Roman" w:eastAsia="宋体" w:cs="Times New Roman"/>
                <w:b/>
                <w:bCs/>
                <w:color w:val="auto"/>
                <w:kern w:val="0"/>
                <w:sz w:val="21"/>
                <w:szCs w:val="21"/>
                <w:highlight w:val="none"/>
                <w:u w:val="none" w:color="auto"/>
                <w:lang w:val="en-US" w:eastAsia="zh-CN" w:bidi="ar-SA"/>
              </w:rPr>
              <w:t>8</w:t>
            </w:r>
            <w:r>
              <w:rPr>
                <w:rFonts w:hint="default" w:ascii="Times New Roman" w:hAnsi="Times New Roman" w:eastAsia="宋体" w:cs="Times New Roman"/>
                <w:b/>
                <w:bCs/>
                <w:color w:val="auto"/>
                <w:kern w:val="0"/>
                <w:sz w:val="21"/>
                <w:szCs w:val="21"/>
                <w:highlight w:val="none"/>
                <w:u w:val="none" w:color="auto"/>
                <w:lang w:val="en-US" w:eastAsia="zh-CN" w:bidi="ar-SA"/>
              </w:rPr>
              <w:t xml:space="preserve"> 地</w:t>
            </w:r>
            <w:r>
              <w:rPr>
                <w:rFonts w:hint="default" w:ascii="Times New Roman" w:hAnsi="Times New Roman" w:eastAsia="宋体" w:cs="Times New Roman"/>
                <w:b/>
                <w:bCs/>
                <w:color w:val="auto"/>
                <w:kern w:val="0"/>
                <w:sz w:val="21"/>
                <w:szCs w:val="21"/>
                <w:u w:val="none" w:color="auto"/>
                <w:lang w:val="en-US" w:eastAsia="zh-CN" w:bidi="ar-SA"/>
              </w:rPr>
              <w:t>表水环境保护目标一览表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232"/>
              <w:gridCol w:w="2337"/>
              <w:gridCol w:w="1788"/>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40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color="auto"/>
                    </w:rPr>
                  </w:pPr>
                  <w:r>
                    <w:rPr>
                      <w:rFonts w:hint="default" w:ascii="Times New Roman" w:hAnsi="Times New Roman" w:eastAsia="宋体" w:cs="Times New Roman"/>
                      <w:b/>
                      <w:color w:val="auto"/>
                      <w:kern w:val="0"/>
                      <w:sz w:val="21"/>
                      <w:szCs w:val="21"/>
                      <w:u w:val="none" w:color="auto"/>
                    </w:rPr>
                    <w:t>类别</w:t>
                  </w:r>
                </w:p>
              </w:tc>
              <w:tc>
                <w:tcPr>
                  <w:tcW w:w="75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color="auto"/>
                    </w:rPr>
                  </w:pPr>
                  <w:r>
                    <w:rPr>
                      <w:rFonts w:hint="default" w:ascii="Times New Roman" w:hAnsi="Times New Roman" w:eastAsia="宋体" w:cs="Times New Roman"/>
                      <w:b/>
                      <w:color w:val="auto"/>
                      <w:kern w:val="0"/>
                      <w:sz w:val="21"/>
                      <w:szCs w:val="21"/>
                      <w:u w:val="none" w:color="auto"/>
                    </w:rPr>
                    <w:t>名称</w:t>
                  </w:r>
                </w:p>
              </w:tc>
              <w:tc>
                <w:tcPr>
                  <w:tcW w:w="144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color="auto"/>
                    </w:rPr>
                  </w:pPr>
                  <w:r>
                    <w:rPr>
                      <w:rFonts w:hint="default" w:ascii="Times New Roman" w:hAnsi="Times New Roman" w:eastAsia="宋体" w:cs="Times New Roman"/>
                      <w:b/>
                      <w:color w:val="auto"/>
                      <w:kern w:val="0"/>
                      <w:sz w:val="21"/>
                      <w:szCs w:val="21"/>
                      <w:u w:val="none" w:color="auto"/>
                      <w:lang w:eastAsia="zh-CN"/>
                    </w:rPr>
                    <w:t>功能，</w:t>
                  </w:r>
                  <w:r>
                    <w:rPr>
                      <w:rFonts w:hint="default" w:ascii="Times New Roman" w:hAnsi="Times New Roman" w:eastAsia="宋体" w:cs="Times New Roman"/>
                      <w:b/>
                      <w:color w:val="auto"/>
                      <w:kern w:val="0"/>
                      <w:sz w:val="21"/>
                      <w:szCs w:val="21"/>
                      <w:u w:val="none" w:color="auto"/>
                    </w:rPr>
                    <w:t>规模</w:t>
                  </w:r>
                </w:p>
              </w:tc>
              <w:tc>
                <w:tcPr>
                  <w:tcW w:w="110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color="auto"/>
                    </w:rPr>
                  </w:pPr>
                  <w:r>
                    <w:rPr>
                      <w:rFonts w:hint="default" w:ascii="Times New Roman" w:hAnsi="Times New Roman" w:eastAsia="宋体" w:cs="Times New Roman"/>
                      <w:b/>
                      <w:color w:val="auto"/>
                      <w:kern w:val="0"/>
                      <w:sz w:val="21"/>
                      <w:szCs w:val="21"/>
                      <w:u w:val="none" w:color="auto"/>
                    </w:rPr>
                    <w:t>环境功能区</w:t>
                  </w:r>
                </w:p>
              </w:tc>
              <w:tc>
                <w:tcPr>
                  <w:tcW w:w="128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color="auto"/>
                    </w:rPr>
                  </w:pPr>
                  <w:r>
                    <w:rPr>
                      <w:rFonts w:hint="default" w:ascii="Times New Roman" w:hAnsi="Times New Roman" w:eastAsia="宋体" w:cs="Times New Roman"/>
                      <w:b/>
                      <w:color w:val="auto"/>
                      <w:kern w:val="0"/>
                      <w:sz w:val="21"/>
                      <w:szCs w:val="21"/>
                      <w:u w:val="none" w:color="auto"/>
                    </w:rPr>
                    <w:t>相对方位、</w:t>
                  </w:r>
                  <w:r>
                    <w:rPr>
                      <w:rFonts w:hint="default" w:ascii="Times New Roman" w:hAnsi="Times New Roman" w:eastAsia="宋体" w:cs="Times New Roman"/>
                      <w:b/>
                      <w:color w:val="auto"/>
                      <w:kern w:val="0"/>
                      <w:sz w:val="21"/>
                      <w:szCs w:val="21"/>
                      <w:u w:val="none" w:color="auto"/>
                      <w:lang w:eastAsia="zh-CN"/>
                    </w:rPr>
                    <w:t>最近</w:t>
                  </w:r>
                  <w:r>
                    <w:rPr>
                      <w:rFonts w:hint="default" w:ascii="Times New Roman" w:hAnsi="Times New Roman" w:eastAsia="宋体" w:cs="Times New Roman"/>
                      <w:b/>
                      <w:color w:val="auto"/>
                      <w:kern w:val="0"/>
                      <w:sz w:val="21"/>
                      <w:szCs w:val="21"/>
                      <w:u w:val="none" w:color="auto"/>
                    </w:rP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07" w:type="pct"/>
                  <w:vMerge w:val="restar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地表水环境</w:t>
                  </w:r>
                </w:p>
              </w:tc>
              <w:tc>
                <w:tcPr>
                  <w:tcW w:w="75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lang w:eastAsia="zh-CN"/>
                    </w:rPr>
                    <w:t>湘江</w:t>
                  </w:r>
                </w:p>
              </w:tc>
              <w:tc>
                <w:tcPr>
                  <w:tcW w:w="144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sz w:val="21"/>
                      <w:szCs w:val="21"/>
                      <w:highlight w:val="none"/>
                    </w:rPr>
                    <w:t>大河，渔业用水区</w:t>
                  </w:r>
                </w:p>
              </w:tc>
              <w:tc>
                <w:tcPr>
                  <w:tcW w:w="1102" w:type="pct"/>
                  <w:vMerge w:val="restar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sz w:val="21"/>
                      <w:szCs w:val="21"/>
                      <w:highlight w:val="none"/>
                    </w:rPr>
                    <w:t>《地表水环境质量标准》（GB3838-2002）Ⅲ类</w:t>
                  </w:r>
                </w:p>
              </w:tc>
              <w:tc>
                <w:tcPr>
                  <w:tcW w:w="128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lang w:val="en-US" w:eastAsia="zh-CN"/>
                    </w:rPr>
                    <w:t>W</w:t>
                  </w:r>
                  <w:r>
                    <w:rPr>
                      <w:rFonts w:hint="default" w:ascii="Times New Roman" w:hAnsi="Times New Roman" w:eastAsia="宋体" w:cs="Times New Roman"/>
                      <w:color w:val="auto"/>
                      <w:kern w:val="0"/>
                      <w:sz w:val="21"/>
                      <w:szCs w:val="21"/>
                      <w:u w:val="none" w:color="auto"/>
                    </w:rPr>
                    <w:t>，</w:t>
                  </w:r>
                  <w:r>
                    <w:rPr>
                      <w:rFonts w:hint="default" w:ascii="Times New Roman" w:hAnsi="Times New Roman" w:eastAsia="宋体" w:cs="Times New Roman"/>
                      <w:color w:val="auto"/>
                      <w:kern w:val="0"/>
                      <w:sz w:val="21"/>
                      <w:szCs w:val="21"/>
                      <w:u w:val="none" w:color="auto"/>
                      <w:lang w:val="en-US" w:eastAsia="zh-CN"/>
                    </w:rPr>
                    <w:t>200</w:t>
                  </w:r>
                  <w:r>
                    <w:rPr>
                      <w:rFonts w:hint="default" w:ascii="Times New Roman" w:hAnsi="Times New Roman" w:eastAsia="宋体" w:cs="Times New Roman"/>
                      <w:color w:val="auto"/>
                      <w:kern w:val="0"/>
                      <w:sz w:val="21"/>
                      <w:szCs w:val="21"/>
                      <w:u w:val="none" w:color="auto"/>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07" w:type="pct"/>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rPr>
                  </w:pPr>
                </w:p>
              </w:tc>
              <w:tc>
                <w:tcPr>
                  <w:tcW w:w="75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lang w:eastAsia="zh-CN"/>
                    </w:rPr>
                    <w:t>南湖</w:t>
                  </w:r>
                </w:p>
              </w:tc>
              <w:tc>
                <w:tcPr>
                  <w:tcW w:w="144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sz w:val="21"/>
                      <w:szCs w:val="21"/>
                      <w:highlight w:val="none"/>
                    </w:rPr>
                    <w:t>内湖，景观娱乐用水</w:t>
                  </w:r>
                </w:p>
              </w:tc>
              <w:tc>
                <w:tcPr>
                  <w:tcW w:w="1102" w:type="pct"/>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rPr>
                  </w:pPr>
                </w:p>
              </w:tc>
              <w:tc>
                <w:tcPr>
                  <w:tcW w:w="128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lang w:val="en-US" w:eastAsia="zh-CN"/>
                    </w:rPr>
                    <w:t>NE</w:t>
                  </w:r>
                  <w:r>
                    <w:rPr>
                      <w:rFonts w:hint="default" w:ascii="Times New Roman" w:hAnsi="Times New Roman" w:eastAsia="宋体" w:cs="Times New Roman"/>
                      <w:color w:val="auto"/>
                      <w:kern w:val="0"/>
                      <w:sz w:val="21"/>
                      <w:szCs w:val="21"/>
                      <w:u w:val="none" w:color="auto"/>
                    </w:rPr>
                    <w:t>，</w:t>
                  </w:r>
                  <w:r>
                    <w:rPr>
                      <w:rFonts w:hint="default" w:ascii="Times New Roman" w:hAnsi="Times New Roman" w:eastAsia="宋体" w:cs="Times New Roman"/>
                      <w:color w:val="auto"/>
                      <w:kern w:val="0"/>
                      <w:sz w:val="21"/>
                      <w:szCs w:val="21"/>
                      <w:u w:val="none" w:color="auto"/>
                      <w:lang w:val="en-US" w:eastAsia="zh-CN"/>
                    </w:rPr>
                    <w:t>250</w:t>
                  </w:r>
                  <w:r>
                    <w:rPr>
                      <w:rFonts w:hint="default" w:ascii="Times New Roman" w:hAnsi="Times New Roman" w:eastAsia="宋体" w:cs="Times New Roman"/>
                      <w:color w:val="auto"/>
                      <w:kern w:val="0"/>
                      <w:sz w:val="21"/>
                      <w:szCs w:val="21"/>
                      <w:u w:val="none" w:color="auto"/>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07" w:type="pct"/>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rPr>
                  </w:pPr>
                </w:p>
              </w:tc>
              <w:tc>
                <w:tcPr>
                  <w:tcW w:w="75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lang w:eastAsia="zh-CN"/>
                    </w:rPr>
                    <w:t>龙船港</w:t>
                  </w:r>
                </w:p>
              </w:tc>
              <w:tc>
                <w:tcPr>
                  <w:tcW w:w="1441" w:type="pct"/>
                  <w:noWrap w:val="0"/>
                  <w:vAlign w:val="center"/>
                </w:tcPr>
                <w:p>
                  <w:pPr>
                    <w:pStyle w:val="103"/>
                    <w:adjustRightInd w:val="0"/>
                    <w:snapToGrid w:val="0"/>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sz w:val="21"/>
                      <w:szCs w:val="21"/>
                      <w:highlight w:val="none"/>
                    </w:rPr>
                    <w:t>内湖，农业用水</w:t>
                  </w:r>
                </w:p>
              </w:tc>
              <w:tc>
                <w:tcPr>
                  <w:tcW w:w="1102" w:type="pct"/>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28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S</w:t>
                  </w:r>
                  <w:r>
                    <w:rPr>
                      <w:rFonts w:hint="default" w:ascii="Times New Roman" w:hAnsi="Times New Roman" w:eastAsia="宋体" w:cs="Times New Roman"/>
                      <w:color w:val="auto"/>
                      <w:kern w:val="0"/>
                      <w:sz w:val="21"/>
                      <w:szCs w:val="21"/>
                      <w:u w:val="none" w:color="auto"/>
                      <w:lang w:eastAsia="zh-CN"/>
                    </w:rPr>
                    <w:t>，</w:t>
                  </w:r>
                  <w:r>
                    <w:rPr>
                      <w:rFonts w:hint="default" w:ascii="Times New Roman" w:hAnsi="Times New Roman" w:eastAsia="宋体" w:cs="Times New Roman"/>
                      <w:color w:val="auto"/>
                      <w:kern w:val="0"/>
                      <w:sz w:val="21"/>
                      <w:szCs w:val="21"/>
                      <w:u w:val="none" w:color="auto"/>
                      <w:lang w:val="en-US" w:eastAsia="zh-CN"/>
                    </w:rPr>
                    <w:t>120m</w:t>
                  </w:r>
                </w:p>
              </w:tc>
            </w:tr>
          </w:tbl>
          <w:p>
            <w:pPr>
              <w:pStyle w:val="102"/>
              <w:numPr>
                <w:ilvl w:val="2"/>
                <w:numId w:val="0"/>
              </w:numPr>
              <w:tabs>
                <w:tab w:val="left" w:pos="0"/>
              </w:tabs>
              <w:bidi w:val="0"/>
              <w:ind w:leftChars="0" w:firstLine="422" w:firstLineChars="200"/>
              <w:rPr>
                <w:rFonts w:hint="default" w:ascii="Times New Roman" w:hAnsi="Times New Roman" w:eastAsia="宋体" w:cs="Times New Roman"/>
              </w:rPr>
            </w:pPr>
            <w:r>
              <w:rPr>
                <w:rFonts w:hint="eastAsia" w:ascii="Times New Roman" w:hAnsi="Times New Roman" w:eastAsia="宋体" w:cs="Times New Roman"/>
                <w:lang w:val="en-US" w:eastAsia="zh-CN"/>
              </w:rPr>
              <w:t>4、</w:t>
            </w:r>
            <w:r>
              <w:rPr>
                <w:rFonts w:hint="default" w:ascii="Times New Roman" w:hAnsi="Times New Roman" w:eastAsia="宋体" w:cs="Times New Roman"/>
              </w:rPr>
              <w:t>地下水环境保护目标</w:t>
            </w:r>
          </w:p>
          <w:p>
            <w:pPr>
              <w:spacing w:line="360" w:lineRule="auto"/>
              <w:ind w:firstLine="420" w:firstLineChars="200"/>
              <w:rPr>
                <w:rFonts w:hint="default" w:ascii="Times New Roman" w:hAnsi="Times New Roman" w:eastAsia="宋体" w:cs="Times New Roman"/>
              </w:rPr>
            </w:pPr>
            <w:r>
              <w:rPr>
                <w:rFonts w:hint="default" w:ascii="Times New Roman" w:hAnsi="Times New Roman" w:eastAsia="宋体" w:cs="Times New Roman"/>
              </w:rPr>
              <w:t>厂界外500米范围内无地下水集中式饮用水水源和热水、矿泉水、温泉等特殊地下水资源。</w:t>
            </w:r>
          </w:p>
          <w:p>
            <w:pPr>
              <w:pStyle w:val="102"/>
              <w:numPr>
                <w:ilvl w:val="2"/>
                <w:numId w:val="0"/>
              </w:numPr>
              <w:tabs>
                <w:tab w:val="left" w:pos="0"/>
              </w:tabs>
              <w:bidi w:val="0"/>
              <w:ind w:leftChars="0" w:firstLine="422" w:firstLineChars="200"/>
              <w:rPr>
                <w:rFonts w:hint="default" w:ascii="Times New Roman" w:hAnsi="Times New Roman" w:eastAsia="宋体" w:cs="Times New Roman"/>
              </w:rPr>
            </w:pPr>
            <w:r>
              <w:rPr>
                <w:rFonts w:hint="eastAsia" w:ascii="Times New Roman" w:hAnsi="Times New Roman" w:eastAsia="宋体" w:cs="Times New Roman"/>
                <w:lang w:val="en-US" w:eastAsia="zh-CN"/>
              </w:rPr>
              <w:t>5、</w:t>
            </w:r>
            <w:r>
              <w:rPr>
                <w:rFonts w:hint="default" w:ascii="Times New Roman" w:hAnsi="Times New Roman" w:eastAsia="宋体" w:cs="Times New Roman"/>
                <w:lang w:eastAsia="zh-CN"/>
              </w:rPr>
              <w:t>生态</w:t>
            </w:r>
            <w:r>
              <w:rPr>
                <w:rFonts w:hint="default" w:ascii="Times New Roman" w:hAnsi="Times New Roman" w:eastAsia="宋体" w:cs="Times New Roman"/>
              </w:rPr>
              <w:t>环境保护目标</w:t>
            </w:r>
          </w:p>
          <w:p>
            <w:pPr>
              <w:spacing w:line="360" w:lineRule="auto"/>
              <w:ind w:firstLine="420" w:firstLineChars="200"/>
              <w:rPr>
                <w:rFonts w:hint="default" w:ascii="Times New Roman" w:hAnsi="Times New Roman" w:eastAsia="宋体" w:cs="Times New Roman"/>
                <w:color w:val="0000FF"/>
                <w:kern w:val="0"/>
                <w:szCs w:val="21"/>
                <w:u w:val="none" w:color="auto"/>
              </w:rPr>
            </w:pPr>
            <w:r>
              <w:rPr>
                <w:rFonts w:hint="default" w:ascii="Times New Roman" w:hAnsi="Times New Roman" w:eastAsia="宋体" w:cs="Times New Roman"/>
                <w:lang w:eastAsia="zh-CN"/>
              </w:rPr>
              <w:t>根据《建设项目环境影响报告表编制技术指南（污染影响类）（试行）》，“产业园区外建设项目新增用地且用地范围内含有生态环境保护目标时，应进行生态现状调查。”本项目用地范围内仅分布有常见耕地、园地、林地等，不涉及自然保护区、风景名胜区、基本农田保护区、生态红线等生态环境保护目标</w:t>
            </w:r>
            <w:r>
              <w:rPr>
                <w:rFonts w:hint="default" w:ascii="Times New Roman" w:hAnsi="Times New Roman" w:eastAsia="宋体" w:cs="Times New Roman"/>
              </w:rPr>
              <w:t>。</w:t>
            </w:r>
            <w:r>
              <w:rPr>
                <w:rFonts w:hint="default" w:ascii="Times New Roman" w:hAnsi="Times New Roman" w:eastAsia="宋体" w:cs="Times New Roman"/>
                <w:lang w:val="en-US" w:eastAsia="zh-CN"/>
              </w:rPr>
              <w:t xml:space="preserve"> </w:t>
            </w:r>
            <w:bookmarkEnd w:id="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29" w:type="dxa"/>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污染</w:t>
            </w:r>
          </w:p>
          <w:p>
            <w:pPr>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物排</w:t>
            </w:r>
          </w:p>
          <w:p>
            <w:pPr>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放控</w:t>
            </w:r>
          </w:p>
          <w:p>
            <w:pPr>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制标</w:t>
            </w:r>
          </w:p>
          <w:p>
            <w:pPr>
              <w:adjustRightInd w:val="0"/>
              <w:snapToGrid w:val="0"/>
              <w:jc w:val="center"/>
              <w:rPr>
                <w:rFonts w:hint="default" w:ascii="Times New Roman" w:hAnsi="Times New Roman" w:eastAsia="宋体" w:cs="Times New Roman"/>
                <w:color w:val="0000FF"/>
                <w:kern w:val="0"/>
                <w:szCs w:val="21"/>
                <w:u w:val="none" w:color="auto"/>
              </w:rPr>
            </w:pPr>
            <w:r>
              <w:rPr>
                <w:rFonts w:hint="default" w:ascii="Times New Roman" w:hAnsi="Times New Roman" w:eastAsia="宋体" w:cs="Times New Roman"/>
                <w:color w:val="auto"/>
                <w:kern w:val="0"/>
                <w:szCs w:val="21"/>
                <w:u w:val="none" w:color="auto"/>
              </w:rPr>
              <w:t>准</w:t>
            </w:r>
          </w:p>
        </w:tc>
        <w:tc>
          <w:tcPr>
            <w:tcW w:w="8332" w:type="dxa"/>
            <w:noWrap w:val="0"/>
            <w:vAlign w:val="center"/>
          </w:tcPr>
          <w:p>
            <w:pPr>
              <w:spacing w:line="360" w:lineRule="auto"/>
              <w:ind w:firstLine="422" w:firstLineChars="200"/>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1、废气</w:t>
            </w:r>
          </w:p>
          <w:p>
            <w:pPr>
              <w:pStyle w:val="92"/>
              <w:spacing w:line="360" w:lineRule="auto"/>
              <w:ind w:firstLine="480"/>
              <w:rPr>
                <w:rFonts w:hint="default" w:ascii="Times New Roman" w:hAnsi="Times New Roman" w:eastAsia="宋体" w:cs="Times New Roman"/>
                <w:color w:val="auto"/>
                <w:spacing w:val="-3"/>
                <w:kern w:val="2"/>
                <w:sz w:val="21"/>
                <w:szCs w:val="24"/>
                <w:highlight w:val="none"/>
                <w:u w:val="none" w:color="auto"/>
                <w:lang w:val="en-US" w:eastAsia="zh-CN" w:bidi="ar-SA"/>
              </w:rPr>
            </w:pPr>
            <w:r>
              <w:rPr>
                <w:rFonts w:hint="default" w:ascii="Times New Roman" w:hAnsi="Times New Roman" w:eastAsia="宋体" w:cs="Times New Roman"/>
                <w:color w:val="auto"/>
                <w:spacing w:val="-3"/>
                <w:kern w:val="2"/>
                <w:sz w:val="21"/>
                <w:szCs w:val="24"/>
                <w:highlight w:val="none"/>
                <w:u w:val="none" w:color="auto"/>
                <w:lang w:val="en-US" w:eastAsia="zh-CN" w:bidi="ar-SA"/>
              </w:rPr>
              <w:t>施工期施工扬尘执行《大气污染物综合排放标准》（GB16297-1996）中无组织排放监控浓度限值，详见下表：</w:t>
            </w:r>
          </w:p>
          <w:p>
            <w:pPr>
              <w:pStyle w:val="105"/>
              <w:numPr>
                <w:ilvl w:val="0"/>
                <w:numId w:val="0"/>
              </w:numPr>
              <w:spacing w:line="360" w:lineRule="auto"/>
              <w:rPr>
                <w:rFonts w:hint="default" w:ascii="Times New Roman" w:hAnsi="Times New Roman" w:eastAsia="宋体" w:cs="Times New Roman"/>
                <w:highlight w:val="none"/>
              </w:rPr>
            </w:pPr>
            <w:r>
              <w:rPr>
                <w:rFonts w:hint="default" w:ascii="Times New Roman" w:hAnsi="Times New Roman" w:eastAsia="宋体" w:cs="Times New Roman"/>
                <w:highlight w:val="none"/>
              </w:rPr>
              <w:t>表</w:t>
            </w:r>
            <w:r>
              <w:rPr>
                <w:rFonts w:hint="default" w:ascii="Times New Roman" w:hAnsi="Times New Roman" w:eastAsia="宋体" w:cs="Times New Roman"/>
                <w:highlight w:val="none"/>
                <w:lang w:val="en-US" w:eastAsia="zh-CN"/>
              </w:rPr>
              <w:t>3</w:t>
            </w:r>
            <w:r>
              <w:rPr>
                <w:rFonts w:hint="eastAsia" w:ascii="Times New Roman" w:hAnsi="Times New Roman" w:eastAsia="宋体" w:cs="Times New Roman"/>
                <w:highlight w:val="none"/>
                <w:lang w:val="en-US" w:eastAsia="zh-CN"/>
              </w:rPr>
              <w:t>-9</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lang w:eastAsia="zh-CN"/>
              </w:rPr>
              <w:t>施工期</w:t>
            </w:r>
            <w:r>
              <w:rPr>
                <w:rFonts w:hint="default" w:ascii="Times New Roman" w:hAnsi="Times New Roman" w:eastAsia="宋体" w:cs="Times New Roman"/>
                <w:highlight w:val="none"/>
              </w:rPr>
              <w:t>颗粒物无组织排放限值</w:t>
            </w:r>
          </w:p>
          <w:tbl>
            <w:tblPr>
              <w:tblStyle w:val="10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3627"/>
              <w:gridCol w:w="2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077" w:type="dxa"/>
                  <w:vMerge w:val="restart"/>
                  <w:noWrap w:val="0"/>
                  <w:vAlign w:val="center"/>
                </w:tcPr>
                <w:p>
                  <w:pPr>
                    <w:pStyle w:val="103"/>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污染物</w:t>
                  </w:r>
                </w:p>
              </w:tc>
              <w:tc>
                <w:tcPr>
                  <w:tcW w:w="4396" w:type="dxa"/>
                  <w:gridSpan w:val="2"/>
                  <w:noWrap w:val="0"/>
                  <w:vAlign w:val="center"/>
                </w:tcPr>
                <w:p>
                  <w:pPr>
                    <w:pStyle w:val="103"/>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无组织排放监控点浓度限值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077" w:type="dxa"/>
                  <w:vMerge w:val="continue"/>
                  <w:noWrap w:val="0"/>
                  <w:vAlign w:val="center"/>
                </w:tcPr>
                <w:p>
                  <w:pPr>
                    <w:pStyle w:val="103"/>
                    <w:rPr>
                      <w:rFonts w:hint="default" w:ascii="Times New Roman" w:hAnsi="Times New Roman" w:eastAsia="宋体" w:cs="Times New Roman"/>
                      <w:b w:val="0"/>
                      <w:bCs w:val="0"/>
                      <w:highlight w:val="none"/>
                    </w:rPr>
                  </w:pPr>
                </w:p>
              </w:tc>
              <w:tc>
                <w:tcPr>
                  <w:tcW w:w="2449" w:type="dxa"/>
                  <w:noWrap w:val="0"/>
                  <w:vAlign w:val="center"/>
                </w:tcPr>
                <w:p>
                  <w:pPr>
                    <w:pStyle w:val="103"/>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监控点</w:t>
                  </w:r>
                </w:p>
              </w:tc>
              <w:tc>
                <w:tcPr>
                  <w:tcW w:w="1947" w:type="dxa"/>
                  <w:noWrap w:val="0"/>
                  <w:vAlign w:val="center"/>
                </w:tcPr>
                <w:p>
                  <w:pPr>
                    <w:pStyle w:val="103"/>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浓度mg/m³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077" w:type="dxa"/>
                  <w:noWrap w:val="0"/>
                  <w:vAlign w:val="center"/>
                </w:tcPr>
                <w:p>
                  <w:pPr>
                    <w:pStyle w:val="103"/>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TSP</w:t>
                  </w:r>
                </w:p>
              </w:tc>
              <w:tc>
                <w:tcPr>
                  <w:tcW w:w="2449" w:type="dxa"/>
                  <w:noWrap w:val="0"/>
                  <w:vAlign w:val="center"/>
                </w:tcPr>
                <w:p>
                  <w:pPr>
                    <w:pStyle w:val="103"/>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周界外浓度最高点</w:t>
                  </w:r>
                </w:p>
              </w:tc>
              <w:tc>
                <w:tcPr>
                  <w:tcW w:w="1947" w:type="dxa"/>
                  <w:noWrap w:val="0"/>
                  <w:vAlign w:val="center"/>
                </w:tcPr>
                <w:p>
                  <w:pPr>
                    <w:pStyle w:val="103"/>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1.0</w:t>
                  </w:r>
                </w:p>
              </w:tc>
            </w:tr>
          </w:tbl>
          <w:p>
            <w:pPr>
              <w:adjustRightInd w:val="0"/>
              <w:snapToGrid w:val="0"/>
              <w:spacing w:line="360" w:lineRule="auto"/>
              <w:ind w:firstLine="408" w:firstLineChars="200"/>
              <w:jc w:val="both"/>
              <w:rPr>
                <w:rFonts w:hint="default" w:ascii="Times New Roman" w:hAnsi="Times New Roman" w:eastAsia="宋体" w:cs="Times New Roman"/>
                <w:color w:val="auto"/>
                <w:spacing w:val="-3"/>
                <w:highlight w:val="none"/>
                <w:u w:val="none" w:color="auto"/>
              </w:rPr>
            </w:pPr>
            <w:r>
              <w:rPr>
                <w:rFonts w:hint="default" w:ascii="Times New Roman" w:hAnsi="Times New Roman" w:eastAsia="宋体" w:cs="Times New Roman"/>
                <w:color w:val="auto"/>
                <w:spacing w:val="-3"/>
                <w:highlight w:val="none"/>
                <w:u w:val="none" w:color="auto"/>
                <w:lang w:val="en-US" w:eastAsia="zh-CN"/>
              </w:rPr>
              <w:t>煤炭运输、装卸及储存产生的无组织粉尘废气执行《煤炭工业污染物排放标准》（GB20426-2006）中表5 规定的限值。</w:t>
            </w:r>
            <w:r>
              <w:rPr>
                <w:rFonts w:hint="default" w:ascii="Times New Roman" w:hAnsi="Times New Roman" w:eastAsia="宋体" w:cs="Times New Roman"/>
                <w:color w:val="auto"/>
                <w:spacing w:val="-3"/>
                <w:highlight w:val="none"/>
                <w:u w:val="none" w:color="auto"/>
              </w:rPr>
              <w:t>具体标准限值详见下表：</w:t>
            </w:r>
          </w:p>
          <w:p>
            <w:pPr>
              <w:pStyle w:val="38"/>
              <w:spacing w:before="0" w:after="0" w:line="240" w:lineRule="auto"/>
              <w:rPr>
                <w:rFonts w:hint="default" w:ascii="Times New Roman" w:hAnsi="Times New Roman" w:eastAsia="宋体" w:cs="Times New Roman"/>
                <w:b/>
                <w:bCs/>
                <w:color w:val="auto"/>
                <w:szCs w:val="24"/>
                <w:highlight w:val="none"/>
                <w:u w:val="none" w:color="auto"/>
                <w:lang w:eastAsia="zh-CN"/>
              </w:rPr>
            </w:pPr>
            <w:r>
              <w:rPr>
                <w:rFonts w:hint="default" w:ascii="Times New Roman" w:hAnsi="Times New Roman" w:eastAsia="宋体" w:cs="Times New Roman"/>
                <w:b/>
                <w:bCs/>
                <w:color w:val="auto"/>
                <w:szCs w:val="24"/>
                <w:highlight w:val="none"/>
                <w:u w:val="none" w:color="auto"/>
              </w:rPr>
              <w:t>表3-</w:t>
            </w:r>
            <w:r>
              <w:rPr>
                <w:rFonts w:hint="eastAsia" w:ascii="Times New Roman" w:hAnsi="Times New Roman" w:eastAsia="宋体" w:cs="Times New Roman"/>
                <w:b/>
                <w:bCs/>
                <w:color w:val="auto"/>
                <w:szCs w:val="24"/>
                <w:highlight w:val="none"/>
                <w:u w:val="none" w:color="auto"/>
                <w:lang w:val="en-US" w:eastAsia="zh-CN"/>
              </w:rPr>
              <w:t>10</w:t>
            </w:r>
            <w:r>
              <w:rPr>
                <w:rFonts w:hint="default" w:ascii="Times New Roman" w:hAnsi="Times New Roman" w:eastAsia="宋体" w:cs="Times New Roman"/>
                <w:b/>
                <w:bCs/>
                <w:color w:val="auto"/>
                <w:szCs w:val="24"/>
                <w:highlight w:val="none"/>
                <w:u w:val="none" w:color="auto"/>
              </w:rPr>
              <w:t xml:space="preserve"> </w:t>
            </w:r>
            <w:r>
              <w:rPr>
                <w:rFonts w:hint="default" w:ascii="Times New Roman" w:hAnsi="Times New Roman" w:eastAsia="宋体" w:cs="Times New Roman"/>
                <w:b/>
                <w:bCs/>
                <w:color w:val="auto"/>
                <w:szCs w:val="24"/>
                <w:highlight w:val="none"/>
                <w:u w:val="none" w:color="auto"/>
                <w:lang w:eastAsia="zh-CN"/>
              </w:rPr>
              <w:t>煤炭工业无组织排放限值</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9"/>
              <w:gridCol w:w="1440"/>
              <w:gridCol w:w="2475"/>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7" w:type="pct"/>
                  <w:vMerge w:val="restart"/>
                  <w:noWrap w:val="0"/>
                  <w:vAlign w:val="center"/>
                </w:tcPr>
                <w:p>
                  <w:pPr>
                    <w:jc w:val="center"/>
                    <w:rPr>
                      <w:rFonts w:hint="default" w:ascii="Times New Roman" w:hAnsi="Times New Roman" w:eastAsia="宋体" w:cs="Times New Roman"/>
                      <w:color w:val="auto"/>
                      <w:szCs w:val="21"/>
                      <w:highlight w:val="none"/>
                      <w:u w:val="none" w:color="auto"/>
                      <w:lang w:eastAsia="zh-CN"/>
                    </w:rPr>
                  </w:pPr>
                  <w:r>
                    <w:rPr>
                      <w:rFonts w:hint="default" w:ascii="Times New Roman" w:hAnsi="Times New Roman" w:eastAsia="宋体" w:cs="Times New Roman"/>
                      <w:color w:val="auto"/>
                      <w:szCs w:val="21"/>
                      <w:highlight w:val="none"/>
                      <w:u w:val="none" w:color="auto"/>
                      <w:lang w:eastAsia="zh-CN"/>
                    </w:rPr>
                    <w:t>污染物</w:t>
                  </w:r>
                </w:p>
              </w:tc>
              <w:tc>
                <w:tcPr>
                  <w:tcW w:w="888" w:type="pct"/>
                  <w:vMerge w:val="restart"/>
                  <w:noWrap w:val="0"/>
                  <w:vAlign w:val="center"/>
                </w:tcPr>
                <w:p>
                  <w:pPr>
                    <w:jc w:val="center"/>
                    <w:rPr>
                      <w:rFonts w:hint="default" w:ascii="Times New Roman" w:hAnsi="Times New Roman" w:eastAsia="宋体" w:cs="Times New Roman"/>
                      <w:color w:val="auto"/>
                      <w:szCs w:val="21"/>
                      <w:highlight w:val="none"/>
                      <w:u w:val="none" w:color="auto"/>
                      <w:lang w:eastAsia="zh-CN"/>
                    </w:rPr>
                  </w:pPr>
                  <w:r>
                    <w:rPr>
                      <w:rFonts w:hint="default" w:ascii="Times New Roman" w:hAnsi="Times New Roman" w:eastAsia="宋体" w:cs="Times New Roman"/>
                      <w:color w:val="auto"/>
                      <w:szCs w:val="21"/>
                      <w:highlight w:val="none"/>
                      <w:u w:val="none" w:color="auto"/>
                      <w:lang w:eastAsia="zh-CN"/>
                    </w:rPr>
                    <w:t>监控点</w:t>
                  </w:r>
                </w:p>
              </w:tc>
              <w:tc>
                <w:tcPr>
                  <w:tcW w:w="3383" w:type="pct"/>
                  <w:gridSpan w:val="2"/>
                  <w:noWrap w:val="0"/>
                  <w:vAlign w:val="center"/>
                </w:tcPr>
                <w:p>
                  <w:pPr>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color w:val="auto"/>
                      <w:szCs w:val="21"/>
                      <w:highlight w:val="none"/>
                      <w:u w:val="none" w:color="auto"/>
                      <w:lang w:eastAsia="zh-CN"/>
                    </w:rPr>
                    <w:t>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7" w:type="pct"/>
                  <w:vMerge w:val="continue"/>
                  <w:noWrap w:val="0"/>
                  <w:vAlign w:val="center"/>
                </w:tcPr>
                <w:p>
                  <w:pPr>
                    <w:jc w:val="center"/>
                    <w:rPr>
                      <w:rFonts w:hint="default" w:ascii="Times New Roman" w:hAnsi="Times New Roman" w:eastAsia="宋体" w:cs="Times New Roman"/>
                      <w:color w:val="auto"/>
                      <w:szCs w:val="21"/>
                      <w:highlight w:val="none"/>
                      <w:u w:val="none" w:color="auto"/>
                      <w:lang w:eastAsia="zh-CN"/>
                    </w:rPr>
                  </w:pPr>
                </w:p>
              </w:tc>
              <w:tc>
                <w:tcPr>
                  <w:tcW w:w="888" w:type="pct"/>
                  <w:vMerge w:val="continue"/>
                  <w:noWrap w:val="0"/>
                  <w:vAlign w:val="center"/>
                </w:tcPr>
                <w:p>
                  <w:pPr>
                    <w:jc w:val="center"/>
                    <w:rPr>
                      <w:rFonts w:hint="default" w:ascii="Times New Roman" w:hAnsi="Times New Roman" w:eastAsia="宋体" w:cs="Times New Roman"/>
                      <w:color w:val="auto"/>
                      <w:szCs w:val="21"/>
                      <w:highlight w:val="none"/>
                      <w:u w:val="none" w:color="auto"/>
                      <w:lang w:eastAsia="zh-CN"/>
                    </w:rPr>
                  </w:pPr>
                </w:p>
              </w:tc>
              <w:tc>
                <w:tcPr>
                  <w:tcW w:w="1527" w:type="pct"/>
                  <w:noWrap w:val="0"/>
                  <w:vAlign w:val="center"/>
                </w:tcPr>
                <w:p>
                  <w:pPr>
                    <w:jc w:val="center"/>
                    <w:rPr>
                      <w:rFonts w:hint="default" w:ascii="Times New Roman" w:hAnsi="Times New Roman" w:eastAsia="宋体" w:cs="Times New Roman"/>
                      <w:color w:val="auto"/>
                      <w:szCs w:val="21"/>
                      <w:highlight w:val="none"/>
                      <w:u w:val="none" w:color="auto"/>
                      <w:lang w:eastAsia="zh-CN"/>
                    </w:rPr>
                  </w:pPr>
                  <w:r>
                    <w:rPr>
                      <w:rFonts w:hint="default" w:ascii="Times New Roman" w:hAnsi="Times New Roman" w:eastAsia="宋体" w:cs="Times New Roman"/>
                      <w:color w:val="auto"/>
                      <w:szCs w:val="21"/>
                      <w:highlight w:val="none"/>
                      <w:u w:val="none" w:color="auto"/>
                      <w:lang w:eastAsia="zh-CN"/>
                    </w:rPr>
                    <w:t>煤炭工业所属装卸场所</w:t>
                  </w:r>
                </w:p>
              </w:tc>
              <w:tc>
                <w:tcPr>
                  <w:tcW w:w="1856" w:type="pct"/>
                  <w:noWrap w:val="0"/>
                  <w:vAlign w:val="center"/>
                </w:tcPr>
                <w:p>
                  <w:pPr>
                    <w:jc w:val="center"/>
                    <w:rPr>
                      <w:rFonts w:hint="default" w:ascii="Times New Roman" w:hAnsi="Times New Roman" w:eastAsia="宋体" w:cs="Times New Roman"/>
                      <w:color w:val="auto"/>
                      <w:szCs w:val="21"/>
                      <w:highlight w:val="none"/>
                      <w:u w:val="none" w:color="auto"/>
                      <w:lang w:eastAsia="zh-CN"/>
                    </w:rPr>
                  </w:pPr>
                  <w:r>
                    <w:rPr>
                      <w:rFonts w:hint="default" w:ascii="Times New Roman" w:hAnsi="Times New Roman" w:eastAsia="宋体" w:cs="Times New Roman"/>
                      <w:color w:val="auto"/>
                      <w:szCs w:val="21"/>
                      <w:highlight w:val="none"/>
                      <w:u w:val="none" w:color="auto"/>
                      <w:lang w:eastAsia="zh-CN"/>
                    </w:rPr>
                    <w:t>煤炭贮存场所、煤矸石堆置场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7" w:type="pct"/>
                  <w:vMerge w:val="continue"/>
                  <w:noWrap w:val="0"/>
                  <w:vAlign w:val="center"/>
                </w:tcPr>
                <w:p>
                  <w:pPr>
                    <w:jc w:val="center"/>
                    <w:rPr>
                      <w:rFonts w:hint="default" w:ascii="Times New Roman" w:hAnsi="Times New Roman" w:eastAsia="宋体" w:cs="Times New Roman"/>
                      <w:color w:val="auto"/>
                      <w:szCs w:val="21"/>
                      <w:highlight w:val="none"/>
                      <w:u w:val="none" w:color="auto"/>
                      <w:lang w:eastAsia="zh-CN"/>
                    </w:rPr>
                  </w:pPr>
                </w:p>
              </w:tc>
              <w:tc>
                <w:tcPr>
                  <w:tcW w:w="888" w:type="pct"/>
                  <w:vMerge w:val="continue"/>
                  <w:noWrap w:val="0"/>
                  <w:vAlign w:val="center"/>
                </w:tcPr>
                <w:p>
                  <w:pPr>
                    <w:jc w:val="center"/>
                    <w:rPr>
                      <w:rFonts w:hint="default" w:ascii="Times New Roman" w:hAnsi="Times New Roman" w:eastAsia="宋体" w:cs="Times New Roman"/>
                      <w:color w:val="auto"/>
                      <w:szCs w:val="21"/>
                      <w:highlight w:val="none"/>
                      <w:u w:val="none" w:color="auto"/>
                    </w:rPr>
                  </w:pPr>
                </w:p>
              </w:tc>
              <w:tc>
                <w:tcPr>
                  <w:tcW w:w="3383" w:type="pct"/>
                  <w:gridSpan w:val="2"/>
                  <w:noWrap w:val="0"/>
                  <w:vAlign w:val="center"/>
                </w:tcPr>
                <w:p>
                  <w:pPr>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color w:val="auto"/>
                      <w:szCs w:val="21"/>
                      <w:highlight w:val="none"/>
                      <w:u w:val="none" w:color="auto"/>
                      <w:lang w:eastAsia="zh-CN"/>
                    </w:rPr>
                    <w:t>无组织排放限值（</w:t>
                  </w:r>
                  <w:r>
                    <w:rPr>
                      <w:rFonts w:hint="default" w:ascii="Times New Roman" w:hAnsi="Times New Roman" w:eastAsia="宋体" w:cs="Times New Roman"/>
                      <w:color w:val="auto"/>
                      <w:szCs w:val="21"/>
                      <w:highlight w:val="none"/>
                      <w:u w:val="none" w:color="auto"/>
                      <w:lang w:val="en-US" w:eastAsia="zh-CN"/>
                    </w:rPr>
                    <w:t>mg/m</w:t>
                  </w:r>
                  <w:r>
                    <w:rPr>
                      <w:rFonts w:hint="default" w:ascii="Times New Roman" w:hAnsi="Times New Roman" w:eastAsia="宋体" w:cs="Times New Roman"/>
                      <w:color w:val="auto"/>
                      <w:szCs w:val="21"/>
                      <w:highlight w:val="none"/>
                      <w:u w:val="none" w:color="auto"/>
                      <w:vertAlign w:val="superscript"/>
                      <w:lang w:val="en-US" w:eastAsia="zh-CN"/>
                    </w:rPr>
                    <w:t>3</w:t>
                  </w:r>
                  <w:r>
                    <w:rPr>
                      <w:rFonts w:hint="default" w:ascii="Times New Roman" w:hAnsi="Times New Roman" w:eastAsia="宋体" w:cs="Times New Roman"/>
                      <w:color w:val="auto"/>
                      <w:szCs w:val="21"/>
                      <w:highlight w:val="none"/>
                      <w:u w:val="none" w:color="auto"/>
                      <w:lang w:eastAsia="zh-CN"/>
                    </w:rPr>
                    <w:t>）（监控点与参考点浓度差值）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7" w:type="pct"/>
                  <w:noWrap w:val="0"/>
                  <w:vAlign w:val="center"/>
                </w:tcPr>
                <w:p>
                  <w:pPr>
                    <w:jc w:val="center"/>
                    <w:rPr>
                      <w:rFonts w:hint="default" w:ascii="Times New Roman" w:hAnsi="Times New Roman" w:eastAsia="宋体" w:cs="Times New Roman"/>
                      <w:color w:val="auto"/>
                      <w:szCs w:val="21"/>
                      <w:highlight w:val="none"/>
                      <w:u w:val="none" w:color="auto"/>
                      <w:lang w:eastAsia="zh-CN"/>
                    </w:rPr>
                  </w:pPr>
                  <w:r>
                    <w:rPr>
                      <w:rFonts w:hint="default" w:ascii="Times New Roman" w:hAnsi="Times New Roman" w:eastAsia="宋体" w:cs="Times New Roman"/>
                      <w:color w:val="auto"/>
                      <w:szCs w:val="21"/>
                      <w:highlight w:val="none"/>
                      <w:u w:val="none" w:color="auto"/>
                      <w:lang w:eastAsia="zh-CN"/>
                    </w:rPr>
                    <w:t>颗粒物</w:t>
                  </w:r>
                </w:p>
              </w:tc>
              <w:tc>
                <w:tcPr>
                  <w:tcW w:w="888" w:type="pct"/>
                  <w:noWrap w:val="0"/>
                  <w:vAlign w:val="center"/>
                </w:tcPr>
                <w:p>
                  <w:pPr>
                    <w:jc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color w:val="auto"/>
                      <w:szCs w:val="21"/>
                      <w:highlight w:val="none"/>
                      <w:u w:val="none" w:color="auto"/>
                      <w:lang w:eastAsia="zh-CN"/>
                    </w:rPr>
                    <w:t>周界外浓度最高点</w:t>
                  </w:r>
                  <w:r>
                    <w:rPr>
                      <w:rFonts w:hint="default" w:ascii="Times New Roman" w:hAnsi="Times New Roman" w:eastAsia="宋体" w:cs="Times New Roman"/>
                      <w:color w:val="auto"/>
                      <w:szCs w:val="21"/>
                      <w:highlight w:val="none"/>
                      <w:u w:val="none" w:color="auto"/>
                      <w:lang w:val="en-US" w:eastAsia="zh-CN"/>
                    </w:rPr>
                    <w:t>*</w:t>
                  </w:r>
                </w:p>
              </w:tc>
              <w:tc>
                <w:tcPr>
                  <w:tcW w:w="1527" w:type="pct"/>
                  <w:noWrap w:val="0"/>
                  <w:vAlign w:val="center"/>
                </w:tcPr>
                <w:p>
                  <w:pPr>
                    <w:jc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color w:val="auto"/>
                      <w:szCs w:val="21"/>
                      <w:highlight w:val="none"/>
                      <w:u w:val="none" w:color="auto"/>
                      <w:lang w:val="en-US" w:eastAsia="zh-CN"/>
                    </w:rPr>
                    <w:t>1.0</w:t>
                  </w:r>
                </w:p>
              </w:tc>
              <w:tc>
                <w:tcPr>
                  <w:tcW w:w="1856" w:type="pct"/>
                  <w:noWrap w:val="0"/>
                  <w:vAlign w:val="center"/>
                </w:tcPr>
                <w:p>
                  <w:pPr>
                    <w:jc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color w:val="auto"/>
                      <w:szCs w:val="21"/>
                      <w:highlight w:val="none"/>
                      <w:u w:val="none" w:color="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pPr>
                    <w:jc w:val="both"/>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color w:val="auto"/>
                      <w:szCs w:val="21"/>
                      <w:highlight w:val="none"/>
                      <w:u w:val="none" w:color="auto"/>
                      <w:lang w:val="en-US" w:eastAsia="zh-CN"/>
                    </w:rPr>
                    <w:t>*注：周界外浓度最高点一般应设置于无组织排放源下风向的单位周界外10m范围内，若预计无组织排放的最大落地浓度点越出10m范围，可将监控点移至该预计浓度最高点。</w:t>
                  </w:r>
                </w:p>
              </w:tc>
            </w:tr>
          </w:tbl>
          <w:p>
            <w:pPr>
              <w:pStyle w:val="11"/>
              <w:spacing w:after="0" w:line="360" w:lineRule="auto"/>
              <w:ind w:left="0" w:leftChars="0" w:firstLine="422" w:firstLineChars="200"/>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2、废水</w:t>
            </w:r>
          </w:p>
          <w:p>
            <w:pPr>
              <w:adjustRightInd w:val="0"/>
              <w:snapToGrid w:val="0"/>
              <w:spacing w:line="360" w:lineRule="auto"/>
              <w:ind w:firstLine="408" w:firstLineChars="200"/>
              <w:jc w:val="both"/>
              <w:rPr>
                <w:rFonts w:hint="default" w:ascii="Times New Roman" w:hAnsi="Times New Roman" w:eastAsia="宋体" w:cs="Times New Roman"/>
                <w:color w:val="auto"/>
                <w:spacing w:val="-3"/>
                <w:highlight w:val="none"/>
                <w:u w:val="none" w:color="auto"/>
                <w:lang w:val="en-US" w:eastAsia="zh-CN"/>
              </w:rPr>
            </w:pPr>
            <w:r>
              <w:rPr>
                <w:rFonts w:hint="default" w:ascii="Times New Roman" w:hAnsi="Times New Roman" w:eastAsia="宋体" w:cs="Times New Roman"/>
                <w:color w:val="auto"/>
                <w:spacing w:val="-3"/>
                <w:highlight w:val="none"/>
                <w:u w:val="none" w:color="auto"/>
                <w:lang w:val="en-US" w:eastAsia="zh-CN"/>
              </w:rPr>
              <w:t>本项目生活污水、生产冲洗废水、初期雨水经处理达到《城市污水再生利用城市杂用水水质》(GB/T18920-2020)表1中的城市绿化用水后回用于厂区喷洒降尘、绿化，不外排。</w:t>
            </w:r>
          </w:p>
          <w:p>
            <w:pPr>
              <w:pStyle w:val="105"/>
              <w:numPr>
                <w:ilvl w:val="0"/>
                <w:numId w:val="0"/>
              </w:numPr>
              <w:rPr>
                <w:rFonts w:hint="default" w:ascii="Times New Roman" w:hAnsi="Times New Roman" w:eastAsia="宋体" w:cs="Times New Roman"/>
                <w:highlight w:val="none"/>
              </w:rPr>
            </w:pPr>
            <w:r>
              <w:rPr>
                <w:rFonts w:hint="default" w:ascii="Times New Roman" w:hAnsi="Times New Roman" w:eastAsia="宋体" w:cs="Times New Roman"/>
                <w:highlight w:val="none"/>
              </w:rPr>
              <w:t>表</w:t>
            </w:r>
            <w:r>
              <w:rPr>
                <w:rFonts w:hint="eastAsia" w:ascii="Times New Roman" w:hAnsi="Times New Roman" w:eastAsia="宋体" w:cs="Times New Roman"/>
                <w:highlight w:val="none"/>
                <w:lang w:val="en-US" w:eastAsia="zh-CN"/>
              </w:rPr>
              <w:t>3-11</w:t>
            </w:r>
            <w:r>
              <w:rPr>
                <w:rFonts w:hint="default" w:ascii="Times New Roman" w:hAnsi="Times New Roman" w:eastAsia="宋体" w:cs="Times New Roman"/>
                <w:highlight w:val="none"/>
              </w:rPr>
              <w:t>《城市污水再生利用城市杂用水水质》(GB/T18920-2020)基本控制项目及限值</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4089"/>
              <w:gridCol w:w="2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125"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4432"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3209"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5"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432"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rPr>
                    <w:t>pH</w:t>
                  </w:r>
                </w:p>
              </w:tc>
              <w:tc>
                <w:tcPr>
                  <w:tcW w:w="3209"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5"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4432"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色度</w:t>
                  </w:r>
                </w:p>
              </w:tc>
              <w:tc>
                <w:tcPr>
                  <w:tcW w:w="3209"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5"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4432"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嗅</w:t>
                  </w:r>
                </w:p>
              </w:tc>
              <w:tc>
                <w:tcPr>
                  <w:tcW w:w="3209"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5"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4432"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浊度（NTU）</w:t>
                  </w:r>
                </w:p>
              </w:tc>
              <w:tc>
                <w:tcPr>
                  <w:tcW w:w="3209"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5"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4432"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五日生化需氧量（BOD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）（mg/L）</w:t>
                  </w:r>
                </w:p>
              </w:tc>
              <w:tc>
                <w:tcPr>
                  <w:tcW w:w="3209"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5"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4432"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氨氮（mg/L）</w:t>
                  </w:r>
                </w:p>
              </w:tc>
              <w:tc>
                <w:tcPr>
                  <w:tcW w:w="3209"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5"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4432"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阴离子表面活性剂（mg/L）</w:t>
                  </w:r>
                </w:p>
              </w:tc>
              <w:tc>
                <w:tcPr>
                  <w:tcW w:w="3209"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125"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4432"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溶解性总固体（mg/L）</w:t>
                  </w:r>
                </w:p>
              </w:tc>
              <w:tc>
                <w:tcPr>
                  <w:tcW w:w="3209"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125"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4432"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溶解氧（mg/L）</w:t>
                  </w:r>
                </w:p>
              </w:tc>
              <w:tc>
                <w:tcPr>
                  <w:tcW w:w="3209"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125"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4432"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总氯（mg/L）</w:t>
                  </w:r>
                </w:p>
              </w:tc>
              <w:tc>
                <w:tcPr>
                  <w:tcW w:w="3209" w:type="dxa"/>
                  <w:tcBorders>
                    <w:tl2br w:val="nil"/>
                    <w:tr2bl w:val="nil"/>
                  </w:tcBorders>
                  <w:noWrap w:val="0"/>
                  <w:vAlign w:val="center"/>
                </w:tcPr>
                <w:p>
                  <w:pPr>
                    <w:pStyle w:val="92"/>
                    <w:tabs>
                      <w:tab w:val="left" w:pos="480"/>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≧1.0（出厂），0.2（管网末端）</w:t>
                  </w:r>
                </w:p>
              </w:tc>
            </w:tr>
          </w:tbl>
          <w:p>
            <w:pPr>
              <w:adjustRightInd w:val="0"/>
              <w:snapToGrid w:val="0"/>
              <w:spacing w:line="360" w:lineRule="auto"/>
              <w:ind w:firstLine="422" w:firstLineChars="200"/>
              <w:jc w:val="left"/>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3、噪声</w:t>
            </w:r>
          </w:p>
          <w:p>
            <w:pPr>
              <w:adjustRightInd w:val="0"/>
              <w:snapToGrid w:val="0"/>
              <w:spacing w:line="360" w:lineRule="auto"/>
              <w:ind w:firstLine="408" w:firstLineChars="200"/>
              <w:jc w:val="left"/>
              <w:rPr>
                <w:rFonts w:hint="default" w:ascii="Times New Roman" w:hAnsi="Times New Roman" w:eastAsia="宋体" w:cs="Times New Roman"/>
                <w:color w:val="auto"/>
                <w:spacing w:val="-3"/>
                <w:highlight w:val="none"/>
                <w:u w:val="none" w:color="auto"/>
              </w:rPr>
            </w:pPr>
            <w:r>
              <w:rPr>
                <w:rFonts w:hint="default" w:ascii="Times New Roman" w:hAnsi="Times New Roman" w:eastAsia="宋体" w:cs="Times New Roman"/>
                <w:color w:val="auto"/>
                <w:spacing w:val="-3"/>
                <w:highlight w:val="none"/>
                <w:u w:val="none"/>
              </w:rPr>
              <w:t>施工期噪声执行《建筑施工噪声排放标准》</w:t>
            </w:r>
            <w:r>
              <w:rPr>
                <w:rFonts w:hint="default" w:ascii="Times New Roman" w:hAnsi="Times New Roman" w:eastAsia="宋体" w:cs="Times New Roman"/>
                <w:color w:val="auto"/>
                <w:spacing w:val="-3"/>
                <w:sz w:val="21"/>
                <w:szCs w:val="21"/>
                <w:highlight w:val="none"/>
                <w:u w:val="none"/>
                <w:lang w:eastAsia="zh-CN"/>
              </w:rPr>
              <w:t>（</w:t>
            </w:r>
            <w:r>
              <w:rPr>
                <w:rFonts w:hint="default" w:ascii="Times New Roman" w:hAnsi="Times New Roman" w:eastAsia="宋体" w:cs="Times New Roman"/>
                <w:color w:val="auto"/>
                <w:spacing w:val="-3"/>
                <w:sz w:val="21"/>
                <w:szCs w:val="21"/>
                <w:highlight w:val="none"/>
                <w:u w:val="none"/>
              </w:rPr>
              <w:t>GB12523-20</w:t>
            </w:r>
            <w:r>
              <w:rPr>
                <w:rFonts w:hint="default" w:ascii="Times New Roman" w:hAnsi="Times New Roman" w:eastAsia="宋体" w:cs="Times New Roman"/>
                <w:color w:val="auto"/>
                <w:spacing w:val="-3"/>
                <w:sz w:val="21"/>
                <w:szCs w:val="21"/>
                <w:highlight w:val="none"/>
                <w:u w:val="none"/>
                <w:lang w:val="en-US" w:eastAsia="zh-CN"/>
              </w:rPr>
              <w:t>25</w:t>
            </w:r>
            <w:r>
              <w:rPr>
                <w:rFonts w:hint="default" w:ascii="Times New Roman" w:hAnsi="Times New Roman" w:eastAsia="宋体" w:cs="Times New Roman"/>
                <w:color w:val="auto"/>
                <w:spacing w:val="-3"/>
                <w:sz w:val="21"/>
                <w:szCs w:val="21"/>
                <w:highlight w:val="none"/>
                <w:u w:val="none"/>
                <w:lang w:eastAsia="zh-CN"/>
              </w:rPr>
              <w:t>）</w:t>
            </w:r>
            <w:r>
              <w:rPr>
                <w:rFonts w:hint="default" w:ascii="Times New Roman" w:hAnsi="Times New Roman" w:eastAsia="宋体" w:cs="Times New Roman"/>
                <w:color w:val="auto"/>
                <w:spacing w:val="-3"/>
                <w:highlight w:val="none"/>
                <w:u w:val="none"/>
              </w:rPr>
              <w:t>；</w:t>
            </w:r>
            <w:r>
              <w:rPr>
                <w:rFonts w:hint="default" w:ascii="Times New Roman" w:hAnsi="Times New Roman" w:eastAsia="宋体" w:cs="Times New Roman"/>
                <w:color w:val="auto"/>
                <w:spacing w:val="-3"/>
                <w:highlight w:val="none"/>
                <w:u w:val="none" w:color="auto"/>
              </w:rPr>
              <w:t>运营期厂界噪声执行《工业企业厂界环境噪声排放标准》</w:t>
            </w:r>
            <w:r>
              <w:rPr>
                <w:rFonts w:hint="default" w:ascii="Times New Roman" w:hAnsi="Times New Roman" w:eastAsia="宋体" w:cs="Times New Roman"/>
                <w:color w:val="auto"/>
                <w:spacing w:val="-3"/>
                <w:sz w:val="21"/>
                <w:szCs w:val="21"/>
                <w:highlight w:val="none"/>
                <w:u w:val="none" w:color="auto"/>
                <w:lang w:eastAsia="zh-CN"/>
              </w:rPr>
              <w:t>（</w:t>
            </w:r>
            <w:r>
              <w:rPr>
                <w:rFonts w:hint="default" w:ascii="Times New Roman" w:hAnsi="Times New Roman" w:eastAsia="宋体" w:cs="Times New Roman"/>
                <w:color w:val="auto"/>
                <w:spacing w:val="-3"/>
                <w:sz w:val="21"/>
                <w:szCs w:val="21"/>
                <w:highlight w:val="none"/>
                <w:u w:val="none" w:color="auto"/>
              </w:rPr>
              <w:t>GB12348-2008</w:t>
            </w:r>
            <w:r>
              <w:rPr>
                <w:rFonts w:hint="default" w:ascii="Times New Roman" w:hAnsi="Times New Roman" w:eastAsia="宋体" w:cs="Times New Roman"/>
                <w:color w:val="auto"/>
                <w:spacing w:val="-3"/>
                <w:sz w:val="21"/>
                <w:szCs w:val="21"/>
                <w:highlight w:val="none"/>
                <w:u w:val="none" w:color="auto"/>
                <w:lang w:eastAsia="zh-CN"/>
              </w:rPr>
              <w:t>）</w:t>
            </w:r>
            <w:r>
              <w:rPr>
                <w:rFonts w:hint="default" w:ascii="Times New Roman" w:hAnsi="Times New Roman" w:eastAsia="宋体" w:cs="Times New Roman"/>
                <w:color w:val="auto"/>
                <w:spacing w:val="-3"/>
                <w:highlight w:val="none"/>
                <w:u w:val="none" w:color="auto"/>
              </w:rPr>
              <w:t>3类标准。具体标准限值见下表所示：</w:t>
            </w:r>
          </w:p>
          <w:p>
            <w:pPr>
              <w:pStyle w:val="38"/>
              <w:spacing w:before="0" w:after="0" w:line="240" w:lineRule="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表</w:t>
            </w:r>
            <w:r>
              <w:rPr>
                <w:rFonts w:hint="eastAsia" w:ascii="Times New Roman" w:hAnsi="Times New Roman" w:eastAsia="宋体" w:cs="Times New Roman"/>
                <w:b/>
                <w:bCs/>
                <w:color w:val="auto"/>
                <w:sz w:val="21"/>
                <w:szCs w:val="21"/>
                <w:highlight w:val="none"/>
                <w:u w:val="none" w:color="auto"/>
                <w:lang w:val="en-US" w:eastAsia="zh-CN"/>
              </w:rPr>
              <w:t>3</w:t>
            </w:r>
            <w:r>
              <w:rPr>
                <w:rFonts w:hint="default" w:ascii="Times New Roman" w:hAnsi="Times New Roman" w:eastAsia="宋体" w:cs="Times New Roman"/>
                <w:b/>
                <w:bCs/>
                <w:color w:val="auto"/>
                <w:sz w:val="21"/>
                <w:szCs w:val="21"/>
                <w:highlight w:val="none"/>
                <w:u w:val="none" w:color="auto"/>
              </w:rPr>
              <w:t>-</w:t>
            </w:r>
            <w:r>
              <w:rPr>
                <w:rFonts w:hint="eastAsia" w:ascii="Times New Roman" w:hAnsi="Times New Roman" w:eastAsia="宋体" w:cs="Times New Roman"/>
                <w:b/>
                <w:bCs/>
                <w:color w:val="auto"/>
                <w:sz w:val="21"/>
                <w:szCs w:val="21"/>
                <w:highlight w:val="none"/>
                <w:u w:val="none" w:color="auto"/>
                <w:lang w:val="en-US" w:eastAsia="zh-CN"/>
              </w:rPr>
              <w:t>12</w:t>
            </w:r>
            <w:r>
              <w:rPr>
                <w:rFonts w:hint="default" w:ascii="Times New Roman" w:hAnsi="Times New Roman" w:eastAsia="宋体" w:cs="Times New Roman"/>
                <w:b/>
                <w:bCs/>
                <w:color w:val="auto"/>
                <w:sz w:val="21"/>
                <w:szCs w:val="21"/>
                <w:highlight w:val="none"/>
                <w:u w:val="none" w:color="auto"/>
              </w:rPr>
              <w:t>项目噪声排放标准</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8"/>
              <w:gridCol w:w="1477"/>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145" w:type="pct"/>
                  <w:vMerge w:val="restart"/>
                  <w:noWrap w:val="0"/>
                  <w:vAlign w:val="center"/>
                </w:tcPr>
                <w:p>
                  <w:pPr>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执行标准</w:t>
                  </w:r>
                </w:p>
              </w:tc>
              <w:tc>
                <w:tcPr>
                  <w:tcW w:w="1854" w:type="pct"/>
                  <w:gridSpan w:val="2"/>
                  <w:noWrap w:val="0"/>
                  <w:vAlign w:val="center"/>
                </w:tcPr>
                <w:p>
                  <w:pPr>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145" w:type="pct"/>
                  <w:vMerge w:val="continue"/>
                  <w:noWrap w:val="0"/>
                  <w:vAlign w:val="center"/>
                </w:tcPr>
                <w:p>
                  <w:pPr>
                    <w:jc w:val="center"/>
                    <w:rPr>
                      <w:rFonts w:hint="default" w:ascii="Times New Roman" w:hAnsi="Times New Roman" w:eastAsia="宋体" w:cs="Times New Roman"/>
                      <w:color w:val="auto"/>
                      <w:sz w:val="21"/>
                      <w:szCs w:val="21"/>
                      <w:highlight w:val="none"/>
                      <w:u w:val="none" w:color="auto"/>
                    </w:rPr>
                  </w:pPr>
                </w:p>
              </w:tc>
              <w:tc>
                <w:tcPr>
                  <w:tcW w:w="911" w:type="pct"/>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昼间</w:t>
                  </w:r>
                </w:p>
              </w:tc>
              <w:tc>
                <w:tcPr>
                  <w:tcW w:w="942" w:type="pct"/>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145" w:type="pct"/>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snapToGrid w:val="0"/>
                      <w:color w:val="auto"/>
                      <w:highlight w:val="none"/>
                    </w:rPr>
                    <w:t>《建筑施工场界环境噪声排放标准》（GB12523-2011）</w:t>
                  </w:r>
                </w:p>
              </w:tc>
              <w:tc>
                <w:tcPr>
                  <w:tcW w:w="911" w:type="pct"/>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70</w:t>
                  </w:r>
                </w:p>
              </w:tc>
              <w:tc>
                <w:tcPr>
                  <w:tcW w:w="942" w:type="pct"/>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3145" w:type="pct"/>
                  <w:noWrap w:val="0"/>
                  <w:vAlign w:val="center"/>
                </w:tcPr>
                <w:p>
                  <w:pPr>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color w:val="auto"/>
                      <w:spacing w:val="-3"/>
                      <w:sz w:val="21"/>
                      <w:szCs w:val="21"/>
                      <w:highlight w:val="none"/>
                      <w:u w:val="none" w:color="auto"/>
                    </w:rPr>
                    <w:t>《工业企业厂界环境噪声排放标准》</w:t>
                  </w:r>
                  <w:r>
                    <w:rPr>
                      <w:rFonts w:hint="default" w:ascii="Times New Roman" w:hAnsi="Times New Roman" w:eastAsia="宋体" w:cs="Times New Roman"/>
                      <w:color w:val="auto"/>
                      <w:spacing w:val="-3"/>
                      <w:sz w:val="21"/>
                      <w:szCs w:val="21"/>
                      <w:highlight w:val="none"/>
                      <w:u w:val="none" w:color="auto"/>
                      <w:lang w:eastAsia="zh-CN"/>
                    </w:rPr>
                    <w:t>（</w:t>
                  </w:r>
                  <w:r>
                    <w:rPr>
                      <w:rFonts w:hint="default" w:ascii="Times New Roman" w:hAnsi="Times New Roman" w:eastAsia="宋体" w:cs="Times New Roman"/>
                      <w:color w:val="auto"/>
                      <w:spacing w:val="-3"/>
                      <w:sz w:val="21"/>
                      <w:szCs w:val="21"/>
                      <w:highlight w:val="none"/>
                      <w:u w:val="none" w:color="auto"/>
                    </w:rPr>
                    <w:t>GB12348-2008</w:t>
                  </w:r>
                  <w:r>
                    <w:rPr>
                      <w:rFonts w:hint="default" w:ascii="Times New Roman" w:hAnsi="Times New Roman" w:eastAsia="宋体" w:cs="Times New Roman"/>
                      <w:color w:val="auto"/>
                      <w:spacing w:val="-3"/>
                      <w:sz w:val="21"/>
                      <w:szCs w:val="21"/>
                      <w:highlight w:val="none"/>
                      <w:u w:val="none" w:color="auto"/>
                      <w:lang w:eastAsia="zh-CN"/>
                    </w:rPr>
                    <w:t>）</w:t>
                  </w:r>
                  <w:r>
                    <w:rPr>
                      <w:rFonts w:hint="default" w:ascii="Times New Roman" w:hAnsi="Times New Roman" w:eastAsia="宋体" w:cs="Times New Roman"/>
                      <w:bCs/>
                      <w:color w:val="auto"/>
                      <w:sz w:val="21"/>
                      <w:szCs w:val="21"/>
                      <w:highlight w:val="none"/>
                      <w:u w:val="none" w:color="auto"/>
                    </w:rPr>
                    <w:t>中3类标准</w:t>
                  </w:r>
                </w:p>
              </w:tc>
              <w:tc>
                <w:tcPr>
                  <w:tcW w:w="911" w:type="pct"/>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65</w:t>
                  </w:r>
                </w:p>
              </w:tc>
              <w:tc>
                <w:tcPr>
                  <w:tcW w:w="942" w:type="pct"/>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55</w:t>
                  </w:r>
                </w:p>
              </w:tc>
            </w:tr>
          </w:tbl>
          <w:p>
            <w:pPr>
              <w:pStyle w:val="52"/>
              <w:ind w:firstLine="422" w:firstLineChars="200"/>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4、固体废物</w:t>
            </w:r>
          </w:p>
          <w:p>
            <w:pPr>
              <w:adjustRightInd w:val="0"/>
              <w:snapToGrid w:val="0"/>
              <w:spacing w:line="360" w:lineRule="auto"/>
              <w:ind w:firstLine="408" w:firstLineChars="200"/>
              <w:jc w:val="left"/>
              <w:rPr>
                <w:rFonts w:hint="default" w:ascii="Times New Roman" w:hAnsi="Times New Roman" w:eastAsia="宋体" w:cs="Times New Roman"/>
                <w:color w:val="0000FF"/>
                <w:kern w:val="0"/>
                <w:szCs w:val="21"/>
                <w:u w:val="none" w:color="auto"/>
              </w:rPr>
            </w:pPr>
            <w:r>
              <w:rPr>
                <w:rFonts w:hint="default" w:ascii="Times New Roman" w:hAnsi="Times New Roman" w:eastAsia="宋体" w:cs="Times New Roman"/>
                <w:color w:val="auto"/>
                <w:spacing w:val="-3"/>
                <w:highlight w:val="none"/>
                <w:u w:val="none" w:color="auto"/>
                <w:lang w:val="en-US" w:eastAsia="zh-CN"/>
              </w:rPr>
              <w:t>一般工业固体废物执行《一般工业固体废物贮存和填埋污染控制标准》（GB18599-2020）；危险固废执行《危险废物贮存污染控制标准》（GB18597-2023）。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729" w:type="dxa"/>
            <w:noWrap w:val="0"/>
            <w:vAlign w:val="center"/>
          </w:tcPr>
          <w:p>
            <w:pPr>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总量</w:t>
            </w:r>
          </w:p>
          <w:p>
            <w:pPr>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控制</w:t>
            </w:r>
          </w:p>
          <w:p>
            <w:pPr>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指标</w:t>
            </w:r>
          </w:p>
        </w:tc>
        <w:tc>
          <w:tcPr>
            <w:tcW w:w="8332" w:type="dxa"/>
            <w:noWrap w:val="0"/>
            <w:vAlign w:val="center"/>
          </w:tcPr>
          <w:p>
            <w:pPr>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b w:val="0"/>
                <w:bCs w:val="0"/>
                <w:color w:val="auto"/>
                <w:sz w:val="21"/>
                <w:szCs w:val="21"/>
                <w:highlight w:val="none"/>
                <w:lang w:val="en-US" w:eastAsia="zh-CN"/>
              </w:rPr>
              <w:t>本项目废水经处理后回用，不外排，废气污染物主要为粉尘，外排污染物不涉及大气、水污染物排放总量控制因子（二氧化硫、氮氧化物、</w:t>
            </w:r>
            <w:r>
              <w:rPr>
                <w:rFonts w:hint="default" w:ascii="Times New Roman" w:hAnsi="Times New Roman" w:eastAsia="宋体" w:cs="Times New Roman"/>
                <w:color w:val="auto"/>
                <w:highlight w:val="none"/>
                <w:u w:val="none" w:color="auto"/>
              </w:rPr>
              <w:t>COD、NH</w:t>
            </w:r>
            <w:r>
              <w:rPr>
                <w:rFonts w:hint="default" w:ascii="Times New Roman" w:hAnsi="Times New Roman" w:eastAsia="宋体" w:cs="Times New Roman"/>
                <w:color w:val="auto"/>
                <w:highlight w:val="none"/>
                <w:u w:val="none" w:color="auto"/>
                <w:vertAlign w:val="subscript"/>
              </w:rPr>
              <w:t>3</w:t>
            </w:r>
            <w:r>
              <w:rPr>
                <w:rFonts w:hint="default" w:ascii="Times New Roman" w:hAnsi="Times New Roman" w:eastAsia="宋体" w:cs="Times New Roman"/>
                <w:color w:val="auto"/>
                <w:highlight w:val="none"/>
                <w:u w:val="none" w:color="auto"/>
              </w:rPr>
              <w:t>-N</w:t>
            </w:r>
            <w:r>
              <w:rPr>
                <w:rFonts w:hint="default" w:ascii="Times New Roman" w:hAnsi="Times New Roman" w:eastAsia="宋体" w:cs="Times New Roman"/>
                <w:color w:val="auto"/>
                <w:highlight w:val="none"/>
                <w:u w:val="none" w:color="auto"/>
                <w:lang w:eastAsia="zh-CN"/>
              </w:rPr>
              <w:t>等</w:t>
            </w:r>
            <w:r>
              <w:rPr>
                <w:rFonts w:hint="default" w:ascii="Times New Roman" w:hAnsi="Times New Roman" w:eastAsia="宋体" w:cs="Times New Roman"/>
                <w:b w:val="0"/>
                <w:bCs w:val="0"/>
                <w:color w:val="auto"/>
                <w:sz w:val="21"/>
                <w:szCs w:val="21"/>
                <w:highlight w:val="none"/>
                <w:lang w:val="en-US" w:eastAsia="zh-CN"/>
              </w:rPr>
              <w:t>）。因此，无需设置污染物总量控制指标。</w:t>
            </w:r>
          </w:p>
        </w:tc>
      </w:tr>
    </w:tbl>
    <w:p>
      <w:pPr>
        <w:pStyle w:val="28"/>
        <w:jc w:val="center"/>
        <w:outlineLvl w:val="0"/>
        <w:rPr>
          <w:rFonts w:ascii="黑体" w:hAnsi="黑体" w:eastAsia="黑体"/>
          <w:snapToGrid w:val="0"/>
          <w:color w:val="auto"/>
          <w:sz w:val="30"/>
          <w:szCs w:val="30"/>
          <w:u w:val="none" w:color="auto"/>
        </w:rPr>
      </w:pPr>
      <w:r>
        <w:rPr>
          <w:rFonts w:ascii="黑体" w:hAnsi="黑体" w:eastAsia="黑体"/>
          <w:snapToGrid w:val="0"/>
          <w:color w:val="0000FF"/>
          <w:sz w:val="36"/>
          <w:szCs w:val="36"/>
          <w:u w:val="none" w:color="auto"/>
        </w:rPr>
        <w:br w:type="page"/>
      </w:r>
      <w:bookmarkStart w:id="10" w:name="_Toc17372"/>
      <w:r>
        <w:rPr>
          <w:rFonts w:hint="eastAsia" w:ascii="黑体" w:hAnsi="黑体" w:eastAsia="黑体"/>
          <w:snapToGrid w:val="0"/>
          <w:color w:val="auto"/>
          <w:sz w:val="30"/>
          <w:szCs w:val="30"/>
          <w:u w:val="none" w:color="auto"/>
        </w:rPr>
        <w:t>四、主要环境影响和保护措施</w:t>
      </w:r>
      <w:bookmarkEnd w:id="10"/>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58" w:hRule="atLeast"/>
          <w:jc w:val="center"/>
        </w:trPr>
        <w:tc>
          <w:tcPr>
            <w:tcW w:w="746" w:type="dxa"/>
            <w:noWrap w:val="0"/>
            <w:tcMar>
              <w:left w:w="28" w:type="dxa"/>
              <w:right w:w="28" w:type="dxa"/>
            </w:tcMar>
            <w:vAlign w:val="center"/>
          </w:tcPr>
          <w:p>
            <w:pPr>
              <w:pStyle w:val="28"/>
              <w:adjustRightInd w:val="0"/>
              <w:snapToGrid w:val="0"/>
              <w:spacing w:before="0" w:beforeAutospacing="0" w:after="0" w:afterAutospacing="0"/>
              <w:jc w:val="center"/>
              <w:rPr>
                <w:rFonts w:hint="eastAsia" w:cs="宋体"/>
                <w:color w:val="auto"/>
                <w:kern w:val="2"/>
                <w:sz w:val="21"/>
                <w:szCs w:val="21"/>
                <w:u w:val="none" w:color="auto"/>
              </w:rPr>
            </w:pPr>
            <w:r>
              <w:rPr>
                <w:rFonts w:hint="eastAsia" w:cs="宋体"/>
                <w:color w:val="auto"/>
                <w:kern w:val="2"/>
                <w:sz w:val="21"/>
                <w:szCs w:val="21"/>
                <w:u w:val="none" w:color="auto"/>
              </w:rPr>
              <w:t>施工</w:t>
            </w:r>
          </w:p>
          <w:p>
            <w:pPr>
              <w:pStyle w:val="28"/>
              <w:adjustRightInd w:val="0"/>
              <w:snapToGrid w:val="0"/>
              <w:spacing w:before="0" w:beforeAutospacing="0" w:after="0" w:afterAutospacing="0"/>
              <w:jc w:val="center"/>
              <w:rPr>
                <w:rFonts w:hint="eastAsia" w:cs="宋体"/>
                <w:color w:val="auto"/>
                <w:kern w:val="2"/>
                <w:sz w:val="21"/>
                <w:szCs w:val="21"/>
                <w:u w:val="none" w:color="auto"/>
              </w:rPr>
            </w:pPr>
            <w:r>
              <w:rPr>
                <w:rFonts w:hint="eastAsia" w:cs="宋体"/>
                <w:color w:val="auto"/>
                <w:kern w:val="2"/>
                <w:sz w:val="21"/>
                <w:szCs w:val="21"/>
                <w:u w:val="none" w:color="auto"/>
              </w:rPr>
              <w:t>期环</w:t>
            </w:r>
          </w:p>
          <w:p>
            <w:pPr>
              <w:pStyle w:val="28"/>
              <w:adjustRightInd w:val="0"/>
              <w:snapToGrid w:val="0"/>
              <w:spacing w:before="0" w:beforeAutospacing="0" w:after="0" w:afterAutospacing="0"/>
              <w:jc w:val="center"/>
              <w:rPr>
                <w:rFonts w:hint="eastAsia" w:cs="宋体"/>
                <w:color w:val="auto"/>
                <w:kern w:val="2"/>
                <w:sz w:val="21"/>
                <w:szCs w:val="21"/>
                <w:u w:val="none" w:color="auto"/>
              </w:rPr>
            </w:pPr>
            <w:r>
              <w:rPr>
                <w:rFonts w:hint="eastAsia" w:cs="宋体"/>
                <w:color w:val="auto"/>
                <w:kern w:val="2"/>
                <w:sz w:val="21"/>
                <w:szCs w:val="21"/>
                <w:u w:val="none" w:color="auto"/>
              </w:rPr>
              <w:t>境保</w:t>
            </w:r>
          </w:p>
          <w:p>
            <w:pPr>
              <w:pStyle w:val="28"/>
              <w:adjustRightInd w:val="0"/>
              <w:snapToGrid w:val="0"/>
              <w:spacing w:before="0" w:beforeAutospacing="0" w:after="0" w:afterAutospacing="0"/>
              <w:jc w:val="center"/>
              <w:rPr>
                <w:rFonts w:hint="eastAsia" w:cs="宋体"/>
                <w:color w:val="auto"/>
                <w:kern w:val="2"/>
                <w:sz w:val="21"/>
                <w:szCs w:val="21"/>
                <w:u w:val="none" w:color="auto"/>
              </w:rPr>
            </w:pPr>
            <w:r>
              <w:rPr>
                <w:rFonts w:hint="eastAsia" w:cs="宋体"/>
                <w:color w:val="auto"/>
                <w:kern w:val="2"/>
                <w:sz w:val="21"/>
                <w:szCs w:val="21"/>
                <w:u w:val="none" w:color="auto"/>
              </w:rPr>
              <w:t>护措</w:t>
            </w:r>
          </w:p>
          <w:p>
            <w:pPr>
              <w:pStyle w:val="28"/>
              <w:adjustRightInd w:val="0"/>
              <w:snapToGrid w:val="0"/>
              <w:spacing w:before="0" w:beforeAutospacing="0" w:after="0" w:afterAutospacing="0"/>
              <w:jc w:val="center"/>
              <w:rPr>
                <w:rFonts w:hint="eastAsia" w:cs="宋体"/>
                <w:bCs/>
                <w:color w:val="0000FF"/>
                <w:kern w:val="2"/>
                <w:sz w:val="21"/>
                <w:szCs w:val="21"/>
                <w:u w:val="none" w:color="auto"/>
              </w:rPr>
            </w:pPr>
            <w:r>
              <w:rPr>
                <w:rFonts w:hint="eastAsia" w:cs="宋体"/>
                <w:color w:val="auto"/>
                <w:kern w:val="2"/>
                <w:sz w:val="21"/>
                <w:szCs w:val="21"/>
                <w:u w:val="none" w:color="auto"/>
              </w:rPr>
              <w:t>施</w:t>
            </w:r>
          </w:p>
        </w:tc>
        <w:tc>
          <w:tcPr>
            <w:tcW w:w="8162" w:type="dxa"/>
            <w:noWrap w:val="0"/>
            <w:vAlign w:val="center"/>
          </w:tcPr>
          <w:p>
            <w:pPr>
              <w:pStyle w:val="106"/>
              <w:spacing w:line="360" w:lineRule="auto"/>
              <w:ind w:left="0" w:leftChars="0" w:firstLine="422" w:firstLineChars="200"/>
              <w:rPr>
                <w:rFonts w:ascii="Times New Roman" w:hAnsi="Times New Roman" w:eastAsia="宋体" w:cs="Times New Roman"/>
                <w:b/>
                <w:bCs/>
                <w:color w:val="auto"/>
              </w:rPr>
            </w:pPr>
            <w:r>
              <w:rPr>
                <w:rFonts w:hint="eastAsia" w:cs="Times New Roman"/>
                <w:b/>
                <w:bCs/>
                <w:color w:val="auto"/>
                <w:lang w:val="en-US" w:eastAsia="zh-CN"/>
              </w:rPr>
              <w:t>1、</w:t>
            </w:r>
            <w:r>
              <w:rPr>
                <w:rFonts w:hint="eastAsia" w:ascii="Times New Roman" w:hAnsi="Times New Roman" w:eastAsia="宋体" w:cs="Times New Roman"/>
                <w:b/>
                <w:bCs/>
                <w:color w:val="auto"/>
                <w:lang w:val="en-US" w:eastAsia="zh-CN"/>
              </w:rPr>
              <w:t>施工废气</w:t>
            </w:r>
            <w:r>
              <w:rPr>
                <w:rFonts w:hint="eastAsia" w:ascii="Times New Roman" w:hAnsi="Times New Roman" w:eastAsia="宋体" w:cs="Times New Roman"/>
                <w:b/>
                <w:bCs/>
                <w:color w:val="auto"/>
              </w:rPr>
              <w:t>影响和保护措施</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
            </w:pPr>
            <w:r>
              <w:rPr>
                <w:rFonts w:hint="default" w:ascii="Times New Roman" w:hAnsi="Times New Roman" w:eastAsia="宋体" w:cs="Times New Roman"/>
                <w:color w:val="auto"/>
                <w:kern w:val="0"/>
                <w:szCs w:val="21"/>
                <w:u w:val="none" w:color="auto"/>
                <w:lang w:val="en-US" w:eastAsia="zh-CN"/>
              </w:rPr>
              <w:t>施工期的大气污染源主要是施工扬尘、交通运输扬尘</w:t>
            </w:r>
            <w:r>
              <w:rPr>
                <w:rFonts w:hint="eastAsia" w:ascii="Times New Roman" w:hAnsi="Times New Roman" w:eastAsia="宋体" w:cs="Times New Roman"/>
                <w:color w:val="auto"/>
                <w:kern w:val="0"/>
                <w:szCs w:val="21"/>
                <w:u w:val="none" w:color="auto"/>
                <w:lang w:val="en-US" w:eastAsia="zh-CN"/>
              </w:rPr>
              <w:t>、</w:t>
            </w:r>
            <w:r>
              <w:rPr>
                <w:rFonts w:hint="default" w:ascii="Times New Roman" w:hAnsi="Times New Roman" w:eastAsia="宋体" w:cs="Times New Roman"/>
                <w:color w:val="auto"/>
                <w:kern w:val="0"/>
                <w:szCs w:val="21"/>
                <w:u w:val="none" w:color="auto"/>
                <w:lang w:val="en-US" w:eastAsia="zh-CN"/>
              </w:rPr>
              <w:t>施工机械尾气</w:t>
            </w:r>
            <w:r>
              <w:rPr>
                <w:rFonts w:hint="eastAsia" w:ascii="Times New Roman" w:hAnsi="Times New Roman" w:eastAsia="宋体" w:cs="Times New Roman"/>
                <w:color w:val="auto"/>
                <w:kern w:val="0"/>
                <w:szCs w:val="21"/>
                <w:u w:val="none" w:color="auto"/>
                <w:lang w:val="en-US" w:eastAsia="zh-CN"/>
              </w:rPr>
              <w:t>、装修废气等</w:t>
            </w:r>
            <w:r>
              <w:rPr>
                <w:rFonts w:hint="default" w:ascii="Times New Roman" w:hAnsi="Times New Roman" w:eastAsia="宋体" w:cs="Times New Roman"/>
                <w:color w:val="auto"/>
                <w:kern w:val="0"/>
                <w:szCs w:val="21"/>
                <w:u w:val="none" w:color="auto"/>
                <w:lang w:val="en-US" w:eastAsia="zh-CN"/>
              </w:rPr>
              <w:t>。</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（1）</w:t>
            </w:r>
            <w:r>
              <w:rPr>
                <w:rFonts w:hint="default" w:ascii="Times New Roman" w:hAnsi="Times New Roman" w:eastAsia="宋体" w:cs="Times New Roman"/>
                <w:color w:val="auto"/>
                <w:kern w:val="0"/>
                <w:szCs w:val="21"/>
                <w:u w:val="none" w:color="auto"/>
                <w:lang w:val="en-US" w:eastAsia="zh-CN"/>
              </w:rPr>
              <w:t>施工扬尘</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
            </w:pPr>
            <w:r>
              <w:rPr>
                <w:rFonts w:hint="default" w:ascii="Times New Roman" w:hAnsi="Times New Roman" w:eastAsia="宋体" w:cs="Times New Roman"/>
                <w:color w:val="auto"/>
                <w:kern w:val="0"/>
                <w:szCs w:val="21"/>
                <w:u w:val="none" w:color="auto"/>
                <w:lang w:val="en-US" w:eastAsia="zh-CN"/>
              </w:rPr>
              <w:t>施工场地扬尘的排放源属于无组织的面源。地面上的粉尘，在环境风速足够大时(大于颗粒土沙的起动速度时)就产生了扬尘，其源强大小与颗粒物的粒径大小、比重，以及环境的风速、湿度等因素有关，风速越大，颗粒越小，土沙的含水率越小，扬尘的含水率越小，扬尘的产生量就越大。</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
            </w:pPr>
            <w:r>
              <w:rPr>
                <w:rFonts w:hint="default" w:ascii="Times New Roman" w:hAnsi="Times New Roman" w:eastAsia="宋体" w:cs="Times New Roman"/>
                <w:color w:val="auto"/>
                <w:kern w:val="0"/>
                <w:szCs w:val="21"/>
                <w:u w:val="none" w:color="auto"/>
                <w:lang w:val="en-US" w:eastAsia="zh-CN"/>
              </w:rPr>
              <w:t>根据调查数据资料，施工场地扬尘对大气的影响范围主要在工地周边100m以内。由于距离的不同，其污染影响程度亦不同。扬尘浓度随距离变化情况见表4-1。</w:t>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
            </w:pPr>
            <w:r>
              <w:rPr>
                <w:rFonts w:hint="default" w:ascii="Times New Roman" w:hAnsi="Times New Roman" w:eastAsia="宋体" w:cs="Times New Roman"/>
                <w:b/>
                <w:bCs/>
                <w:color w:val="auto"/>
                <w:kern w:val="0"/>
                <w:szCs w:val="21"/>
                <w:u w:val="none" w:color="auto"/>
                <w:lang w:val="en-US" w:eastAsia="zh-CN"/>
              </w:rPr>
              <w:t>表4-1  施工场地扬尘随距离变化的浓度分布一览表 单位：mg/m</w:t>
            </w:r>
            <w:r>
              <w:rPr>
                <w:rFonts w:hint="default" w:ascii="Times New Roman" w:hAnsi="Times New Roman" w:eastAsia="宋体" w:cs="Times New Roman"/>
                <w:b/>
                <w:bCs/>
                <w:color w:val="auto"/>
                <w:kern w:val="0"/>
                <w:szCs w:val="21"/>
                <w:u w:val="none" w:color="auto"/>
                <w:vertAlign w:val="superscript"/>
                <w:lang w:val="en-US" w:eastAsia="zh-CN"/>
              </w:rPr>
              <w:t>3</w:t>
            </w:r>
          </w:p>
          <w:tbl>
            <w:tblPr>
              <w:tblStyle w:val="31"/>
              <w:tblW w:w="4998" w:type="pct"/>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71"/>
              <w:gridCol w:w="938"/>
              <w:gridCol w:w="890"/>
              <w:gridCol w:w="909"/>
              <w:gridCol w:w="922"/>
              <w:gridCol w:w="962"/>
              <w:gridCol w:w="937"/>
              <w:gridCol w:w="120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3" w:hRule="atLeast"/>
              </w:trPr>
              <w:tc>
                <w:tcPr>
                  <w:tcW w:w="738"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
                  </w:pPr>
                  <w:r>
                    <w:rPr>
                      <w:rFonts w:hint="default" w:ascii="Times New Roman" w:hAnsi="Times New Roman" w:eastAsia="宋体" w:cs="Times New Roman"/>
                      <w:b/>
                      <w:bCs/>
                      <w:color w:val="auto"/>
                      <w:kern w:val="0"/>
                      <w:sz w:val="18"/>
                      <w:szCs w:val="18"/>
                      <w:u w:val="none" w:color="auto"/>
                      <w:vertAlign w:val="baseline"/>
                      <w:lang w:val="en-US" w:eastAsia="zh-CN"/>
                    </w:rPr>
                    <w:t>防尘措施</w:t>
                  </w:r>
                </w:p>
              </w:tc>
              <w:tc>
                <w:tcPr>
                  <w:tcW w:w="3502" w:type="pct"/>
                  <w:gridSpan w:val="6"/>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
                  </w:pPr>
                  <w:r>
                    <w:rPr>
                      <w:rFonts w:hint="default" w:ascii="Times New Roman" w:hAnsi="Times New Roman" w:eastAsia="宋体" w:cs="Times New Roman"/>
                      <w:b/>
                      <w:bCs/>
                      <w:color w:val="auto"/>
                      <w:kern w:val="0"/>
                      <w:sz w:val="18"/>
                      <w:szCs w:val="18"/>
                      <w:u w:val="none" w:color="auto"/>
                      <w:vertAlign w:val="baseline"/>
                      <w:lang w:val="en-US" w:eastAsia="zh-CN"/>
                    </w:rPr>
                    <w:t>工地下风向距离</w:t>
                  </w:r>
                </w:p>
              </w:tc>
              <w:tc>
                <w:tcPr>
                  <w:tcW w:w="758"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b/>
                      <w:bCs/>
                      <w:color w:val="auto"/>
                      <w:kern w:val="0"/>
                      <w:sz w:val="18"/>
                      <w:szCs w:val="18"/>
                      <w:u w:val="none" w:color="auto"/>
                      <w:vertAlign w:val="baseline"/>
                      <w:lang w:val="en-US" w:eastAsia="zh-CN"/>
                    </w:rPr>
                    <w:t>工地上风向(对照点)</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6" w:hRule="atLeast"/>
              </w:trPr>
              <w:tc>
                <w:tcPr>
                  <w:tcW w:w="738"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
                  </w:pPr>
                </w:p>
              </w:tc>
              <w:tc>
                <w:tcPr>
                  <w:tcW w:w="59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
                  </w:pPr>
                  <w:r>
                    <w:rPr>
                      <w:rFonts w:hint="default" w:ascii="Times New Roman" w:hAnsi="Times New Roman" w:eastAsia="宋体" w:cs="Times New Roman"/>
                      <w:b/>
                      <w:bCs/>
                      <w:color w:val="auto"/>
                      <w:kern w:val="0"/>
                      <w:sz w:val="18"/>
                      <w:szCs w:val="18"/>
                      <w:u w:val="none" w:color="auto"/>
                      <w:vertAlign w:val="baseline"/>
                      <w:lang w:val="en-US" w:eastAsia="zh-CN"/>
                    </w:rPr>
                    <w:t>20m</w:t>
                  </w:r>
                </w:p>
              </w:tc>
              <w:tc>
                <w:tcPr>
                  <w:tcW w:w="5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
                  </w:pPr>
                  <w:r>
                    <w:rPr>
                      <w:rFonts w:hint="default" w:ascii="Times New Roman" w:hAnsi="Times New Roman" w:eastAsia="宋体" w:cs="Times New Roman"/>
                      <w:b/>
                      <w:bCs/>
                      <w:color w:val="auto"/>
                      <w:kern w:val="0"/>
                      <w:sz w:val="18"/>
                      <w:szCs w:val="18"/>
                      <w:u w:val="none" w:color="auto"/>
                      <w:vertAlign w:val="baseline"/>
                      <w:lang w:val="en-US" w:eastAsia="zh-CN"/>
                    </w:rPr>
                    <w:t>50m</w:t>
                  </w:r>
                </w:p>
              </w:tc>
              <w:tc>
                <w:tcPr>
                  <w:tcW w:w="57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
                  </w:pPr>
                  <w:r>
                    <w:rPr>
                      <w:rFonts w:hint="default" w:ascii="Times New Roman" w:hAnsi="Times New Roman" w:eastAsia="宋体" w:cs="Times New Roman"/>
                      <w:b/>
                      <w:bCs/>
                      <w:color w:val="auto"/>
                      <w:kern w:val="0"/>
                      <w:sz w:val="18"/>
                      <w:szCs w:val="18"/>
                      <w:u w:val="none" w:color="auto"/>
                      <w:vertAlign w:val="baseline"/>
                      <w:lang w:val="en-US" w:eastAsia="zh-CN"/>
                    </w:rPr>
                    <w:t>100m</w:t>
                  </w:r>
                </w:p>
              </w:tc>
              <w:tc>
                <w:tcPr>
                  <w:tcW w:w="58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
                  </w:pPr>
                  <w:r>
                    <w:rPr>
                      <w:rFonts w:hint="default" w:ascii="Times New Roman" w:hAnsi="Times New Roman" w:eastAsia="宋体" w:cs="Times New Roman"/>
                      <w:b/>
                      <w:bCs/>
                      <w:color w:val="auto"/>
                      <w:kern w:val="0"/>
                      <w:sz w:val="18"/>
                      <w:szCs w:val="18"/>
                      <w:u w:val="none" w:color="auto"/>
                      <w:vertAlign w:val="baseline"/>
                      <w:lang w:val="en-US" w:eastAsia="zh-CN"/>
                    </w:rPr>
                    <w:t>150m</w:t>
                  </w:r>
                </w:p>
              </w:tc>
              <w:tc>
                <w:tcPr>
                  <w:tcW w:w="60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
                  </w:pPr>
                  <w:r>
                    <w:rPr>
                      <w:rFonts w:hint="default" w:ascii="Times New Roman" w:hAnsi="Times New Roman" w:eastAsia="宋体" w:cs="Times New Roman"/>
                      <w:b/>
                      <w:bCs/>
                      <w:color w:val="auto"/>
                      <w:kern w:val="0"/>
                      <w:sz w:val="18"/>
                      <w:szCs w:val="18"/>
                      <w:u w:val="none" w:color="auto"/>
                      <w:vertAlign w:val="baseline"/>
                      <w:lang w:val="en-US" w:eastAsia="zh-CN"/>
                    </w:rPr>
                    <w:t>200m</w:t>
                  </w:r>
                </w:p>
              </w:tc>
              <w:tc>
                <w:tcPr>
                  <w:tcW w:w="58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
                  </w:pPr>
                  <w:r>
                    <w:rPr>
                      <w:rFonts w:hint="default" w:ascii="Times New Roman" w:hAnsi="Times New Roman" w:eastAsia="宋体" w:cs="Times New Roman"/>
                      <w:b/>
                      <w:bCs/>
                      <w:color w:val="auto"/>
                      <w:kern w:val="0"/>
                      <w:sz w:val="18"/>
                      <w:szCs w:val="18"/>
                      <w:u w:val="none" w:color="auto"/>
                      <w:vertAlign w:val="baseline"/>
                      <w:lang w:val="en-US" w:eastAsia="zh-CN"/>
                    </w:rPr>
                    <w:t>250m</w:t>
                  </w:r>
                </w:p>
              </w:tc>
              <w:tc>
                <w:tcPr>
                  <w:tcW w:w="758"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6" w:hRule="atLeast"/>
              </w:trPr>
              <w:tc>
                <w:tcPr>
                  <w:tcW w:w="73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color w:val="auto"/>
                      <w:kern w:val="0"/>
                      <w:sz w:val="18"/>
                      <w:szCs w:val="18"/>
                      <w:u w:val="none" w:color="auto"/>
                      <w:vertAlign w:val="baseline"/>
                      <w:lang w:val="en-US" w:eastAsia="zh-CN"/>
                    </w:rPr>
                    <w:t>无</w:t>
                  </w:r>
                </w:p>
              </w:tc>
              <w:tc>
                <w:tcPr>
                  <w:tcW w:w="59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color w:val="auto"/>
                      <w:kern w:val="0"/>
                      <w:sz w:val="18"/>
                      <w:szCs w:val="18"/>
                      <w:u w:val="none" w:color="auto"/>
                      <w:vertAlign w:val="baseline"/>
                      <w:lang w:val="en-US" w:eastAsia="zh-CN"/>
                    </w:rPr>
                    <w:t>1.303</w:t>
                  </w:r>
                </w:p>
              </w:tc>
              <w:tc>
                <w:tcPr>
                  <w:tcW w:w="5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color w:val="auto"/>
                      <w:kern w:val="0"/>
                      <w:sz w:val="18"/>
                      <w:szCs w:val="18"/>
                      <w:u w:val="none" w:color="auto"/>
                      <w:vertAlign w:val="baseline"/>
                      <w:lang w:val="en-US" w:eastAsia="zh-CN"/>
                    </w:rPr>
                    <w:t>0.722</w:t>
                  </w:r>
                </w:p>
              </w:tc>
              <w:tc>
                <w:tcPr>
                  <w:tcW w:w="57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color w:val="auto"/>
                      <w:kern w:val="0"/>
                      <w:sz w:val="18"/>
                      <w:szCs w:val="18"/>
                      <w:u w:val="none" w:color="auto"/>
                      <w:vertAlign w:val="baseline"/>
                      <w:lang w:val="en-US" w:eastAsia="zh-CN"/>
                    </w:rPr>
                    <w:t>0.402</w:t>
                  </w:r>
                </w:p>
              </w:tc>
              <w:tc>
                <w:tcPr>
                  <w:tcW w:w="58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color w:val="auto"/>
                      <w:kern w:val="0"/>
                      <w:sz w:val="18"/>
                      <w:szCs w:val="18"/>
                      <w:u w:val="none" w:color="auto"/>
                      <w:vertAlign w:val="baseline"/>
                      <w:lang w:val="en-US" w:eastAsia="zh-CN"/>
                    </w:rPr>
                    <w:t>0.311</w:t>
                  </w:r>
                </w:p>
              </w:tc>
              <w:tc>
                <w:tcPr>
                  <w:tcW w:w="60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color w:val="auto"/>
                      <w:kern w:val="0"/>
                      <w:sz w:val="18"/>
                      <w:szCs w:val="18"/>
                      <w:u w:val="none" w:color="auto"/>
                      <w:vertAlign w:val="baseline"/>
                      <w:lang w:val="en-US" w:eastAsia="zh-CN"/>
                    </w:rPr>
                    <w:t>0.270</w:t>
                  </w:r>
                </w:p>
              </w:tc>
              <w:tc>
                <w:tcPr>
                  <w:tcW w:w="58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color w:val="auto"/>
                      <w:kern w:val="0"/>
                      <w:sz w:val="18"/>
                      <w:szCs w:val="18"/>
                      <w:u w:val="none" w:color="auto"/>
                      <w:vertAlign w:val="baseline"/>
                      <w:lang w:val="en-US" w:eastAsia="zh-CN"/>
                    </w:rPr>
                    <w:t>0.210</w:t>
                  </w:r>
                </w:p>
              </w:tc>
              <w:tc>
                <w:tcPr>
                  <w:tcW w:w="758"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color w:val="auto"/>
                      <w:kern w:val="0"/>
                      <w:sz w:val="18"/>
                      <w:szCs w:val="18"/>
                      <w:u w:val="none" w:color="auto"/>
                      <w:vertAlign w:val="baseline"/>
                      <w:lang w:val="en-US" w:eastAsia="zh-CN"/>
                    </w:rPr>
                    <w:t>0.204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73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color w:val="auto"/>
                      <w:kern w:val="0"/>
                      <w:sz w:val="18"/>
                      <w:szCs w:val="18"/>
                      <w:u w:val="none" w:color="auto"/>
                      <w:vertAlign w:val="baseline"/>
                      <w:lang w:val="en-US" w:eastAsia="zh-CN"/>
                    </w:rPr>
                    <w:t>有围挡措施</w:t>
                  </w:r>
                </w:p>
              </w:tc>
              <w:tc>
                <w:tcPr>
                  <w:tcW w:w="59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color w:val="auto"/>
                      <w:kern w:val="0"/>
                      <w:sz w:val="18"/>
                      <w:szCs w:val="18"/>
                      <w:u w:val="none" w:color="auto"/>
                      <w:vertAlign w:val="baseline"/>
                      <w:lang w:val="en-US" w:eastAsia="zh-CN"/>
                    </w:rPr>
                    <w:t>0.824</w:t>
                  </w:r>
                </w:p>
              </w:tc>
              <w:tc>
                <w:tcPr>
                  <w:tcW w:w="5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color w:val="auto"/>
                      <w:kern w:val="0"/>
                      <w:sz w:val="18"/>
                      <w:szCs w:val="18"/>
                      <w:u w:val="none" w:color="auto"/>
                      <w:vertAlign w:val="baseline"/>
                      <w:lang w:val="en-US" w:eastAsia="zh-CN"/>
                    </w:rPr>
                    <w:t>0.426</w:t>
                  </w:r>
                </w:p>
              </w:tc>
              <w:tc>
                <w:tcPr>
                  <w:tcW w:w="57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color w:val="auto"/>
                      <w:kern w:val="0"/>
                      <w:sz w:val="18"/>
                      <w:szCs w:val="18"/>
                      <w:u w:val="none" w:color="auto"/>
                      <w:vertAlign w:val="baseline"/>
                      <w:lang w:val="en-US" w:eastAsia="zh-CN"/>
                    </w:rPr>
                    <w:t>0.235</w:t>
                  </w:r>
                </w:p>
              </w:tc>
              <w:tc>
                <w:tcPr>
                  <w:tcW w:w="58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color w:val="auto"/>
                      <w:kern w:val="0"/>
                      <w:sz w:val="18"/>
                      <w:szCs w:val="18"/>
                      <w:u w:val="none" w:color="auto"/>
                      <w:vertAlign w:val="baseline"/>
                      <w:lang w:val="en-US" w:eastAsia="zh-CN"/>
                    </w:rPr>
                    <w:t>0.221</w:t>
                  </w:r>
                </w:p>
              </w:tc>
              <w:tc>
                <w:tcPr>
                  <w:tcW w:w="60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color w:val="auto"/>
                      <w:kern w:val="0"/>
                      <w:sz w:val="18"/>
                      <w:szCs w:val="18"/>
                      <w:u w:val="none" w:color="auto"/>
                      <w:vertAlign w:val="baseline"/>
                      <w:lang w:val="en-US" w:eastAsia="zh-CN"/>
                    </w:rPr>
                    <w:t>0.215</w:t>
                  </w:r>
                </w:p>
              </w:tc>
              <w:tc>
                <w:tcPr>
                  <w:tcW w:w="58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
                  </w:pPr>
                  <w:r>
                    <w:rPr>
                      <w:rFonts w:hint="default" w:ascii="Times New Roman" w:hAnsi="Times New Roman" w:eastAsia="宋体" w:cs="Times New Roman"/>
                      <w:color w:val="auto"/>
                      <w:kern w:val="0"/>
                      <w:sz w:val="18"/>
                      <w:szCs w:val="18"/>
                      <w:u w:val="none" w:color="auto"/>
                      <w:vertAlign w:val="baseline"/>
                      <w:lang w:val="en-US" w:eastAsia="zh-CN"/>
                    </w:rPr>
                    <w:t>0.206</w:t>
                  </w:r>
                </w:p>
              </w:tc>
              <w:tc>
                <w:tcPr>
                  <w:tcW w:w="758"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
                  </w:pPr>
                </w:p>
              </w:tc>
            </w:tr>
          </w:tbl>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由表4-1可知，扬尘浓度随距离的增加而衰减，在无任何防尘措施的情况下，施工现场对周围环境的影响较严重，项目施工过程中施工场地产生的扬尘对主导风下风向100m范围内的区域影响较大。在扬尘点下风向0~50m为重污染带，50~100m为较重污染带，100~200m为轻污染带，200m以外对大气影响甚微。而在现实中，受风场、地形地貌和植被等影响，达标距离将大大减小。</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eastAsia" w:cs="Times New Roman"/>
                <w:color w:val="auto"/>
                <w:sz w:val="21"/>
                <w:szCs w:val="21"/>
                <w:highlight w:val="none"/>
                <w:u w:val="none" w:color="auto"/>
                <w:lang w:val="en-US" w:eastAsia="zh-CN"/>
              </w:rPr>
              <w:t>横岭湖省级自然保护区位于</w:t>
            </w:r>
            <w:r>
              <w:rPr>
                <w:rFonts w:hint="eastAsia" w:cs="Times New Roman"/>
                <w:color w:val="auto"/>
                <w:kern w:val="0"/>
                <w:szCs w:val="21"/>
                <w:u w:val="none" w:color="auto"/>
                <w:lang w:val="en-US" w:eastAsia="zh-CN"/>
              </w:rPr>
              <w:t>本项目西侧</w:t>
            </w:r>
            <w:r>
              <w:rPr>
                <w:rFonts w:hint="eastAsia" w:cs="Times New Roman"/>
                <w:color w:val="auto"/>
                <w:sz w:val="21"/>
                <w:szCs w:val="21"/>
                <w:highlight w:val="none"/>
                <w:u w:val="none" w:color="auto"/>
                <w:lang w:val="en-US" w:eastAsia="zh-CN"/>
              </w:rPr>
              <w:t>约330m，且有湘江相隔，本项目施工期扬尘对其影响较小。本项目</w:t>
            </w:r>
            <w:r>
              <w:rPr>
                <w:rFonts w:hint="eastAsia" w:cs="Times New Roman"/>
                <w:color w:val="auto"/>
                <w:kern w:val="0"/>
                <w:szCs w:val="21"/>
                <w:u w:val="none" w:color="auto"/>
                <w:lang w:val="en-US" w:eastAsia="zh-CN"/>
              </w:rPr>
              <w:t>厂界外200m范围内分布有虞公庙居民，项目施工期扬尘对其有一定影响。</w:t>
            </w:r>
            <w:r>
              <w:rPr>
                <w:rFonts w:hint="default" w:ascii="Times New Roman" w:hAnsi="Times New Roman" w:cs="Times New Roman"/>
                <w:color w:val="auto"/>
                <w:kern w:val="0"/>
                <w:szCs w:val="21"/>
                <w:u w:val="none" w:color="auto"/>
                <w:lang w:val="en-US" w:eastAsia="zh-CN"/>
              </w:rPr>
              <w:t>为最大限度降低施工扬尘对周边环境的影响，施工单位必须采取严格的防尘措施。强化建筑施工工地环境管理，施工场地应采取围挡、遮盖、喷淋等防尘措施。</w:t>
            </w:r>
            <w:r>
              <w:rPr>
                <w:rFonts w:hint="default" w:ascii="Times New Roman" w:hAnsi="Times New Roman" w:eastAsia="宋体" w:cs="Times New Roman"/>
                <w:color w:val="auto"/>
              </w:rPr>
              <w:t>针对本项目施工扬尘提出以下治理措施：</w:t>
            </w:r>
          </w:p>
          <w:p>
            <w:pPr>
              <w:pStyle w:val="106"/>
              <w:tabs>
                <w:tab w:val="left" w:pos="7436"/>
              </w:tabs>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①施工场地使用</w:t>
            </w:r>
            <w:r>
              <w:rPr>
                <w:rFonts w:hint="eastAsia" w:ascii="Times New Roman" w:hAnsi="Times New Roman" w:eastAsia="宋体" w:cs="Times New Roman"/>
                <w:color w:val="auto"/>
                <w:lang w:val="en-US" w:eastAsia="zh-CN"/>
              </w:rPr>
              <w:t>商品混凝土</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不</w:t>
            </w:r>
            <w:r>
              <w:rPr>
                <w:rFonts w:hint="default" w:ascii="Times New Roman" w:hAnsi="Times New Roman" w:eastAsia="宋体" w:cs="Times New Roman"/>
                <w:color w:val="auto"/>
                <w:lang w:val="en-US" w:eastAsia="zh-CN"/>
              </w:rPr>
              <w:t>使用散装</w:t>
            </w:r>
            <w:r>
              <w:rPr>
                <w:rFonts w:hint="eastAsia" w:ascii="Times New Roman" w:hAnsi="Times New Roman" w:eastAsia="宋体" w:cs="Times New Roman"/>
                <w:color w:val="auto"/>
                <w:lang w:val="en-US" w:eastAsia="zh-CN"/>
              </w:rPr>
              <w:t>和</w:t>
            </w:r>
            <w:r>
              <w:rPr>
                <w:rFonts w:hint="default" w:ascii="Times New Roman" w:hAnsi="Times New Roman" w:eastAsia="宋体" w:cs="Times New Roman"/>
                <w:color w:val="auto"/>
                <w:lang w:val="en-US" w:eastAsia="zh-CN"/>
              </w:rPr>
              <w:t>袋装水泥。</w:t>
            </w:r>
            <w:r>
              <w:rPr>
                <w:rFonts w:hint="eastAsia" w:cs="Times New Roman"/>
                <w:color w:val="auto"/>
                <w:lang w:val="en-US" w:eastAsia="zh-CN"/>
              </w:rPr>
              <w:tab/>
            </w:r>
          </w:p>
          <w:p>
            <w:pPr>
              <w:pStyle w:val="106"/>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②施工现场出入口地面、施工道路必须硬化，设置临时排水管道及沉淀池，施工废水及雨水经沉淀池沉淀后用于工地洒水抑尘，沉淀淤泥及时清除，施工现场做到无浮土、无积水、无泥泞。</w:t>
            </w:r>
          </w:p>
          <w:p>
            <w:pPr>
              <w:pStyle w:val="106"/>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③施工现场必须设置围挡墙，严禁敞开式作业；施工现场道路、作业区必须进行地面硬化；施工场地必须设置车辆冲洗台，运输车辆应当冲洗干净后出场，并保持出入口通道及道路两侧的整洁。</w:t>
            </w:r>
          </w:p>
          <w:p>
            <w:pPr>
              <w:pStyle w:val="106"/>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④</w:t>
            </w:r>
            <w:r>
              <w:rPr>
                <w:rFonts w:hint="default" w:ascii="Times New Roman" w:hAnsi="Times New Roman" w:cs="Times New Roman"/>
                <w:color w:val="auto"/>
                <w:kern w:val="0"/>
                <w:szCs w:val="21"/>
                <w:u w:val="none" w:color="auto"/>
                <w:lang w:val="en-US" w:eastAsia="zh-CN"/>
              </w:rPr>
              <w:t>工地应配置滞尘防护网，</w:t>
            </w:r>
            <w:r>
              <w:rPr>
                <w:rFonts w:hint="default" w:ascii="Times New Roman" w:hAnsi="Times New Roman" w:eastAsia="宋体" w:cs="Times New Roman"/>
                <w:color w:val="auto"/>
                <w:lang w:val="en-US" w:eastAsia="zh-CN"/>
              </w:rPr>
              <w:t>施工中产生的物料堆应采取</w:t>
            </w:r>
            <w:r>
              <w:rPr>
                <w:rFonts w:hint="default" w:ascii="Times New Roman" w:hAnsi="Times New Roman" w:cs="Times New Roman"/>
                <w:color w:val="auto"/>
                <w:kern w:val="0"/>
                <w:szCs w:val="21"/>
                <w:u w:val="none" w:color="auto"/>
                <w:lang w:val="en-US" w:eastAsia="zh-CN"/>
              </w:rPr>
              <w:t>防尘布</w:t>
            </w:r>
            <w:r>
              <w:rPr>
                <w:rFonts w:hint="default" w:ascii="Times New Roman" w:hAnsi="Times New Roman" w:eastAsia="宋体" w:cs="Times New Roman"/>
                <w:color w:val="auto"/>
                <w:lang w:val="en-US" w:eastAsia="zh-CN"/>
              </w:rPr>
              <w:t>遮盖、洒水</w:t>
            </w:r>
            <w:r>
              <w:rPr>
                <w:rFonts w:hint="eastAsia" w:ascii="Times New Roman" w:hAnsi="Times New Roman" w:eastAsia="宋体" w:cs="Times New Roman"/>
                <w:color w:val="auto"/>
                <w:lang w:val="en-US" w:eastAsia="zh-CN"/>
              </w:rPr>
              <w:t>等</w:t>
            </w:r>
            <w:r>
              <w:rPr>
                <w:rFonts w:hint="default" w:ascii="Times New Roman" w:hAnsi="Times New Roman" w:eastAsia="宋体" w:cs="Times New Roman"/>
                <w:color w:val="auto"/>
                <w:lang w:val="en-US" w:eastAsia="zh-CN"/>
              </w:rPr>
              <w:t>防尘措施；施工产生的建筑垃圾、渣土应当及时清运，不能及时清运的，应当在施工场地内设置临时性密闭堆放设施存放。</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eastAsia="宋体" w:cs="Times New Roman"/>
                <w:color w:val="auto"/>
                <w:lang w:val="en-US" w:eastAsia="zh-CN"/>
              </w:rPr>
              <w:t>⑤定时对运输路线进行清扫，运输车辆出场时必须采取帆布压盖封闭，避免在运输过程中的抛洒现象。</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经严格落实以上扬尘污染防治措施后，施工扬尘的影响范围和程度将得到较大减少和降低，可</w:t>
            </w:r>
            <w:r>
              <w:rPr>
                <w:rFonts w:hint="eastAsia" w:ascii="Times New Roman" w:hAnsi="Times New Roman" w:cs="Times New Roman"/>
                <w:color w:val="auto"/>
                <w:kern w:val="0"/>
                <w:szCs w:val="21"/>
                <w:u w:val="none" w:color="auto"/>
                <w:lang w:val="en-US" w:eastAsia="zh-CN"/>
              </w:rPr>
              <w:t>将施工期扬尘</w:t>
            </w:r>
            <w:r>
              <w:rPr>
                <w:rFonts w:hint="default" w:ascii="Times New Roman" w:hAnsi="Times New Roman" w:cs="Times New Roman"/>
                <w:color w:val="auto"/>
                <w:kern w:val="0"/>
                <w:szCs w:val="21"/>
                <w:u w:val="none" w:color="auto"/>
                <w:lang w:val="en-US" w:eastAsia="zh-CN"/>
              </w:rPr>
              <w:t>对周边环境的影响</w:t>
            </w:r>
            <w:r>
              <w:rPr>
                <w:rFonts w:hint="eastAsia" w:ascii="Times New Roman" w:hAnsi="Times New Roman" w:cs="Times New Roman"/>
                <w:color w:val="auto"/>
                <w:kern w:val="0"/>
                <w:szCs w:val="21"/>
                <w:u w:val="none" w:color="auto"/>
                <w:lang w:val="en-US" w:eastAsia="zh-CN"/>
              </w:rPr>
              <w:t>控制在</w:t>
            </w:r>
            <w:r>
              <w:rPr>
                <w:rFonts w:hint="default" w:ascii="Times New Roman" w:hAnsi="Times New Roman" w:cs="Times New Roman"/>
                <w:color w:val="auto"/>
                <w:kern w:val="0"/>
                <w:szCs w:val="21"/>
                <w:u w:val="none" w:color="auto"/>
                <w:lang w:val="en-US" w:eastAsia="zh-CN"/>
              </w:rPr>
              <w:t>可接受程度内。</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（2）交通运输扬尘</w:t>
            </w:r>
          </w:p>
          <w:p>
            <w:pPr>
              <w:numPr>
                <w:ilvl w:val="0"/>
                <w:numId w:val="0"/>
              </w:numPr>
              <w:autoSpaceDE w:val="0"/>
              <w:autoSpaceDN w:val="0"/>
              <w:adjustRightInd w:val="0"/>
              <w:snapToGrid w:val="0"/>
              <w:spacing w:line="360" w:lineRule="auto"/>
              <w:ind w:firstLine="420" w:firstLineChars="200"/>
              <w:rPr>
                <w:rFonts w:hint="eastAsia" w:ascii="Times New Roman" w:hAnsi="Times New Roman" w:eastAsia="宋体" w:cs="Times New Roman"/>
                <w:color w:val="auto"/>
                <w:kern w:val="0"/>
                <w:sz w:val="21"/>
                <w:szCs w:val="24"/>
                <w:highlight w:val="none"/>
                <w:u w:val="none" w:color="auto"/>
                <w:lang w:val="en-US" w:eastAsia="zh-CN" w:bidi="ar-SA"/>
              </w:rPr>
            </w:pPr>
            <w:r>
              <w:rPr>
                <w:rFonts w:hint="eastAsia" w:cs="Times New Roman"/>
                <w:color w:val="auto"/>
                <w:kern w:val="0"/>
                <w:szCs w:val="21"/>
                <w:u w:val="none" w:color="auto"/>
                <w:lang w:val="en-US" w:eastAsia="zh-CN"/>
              </w:rPr>
              <w:t>本项目交通运输扬尘主要产生于施工材料运输及场地平整回填土方运输等。</w:t>
            </w:r>
            <w:r>
              <w:rPr>
                <w:rFonts w:hint="eastAsia" w:cs="Times New Roman"/>
                <w:color w:val="auto"/>
                <w:kern w:val="0"/>
                <w:sz w:val="21"/>
                <w:szCs w:val="24"/>
                <w:highlight w:val="none"/>
                <w:u w:val="none" w:color="auto"/>
                <w:lang w:val="en-US" w:eastAsia="zh-CN" w:bidi="ar-SA"/>
              </w:rPr>
              <w:t>本项目取土点拟定为本项目建设地点南侧约15.84公里的湘阴县双桥水寨后山</w:t>
            </w:r>
            <w:r>
              <w:rPr>
                <w:rFonts w:hint="eastAsia" w:ascii="Times New Roman" w:hAnsi="Times New Roman" w:eastAsia="宋体" w:cs="Times New Roman"/>
                <w:color w:val="auto"/>
                <w:kern w:val="0"/>
                <w:sz w:val="21"/>
                <w:szCs w:val="24"/>
                <w:highlight w:val="none"/>
                <w:u w:val="none" w:color="auto"/>
                <w:lang w:val="en-US" w:eastAsia="zh-CN" w:bidi="ar-SA"/>
              </w:rPr>
              <w:t>。</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交通运输产生的扬尘是一个非常重要的污染源。物料运输车辆在行驶时滚动的车轮产生扬尘，尤其是重型车辆，产生的扬尘更大，车辆行驶速度越快，产生的扬尘越大，同时，产生的扬尘量与道路的路面情况以及清洁程度有关。</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在同样路面清洁程度条件下，车速越快，扬尘量越大；在同样车速情况下，路面越脏，扬尘量越大。因此限速行驶及保持路面的清洁是减少汽车扬尘的有效手段。</w:t>
            </w:r>
          </w:p>
          <w:p>
            <w:pPr>
              <w:numPr>
                <w:ilvl w:val="0"/>
                <w:numId w:val="0"/>
              </w:numPr>
              <w:autoSpaceDE w:val="0"/>
              <w:autoSpaceDN w:val="0"/>
              <w:adjustRightInd w:val="0"/>
              <w:snapToGrid w:val="0"/>
              <w:spacing w:line="360" w:lineRule="auto"/>
              <w:ind w:firstLine="420" w:firstLineChars="200"/>
              <w:rPr>
                <w:rFonts w:hint="eastAsia"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因此，本项目施工期物料</w:t>
            </w:r>
            <w:r>
              <w:rPr>
                <w:rFonts w:hint="eastAsia" w:cs="Times New Roman"/>
                <w:color w:val="auto"/>
                <w:kern w:val="0"/>
                <w:szCs w:val="21"/>
                <w:u w:val="none" w:color="auto"/>
                <w:lang w:val="en-US" w:eastAsia="zh-CN"/>
              </w:rPr>
              <w:t>、土方</w:t>
            </w:r>
            <w:r>
              <w:rPr>
                <w:rFonts w:hint="eastAsia" w:ascii="Times New Roman" w:hAnsi="Times New Roman" w:cs="Times New Roman"/>
                <w:color w:val="auto"/>
                <w:kern w:val="0"/>
                <w:szCs w:val="21"/>
                <w:u w:val="none" w:color="auto"/>
                <w:lang w:val="en-US" w:eastAsia="zh-CN"/>
              </w:rPr>
              <w:t>运输车辆应限速慢行；</w:t>
            </w:r>
            <w:r>
              <w:rPr>
                <w:rFonts w:hint="default" w:ascii="Times New Roman" w:hAnsi="Times New Roman" w:eastAsia="宋体" w:cs="Times New Roman"/>
                <w:color w:val="auto"/>
                <w:lang w:val="en-US" w:eastAsia="zh-CN"/>
              </w:rPr>
              <w:t>运输车辆</w:t>
            </w:r>
            <w:r>
              <w:rPr>
                <w:rFonts w:hint="eastAsia" w:ascii="Times New Roman" w:hAnsi="Times New Roman" w:eastAsia="宋体" w:cs="Times New Roman"/>
                <w:color w:val="auto"/>
                <w:lang w:val="en-US" w:eastAsia="zh-CN"/>
              </w:rPr>
              <w:t>轮胎</w:t>
            </w:r>
            <w:r>
              <w:rPr>
                <w:rFonts w:hint="default" w:ascii="Times New Roman" w:hAnsi="Times New Roman" w:eastAsia="宋体" w:cs="Times New Roman"/>
                <w:color w:val="auto"/>
                <w:lang w:val="en-US" w:eastAsia="zh-CN"/>
              </w:rPr>
              <w:t>冲洗干净后出场</w:t>
            </w:r>
            <w:r>
              <w:rPr>
                <w:rFonts w:hint="eastAsia" w:ascii="Times New Roman" w:hAnsi="Times New Roman" w:eastAsia="宋体" w:cs="Times New Roman"/>
                <w:color w:val="auto"/>
                <w:lang w:val="en-US" w:eastAsia="zh-CN"/>
              </w:rPr>
              <w:t>；施工现场出入口地面、运输道路硬化；加强地面冲洗，保持地面清洁程度</w:t>
            </w:r>
            <w:r>
              <w:rPr>
                <w:rFonts w:hint="eastAsia" w:cs="Times New Roman"/>
                <w:color w:val="auto"/>
                <w:lang w:val="en-US" w:eastAsia="zh-CN"/>
              </w:rPr>
              <w:t>；</w:t>
            </w:r>
            <w:r>
              <w:rPr>
                <w:rFonts w:hint="default" w:ascii="Times New Roman" w:hAnsi="Times New Roman" w:eastAsia="宋体" w:cs="Times New Roman"/>
                <w:color w:val="auto"/>
                <w:lang w:val="en-US" w:eastAsia="zh-CN"/>
              </w:rPr>
              <w:t>定时对运输路线进行清扫，运输车辆采取帆布压盖封闭</w:t>
            </w:r>
            <w:r>
              <w:rPr>
                <w:rFonts w:hint="eastAsia" w:ascii="Times New Roman" w:hAnsi="Times New Roman" w:eastAsia="宋体" w:cs="Times New Roman"/>
                <w:color w:val="auto"/>
                <w:lang w:val="en-US" w:eastAsia="zh-CN"/>
              </w:rPr>
              <w:t>。</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（3）</w:t>
            </w:r>
            <w:r>
              <w:rPr>
                <w:rFonts w:hint="default" w:ascii="Times New Roman" w:hAnsi="Times New Roman" w:eastAsia="宋体" w:cs="Times New Roman"/>
                <w:color w:val="auto"/>
                <w:kern w:val="0"/>
                <w:szCs w:val="21"/>
                <w:u w:val="none" w:color="auto"/>
                <w:lang w:val="en-US" w:eastAsia="zh-CN"/>
              </w:rPr>
              <w:t>施工机械尾气</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施工机械设备和</w:t>
            </w:r>
            <w:r>
              <w:rPr>
                <w:rFonts w:hint="eastAsia" w:ascii="Times New Roman" w:hAnsi="Times New Roman" w:cs="Times New Roman"/>
                <w:color w:val="auto"/>
                <w:kern w:val="0"/>
                <w:szCs w:val="21"/>
                <w:u w:val="none" w:color="auto"/>
                <w:lang w:val="en-US" w:eastAsia="zh-CN"/>
              </w:rPr>
              <w:t>运输</w:t>
            </w:r>
            <w:r>
              <w:rPr>
                <w:rFonts w:hint="default" w:ascii="Times New Roman" w:hAnsi="Times New Roman" w:cs="Times New Roman"/>
                <w:color w:val="auto"/>
                <w:kern w:val="0"/>
                <w:szCs w:val="21"/>
                <w:u w:val="none" w:color="auto"/>
                <w:lang w:val="en-US" w:eastAsia="zh-CN"/>
              </w:rPr>
              <w:t>车辆</w:t>
            </w:r>
            <w:r>
              <w:rPr>
                <w:rFonts w:hint="eastAsia" w:ascii="Times New Roman" w:hAnsi="Times New Roman" w:cs="Times New Roman"/>
                <w:color w:val="auto"/>
                <w:kern w:val="0"/>
                <w:szCs w:val="21"/>
                <w:u w:val="none" w:color="auto"/>
                <w:lang w:val="en-US" w:eastAsia="zh-CN"/>
              </w:rPr>
              <w:t>在作业过程中会排放</w:t>
            </w:r>
            <w:r>
              <w:rPr>
                <w:rFonts w:hint="default" w:ascii="Times New Roman" w:hAnsi="Times New Roman" w:cs="Times New Roman"/>
                <w:color w:val="auto"/>
                <w:kern w:val="0"/>
                <w:szCs w:val="21"/>
                <w:u w:val="none" w:color="auto"/>
                <w:lang w:val="en-US" w:eastAsia="zh-CN"/>
              </w:rPr>
              <w:t>燃油废气。施工车辆、推土机、挖掘机等因燃油产生的二氧化硫、氮氧化物、一氧化碳、烃类等大气污染物。</w:t>
            </w:r>
            <w:r>
              <w:rPr>
                <w:rFonts w:hint="default" w:ascii="Times New Roman" w:hAnsi="Times New Roman" w:eastAsia="宋体" w:cs="Times New Roman"/>
                <w:color w:val="auto"/>
                <w:lang w:val="en-US" w:eastAsia="zh-CN"/>
              </w:rPr>
              <w:t>施工燃油机械为间断</w:t>
            </w:r>
            <w:r>
              <w:rPr>
                <w:rFonts w:hint="eastAsia" w:ascii="Times New Roman" w:hAnsi="Times New Roman" w:eastAsia="宋体" w:cs="Times New Roman"/>
                <w:color w:val="auto"/>
                <w:lang w:val="en-US" w:eastAsia="zh-CN"/>
              </w:rPr>
              <w:t>作业</w:t>
            </w:r>
            <w:r>
              <w:rPr>
                <w:rFonts w:hint="default" w:ascii="Times New Roman" w:hAnsi="Times New Roman" w:eastAsia="宋体" w:cs="Times New Roman"/>
                <w:color w:val="auto"/>
                <w:lang w:val="en-US" w:eastAsia="zh-CN"/>
              </w:rPr>
              <w:t>，主要集中在土石方工程阶段，</w:t>
            </w:r>
            <w:r>
              <w:rPr>
                <w:rFonts w:hint="default" w:ascii="Times New Roman" w:hAnsi="Times New Roman" w:cs="Times New Roman"/>
                <w:color w:val="auto"/>
                <w:kern w:val="0"/>
                <w:szCs w:val="21"/>
                <w:u w:val="none" w:color="auto"/>
                <w:lang w:val="en-US" w:eastAsia="zh-CN"/>
              </w:rPr>
              <w:t>受这类废气影响的主要为现场施工人员。这种污染源较分散且</w:t>
            </w:r>
            <w:r>
              <w:rPr>
                <w:rFonts w:hint="eastAsia" w:ascii="Times New Roman" w:hAnsi="Times New Roman" w:cs="Times New Roman"/>
                <w:color w:val="auto"/>
                <w:kern w:val="0"/>
                <w:szCs w:val="21"/>
                <w:u w:val="none" w:color="auto"/>
                <w:lang w:val="en-US" w:eastAsia="zh-CN"/>
              </w:rPr>
              <w:t>具有</w:t>
            </w:r>
            <w:r>
              <w:rPr>
                <w:rFonts w:hint="default" w:ascii="Times New Roman" w:hAnsi="Times New Roman" w:cs="Times New Roman"/>
                <w:color w:val="auto"/>
                <w:kern w:val="0"/>
                <w:szCs w:val="21"/>
                <w:u w:val="none" w:color="auto"/>
                <w:lang w:val="en-US" w:eastAsia="zh-CN"/>
              </w:rPr>
              <w:t>流动性，污染物排放量不大，表现为间歇性特征，因此影响是短期和局部的，该项污染源将随着本项目的建成而不再存在。</w:t>
            </w:r>
          </w:p>
          <w:p>
            <w:pPr>
              <w:pStyle w:val="106"/>
              <w:spacing w:line="360" w:lineRule="auto"/>
              <w:ind w:firstLine="480"/>
              <w:rPr>
                <w:rFonts w:hint="eastAsia"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为保证施工作业机械废气对环境空气的影响，施工单位必须使用污染物排放符合国家标准的机械设备和运输车辆，</w:t>
            </w:r>
            <w:r>
              <w:rPr>
                <w:rFonts w:hint="eastAsia" w:cs="Times New Roman"/>
                <w:color w:val="auto"/>
                <w:kern w:val="0"/>
                <w:szCs w:val="21"/>
                <w:u w:val="none" w:color="auto"/>
                <w:lang w:val="en-US" w:eastAsia="zh-CN"/>
              </w:rPr>
              <w:t>非道路移动机械通过国家非道路移动机械环保监管平台进行编码登记，实行号牌管理，</w:t>
            </w:r>
            <w:r>
              <w:rPr>
                <w:rFonts w:hint="default" w:ascii="Times New Roman" w:hAnsi="Times New Roman" w:cs="Times New Roman"/>
                <w:color w:val="auto"/>
                <w:kern w:val="0"/>
                <w:szCs w:val="21"/>
                <w:u w:val="none" w:color="auto"/>
                <w:lang w:val="en-US" w:eastAsia="zh-CN"/>
              </w:rPr>
              <w:t>加强设备和车辆的保养，</w:t>
            </w:r>
            <w:r>
              <w:rPr>
                <w:rFonts w:hint="eastAsia" w:cs="Times New Roman"/>
                <w:color w:val="auto"/>
                <w:kern w:val="0"/>
                <w:szCs w:val="21"/>
                <w:u w:val="none" w:color="auto"/>
                <w:lang w:val="en-US" w:eastAsia="zh-CN"/>
              </w:rPr>
              <w:t>确保尾气达标排放</w:t>
            </w:r>
            <w:r>
              <w:rPr>
                <w:rFonts w:hint="default" w:ascii="Times New Roman" w:hAnsi="Times New Roman" w:cs="Times New Roman"/>
                <w:color w:val="auto"/>
                <w:kern w:val="0"/>
                <w:szCs w:val="21"/>
                <w:u w:val="none" w:color="auto"/>
                <w:lang w:val="en-US" w:eastAsia="zh-CN"/>
              </w:rPr>
              <w:t>使其处于良好的工作状态</w:t>
            </w:r>
            <w:r>
              <w:rPr>
                <w:rFonts w:hint="eastAsia" w:ascii="Times New Roman" w:hAnsi="Times New Roman" w:cs="Times New Roman"/>
                <w:color w:val="auto"/>
                <w:kern w:val="0"/>
                <w:szCs w:val="21"/>
                <w:u w:val="none" w:color="auto"/>
                <w:lang w:val="en-US" w:eastAsia="zh-CN"/>
              </w:rPr>
              <w:t>。</w:t>
            </w:r>
          </w:p>
          <w:p>
            <w:pPr>
              <w:pStyle w:val="106"/>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）装修废气</w:t>
            </w:r>
          </w:p>
          <w:p>
            <w:pPr>
              <w:pStyle w:val="106"/>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建筑装修期间所使用的油漆、胶合板、内墙涂料等装饰材料均会挥发甲醛、苯、甲苯等有毒气体，这将带来环境空气局部的污染。</w:t>
            </w:r>
          </w:p>
          <w:p>
            <w:pPr>
              <w:pStyle w:val="106"/>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室内环境污染影响主要表现为：甲醛、氨、氡、苯和石材的放射性，对人体的危害很大。装修中应采取以下防范措施：</w:t>
            </w:r>
          </w:p>
          <w:p>
            <w:pPr>
              <w:pStyle w:val="106"/>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①装修中应采用符合国家标准的室内装饰和装修材料，这是降低造成室内污染的根本。</w:t>
            </w:r>
          </w:p>
          <w:p>
            <w:pPr>
              <w:pStyle w:val="106"/>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②装修后不宜立即投入使用，通常要通风换气30天左右。</w:t>
            </w:r>
          </w:p>
          <w:p>
            <w:pPr>
              <w:pStyle w:val="106"/>
              <w:spacing w:line="360" w:lineRule="auto"/>
              <w:ind w:firstLine="480"/>
              <w:rPr>
                <w:rFonts w:hint="default" w:ascii="Times New Roman" w:hAnsi="Times New Roman" w:cs="Times New Roman"/>
                <w:color w:val="auto"/>
                <w:kern w:val="0"/>
                <w:szCs w:val="21"/>
                <w:u w:val="none" w:color="auto"/>
                <w:lang w:val="en-US" w:eastAsia="zh-CN"/>
              </w:rPr>
            </w:pPr>
            <w:r>
              <w:rPr>
                <w:rFonts w:hint="default" w:ascii="Times New Roman" w:hAnsi="Times New Roman" w:eastAsia="宋体" w:cs="Times New Roman"/>
                <w:color w:val="auto"/>
                <w:lang w:val="en-US" w:eastAsia="zh-CN"/>
              </w:rPr>
              <w:t>③保持室内的空气流通，也可在室内有选择的进行养花植草，既可美化室内环境，又可降低室内有害气体的浓度。</w:t>
            </w:r>
          </w:p>
          <w:p>
            <w:pPr>
              <w:pStyle w:val="106"/>
              <w:spacing w:line="360" w:lineRule="auto"/>
              <w:ind w:left="0" w:leftChars="0"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val="en-US" w:eastAsia="zh-CN"/>
              </w:rPr>
              <w:t>2、</w:t>
            </w:r>
            <w:r>
              <w:rPr>
                <w:rFonts w:hint="eastAsia" w:ascii="Times New Roman" w:hAnsi="Times New Roman" w:eastAsia="宋体" w:cs="Times New Roman"/>
                <w:b/>
                <w:bCs/>
                <w:color w:val="auto"/>
                <w:lang w:val="en-US" w:eastAsia="zh-CN"/>
              </w:rPr>
              <w:t>施工废水影响及</w:t>
            </w:r>
            <w:r>
              <w:rPr>
                <w:rFonts w:hint="eastAsia" w:ascii="Times New Roman" w:hAnsi="Times New Roman" w:eastAsia="宋体" w:cs="Times New Roman"/>
                <w:b/>
                <w:bCs/>
                <w:color w:val="auto"/>
              </w:rPr>
              <w:t>保护措施</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在施工期中废水的产生主要包括施工废水和施工人员产生的生活污水。</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（1）施工废水</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施工期</w:t>
            </w:r>
            <w:r>
              <w:rPr>
                <w:rFonts w:hint="default" w:ascii="Times New Roman" w:hAnsi="Times New Roman" w:cs="Times New Roman"/>
                <w:color w:val="auto"/>
                <w:kern w:val="0"/>
                <w:szCs w:val="21"/>
                <w:u w:val="none" w:color="auto"/>
                <w:lang w:val="en-US" w:eastAsia="zh-CN"/>
              </w:rPr>
              <w:t>产生的废水主要为各种施工机械冲洗废水等，主要污染物为SS及少量油污，施工单位在施工现场四周建设截水沟和沉淀池，将施工废水进行适当的沉淀处理后回用施工降尘。沉淀下的泥浆或固体废物，应与建筑垃圾一起处置，不得混入生活垃圾中。施工废水经过处理后，不会对周围地表水环境产生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（2）生活污水</w:t>
            </w:r>
          </w:p>
          <w:p>
            <w:pPr>
              <w:numPr>
                <w:ilvl w:val="0"/>
                <w:numId w:val="0"/>
              </w:numPr>
              <w:autoSpaceDE w:val="0"/>
              <w:autoSpaceDN w:val="0"/>
              <w:adjustRightInd w:val="0"/>
              <w:snapToGrid w:val="0"/>
              <w:spacing w:line="360" w:lineRule="auto"/>
              <w:ind w:firstLine="420" w:firstLineChars="200"/>
              <w:rPr>
                <w:rFonts w:hint="eastAsia"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项目施工场地的施工人员生活污水</w:t>
            </w:r>
            <w:r>
              <w:rPr>
                <w:rFonts w:hint="eastAsia" w:ascii="Times New Roman" w:hAnsi="Times New Roman" w:cs="Times New Roman"/>
                <w:color w:val="auto"/>
                <w:kern w:val="0"/>
                <w:szCs w:val="21"/>
                <w:u w:val="none" w:color="auto"/>
                <w:lang w:val="en-US" w:eastAsia="zh-CN"/>
              </w:rPr>
              <w:t>依托虞公港码头现有生活污水处理站处理后用于厂区绿化，不外排。</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eastAsia="宋体" w:cs="Times New Roman"/>
                <w:color w:val="auto"/>
              </w:rPr>
              <w:t>经采取以上措施后，施工期产生</w:t>
            </w:r>
            <w:r>
              <w:rPr>
                <w:rFonts w:hint="eastAsia" w:ascii="Times New Roman" w:hAnsi="Times New Roman" w:eastAsia="宋体" w:cs="Times New Roman"/>
                <w:color w:val="auto"/>
                <w:lang w:eastAsia="zh-CN"/>
              </w:rPr>
              <w:t>的施工</w:t>
            </w:r>
            <w:r>
              <w:rPr>
                <w:rFonts w:hint="default" w:ascii="Times New Roman" w:hAnsi="Times New Roman" w:eastAsia="宋体" w:cs="Times New Roman"/>
                <w:color w:val="auto"/>
              </w:rPr>
              <w:t>废水</w:t>
            </w:r>
            <w:r>
              <w:rPr>
                <w:rFonts w:hint="eastAsia" w:ascii="Times New Roman" w:hAnsi="Times New Roman" w:eastAsia="宋体" w:cs="Times New Roman"/>
                <w:color w:val="auto"/>
                <w:lang w:eastAsia="zh-CN"/>
              </w:rPr>
              <w:t>、生活污水</w:t>
            </w:r>
            <w:r>
              <w:rPr>
                <w:rFonts w:hint="default" w:ascii="Times New Roman" w:hAnsi="Times New Roman" w:cs="Times New Roman"/>
                <w:color w:val="auto"/>
                <w:kern w:val="0"/>
                <w:szCs w:val="21"/>
                <w:u w:val="none" w:color="auto"/>
                <w:lang w:val="en-US" w:eastAsia="zh-CN"/>
              </w:rPr>
              <w:t>不会对周围地表水环境产生影响。</w:t>
            </w:r>
          </w:p>
          <w:p>
            <w:pPr>
              <w:pStyle w:val="106"/>
              <w:spacing w:line="360" w:lineRule="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3、</w:t>
            </w:r>
            <w:r>
              <w:rPr>
                <w:rFonts w:hint="eastAsia" w:ascii="Times New Roman" w:hAnsi="Times New Roman" w:eastAsia="宋体" w:cs="Times New Roman"/>
                <w:b/>
                <w:bCs/>
                <w:color w:val="auto"/>
                <w:lang w:val="en-US" w:eastAsia="zh-CN"/>
              </w:rPr>
              <w:t>施工噪声影响及</w:t>
            </w:r>
            <w:r>
              <w:rPr>
                <w:rFonts w:hint="eastAsia" w:ascii="Times New Roman" w:hAnsi="Times New Roman" w:eastAsia="宋体" w:cs="Times New Roman"/>
                <w:b/>
                <w:bCs/>
                <w:color w:val="auto"/>
              </w:rPr>
              <w:t>保护措施</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（1）噪声源强</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施工期噪声主要是施工现场的各类机械噪声、施工作业噪声以及交通噪声。机械噪声主要由施工机械造成，如挖掘机、装载机、推土机等，以点声源为主；施工作业噪声主要指一些零星的敲打声、装卸车辆的撞击声、吆喝拆卸模板的撞击声等，多为瞬时噪声。在这些施工噪声中，对声环境影响最大的是机械噪声。</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大部分施工机械设备作业噪声值在距声源15m处为70~90dB(A)，这些噪声均为间歇性非稳定声源，对拟建项目的周边声环境将产生一定影响，这些影响随建设期的结束而结束。</w:t>
            </w:r>
            <w:r>
              <w:rPr>
                <w:rFonts w:hint="eastAsia" w:ascii="Times New Roman" w:hAnsi="Times New Roman" w:cs="Times New Roman"/>
                <w:color w:val="auto"/>
                <w:kern w:val="0"/>
                <w:szCs w:val="21"/>
                <w:u w:val="none" w:color="auto"/>
                <w:lang w:val="en-US" w:eastAsia="zh-CN"/>
              </w:rPr>
              <w:t>主要施工机械噪声的影响预测结果如下：</w:t>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
            </w:pPr>
            <w:r>
              <w:rPr>
                <w:rFonts w:hint="default" w:ascii="Times New Roman" w:hAnsi="Times New Roman" w:eastAsia="宋体" w:cs="Times New Roman"/>
                <w:b/>
                <w:bCs/>
                <w:color w:val="auto"/>
                <w:kern w:val="0"/>
                <w:szCs w:val="21"/>
                <w:u w:val="none" w:color="auto"/>
                <w:lang w:val="en-US" w:eastAsia="zh-CN"/>
              </w:rPr>
              <w:t>表4-</w:t>
            </w:r>
            <w:r>
              <w:rPr>
                <w:rFonts w:hint="eastAsia" w:cs="Times New Roman"/>
                <w:b/>
                <w:bCs/>
                <w:color w:val="auto"/>
                <w:kern w:val="0"/>
                <w:szCs w:val="21"/>
                <w:u w:val="none" w:color="auto"/>
                <w:lang w:val="en-US" w:eastAsia="zh-CN"/>
              </w:rPr>
              <w:t>2</w:t>
            </w:r>
            <w:r>
              <w:rPr>
                <w:rFonts w:hint="default" w:ascii="Times New Roman" w:hAnsi="Times New Roman" w:eastAsia="宋体" w:cs="Times New Roman"/>
                <w:b/>
                <w:bCs/>
                <w:color w:val="auto"/>
                <w:kern w:val="0"/>
                <w:szCs w:val="21"/>
                <w:u w:val="none" w:color="auto"/>
                <w:lang w:val="en-US" w:eastAsia="zh-CN"/>
              </w:rPr>
              <w:t xml:space="preserve">  施工期噪声影响预测结果表单位：dB(A)</w:t>
            </w:r>
          </w:p>
          <w:tbl>
            <w:tblPr>
              <w:tblStyle w:val="31"/>
              <w:tblW w:w="4998" w:type="pct"/>
              <w:tblInd w:w="-2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81"/>
              <w:gridCol w:w="800"/>
              <w:gridCol w:w="735"/>
              <w:gridCol w:w="776"/>
              <w:gridCol w:w="732"/>
              <w:gridCol w:w="752"/>
              <w:gridCol w:w="710"/>
              <w:gridCol w:w="705"/>
              <w:gridCol w:w="732"/>
              <w:gridCol w:w="81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1" w:hRule="atLeast"/>
              </w:trPr>
              <w:tc>
                <w:tcPr>
                  <w:tcW w:w="744"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机械名称</w:t>
                  </w:r>
                </w:p>
              </w:tc>
              <w:tc>
                <w:tcPr>
                  <w:tcW w:w="967" w:type="pct"/>
                  <w:gridSpan w:val="2"/>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场界标准限值</w:t>
                  </w:r>
                </w:p>
              </w:tc>
              <w:tc>
                <w:tcPr>
                  <w:tcW w:w="3287" w:type="pct"/>
                  <w:gridSpan w:val="7"/>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距离施工机械不同距离(m)时的噪声预测值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1" w:hRule="atLeast"/>
              </w:trPr>
              <w:tc>
                <w:tcPr>
                  <w:tcW w:w="744"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p>
              </w:tc>
              <w:tc>
                <w:tcPr>
                  <w:tcW w:w="50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昼间</w:t>
                  </w:r>
                </w:p>
              </w:tc>
              <w:tc>
                <w:tcPr>
                  <w:tcW w:w="462"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夜间</w:t>
                  </w:r>
                </w:p>
              </w:tc>
              <w:tc>
                <w:tcPr>
                  <w:tcW w:w="489"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5</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20</w:t>
                  </w:r>
                </w:p>
              </w:tc>
              <w:tc>
                <w:tcPr>
                  <w:tcW w:w="47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40</w:t>
                  </w:r>
                </w:p>
              </w:tc>
              <w:tc>
                <w:tcPr>
                  <w:tcW w:w="44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80</w:t>
                  </w:r>
                </w:p>
              </w:tc>
              <w:tc>
                <w:tcPr>
                  <w:tcW w:w="4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100</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150</w:t>
                  </w:r>
                </w:p>
              </w:tc>
              <w:tc>
                <w:tcPr>
                  <w:tcW w:w="50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1" w:hRule="atLeast"/>
              </w:trPr>
              <w:tc>
                <w:tcPr>
                  <w:tcW w:w="7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挖掘机</w:t>
                  </w:r>
                </w:p>
              </w:tc>
              <w:tc>
                <w:tcPr>
                  <w:tcW w:w="504"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70</w:t>
                  </w:r>
                </w:p>
              </w:tc>
              <w:tc>
                <w:tcPr>
                  <w:tcW w:w="462"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55</w:t>
                  </w:r>
                </w:p>
              </w:tc>
              <w:tc>
                <w:tcPr>
                  <w:tcW w:w="489"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85</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73</w:t>
                  </w:r>
                </w:p>
              </w:tc>
              <w:tc>
                <w:tcPr>
                  <w:tcW w:w="47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67</w:t>
                  </w:r>
                </w:p>
              </w:tc>
              <w:tc>
                <w:tcPr>
                  <w:tcW w:w="44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61</w:t>
                  </w:r>
                </w:p>
              </w:tc>
              <w:tc>
                <w:tcPr>
                  <w:tcW w:w="4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59</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55</w:t>
                  </w:r>
                </w:p>
              </w:tc>
              <w:tc>
                <w:tcPr>
                  <w:tcW w:w="50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51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1" w:hRule="atLeast"/>
              </w:trPr>
              <w:tc>
                <w:tcPr>
                  <w:tcW w:w="7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推土机</w:t>
                  </w:r>
                </w:p>
              </w:tc>
              <w:tc>
                <w:tcPr>
                  <w:tcW w:w="504"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p>
              </w:tc>
              <w:tc>
                <w:tcPr>
                  <w:tcW w:w="462"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p>
              </w:tc>
              <w:tc>
                <w:tcPr>
                  <w:tcW w:w="489"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84</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72</w:t>
                  </w:r>
                </w:p>
              </w:tc>
              <w:tc>
                <w:tcPr>
                  <w:tcW w:w="47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66</w:t>
                  </w:r>
                </w:p>
              </w:tc>
              <w:tc>
                <w:tcPr>
                  <w:tcW w:w="44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60</w:t>
                  </w:r>
                </w:p>
              </w:tc>
              <w:tc>
                <w:tcPr>
                  <w:tcW w:w="4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58</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54</w:t>
                  </w:r>
                </w:p>
              </w:tc>
              <w:tc>
                <w:tcPr>
                  <w:tcW w:w="50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7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装载机</w:t>
                  </w:r>
                </w:p>
              </w:tc>
              <w:tc>
                <w:tcPr>
                  <w:tcW w:w="504"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p>
              </w:tc>
              <w:tc>
                <w:tcPr>
                  <w:tcW w:w="462"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p>
              </w:tc>
              <w:tc>
                <w:tcPr>
                  <w:tcW w:w="489"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78</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66</w:t>
                  </w:r>
                </w:p>
              </w:tc>
              <w:tc>
                <w:tcPr>
                  <w:tcW w:w="47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60</w:t>
                  </w:r>
                </w:p>
              </w:tc>
              <w:tc>
                <w:tcPr>
                  <w:tcW w:w="44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54</w:t>
                  </w:r>
                </w:p>
              </w:tc>
              <w:tc>
                <w:tcPr>
                  <w:tcW w:w="4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52</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48</w:t>
                  </w:r>
                </w:p>
              </w:tc>
              <w:tc>
                <w:tcPr>
                  <w:tcW w:w="50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46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7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运输车辆</w:t>
                  </w:r>
                </w:p>
              </w:tc>
              <w:tc>
                <w:tcPr>
                  <w:tcW w:w="504"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p>
              </w:tc>
              <w:tc>
                <w:tcPr>
                  <w:tcW w:w="462"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p>
              </w:tc>
              <w:tc>
                <w:tcPr>
                  <w:tcW w:w="489"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87</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75</w:t>
                  </w:r>
                </w:p>
              </w:tc>
              <w:tc>
                <w:tcPr>
                  <w:tcW w:w="47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69</w:t>
                  </w:r>
                </w:p>
              </w:tc>
              <w:tc>
                <w:tcPr>
                  <w:tcW w:w="44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63</w:t>
                  </w:r>
                </w:p>
              </w:tc>
              <w:tc>
                <w:tcPr>
                  <w:tcW w:w="4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61</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57</w:t>
                  </w:r>
                </w:p>
              </w:tc>
              <w:tc>
                <w:tcPr>
                  <w:tcW w:w="50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55</w:t>
                  </w:r>
                </w:p>
              </w:tc>
            </w:tr>
          </w:tbl>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由上表可以看出，在采用噪声强度较大的施工机械昼间施工时，项目</w:t>
            </w:r>
            <w:r>
              <w:rPr>
                <w:rFonts w:hint="eastAsia" w:ascii="Times New Roman" w:hAnsi="Times New Roman" w:cs="Times New Roman"/>
                <w:color w:val="auto"/>
                <w:kern w:val="0"/>
                <w:szCs w:val="21"/>
                <w:u w:val="none" w:color="auto"/>
                <w:lang w:val="en-US" w:eastAsia="zh-CN"/>
              </w:rPr>
              <w:t>厂界外</w:t>
            </w:r>
            <w:r>
              <w:rPr>
                <w:rFonts w:hint="default" w:ascii="Times New Roman" w:hAnsi="Times New Roman" w:cs="Times New Roman"/>
                <w:color w:val="auto"/>
                <w:kern w:val="0"/>
                <w:szCs w:val="21"/>
                <w:u w:val="none" w:color="auto"/>
                <w:lang w:val="en-US" w:eastAsia="zh-CN"/>
              </w:rPr>
              <w:t>100m范围以内的施工噪声贡献值方可满足《声环境质量标准》(GB3096-2008)2类标准。</w:t>
            </w:r>
            <w:r>
              <w:rPr>
                <w:rFonts w:hint="eastAsia" w:cs="Times New Roman"/>
                <w:color w:val="auto"/>
                <w:kern w:val="0"/>
                <w:szCs w:val="21"/>
                <w:u w:val="none" w:color="auto"/>
                <w:lang w:val="en-US" w:eastAsia="zh-CN"/>
              </w:rPr>
              <w:t>项目厂界及运输道路两侧100m范围内有虞公庙居民分布，</w:t>
            </w:r>
            <w:r>
              <w:rPr>
                <w:rFonts w:hint="default" w:ascii="Times New Roman" w:hAnsi="Times New Roman" w:cs="Times New Roman"/>
                <w:color w:val="auto"/>
                <w:kern w:val="0"/>
                <w:szCs w:val="21"/>
                <w:u w:val="none" w:color="auto"/>
                <w:lang w:val="en-US" w:eastAsia="zh-CN"/>
              </w:rPr>
              <w:t>为了更好的保护区域的声环境，施工单位</w:t>
            </w:r>
            <w:r>
              <w:rPr>
                <w:rFonts w:hint="eastAsia" w:ascii="Times New Roman" w:hAnsi="Times New Roman" w:cs="Times New Roman"/>
                <w:color w:val="auto"/>
                <w:kern w:val="0"/>
                <w:szCs w:val="21"/>
                <w:u w:val="none" w:color="auto"/>
                <w:lang w:val="en-US" w:eastAsia="zh-CN"/>
              </w:rPr>
              <w:t>应采取以下措施：</w:t>
            </w:r>
          </w:p>
          <w:p>
            <w:pPr>
              <w:pStyle w:val="106"/>
              <w:spacing w:line="360" w:lineRule="auto"/>
              <w:ind w:firstLine="480"/>
              <w:rPr>
                <w:rFonts w:hint="eastAsia" w:ascii="Times New Roman" w:hAnsi="Times New Roman" w:cs="Times New Roman"/>
                <w:color w:val="auto"/>
                <w:kern w:val="0"/>
                <w:szCs w:val="21"/>
                <w:u w:val="none" w:color="auto"/>
                <w:lang w:val="en-US" w:eastAsia="zh-CN"/>
              </w:rPr>
            </w:pPr>
            <w:r>
              <w:rPr>
                <w:rFonts w:hint="eastAsia" w:ascii="Times New Roman" w:hAnsi="Times New Roman" w:eastAsia="宋体" w:cs="Times New Roman"/>
                <w:color w:val="auto"/>
                <w:lang w:eastAsia="zh-CN"/>
              </w:rPr>
              <w:t>①）优先选取低噪声设备。</w:t>
            </w:r>
            <w:r>
              <w:rPr>
                <w:rFonts w:hint="default" w:ascii="Times New Roman" w:hAnsi="Times New Roman" w:cs="Times New Roman"/>
                <w:color w:val="auto"/>
                <w:kern w:val="0"/>
                <w:szCs w:val="21"/>
                <w:u w:val="none" w:color="auto"/>
                <w:lang w:val="en-US" w:eastAsia="zh-CN"/>
              </w:rPr>
              <w:t>合理安排施工机械布局</w:t>
            </w:r>
            <w:r>
              <w:rPr>
                <w:rFonts w:hint="eastAsia" w:ascii="Times New Roman" w:hAnsi="Times New Roman" w:cs="Times New Roman"/>
                <w:color w:val="auto"/>
                <w:kern w:val="0"/>
                <w:szCs w:val="21"/>
                <w:u w:val="none" w:color="auto"/>
                <w:lang w:val="en-US" w:eastAsia="zh-CN"/>
              </w:rPr>
              <w:t>，高噪声设备布局尽量远离声环境敏感目标；</w:t>
            </w:r>
          </w:p>
          <w:p>
            <w:pPr>
              <w:pStyle w:val="106"/>
              <w:spacing w:line="360" w:lineRule="auto"/>
              <w:ind w:firstLine="480"/>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②</w:t>
            </w:r>
            <w:r>
              <w:rPr>
                <w:rFonts w:hint="default" w:ascii="Times New Roman" w:hAnsi="Times New Roman" w:eastAsia="宋体" w:cs="Times New Roman"/>
                <w:color w:val="auto"/>
              </w:rPr>
              <w:t>施工方合理安排施工时间，并于</w:t>
            </w:r>
            <w:r>
              <w:rPr>
                <w:rFonts w:hint="eastAsia" w:ascii="Times New Roman" w:hAnsi="Times New Roman" w:eastAsia="宋体" w:cs="Times New Roman"/>
                <w:color w:val="auto"/>
                <w:lang w:eastAsia="zh-CN"/>
              </w:rPr>
              <w:t>施工场界</w:t>
            </w:r>
            <w:r>
              <w:rPr>
                <w:rFonts w:hint="default" w:ascii="Times New Roman" w:hAnsi="Times New Roman" w:eastAsia="宋体" w:cs="Times New Roman"/>
                <w:color w:val="auto"/>
              </w:rPr>
              <w:t>周边设施工围挡；</w:t>
            </w:r>
          </w:p>
          <w:p>
            <w:pPr>
              <w:pStyle w:val="106"/>
              <w:ind w:firstLine="480"/>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③</w:t>
            </w:r>
            <w:r>
              <w:rPr>
                <w:rFonts w:hint="default" w:ascii="Times New Roman" w:hAnsi="Times New Roman" w:eastAsia="宋体" w:cs="Times New Roman"/>
                <w:color w:val="auto"/>
              </w:rPr>
              <w:t>必须严格控制作业时间，夜间22:00-早上6:00及中午12:00-14:00 禁止施工；</w:t>
            </w:r>
          </w:p>
          <w:p>
            <w:pPr>
              <w:pStyle w:val="106"/>
              <w:ind w:firstLine="48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④</w:t>
            </w:r>
            <w:r>
              <w:rPr>
                <w:rFonts w:hint="default" w:ascii="Times New Roman" w:hAnsi="Times New Roman" w:eastAsia="宋体" w:cs="Times New Roman"/>
                <w:color w:val="auto"/>
              </w:rPr>
              <w:t>应加快施工进度提高施工效率，减少施工期总用时</w:t>
            </w:r>
            <w:r>
              <w:rPr>
                <w:rFonts w:hint="eastAsia" w:ascii="Times New Roman" w:hAnsi="Times New Roman" w:eastAsia="宋体" w:cs="Times New Roman"/>
                <w:color w:val="auto"/>
                <w:lang w:eastAsia="zh-CN"/>
              </w:rPr>
              <w:t>；</w:t>
            </w:r>
          </w:p>
          <w:p>
            <w:pPr>
              <w:pStyle w:val="106"/>
              <w:ind w:firstLine="480"/>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⑤</w:t>
            </w:r>
            <w:r>
              <w:rPr>
                <w:rFonts w:hint="default" w:ascii="Times New Roman" w:hAnsi="Times New Roman" w:cs="Times New Roman"/>
                <w:color w:val="auto"/>
                <w:kern w:val="0"/>
                <w:szCs w:val="21"/>
                <w:u w:val="none" w:color="auto"/>
                <w:lang w:val="en-US" w:eastAsia="zh-CN"/>
              </w:rPr>
              <w:t>加强对运输车辆的管理，在经过或靠近环境敏感点的路段应减速行驶、禁止鸣笛、禁止在夜间运输建材或建筑垃圾</w:t>
            </w:r>
            <w:r>
              <w:rPr>
                <w:rFonts w:hint="default" w:ascii="Times New Roman" w:hAnsi="Times New Roman" w:eastAsia="宋体" w:cs="Times New Roman"/>
                <w:color w:val="auto"/>
              </w:rPr>
              <w:t>。</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eastAsia="宋体" w:cs="Times New Roman"/>
                <w:color w:val="auto"/>
              </w:rPr>
              <w:t>施工期噪声随着施工的结束而结束，采取以上措施后，施工期噪声对周围环境影响较小。</w:t>
            </w:r>
          </w:p>
          <w:p>
            <w:pPr>
              <w:numPr>
                <w:ilvl w:val="0"/>
                <w:numId w:val="0"/>
              </w:numPr>
              <w:autoSpaceDE w:val="0"/>
              <w:autoSpaceDN w:val="0"/>
              <w:adjustRightInd w:val="0"/>
              <w:snapToGrid w:val="0"/>
              <w:spacing w:line="360" w:lineRule="auto"/>
              <w:rPr>
                <w:rFonts w:hint="default" w:ascii="Times New Roman" w:hAnsi="Times New Roman" w:eastAsia="宋体" w:cs="Times New Roman"/>
                <w:b/>
                <w:bCs/>
                <w:color w:val="auto"/>
                <w:kern w:val="0"/>
                <w:sz w:val="21"/>
                <w:szCs w:val="20"/>
                <w:lang w:val="en-US" w:eastAsia="zh-CN" w:bidi="ar-SA"/>
              </w:rPr>
            </w:pPr>
            <w:r>
              <w:rPr>
                <w:rFonts w:hint="eastAsia" w:cs="Times New Roman"/>
                <w:b/>
                <w:bCs/>
                <w:color w:val="auto"/>
                <w:kern w:val="0"/>
                <w:sz w:val="21"/>
                <w:szCs w:val="20"/>
                <w:lang w:val="en-US" w:eastAsia="zh-CN" w:bidi="ar-SA"/>
              </w:rPr>
              <w:t xml:space="preserve">    4、</w:t>
            </w:r>
            <w:r>
              <w:rPr>
                <w:rFonts w:hint="eastAsia" w:ascii="Times New Roman" w:hAnsi="Times New Roman" w:eastAsia="宋体" w:cs="Times New Roman"/>
                <w:b/>
                <w:bCs/>
                <w:color w:val="auto"/>
                <w:kern w:val="0"/>
                <w:sz w:val="21"/>
                <w:szCs w:val="20"/>
                <w:lang w:val="en-US" w:eastAsia="zh-CN" w:bidi="ar-SA"/>
              </w:rPr>
              <w:t>施工固废影响及保护措施</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建设期间的固体废物主要为施工人员的生活垃圾、建筑垃圾。</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w:t>
            </w:r>
            <w:r>
              <w:rPr>
                <w:rFonts w:hint="eastAsia" w:ascii="Times New Roman" w:hAnsi="Times New Roman" w:cs="Times New Roman"/>
                <w:color w:val="auto"/>
                <w:kern w:val="0"/>
                <w:szCs w:val="21"/>
                <w:u w:val="none" w:color="auto"/>
                <w:lang w:val="en-US" w:eastAsia="zh-CN"/>
              </w:rPr>
              <w:t>1</w:t>
            </w:r>
            <w:r>
              <w:rPr>
                <w:rFonts w:hint="default" w:ascii="Times New Roman" w:hAnsi="Times New Roman" w:cs="Times New Roman"/>
                <w:color w:val="auto"/>
                <w:kern w:val="0"/>
                <w:szCs w:val="21"/>
                <w:u w:val="none" w:color="auto"/>
                <w:lang w:val="en-US" w:eastAsia="zh-CN"/>
              </w:rPr>
              <w:t>）生活垃圾</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
            </w:pPr>
            <w:r>
              <w:rPr>
                <w:rFonts w:hint="default" w:ascii="Times New Roman" w:hAnsi="Times New Roman" w:cs="Times New Roman"/>
                <w:color w:val="auto"/>
                <w:kern w:val="0"/>
                <w:szCs w:val="21"/>
                <w:u w:val="none" w:color="auto"/>
                <w:lang w:val="en-US" w:eastAsia="zh-CN"/>
              </w:rPr>
              <w:t>项目在施工时设置垃圾</w:t>
            </w:r>
            <w:r>
              <w:rPr>
                <w:rFonts w:hint="eastAsia" w:ascii="Times New Roman" w:hAnsi="Times New Roman" w:cs="Times New Roman"/>
                <w:color w:val="auto"/>
                <w:kern w:val="0"/>
                <w:szCs w:val="21"/>
                <w:u w:val="none" w:color="auto"/>
                <w:lang w:val="en-US" w:eastAsia="zh-CN"/>
              </w:rPr>
              <w:t>桶</w:t>
            </w:r>
            <w:r>
              <w:rPr>
                <w:rFonts w:hint="default" w:ascii="Times New Roman" w:hAnsi="Times New Roman" w:cs="Times New Roman"/>
                <w:color w:val="auto"/>
                <w:kern w:val="0"/>
                <w:szCs w:val="21"/>
                <w:u w:val="none" w:color="auto"/>
                <w:lang w:val="en-US" w:eastAsia="zh-CN"/>
              </w:rPr>
              <w:t>，</w:t>
            </w:r>
            <w:r>
              <w:rPr>
                <w:rFonts w:hint="default" w:ascii="Times New Roman" w:hAnsi="Times New Roman" w:eastAsia="宋体" w:cs="Times New Roman"/>
                <w:color w:val="auto"/>
              </w:rPr>
              <w:t>工期生活垃圾收集后交环卫部门处理，及时清运，避免产生二次污染</w:t>
            </w:r>
            <w:r>
              <w:rPr>
                <w:rFonts w:hint="default" w:ascii="Times New Roman" w:hAnsi="Times New Roman" w:cs="Times New Roman"/>
                <w:color w:val="auto"/>
                <w:kern w:val="0"/>
                <w:szCs w:val="21"/>
                <w:u w:val="none" w:color="auto"/>
                <w:lang w:val="en-US" w:eastAsia="zh-CN"/>
              </w:rPr>
              <w:t>。</w:t>
            </w:r>
          </w:p>
          <w:p>
            <w:pPr>
              <w:pStyle w:val="52"/>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val="en-US" w:eastAsia="zh-CN"/>
              </w:rPr>
              <w:t>2</w:t>
            </w:r>
            <w:r>
              <w:rPr>
                <w:rFonts w:hint="default" w:ascii="Times New Roman" w:hAnsi="Times New Roman" w:eastAsia="宋体" w:cs="Times New Roman"/>
                <w:color w:val="auto"/>
                <w:kern w:val="0"/>
                <w:sz w:val="21"/>
                <w:szCs w:val="21"/>
                <w:u w:val="none" w:color="auto"/>
                <w:lang w:val="en-US" w:eastAsia="zh-CN"/>
              </w:rPr>
              <w:t>）建筑垃圾</w:t>
            </w:r>
          </w:p>
          <w:p>
            <w:pPr>
              <w:pStyle w:val="107"/>
              <w:spacing w:line="360" w:lineRule="auto"/>
              <w:ind w:firstLine="420" w:firstLineChars="200"/>
              <w:rPr>
                <w:rFonts w:hint="default" w:ascii="Times New Roman" w:hAnsi="Times New Roman" w:cs="Times New Roman"/>
                <w:color w:val="auto"/>
                <w:kern w:val="0"/>
                <w:sz w:val="21"/>
                <w:szCs w:val="21"/>
                <w:u w:val="none" w:color="auto"/>
                <w:lang w:eastAsia="zh-CN"/>
              </w:rPr>
            </w:pPr>
            <w:r>
              <w:rPr>
                <w:rFonts w:hint="default" w:ascii="Times New Roman" w:hAnsi="Times New Roman" w:cs="Times New Roman"/>
                <w:color w:val="auto"/>
                <w:kern w:val="0"/>
                <w:sz w:val="21"/>
                <w:szCs w:val="21"/>
                <w:u w:val="none" w:color="auto"/>
              </w:rPr>
              <w:t>建筑垃圾的产生主要是施工期中建材损耗产生的垃圾、装修产生的废弃材料</w:t>
            </w:r>
            <w:r>
              <w:rPr>
                <w:rFonts w:hint="eastAsia" w:ascii="Times New Roman" w:hAnsi="Times New Roman" w:cs="Times New Roman"/>
                <w:color w:val="auto"/>
                <w:kern w:val="0"/>
                <w:sz w:val="21"/>
                <w:szCs w:val="21"/>
                <w:u w:val="none" w:color="auto"/>
                <w:lang w:eastAsia="zh-CN"/>
              </w:rPr>
              <w:t>如</w:t>
            </w:r>
            <w:r>
              <w:rPr>
                <w:rFonts w:hint="default" w:ascii="Times New Roman" w:hAnsi="Times New Roman" w:cs="Times New Roman"/>
                <w:color w:val="auto"/>
                <w:kern w:val="0"/>
                <w:sz w:val="21"/>
                <w:szCs w:val="21"/>
                <w:u w:val="none" w:color="auto"/>
              </w:rPr>
              <w:t>碎砖块、碎木料、锯木屑、废金属、钢筋、铁丝等</w:t>
            </w:r>
            <w:r>
              <w:rPr>
                <w:rFonts w:hint="eastAsia" w:ascii="Times New Roman" w:hAnsi="Times New Roman" w:cs="Times New Roman"/>
                <w:color w:val="auto"/>
                <w:kern w:val="0"/>
                <w:sz w:val="21"/>
                <w:szCs w:val="21"/>
                <w:u w:val="none" w:color="auto"/>
                <w:lang w:eastAsia="zh-CN"/>
              </w:rPr>
              <w:t>。</w:t>
            </w:r>
            <w:r>
              <w:rPr>
                <w:rFonts w:hint="default" w:ascii="Times New Roman" w:hAnsi="Times New Roman" w:cs="Times New Roman"/>
                <w:color w:val="auto"/>
                <w:kern w:val="0"/>
                <w:sz w:val="21"/>
                <w:szCs w:val="21"/>
                <w:u w:val="none" w:color="auto"/>
              </w:rPr>
              <w:t>建筑垃圾分类收集，能再利用的</w:t>
            </w:r>
            <w:r>
              <w:rPr>
                <w:rFonts w:hint="eastAsia" w:ascii="Times New Roman" w:hAnsi="Times New Roman" w:cs="Times New Roman"/>
                <w:color w:val="auto"/>
                <w:kern w:val="0"/>
                <w:sz w:val="21"/>
                <w:szCs w:val="21"/>
                <w:u w:val="none" w:color="auto"/>
                <w:lang w:eastAsia="zh-CN"/>
              </w:rPr>
              <w:t>回收</w:t>
            </w:r>
            <w:r>
              <w:rPr>
                <w:rFonts w:hint="default" w:ascii="Times New Roman" w:hAnsi="Times New Roman" w:cs="Times New Roman"/>
                <w:color w:val="auto"/>
                <w:kern w:val="0"/>
                <w:sz w:val="21"/>
                <w:szCs w:val="21"/>
                <w:u w:val="none" w:color="auto"/>
              </w:rPr>
              <w:t>利用，不能再利用的委托有资质的单位运送到指定的建筑垃圾倾倒场，不在施工现场堆积。</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
            </w:pPr>
            <w:r>
              <w:rPr>
                <w:rFonts w:hint="eastAsia" w:cs="Times New Roman"/>
                <w:b/>
                <w:bCs/>
                <w:color w:val="auto"/>
                <w:kern w:val="0"/>
                <w:szCs w:val="21"/>
                <w:u w:val="none" w:color="auto"/>
                <w:lang w:val="en-US" w:eastAsia="zh-CN"/>
              </w:rPr>
              <w:t>5、</w:t>
            </w:r>
            <w:r>
              <w:rPr>
                <w:rFonts w:hint="eastAsia" w:ascii="Times New Roman" w:hAnsi="Times New Roman" w:eastAsia="宋体" w:cs="Times New Roman"/>
                <w:b/>
                <w:bCs/>
                <w:color w:val="auto"/>
                <w:kern w:val="0"/>
                <w:szCs w:val="21"/>
                <w:u w:val="none" w:color="auto"/>
                <w:lang w:val="en-US" w:eastAsia="zh-CN"/>
              </w:rPr>
              <w:t>施工</w:t>
            </w:r>
            <w:r>
              <w:rPr>
                <w:rFonts w:hint="eastAsia" w:cs="Times New Roman"/>
                <w:b/>
                <w:bCs/>
                <w:color w:val="auto"/>
                <w:kern w:val="0"/>
                <w:szCs w:val="21"/>
                <w:u w:val="none" w:color="auto"/>
                <w:lang w:val="en-US" w:eastAsia="zh-CN"/>
              </w:rPr>
              <w:t>期生态环境影响及保护措施</w:t>
            </w:r>
          </w:p>
          <w:p>
            <w:pPr>
              <w:adjustRightInd w:val="0"/>
              <w:snapToGrid w:val="0"/>
              <w:spacing w:line="360" w:lineRule="auto"/>
              <w:ind w:firstLine="420" w:firstLineChars="200"/>
              <w:rPr>
                <w:rFonts w:hint="eastAsia" w:cs="Times New Roman"/>
                <w:color w:val="auto"/>
                <w:kern w:val="0"/>
                <w:szCs w:val="21"/>
                <w:u w:val="none" w:color="auto"/>
                <w:lang w:eastAsia="zh-CN"/>
              </w:rPr>
            </w:pPr>
            <w:r>
              <w:rPr>
                <w:rFonts w:hint="eastAsia" w:ascii="Times New Roman" w:hAnsi="Times New Roman" w:eastAsia="宋体" w:cs="Times New Roman"/>
                <w:color w:val="auto"/>
                <w:kern w:val="0"/>
                <w:sz w:val="21"/>
                <w:szCs w:val="24"/>
                <w:highlight w:val="none"/>
                <w:u w:val="none" w:color="auto"/>
                <w:lang w:val="en-US" w:eastAsia="zh-CN" w:bidi="ar-SA"/>
              </w:rPr>
              <w:t>本项目地块主要为耕地、园地、林地、其他农用地、建设用地等。本项目的建设将改变原有</w:t>
            </w:r>
            <w:r>
              <w:rPr>
                <w:rFonts w:hint="eastAsia" w:cs="Times New Roman"/>
                <w:color w:val="auto"/>
                <w:kern w:val="0"/>
                <w:szCs w:val="21"/>
                <w:u w:val="none" w:color="auto"/>
                <w:lang w:eastAsia="zh-CN"/>
              </w:rPr>
              <w:t>土地利用性质，原有植被消失，原有动物被驱逐，</w:t>
            </w:r>
            <w:r>
              <w:rPr>
                <w:rFonts w:hint="default" w:ascii="Times New Roman" w:hAnsi="Times New Roman" w:eastAsia="宋体" w:cs="Times New Roman"/>
                <w:color w:val="auto"/>
                <w:kern w:val="0"/>
                <w:szCs w:val="21"/>
                <w:u w:val="none" w:color="auto"/>
                <w:lang w:val="en-US" w:eastAsia="zh-CN"/>
              </w:rPr>
              <w:t>原有生物生态环境发生变化，生物多样性受到破坏</w:t>
            </w:r>
            <w:r>
              <w:rPr>
                <w:rFonts w:hint="eastAsia" w:cs="Times New Roman"/>
                <w:color w:val="auto"/>
                <w:kern w:val="0"/>
                <w:szCs w:val="21"/>
                <w:u w:val="none" w:color="auto"/>
                <w:lang w:eastAsia="zh-CN"/>
              </w:rPr>
              <w:t>。</w:t>
            </w:r>
          </w:p>
          <w:p>
            <w:pPr>
              <w:adjustRightInd w:val="0"/>
              <w:snapToGrid w:val="0"/>
              <w:spacing w:line="360" w:lineRule="auto"/>
              <w:ind w:firstLine="420" w:firstLineChars="200"/>
              <w:rPr>
                <w:rFonts w:hint="eastAsia" w:cs="Times New Roman"/>
                <w:color w:val="auto"/>
                <w:kern w:val="0"/>
                <w:szCs w:val="21"/>
                <w:u w:val="none" w:color="auto"/>
                <w:lang w:val="en-US" w:eastAsia="zh-CN"/>
              </w:rPr>
            </w:pPr>
            <w:r>
              <w:rPr>
                <w:rFonts w:hint="eastAsia" w:ascii="Times New Roman" w:hAnsi="Times New Roman" w:eastAsia="宋体" w:cs="Times New Roman"/>
                <w:color w:val="auto"/>
                <w:kern w:val="0"/>
                <w:szCs w:val="21"/>
                <w:u w:val="none" w:color="auto"/>
                <w:lang w:eastAsia="zh-CN"/>
              </w:rPr>
              <w:t>本项目要求施工期加强施工管理，严格按照施工计划有序施工，</w:t>
            </w:r>
            <w:r>
              <w:rPr>
                <w:rFonts w:hint="default" w:ascii="Times New Roman" w:hAnsi="Times New Roman" w:eastAsia="宋体" w:cs="Times New Roman"/>
                <w:color w:val="auto"/>
                <w:kern w:val="0"/>
                <w:szCs w:val="21"/>
                <w:u w:val="none" w:color="auto"/>
                <w:lang w:val="en-US" w:eastAsia="zh-CN"/>
              </w:rPr>
              <w:t>做到随挖、随整、随填、随夯，文明施工</w:t>
            </w:r>
            <w:r>
              <w:rPr>
                <w:rFonts w:hint="eastAsia" w:ascii="Times New Roman" w:hAnsi="Times New Roman" w:eastAsia="宋体" w:cs="Times New Roman"/>
                <w:color w:val="auto"/>
                <w:kern w:val="0"/>
                <w:szCs w:val="21"/>
                <w:u w:val="none" w:color="auto"/>
                <w:lang w:eastAsia="zh-CN"/>
              </w:rPr>
              <w:t>。应尽量避免雨天施工，及时恢复临时施工造成的植被损毁。临时堆土（料、渣）、</w:t>
            </w:r>
            <w:r>
              <w:rPr>
                <w:rFonts w:hint="eastAsia" w:cs="Times New Roman"/>
                <w:color w:val="auto"/>
                <w:kern w:val="0"/>
                <w:szCs w:val="21"/>
                <w:u w:val="none" w:color="auto"/>
                <w:lang w:eastAsia="zh-CN"/>
              </w:rPr>
              <w:t>取土场</w:t>
            </w:r>
            <w:r>
              <w:rPr>
                <w:rFonts w:hint="eastAsia" w:ascii="Times New Roman" w:hAnsi="Times New Roman" w:eastAsia="宋体" w:cs="Times New Roman"/>
                <w:color w:val="auto"/>
                <w:kern w:val="0"/>
                <w:szCs w:val="21"/>
                <w:u w:val="none" w:color="auto"/>
                <w:lang w:eastAsia="zh-CN"/>
              </w:rPr>
              <w:t>裸露地面应布设拦挡、苫盖措施</w:t>
            </w:r>
            <w:r>
              <w:rPr>
                <w:rFonts w:hint="default" w:ascii="Times New Roman" w:hAnsi="Times New Roman" w:eastAsia="宋体" w:cs="Times New Roman"/>
                <w:color w:val="auto"/>
                <w:kern w:val="0"/>
                <w:szCs w:val="21"/>
                <w:u w:val="none" w:color="auto"/>
                <w:lang w:val="en-US" w:eastAsia="zh-CN"/>
              </w:rPr>
              <w:t>。及时实施相应的水土保持措施，尽量减少建设过程中的人为水土流失</w:t>
            </w:r>
            <w:r>
              <w:rPr>
                <w:rFonts w:hint="eastAsia" w:cs="Times New Roman"/>
                <w:color w:val="auto"/>
                <w:kern w:val="0"/>
                <w:szCs w:val="21"/>
                <w:u w:val="none" w:color="auto"/>
                <w:lang w:val="en-US" w:eastAsia="zh-CN"/>
              </w:rPr>
              <w:t>。取土结束后及时对取土场进行植被生态恢复。</w:t>
            </w:r>
          </w:p>
          <w:p>
            <w:pPr>
              <w:adjustRightInd w:val="0"/>
              <w:snapToGrid w:val="0"/>
              <w:spacing w:line="360" w:lineRule="auto"/>
              <w:ind w:firstLine="420" w:firstLineChars="200"/>
              <w:rPr>
                <w:rFonts w:ascii="宋体" w:hAnsi="宋体" w:cs="宋体"/>
                <w:bCs/>
                <w:color w:val="0000FF"/>
                <w:spacing w:val="-10"/>
                <w:szCs w:val="21"/>
                <w:u w:val="none" w:color="auto"/>
              </w:rPr>
            </w:pPr>
            <w:r>
              <w:rPr>
                <w:rFonts w:hint="eastAsia" w:cs="Times New Roman"/>
                <w:color w:val="auto"/>
                <w:sz w:val="21"/>
                <w:szCs w:val="21"/>
                <w:highlight w:val="none"/>
                <w:u w:val="none" w:color="auto"/>
                <w:lang w:val="en-US" w:eastAsia="zh-CN"/>
              </w:rPr>
              <w:t>横岭湖省级自然保护区位于</w:t>
            </w:r>
            <w:r>
              <w:rPr>
                <w:rFonts w:hint="eastAsia" w:cs="Times New Roman"/>
                <w:color w:val="auto"/>
                <w:kern w:val="0"/>
                <w:szCs w:val="21"/>
                <w:u w:val="none" w:color="auto"/>
                <w:lang w:val="en-US" w:eastAsia="zh-CN"/>
              </w:rPr>
              <w:t>本项目西侧</w:t>
            </w:r>
            <w:r>
              <w:rPr>
                <w:rFonts w:hint="eastAsia" w:cs="Times New Roman"/>
                <w:color w:val="auto"/>
                <w:sz w:val="21"/>
                <w:szCs w:val="21"/>
                <w:highlight w:val="none"/>
                <w:u w:val="none" w:color="auto"/>
                <w:lang w:val="en-US" w:eastAsia="zh-CN"/>
              </w:rPr>
              <w:t>约330m，湘江相隔。因此，本项目的建设不会对横岭湖省级自然保护区的生态产生不利影响。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Cs/>
                <w:color w:val="auto"/>
                <w:szCs w:val="21"/>
                <w:u w:val="none" w:color="auto"/>
              </w:rPr>
            </w:pPr>
            <w:r>
              <w:rPr>
                <w:rFonts w:hint="eastAsia" w:ascii="宋体" w:hAnsi="宋体" w:cs="宋体"/>
                <w:bCs/>
                <w:color w:val="auto"/>
                <w:szCs w:val="21"/>
                <w:u w:val="none" w:color="auto"/>
              </w:rPr>
              <w:t>运营</w:t>
            </w:r>
          </w:p>
          <w:p>
            <w:pPr>
              <w:adjustRightInd w:val="0"/>
              <w:snapToGrid w:val="0"/>
              <w:jc w:val="center"/>
              <w:rPr>
                <w:rFonts w:hint="eastAsia" w:ascii="宋体" w:hAnsi="宋体" w:cs="宋体"/>
                <w:bCs/>
                <w:color w:val="auto"/>
                <w:szCs w:val="21"/>
                <w:u w:val="none" w:color="auto"/>
              </w:rPr>
            </w:pPr>
            <w:r>
              <w:rPr>
                <w:rFonts w:hint="eastAsia" w:ascii="宋体" w:hAnsi="宋体" w:cs="宋体"/>
                <w:bCs/>
                <w:color w:val="auto"/>
                <w:szCs w:val="21"/>
                <w:u w:val="none" w:color="auto"/>
              </w:rPr>
              <w:t>期环</w:t>
            </w:r>
          </w:p>
          <w:p>
            <w:pPr>
              <w:adjustRightInd w:val="0"/>
              <w:snapToGrid w:val="0"/>
              <w:jc w:val="center"/>
              <w:rPr>
                <w:rFonts w:hint="eastAsia" w:ascii="宋体" w:hAnsi="宋体" w:cs="宋体"/>
                <w:bCs/>
                <w:color w:val="auto"/>
                <w:szCs w:val="21"/>
                <w:u w:val="none" w:color="auto"/>
              </w:rPr>
            </w:pPr>
            <w:r>
              <w:rPr>
                <w:rFonts w:hint="eastAsia" w:ascii="宋体" w:hAnsi="宋体" w:cs="宋体"/>
                <w:bCs/>
                <w:color w:val="auto"/>
                <w:szCs w:val="21"/>
                <w:u w:val="none" w:color="auto"/>
              </w:rPr>
              <w:t>境影</w:t>
            </w:r>
          </w:p>
          <w:p>
            <w:pPr>
              <w:adjustRightInd w:val="0"/>
              <w:snapToGrid w:val="0"/>
              <w:jc w:val="center"/>
              <w:rPr>
                <w:rFonts w:hint="eastAsia" w:ascii="宋体" w:hAnsi="宋体" w:cs="宋体"/>
                <w:bCs/>
                <w:color w:val="auto"/>
                <w:szCs w:val="21"/>
                <w:u w:val="none" w:color="auto"/>
              </w:rPr>
            </w:pPr>
            <w:r>
              <w:rPr>
                <w:rFonts w:hint="eastAsia" w:ascii="宋体" w:hAnsi="宋体" w:cs="宋体"/>
                <w:bCs/>
                <w:color w:val="auto"/>
                <w:szCs w:val="21"/>
                <w:u w:val="none" w:color="auto"/>
              </w:rPr>
              <w:t>响和</w:t>
            </w:r>
          </w:p>
          <w:p>
            <w:pPr>
              <w:adjustRightInd w:val="0"/>
              <w:snapToGrid w:val="0"/>
              <w:jc w:val="center"/>
              <w:rPr>
                <w:rFonts w:hint="eastAsia" w:ascii="宋体" w:hAnsi="宋体" w:cs="宋体"/>
                <w:bCs/>
                <w:color w:val="auto"/>
                <w:szCs w:val="21"/>
                <w:u w:val="none" w:color="auto"/>
              </w:rPr>
            </w:pPr>
            <w:r>
              <w:rPr>
                <w:rFonts w:hint="eastAsia" w:ascii="宋体" w:hAnsi="宋体" w:cs="宋体"/>
                <w:bCs/>
                <w:color w:val="auto"/>
                <w:szCs w:val="21"/>
                <w:u w:val="none" w:color="auto"/>
              </w:rPr>
              <w:t>保护</w:t>
            </w:r>
          </w:p>
          <w:p>
            <w:pPr>
              <w:adjustRightInd w:val="0"/>
              <w:snapToGrid w:val="0"/>
              <w:jc w:val="center"/>
              <w:rPr>
                <w:rFonts w:ascii="宋体" w:hAnsi="宋体" w:cs="宋体"/>
                <w:bCs/>
                <w:color w:val="0000FF"/>
                <w:szCs w:val="21"/>
                <w:u w:val="none" w:color="auto"/>
              </w:rPr>
            </w:pPr>
            <w:r>
              <w:rPr>
                <w:rFonts w:hint="eastAsia" w:ascii="宋体" w:hAnsi="宋体" w:cs="宋体"/>
                <w:bCs/>
                <w:color w:val="auto"/>
                <w:szCs w:val="21"/>
                <w:u w:val="none" w:color="auto"/>
              </w:rPr>
              <w:t>措施</w:t>
            </w:r>
          </w:p>
        </w:tc>
        <w:tc>
          <w:tcPr>
            <w:tcW w:w="8162" w:type="dxa"/>
            <w:noWrap w:val="0"/>
            <w:vAlign w:val="center"/>
          </w:tcPr>
          <w:p>
            <w:pPr>
              <w:adjustRightInd w:val="0"/>
              <w:snapToGrid w:val="0"/>
              <w:spacing w:line="360" w:lineRule="auto"/>
              <w:ind w:firstLine="422" w:firstLineChars="200"/>
              <w:rPr>
                <w:b/>
                <w:color w:val="auto"/>
                <w:sz w:val="21"/>
                <w:szCs w:val="21"/>
                <w:u w:val="none" w:color="auto"/>
              </w:rPr>
            </w:pPr>
            <w:r>
              <w:rPr>
                <w:rFonts w:hint="eastAsia"/>
                <w:b/>
                <w:color w:val="auto"/>
                <w:sz w:val="21"/>
                <w:szCs w:val="21"/>
                <w:u w:val="none" w:color="auto"/>
                <w:lang w:val="en-US" w:eastAsia="zh-CN"/>
              </w:rPr>
              <w:t>1、</w:t>
            </w:r>
            <w:r>
              <w:rPr>
                <w:b/>
                <w:color w:val="auto"/>
                <w:sz w:val="21"/>
                <w:szCs w:val="21"/>
                <w:u w:val="none" w:color="auto"/>
              </w:rPr>
              <w:t>废气</w:t>
            </w:r>
          </w:p>
          <w:p>
            <w:pPr>
              <w:adjustRightInd w:val="0"/>
              <w:snapToGrid w:val="0"/>
              <w:spacing w:line="360" w:lineRule="auto"/>
              <w:ind w:firstLine="422" w:firstLineChars="200"/>
              <w:rPr>
                <w:rFonts w:hint="eastAsia" w:eastAsia="宋体"/>
                <w:b/>
                <w:bCs/>
                <w:color w:val="auto"/>
                <w:kern w:val="0"/>
                <w:sz w:val="21"/>
                <w:szCs w:val="21"/>
                <w:u w:val="none" w:color="auto"/>
                <w:lang w:eastAsia="zh-CN"/>
              </w:rPr>
            </w:pPr>
            <w:r>
              <w:rPr>
                <w:rFonts w:hint="eastAsia"/>
                <w:b/>
                <w:bCs/>
                <w:color w:val="auto"/>
                <w:kern w:val="0"/>
                <w:sz w:val="21"/>
                <w:szCs w:val="21"/>
                <w:u w:val="none" w:color="auto"/>
                <w:lang w:eastAsia="zh-CN"/>
              </w:rPr>
              <w:t>（</w:t>
            </w:r>
            <w:r>
              <w:rPr>
                <w:rFonts w:hint="eastAsia"/>
                <w:b/>
                <w:bCs/>
                <w:color w:val="auto"/>
                <w:kern w:val="0"/>
                <w:sz w:val="21"/>
                <w:szCs w:val="21"/>
                <w:u w:val="none" w:color="auto"/>
                <w:lang w:val="en-US" w:eastAsia="zh-CN"/>
              </w:rPr>
              <w:t>1</w:t>
            </w:r>
            <w:r>
              <w:rPr>
                <w:rFonts w:hint="eastAsia"/>
                <w:b/>
                <w:bCs/>
                <w:color w:val="auto"/>
                <w:kern w:val="0"/>
                <w:sz w:val="21"/>
                <w:szCs w:val="21"/>
                <w:u w:val="none" w:color="auto"/>
                <w:lang w:eastAsia="zh-CN"/>
              </w:rPr>
              <w:t>）</w:t>
            </w:r>
            <w:r>
              <w:rPr>
                <w:b/>
                <w:bCs/>
                <w:color w:val="auto"/>
                <w:kern w:val="0"/>
                <w:sz w:val="21"/>
                <w:szCs w:val="21"/>
                <w:u w:val="none" w:color="auto"/>
              </w:rPr>
              <w:t>大气污染源强</w:t>
            </w:r>
            <w:r>
              <w:rPr>
                <w:rFonts w:hint="eastAsia"/>
                <w:b/>
                <w:bCs/>
                <w:color w:val="auto"/>
                <w:kern w:val="0"/>
                <w:sz w:val="21"/>
                <w:szCs w:val="21"/>
                <w:u w:val="none" w:color="auto"/>
                <w:lang w:eastAsia="zh-CN"/>
              </w:rPr>
              <w:t>核算</w:t>
            </w:r>
          </w:p>
          <w:p>
            <w:pPr>
              <w:adjustRightInd w:val="0"/>
              <w:snapToGrid w:val="0"/>
              <w:spacing w:line="360" w:lineRule="auto"/>
              <w:ind w:firstLine="420" w:firstLineChars="200"/>
              <w:rPr>
                <w:rFonts w:hint="eastAsia"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本项目运营期废气主要包括转载点粉尘、储煤场粉尘、煤炭装卸粉尘等。</w:t>
            </w:r>
          </w:p>
          <w:p>
            <w:pPr>
              <w:adjustRightInd w:val="0"/>
              <w:snapToGrid w:val="0"/>
              <w:spacing w:line="360" w:lineRule="auto"/>
              <w:ind w:firstLine="420" w:firstLineChars="200"/>
              <w:rPr>
                <w:rFonts w:hint="eastAsia"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1）转载点粉尘</w:t>
            </w:r>
          </w:p>
          <w:p>
            <w:pPr>
              <w:adjustRightInd w:val="0"/>
              <w:snapToGrid w:val="0"/>
              <w:spacing w:line="360" w:lineRule="auto"/>
              <w:ind w:firstLine="420" w:firstLineChars="200"/>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w:t>
            </w:r>
            <w:r>
              <w:rPr>
                <w:rFonts w:hint="eastAsia" w:cs="Times New Roman"/>
                <w:color w:val="auto"/>
                <w:kern w:val="0"/>
                <w:sz w:val="21"/>
                <w:szCs w:val="21"/>
                <w:u w:val="none" w:color="auto"/>
                <w:lang w:val="en-US" w:eastAsia="zh-CN"/>
              </w:rPr>
              <w:t>煤炭运输采用</w:t>
            </w:r>
            <w:r>
              <w:rPr>
                <w:rFonts w:hint="eastAsia" w:ascii="Times New Roman" w:hAnsi="Times New Roman" w:eastAsia="宋体" w:cs="Times New Roman"/>
                <w:color w:val="auto"/>
                <w:kern w:val="0"/>
                <w:sz w:val="21"/>
                <w:szCs w:val="21"/>
                <w:u w:val="none" w:color="auto"/>
                <w:lang w:val="en-US" w:eastAsia="zh-CN"/>
              </w:rPr>
              <w:t>全封闭</w:t>
            </w:r>
            <w:r>
              <w:rPr>
                <w:rFonts w:hint="eastAsia" w:cs="Times New Roman"/>
                <w:color w:val="auto"/>
                <w:kern w:val="0"/>
                <w:sz w:val="21"/>
                <w:szCs w:val="21"/>
                <w:u w:val="none" w:color="auto"/>
                <w:lang w:val="en-US" w:eastAsia="zh-CN"/>
              </w:rPr>
              <w:t>式带式输送机，仅在</w:t>
            </w:r>
            <w:r>
              <w:rPr>
                <w:rFonts w:hint="eastAsia" w:ascii="Times New Roman" w:hAnsi="Times New Roman" w:eastAsia="宋体" w:cs="Times New Roman"/>
                <w:color w:val="auto"/>
                <w:kern w:val="0"/>
                <w:sz w:val="21"/>
                <w:szCs w:val="21"/>
                <w:u w:val="none" w:color="auto"/>
                <w:lang w:val="en-US" w:eastAsia="zh-CN"/>
              </w:rPr>
              <w:t>皮带转载点由于不同皮带之间存在落差，在转载点会产生</w:t>
            </w:r>
            <w:r>
              <w:rPr>
                <w:rFonts w:hint="eastAsia" w:cs="Times New Roman"/>
                <w:color w:val="auto"/>
                <w:kern w:val="0"/>
                <w:sz w:val="21"/>
                <w:szCs w:val="21"/>
                <w:u w:val="none" w:color="auto"/>
                <w:lang w:val="en-US" w:eastAsia="zh-CN"/>
              </w:rPr>
              <w:t>少量</w:t>
            </w:r>
            <w:r>
              <w:rPr>
                <w:rFonts w:hint="eastAsia" w:ascii="Times New Roman" w:hAnsi="Times New Roman" w:eastAsia="宋体" w:cs="Times New Roman"/>
                <w:color w:val="auto"/>
                <w:kern w:val="0"/>
                <w:sz w:val="21"/>
                <w:szCs w:val="21"/>
                <w:u w:val="none" w:color="auto"/>
                <w:lang w:val="en-US" w:eastAsia="zh-CN"/>
              </w:rPr>
              <w:t>粉尘</w:t>
            </w:r>
            <w:r>
              <w:rPr>
                <w:rFonts w:hint="eastAsia" w:cs="Times New Roman"/>
                <w:color w:val="auto"/>
                <w:kern w:val="0"/>
                <w:sz w:val="21"/>
                <w:szCs w:val="21"/>
                <w:u w:val="none" w:color="auto"/>
                <w:lang w:val="en-US" w:eastAsia="zh-CN"/>
              </w:rPr>
              <w:t>。本项目共设置5个转载点（T12、T13、T14、T16、T17），转载点均为全封闭式</w:t>
            </w:r>
            <w:r>
              <w:rPr>
                <w:rFonts w:hint="eastAsia" w:ascii="Times New Roman" w:hAnsi="Times New Roman" w:eastAsia="宋体" w:cs="Times New Roman"/>
                <w:color w:val="auto"/>
                <w:kern w:val="0"/>
                <w:sz w:val="21"/>
                <w:szCs w:val="21"/>
                <w:u w:val="none" w:color="auto"/>
                <w:lang w:val="en-US" w:eastAsia="zh-CN"/>
              </w:rPr>
              <w:t>。</w:t>
            </w:r>
            <w:r>
              <w:rPr>
                <w:rFonts w:hint="eastAsia" w:cs="Times New Roman"/>
                <w:color w:val="auto"/>
                <w:kern w:val="0"/>
                <w:sz w:val="21"/>
                <w:szCs w:val="21"/>
                <w:u w:val="none" w:color="auto"/>
                <w:lang w:val="en-US" w:eastAsia="zh-CN"/>
              </w:rPr>
              <w:t>参考</w:t>
            </w:r>
            <w:r>
              <w:rPr>
                <w:rFonts w:hint="default" w:ascii="Times New Roman" w:hAnsi="Times New Roman" w:cs="Times New Roman"/>
                <w:color w:val="auto"/>
                <w:kern w:val="0"/>
                <w:szCs w:val="21"/>
                <w:u w:val="none" w:color="auto"/>
                <w:lang w:val="en-US" w:eastAsia="zh-CN"/>
              </w:rPr>
              <w:t>《排放源统计调查产排污核算方法和系数手册》中</w:t>
            </w:r>
            <w:r>
              <w:rPr>
                <w:rFonts w:hint="eastAsia" w:ascii="Times New Roman" w:hAnsi="Times New Roman" w:cs="Times New Roman"/>
                <w:color w:val="auto"/>
                <w:kern w:val="0"/>
                <w:szCs w:val="21"/>
                <w:u w:val="none" w:color="auto"/>
                <w:lang w:val="en-US" w:eastAsia="zh-CN"/>
              </w:rPr>
              <w:t>“</w:t>
            </w:r>
            <w:r>
              <w:rPr>
                <w:rFonts w:hint="default" w:ascii="Times New Roman" w:hAnsi="Times New Roman" w:cs="Times New Roman"/>
                <w:color w:val="auto"/>
                <w:kern w:val="0"/>
                <w:szCs w:val="21"/>
                <w:u w:val="none" w:color="auto"/>
                <w:lang w:val="en-US" w:eastAsia="zh-CN"/>
              </w:rPr>
              <w:t>252煤炭加工行业系数手册</w:t>
            </w:r>
            <w:r>
              <w:rPr>
                <w:rFonts w:hint="eastAsia" w:ascii="Times New Roman" w:hAnsi="Times New Roman" w:cs="Times New Roman"/>
                <w:color w:val="auto"/>
                <w:kern w:val="0"/>
                <w:szCs w:val="21"/>
                <w:u w:val="none" w:color="auto"/>
                <w:lang w:val="en-US" w:eastAsia="zh-CN"/>
              </w:rPr>
              <w:t>”</w:t>
            </w:r>
            <w:r>
              <w:rPr>
                <w:rFonts w:hint="default" w:ascii="Times New Roman" w:hAnsi="Times New Roman" w:cs="Times New Roman"/>
                <w:color w:val="auto"/>
                <w:kern w:val="0"/>
                <w:szCs w:val="21"/>
                <w:u w:val="none" w:color="auto"/>
                <w:lang w:val="en-US" w:eastAsia="zh-CN"/>
              </w:rPr>
              <w:t>中</w:t>
            </w:r>
            <w:r>
              <w:rPr>
                <w:rFonts w:hint="eastAsia" w:ascii="Times New Roman" w:hAnsi="Times New Roman" w:cs="Times New Roman"/>
                <w:color w:val="auto"/>
                <w:kern w:val="0"/>
                <w:szCs w:val="21"/>
                <w:u w:val="none" w:color="auto"/>
                <w:lang w:val="en-US" w:eastAsia="zh-CN"/>
              </w:rPr>
              <w:t>“</w:t>
            </w:r>
            <w:r>
              <w:rPr>
                <w:rFonts w:hint="default" w:ascii="Times New Roman" w:hAnsi="Times New Roman" w:cs="Times New Roman"/>
                <w:color w:val="auto"/>
                <w:kern w:val="0"/>
                <w:szCs w:val="21"/>
                <w:u w:val="none" w:color="auto"/>
                <w:lang w:val="en-US" w:eastAsia="zh-CN"/>
              </w:rPr>
              <w:t>表4</w:t>
            </w:r>
            <w:r>
              <w:rPr>
                <w:rFonts w:hint="eastAsia" w:ascii="Times New Roman" w:hAnsi="Times New Roman" w:cs="Times New Roman"/>
                <w:color w:val="auto"/>
                <w:kern w:val="0"/>
                <w:szCs w:val="21"/>
                <w:u w:val="none" w:color="auto"/>
                <w:lang w:val="en-US" w:eastAsia="zh-CN"/>
              </w:rPr>
              <w:t xml:space="preserve"> </w:t>
            </w:r>
            <w:r>
              <w:rPr>
                <w:rFonts w:hint="default" w:ascii="Times New Roman" w:hAnsi="Times New Roman" w:cs="Times New Roman"/>
                <w:color w:val="auto"/>
                <w:kern w:val="0"/>
                <w:szCs w:val="21"/>
                <w:u w:val="none" w:color="auto"/>
                <w:lang w:val="en-US" w:eastAsia="zh-CN"/>
              </w:rPr>
              <w:t>2524煤制品制造行业</w:t>
            </w:r>
            <w:r>
              <w:rPr>
                <w:rFonts w:hint="eastAsia" w:ascii="Times New Roman" w:hAnsi="Times New Roman" w:cs="Times New Roman"/>
                <w:color w:val="auto"/>
                <w:kern w:val="0"/>
                <w:szCs w:val="21"/>
                <w:u w:val="none" w:color="auto"/>
                <w:lang w:val="en-US" w:eastAsia="zh-CN"/>
              </w:rPr>
              <w:t>”，运输及储存工序</w:t>
            </w:r>
            <w:r>
              <w:rPr>
                <w:rFonts w:hint="default" w:ascii="Times New Roman" w:hAnsi="Times New Roman" w:cs="Times New Roman"/>
                <w:color w:val="auto"/>
                <w:kern w:val="0"/>
                <w:szCs w:val="21"/>
                <w:u w:val="none" w:color="auto"/>
                <w:lang w:val="en-US" w:eastAsia="zh-CN"/>
              </w:rPr>
              <w:t>产污系数</w:t>
            </w:r>
            <w:r>
              <w:rPr>
                <w:rFonts w:hint="eastAsia" w:cs="Times New Roman"/>
                <w:color w:val="auto"/>
                <w:kern w:val="0"/>
                <w:szCs w:val="21"/>
                <w:u w:val="none" w:color="auto"/>
                <w:lang w:val="en-US" w:eastAsia="zh-CN"/>
              </w:rPr>
              <w:t>0.0167kg/t（产品），参考</w:t>
            </w:r>
            <w:r>
              <w:rPr>
                <w:rFonts w:hint="eastAsia" w:ascii="Times New Roman" w:hAnsi="Times New Roman" w:cs="Times New Roman"/>
                <w:color w:val="auto"/>
                <w:kern w:val="0"/>
                <w:szCs w:val="21"/>
                <w:u w:val="none" w:color="auto"/>
                <w:lang w:val="en-US" w:eastAsia="zh-CN"/>
              </w:rPr>
              <w:t>“固体物料堆场颗粒物核算系数手册”，密闭式空间粉尘控制效率为99%，本项目煤炭转载量为640万t/a，则转载点粉尘产生量为1.07t/a。</w:t>
            </w:r>
            <w:r>
              <w:rPr>
                <w:rFonts w:hint="eastAsia" w:cs="Times New Roman"/>
                <w:color w:val="auto"/>
                <w:kern w:val="0"/>
                <w:sz w:val="21"/>
                <w:szCs w:val="21"/>
                <w:u w:val="none" w:color="auto"/>
                <w:lang w:val="en-US" w:eastAsia="zh-CN"/>
              </w:rPr>
              <w:t>转载点共配套</w:t>
            </w:r>
            <w:r>
              <w:rPr>
                <w:rFonts w:hint="eastAsia" w:ascii="Times New Roman" w:hAnsi="Times New Roman" w:eastAsia="宋体" w:cs="Times New Roman"/>
                <w:color w:val="auto"/>
                <w:kern w:val="0"/>
                <w:sz w:val="21"/>
                <w:szCs w:val="21"/>
                <w:u w:val="none" w:color="auto"/>
                <w:lang w:val="en-US" w:eastAsia="zh-CN"/>
              </w:rPr>
              <w:t>设置微米级干雾抑尘</w:t>
            </w:r>
            <w:r>
              <w:rPr>
                <w:rFonts w:hint="eastAsia" w:cs="Times New Roman"/>
                <w:color w:val="auto"/>
                <w:kern w:val="0"/>
                <w:sz w:val="21"/>
                <w:szCs w:val="21"/>
                <w:u w:val="none" w:color="auto"/>
                <w:lang w:val="en-US" w:eastAsia="zh-CN"/>
              </w:rPr>
              <w:t>装置2套，</w:t>
            </w:r>
            <w:r>
              <w:rPr>
                <w:rFonts w:hint="eastAsia" w:ascii="Times New Roman" w:hAnsi="Times New Roman" w:eastAsia="宋体" w:cs="Times New Roman"/>
                <w:color w:val="auto"/>
                <w:kern w:val="0"/>
                <w:sz w:val="21"/>
                <w:szCs w:val="21"/>
                <w:u w:val="none" w:color="auto"/>
                <w:lang w:val="en-US" w:eastAsia="zh-CN"/>
              </w:rPr>
              <w:t>抑尘效果按80%计</w:t>
            </w:r>
            <w:r>
              <w:rPr>
                <w:rFonts w:hint="eastAsia"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val="en-US" w:eastAsia="zh-CN"/>
              </w:rPr>
              <w:t>粉尘排放量为</w:t>
            </w:r>
            <w:r>
              <w:rPr>
                <w:rFonts w:hint="eastAsia" w:cs="Times New Roman"/>
                <w:color w:val="auto"/>
                <w:kern w:val="0"/>
                <w:sz w:val="21"/>
                <w:szCs w:val="21"/>
                <w:u w:val="none" w:color="auto"/>
                <w:lang w:val="en-US" w:eastAsia="zh-CN"/>
              </w:rPr>
              <w:t>0.214</w:t>
            </w:r>
            <w:r>
              <w:rPr>
                <w:rFonts w:hint="eastAsia" w:ascii="Times New Roman" w:hAnsi="Times New Roman" w:eastAsia="宋体" w:cs="Times New Roman"/>
                <w:color w:val="auto"/>
                <w:kern w:val="0"/>
                <w:sz w:val="21"/>
                <w:szCs w:val="21"/>
                <w:u w:val="none" w:color="auto"/>
                <w:lang w:val="en-US" w:eastAsia="zh-CN"/>
              </w:rPr>
              <w:t>t/a。</w:t>
            </w:r>
          </w:p>
          <w:p>
            <w:pPr>
              <w:adjustRightInd w:val="0"/>
              <w:snapToGrid w:val="0"/>
              <w:spacing w:line="360" w:lineRule="auto"/>
              <w:ind w:firstLine="420" w:firstLineChars="200"/>
              <w:rPr>
                <w:rFonts w:hint="eastAsia"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2）储煤场粉尘</w:t>
            </w:r>
          </w:p>
          <w:p>
            <w:pPr>
              <w:adjustRightInd w:val="0"/>
              <w:snapToGrid w:val="0"/>
              <w:spacing w:line="360" w:lineRule="auto"/>
              <w:ind w:firstLine="420" w:firstLineChars="200"/>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项目来煤通过全封闭带式输送机输送进储煤场，储煤场采用全封闭形式，一般不会产生扬尘，但在堆取料机作业时会产生少量的装卸扬尘，装卸煤均在库内进行，采用清华大学在霍州电厂储煤场现场试验的模式估算煤堆场起尘量：</w:t>
            </w:r>
          </w:p>
          <w:p>
            <w:pPr>
              <w:adjustRightInd w:val="0"/>
              <w:snapToGrid w:val="0"/>
              <w:spacing w:line="360" w:lineRule="auto"/>
              <w:ind w:firstLine="1680" w:firstLineChars="800"/>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Q</w:t>
            </w:r>
            <w:r>
              <w:rPr>
                <w:rFonts w:hint="eastAsia" w:ascii="Times New Roman" w:hAnsi="Times New Roman" w:eastAsia="宋体" w:cs="Times New Roman"/>
                <w:color w:val="auto"/>
                <w:kern w:val="0"/>
                <w:sz w:val="21"/>
                <w:szCs w:val="21"/>
                <w:u w:val="none" w:color="auto"/>
                <w:vertAlign w:val="subscript"/>
                <w:lang w:val="en-US" w:eastAsia="zh-CN"/>
              </w:rPr>
              <w:t>1</w:t>
            </w:r>
            <w:r>
              <w:rPr>
                <w:rFonts w:hint="eastAsia" w:ascii="Times New Roman" w:hAnsi="Times New Roman" w:eastAsia="宋体" w:cs="Times New Roman"/>
                <w:color w:val="auto"/>
                <w:kern w:val="0"/>
                <w:sz w:val="21"/>
                <w:szCs w:val="21"/>
                <w:u w:val="none" w:color="auto"/>
                <w:lang w:val="en-US" w:eastAsia="zh-CN"/>
              </w:rPr>
              <w:t>=11.7U</w:t>
            </w:r>
            <w:r>
              <w:rPr>
                <w:rFonts w:hint="eastAsia" w:ascii="Times New Roman" w:hAnsi="Times New Roman" w:eastAsia="宋体" w:cs="Times New Roman"/>
                <w:color w:val="auto"/>
                <w:kern w:val="0"/>
                <w:sz w:val="21"/>
                <w:szCs w:val="21"/>
                <w:u w:val="none" w:color="auto"/>
                <w:vertAlign w:val="superscript"/>
                <w:lang w:val="en-US" w:eastAsia="zh-CN"/>
              </w:rPr>
              <w:t>2.45</w:t>
            </w:r>
            <w:r>
              <w:rPr>
                <w:rFonts w:hint="eastAsia" w:ascii="Times New Roman" w:hAnsi="Times New Roman" w:eastAsia="宋体" w:cs="Times New Roman"/>
                <w:color w:val="auto"/>
                <w:kern w:val="0"/>
                <w:sz w:val="21"/>
                <w:szCs w:val="21"/>
                <w:u w:val="none" w:color="auto"/>
                <w:lang w:val="en-US" w:eastAsia="zh-CN"/>
              </w:rPr>
              <w:t>·S</w:t>
            </w:r>
            <w:r>
              <w:rPr>
                <w:rFonts w:hint="eastAsia" w:ascii="Times New Roman" w:hAnsi="Times New Roman" w:eastAsia="宋体" w:cs="Times New Roman"/>
                <w:color w:val="auto"/>
                <w:kern w:val="0"/>
                <w:sz w:val="21"/>
                <w:szCs w:val="21"/>
                <w:u w:val="none" w:color="auto"/>
                <w:vertAlign w:val="superscript"/>
                <w:lang w:val="en-US" w:eastAsia="zh-CN"/>
              </w:rPr>
              <w:t>0.345</w:t>
            </w:r>
            <w:r>
              <w:rPr>
                <w:rFonts w:hint="eastAsia" w:ascii="Times New Roman" w:hAnsi="Times New Roman" w:eastAsia="宋体" w:cs="Times New Roman"/>
                <w:color w:val="auto"/>
                <w:kern w:val="0"/>
                <w:sz w:val="21"/>
                <w:szCs w:val="21"/>
                <w:u w:val="none" w:color="auto"/>
                <w:lang w:val="en-US" w:eastAsia="zh-CN"/>
              </w:rPr>
              <w:t>·e</w:t>
            </w:r>
            <w:r>
              <w:rPr>
                <w:rFonts w:hint="eastAsia" w:ascii="Times New Roman" w:hAnsi="Times New Roman" w:eastAsia="宋体" w:cs="Times New Roman"/>
                <w:color w:val="auto"/>
                <w:kern w:val="0"/>
                <w:sz w:val="21"/>
                <w:szCs w:val="21"/>
                <w:u w:val="none" w:color="auto"/>
                <w:vertAlign w:val="superscript"/>
                <w:lang w:val="en-US" w:eastAsia="zh-CN"/>
              </w:rPr>
              <w:t>-0.5w</w:t>
            </w:r>
          </w:p>
          <w:p>
            <w:pPr>
              <w:adjustRightInd w:val="0"/>
              <w:snapToGrid w:val="0"/>
              <w:spacing w:line="360" w:lineRule="auto"/>
              <w:ind w:firstLine="420" w:firstLineChars="200"/>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式中：Q1——堆场起尘量，(mg/s)；</w:t>
            </w:r>
          </w:p>
          <w:p>
            <w:pPr>
              <w:adjustRightInd w:val="0"/>
              <w:snapToGrid w:val="0"/>
              <w:spacing w:line="360" w:lineRule="auto"/>
              <w:ind w:firstLine="1050" w:firstLineChars="500"/>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W——储煤含水率，(%)，取</w:t>
            </w:r>
            <w:r>
              <w:rPr>
                <w:rFonts w:hint="eastAsia" w:cs="Times New Roman"/>
                <w:color w:val="auto"/>
                <w:kern w:val="0"/>
                <w:sz w:val="21"/>
                <w:szCs w:val="21"/>
                <w:u w:val="none" w:color="auto"/>
                <w:lang w:val="en-US" w:eastAsia="zh-CN"/>
              </w:rPr>
              <w:t>8</w:t>
            </w:r>
            <w:r>
              <w:rPr>
                <w:rFonts w:hint="eastAsia" w:ascii="Times New Roman" w:hAnsi="Times New Roman" w:eastAsia="宋体" w:cs="Times New Roman"/>
                <w:color w:val="auto"/>
                <w:kern w:val="0"/>
                <w:sz w:val="21"/>
                <w:szCs w:val="21"/>
                <w:u w:val="none" w:color="auto"/>
                <w:lang w:val="en-US" w:eastAsia="zh-CN"/>
              </w:rPr>
              <w:t>%；</w:t>
            </w:r>
          </w:p>
          <w:p>
            <w:pPr>
              <w:adjustRightInd w:val="0"/>
              <w:snapToGrid w:val="0"/>
              <w:spacing w:line="360" w:lineRule="auto"/>
              <w:ind w:firstLine="1050" w:firstLineChars="500"/>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S——堆场面积，(m</w:t>
            </w:r>
            <w:r>
              <w:rPr>
                <w:rFonts w:hint="eastAsia" w:ascii="Times New Roman" w:hAnsi="Times New Roman" w:eastAsia="宋体" w:cs="Times New Roman"/>
                <w:color w:val="auto"/>
                <w:kern w:val="0"/>
                <w:sz w:val="21"/>
                <w:szCs w:val="21"/>
                <w:u w:val="none" w:color="auto"/>
                <w:vertAlign w:val="superscript"/>
                <w:lang w:val="en-US" w:eastAsia="zh-CN"/>
              </w:rPr>
              <w:t>2</w:t>
            </w:r>
            <w:r>
              <w:rPr>
                <w:rFonts w:hint="eastAsia" w:ascii="Times New Roman" w:hAnsi="Times New Roman" w:eastAsia="宋体" w:cs="Times New Roman"/>
                <w:color w:val="auto"/>
                <w:kern w:val="0"/>
                <w:sz w:val="21"/>
                <w:szCs w:val="21"/>
                <w:u w:val="none" w:color="auto"/>
                <w:lang w:val="en-US" w:eastAsia="zh-CN"/>
              </w:rPr>
              <w:t xml:space="preserve">)，取 </w:t>
            </w:r>
            <w:r>
              <w:rPr>
                <w:rFonts w:hint="eastAsia" w:cs="Times New Roman"/>
                <w:color w:val="auto"/>
                <w:kern w:val="0"/>
                <w:sz w:val="21"/>
                <w:szCs w:val="21"/>
                <w:u w:val="none" w:color="auto"/>
                <w:lang w:val="en-US" w:eastAsia="zh-CN"/>
              </w:rPr>
              <w:t>94600</w:t>
            </w:r>
            <w:r>
              <w:rPr>
                <w:rFonts w:hint="eastAsia" w:ascii="Times New Roman" w:hAnsi="Times New Roman" w:eastAsia="宋体" w:cs="Times New Roman"/>
                <w:color w:val="auto"/>
                <w:kern w:val="0"/>
                <w:sz w:val="21"/>
                <w:szCs w:val="21"/>
                <w:u w:val="none" w:color="auto"/>
                <w:lang w:val="en-US" w:eastAsia="zh-CN"/>
              </w:rPr>
              <w:t>m</w:t>
            </w:r>
            <w:r>
              <w:rPr>
                <w:rFonts w:hint="eastAsia" w:ascii="Times New Roman" w:hAnsi="Times New Roman" w:eastAsia="宋体" w:cs="Times New Roman"/>
                <w:color w:val="auto"/>
                <w:kern w:val="0"/>
                <w:sz w:val="21"/>
                <w:szCs w:val="21"/>
                <w:u w:val="none" w:color="auto"/>
                <w:vertAlign w:val="superscript"/>
                <w:lang w:val="en-US" w:eastAsia="zh-CN"/>
              </w:rPr>
              <w:t>2</w:t>
            </w:r>
            <w:r>
              <w:rPr>
                <w:rFonts w:hint="eastAsia" w:ascii="Times New Roman" w:hAnsi="Times New Roman" w:eastAsia="宋体" w:cs="Times New Roman"/>
                <w:color w:val="auto"/>
                <w:kern w:val="0"/>
                <w:sz w:val="21"/>
                <w:szCs w:val="21"/>
                <w:u w:val="none" w:color="auto"/>
                <w:lang w:val="en-US" w:eastAsia="zh-CN"/>
              </w:rPr>
              <w:t>；</w:t>
            </w:r>
          </w:p>
          <w:p>
            <w:pPr>
              <w:adjustRightInd w:val="0"/>
              <w:snapToGrid w:val="0"/>
              <w:spacing w:line="360" w:lineRule="auto"/>
              <w:ind w:firstLine="1050" w:firstLineChars="500"/>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U——起尘风速，(m/s)，</w:t>
            </w:r>
            <w:r>
              <w:rPr>
                <w:rFonts w:hint="eastAsia" w:cs="Times New Roman"/>
                <w:color w:val="auto"/>
                <w:kern w:val="0"/>
                <w:sz w:val="21"/>
                <w:szCs w:val="21"/>
                <w:u w:val="none" w:color="auto"/>
                <w:lang w:val="en-US" w:eastAsia="zh-CN"/>
              </w:rPr>
              <w:t>取2.5</w:t>
            </w:r>
            <w:r>
              <w:rPr>
                <w:rFonts w:hint="eastAsia" w:ascii="Times New Roman" w:hAnsi="Times New Roman" w:eastAsia="宋体" w:cs="Times New Roman"/>
                <w:color w:val="auto"/>
                <w:kern w:val="0"/>
                <w:sz w:val="21"/>
                <w:szCs w:val="21"/>
                <w:u w:val="none" w:color="auto"/>
                <w:lang w:val="en-US" w:eastAsia="zh-CN"/>
              </w:rPr>
              <w:t>m/s。</w:t>
            </w:r>
          </w:p>
          <w:p>
            <w:pPr>
              <w:adjustRightInd w:val="0"/>
              <w:snapToGrid w:val="0"/>
              <w:spacing w:line="360" w:lineRule="auto"/>
              <w:ind w:firstLine="420" w:firstLineChars="200"/>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经计算，Q</w:t>
            </w:r>
            <w:r>
              <w:rPr>
                <w:rFonts w:hint="eastAsia" w:ascii="Times New Roman" w:hAnsi="Times New Roman" w:eastAsia="宋体" w:cs="Times New Roman"/>
                <w:color w:val="auto"/>
                <w:kern w:val="0"/>
                <w:sz w:val="21"/>
                <w:szCs w:val="21"/>
                <w:u w:val="none" w:color="auto"/>
                <w:vertAlign w:val="subscript"/>
                <w:lang w:val="en-US" w:eastAsia="zh-CN"/>
              </w:rPr>
              <w:t>1</w:t>
            </w:r>
            <w:r>
              <w:rPr>
                <w:rFonts w:hint="eastAsia" w:ascii="Times New Roman" w:hAnsi="Times New Roman" w:eastAsia="宋体" w:cs="Times New Roman"/>
                <w:color w:val="auto"/>
                <w:kern w:val="0"/>
                <w:sz w:val="21"/>
                <w:szCs w:val="21"/>
                <w:u w:val="none" w:color="auto"/>
                <w:lang w:val="en-US" w:eastAsia="zh-CN"/>
              </w:rPr>
              <w:t>约为</w:t>
            </w:r>
            <w:r>
              <w:rPr>
                <w:rFonts w:hint="eastAsia" w:cs="Times New Roman"/>
                <w:color w:val="auto"/>
                <w:kern w:val="0"/>
                <w:sz w:val="21"/>
                <w:szCs w:val="21"/>
                <w:u w:val="none" w:color="auto"/>
                <w:lang w:val="en-US" w:eastAsia="zh-CN"/>
              </w:rPr>
              <w:t>105.35</w:t>
            </w:r>
            <w:r>
              <w:rPr>
                <w:rFonts w:hint="eastAsia" w:ascii="Times New Roman" w:hAnsi="Times New Roman" w:eastAsia="宋体" w:cs="Times New Roman"/>
                <w:color w:val="auto"/>
                <w:kern w:val="0"/>
                <w:sz w:val="21"/>
                <w:szCs w:val="21"/>
                <w:u w:val="none" w:color="auto"/>
                <w:lang w:val="en-US" w:eastAsia="zh-CN"/>
              </w:rPr>
              <w:t>mg/s，则原煤储存过程中煤尘的产生量为</w:t>
            </w:r>
            <w:r>
              <w:rPr>
                <w:rFonts w:hint="eastAsia" w:cs="Times New Roman"/>
                <w:color w:val="auto"/>
                <w:kern w:val="0"/>
                <w:sz w:val="21"/>
                <w:szCs w:val="21"/>
                <w:u w:val="none" w:color="auto"/>
                <w:lang w:val="en-US" w:eastAsia="zh-CN"/>
              </w:rPr>
              <w:t>3.32</w:t>
            </w:r>
            <w:r>
              <w:rPr>
                <w:rFonts w:hint="eastAsia" w:ascii="Times New Roman" w:hAnsi="Times New Roman" w:eastAsia="宋体" w:cs="Times New Roman"/>
                <w:color w:val="auto"/>
                <w:kern w:val="0"/>
                <w:sz w:val="21"/>
                <w:szCs w:val="21"/>
                <w:u w:val="none" w:color="auto"/>
                <w:lang w:val="en-US" w:eastAsia="zh-CN"/>
              </w:rPr>
              <w:t>t/a。</w:t>
            </w:r>
          </w:p>
          <w:p>
            <w:pPr>
              <w:adjustRightInd w:val="0"/>
              <w:snapToGrid w:val="0"/>
              <w:spacing w:line="360" w:lineRule="auto"/>
              <w:ind w:firstLine="420" w:firstLineChars="200"/>
              <w:rPr>
                <w:rFonts w:hint="eastAsia"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本项目</w:t>
            </w:r>
            <w:r>
              <w:rPr>
                <w:rFonts w:hint="eastAsia" w:ascii="Times New Roman" w:hAnsi="Times New Roman" w:eastAsia="宋体" w:cs="Times New Roman"/>
                <w:color w:val="auto"/>
                <w:kern w:val="0"/>
                <w:sz w:val="21"/>
                <w:szCs w:val="21"/>
                <w:u w:val="none" w:color="auto"/>
                <w:lang w:val="en-US" w:eastAsia="zh-CN"/>
              </w:rPr>
              <w:t>在储煤棚设固定式远程射雾器抑尘。采用远程射雾器抑尘效果能达到</w:t>
            </w:r>
            <w:r>
              <w:rPr>
                <w:rFonts w:hint="eastAsia" w:cs="Times New Roman"/>
                <w:color w:val="auto"/>
                <w:kern w:val="0"/>
                <w:sz w:val="21"/>
                <w:szCs w:val="21"/>
                <w:u w:val="none" w:color="auto"/>
                <w:lang w:val="en-US" w:eastAsia="zh-CN"/>
              </w:rPr>
              <w:t>80</w:t>
            </w:r>
            <w:r>
              <w:rPr>
                <w:rFonts w:hint="eastAsia" w:ascii="Times New Roman" w:hAnsi="Times New Roman" w:eastAsia="宋体" w:cs="Times New Roman"/>
                <w:color w:val="auto"/>
                <w:kern w:val="0"/>
                <w:sz w:val="21"/>
                <w:szCs w:val="21"/>
                <w:u w:val="none" w:color="auto"/>
                <w:lang w:val="en-US" w:eastAsia="zh-CN"/>
              </w:rPr>
              <w:t>%以上</w:t>
            </w:r>
            <w:r>
              <w:rPr>
                <w:rFonts w:hint="eastAsia"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val="en-US" w:eastAsia="zh-CN"/>
              </w:rPr>
              <w:t>粉尘排放量为</w:t>
            </w:r>
            <w:r>
              <w:rPr>
                <w:rFonts w:hint="eastAsia" w:cs="Times New Roman"/>
                <w:color w:val="auto"/>
                <w:kern w:val="0"/>
                <w:sz w:val="21"/>
                <w:szCs w:val="21"/>
                <w:u w:val="none" w:color="auto"/>
                <w:lang w:val="en-US" w:eastAsia="zh-CN"/>
              </w:rPr>
              <w:t>0.664</w:t>
            </w:r>
            <w:r>
              <w:rPr>
                <w:rFonts w:hint="eastAsia" w:ascii="Times New Roman" w:hAnsi="Times New Roman" w:eastAsia="宋体" w:cs="Times New Roman"/>
                <w:color w:val="auto"/>
                <w:kern w:val="0"/>
                <w:sz w:val="21"/>
                <w:szCs w:val="21"/>
                <w:u w:val="none" w:color="auto"/>
                <w:lang w:val="en-US" w:eastAsia="zh-CN"/>
              </w:rPr>
              <w:t>t/a</w:t>
            </w:r>
            <w:r>
              <w:rPr>
                <w:rFonts w:hint="eastAsia" w:cs="Times New Roman"/>
                <w:color w:val="auto"/>
                <w:kern w:val="0"/>
                <w:sz w:val="21"/>
                <w:szCs w:val="21"/>
                <w:u w:val="none" w:color="auto"/>
                <w:lang w:val="en-US" w:eastAsia="zh-CN"/>
              </w:rPr>
              <w:t>。</w:t>
            </w:r>
          </w:p>
          <w:p>
            <w:pPr>
              <w:adjustRightInd w:val="0"/>
              <w:snapToGrid w:val="0"/>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3）煤炭装卸粉尘</w:t>
            </w:r>
          </w:p>
          <w:p>
            <w:pPr>
              <w:adjustRightInd w:val="0"/>
              <w:snapToGrid w:val="0"/>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煤炭装卸依托虞公港码头散货泊位及火车装车系统，</w:t>
            </w:r>
            <w:r>
              <w:rPr>
                <w:rFonts w:hint="eastAsia" w:ascii="Times New Roman" w:hAnsi="Times New Roman" w:eastAsia="宋体" w:cs="Times New Roman"/>
                <w:color w:val="auto"/>
                <w:kern w:val="0"/>
                <w:sz w:val="21"/>
                <w:szCs w:val="21"/>
                <w:u w:val="none" w:color="auto"/>
                <w:lang w:val="en-US" w:eastAsia="zh-CN"/>
              </w:rPr>
              <w:t>火车装车系统为密闭设备，</w:t>
            </w:r>
            <w:r>
              <w:rPr>
                <w:rFonts w:hint="default" w:ascii="Times New Roman" w:hAnsi="Times New Roman" w:eastAsia="宋体" w:cs="Times New Roman"/>
                <w:color w:val="auto"/>
                <w:kern w:val="0"/>
                <w:sz w:val="21"/>
                <w:szCs w:val="21"/>
                <w:u w:val="none" w:color="auto"/>
                <w:lang w:val="en-US" w:eastAsia="zh-CN"/>
              </w:rPr>
              <w:t>装卸粉尘主要发生在货船卸料</w:t>
            </w:r>
            <w:r>
              <w:rPr>
                <w:rFonts w:hint="eastAsia" w:ascii="Times New Roman" w:hAnsi="Times New Roman" w:eastAsia="宋体" w:cs="Times New Roman"/>
                <w:color w:val="auto"/>
                <w:kern w:val="0"/>
                <w:sz w:val="21"/>
                <w:szCs w:val="21"/>
                <w:u w:val="none" w:color="auto"/>
                <w:lang w:val="en-US" w:eastAsia="zh-CN"/>
              </w:rPr>
              <w:t>及</w:t>
            </w:r>
            <w:r>
              <w:rPr>
                <w:rFonts w:hint="default" w:ascii="Times New Roman" w:hAnsi="Times New Roman" w:eastAsia="宋体" w:cs="Times New Roman"/>
                <w:color w:val="auto"/>
                <w:kern w:val="0"/>
                <w:sz w:val="21"/>
                <w:szCs w:val="21"/>
                <w:u w:val="none" w:color="auto"/>
                <w:lang w:val="en-US" w:eastAsia="zh-CN"/>
              </w:rPr>
              <w:t>装船过程。根据《水运工程建设项目环境影响评价指南》，装卸起尘量可按下列公式计算：</w:t>
            </w:r>
          </w:p>
          <w:p>
            <w:pPr>
              <w:adjustRightInd w:val="0"/>
              <w:snapToGrid w:val="0"/>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drawing>
                <wp:inline distT="0" distB="0" distL="114300" distR="114300">
                  <wp:extent cx="2842260" cy="306705"/>
                  <wp:effectExtent l="0" t="0" r="15240" b="171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6"/>
                          <a:stretch>
                            <a:fillRect/>
                          </a:stretch>
                        </pic:blipFill>
                        <pic:spPr>
                          <a:xfrm>
                            <a:off x="0" y="0"/>
                            <a:ext cx="2842260" cy="306705"/>
                          </a:xfrm>
                          <a:prstGeom prst="rect">
                            <a:avLst/>
                          </a:prstGeom>
                          <a:noFill/>
                          <a:ln>
                            <a:noFill/>
                          </a:ln>
                        </pic:spPr>
                      </pic:pic>
                    </a:graphicData>
                  </a:graphic>
                </wp:inline>
              </w:drawing>
            </w:r>
          </w:p>
          <w:p>
            <w:pPr>
              <w:adjustRightInd w:val="0"/>
              <w:snapToGrid w:val="0"/>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式中：Q</w:t>
            </w:r>
            <w:r>
              <w:rPr>
                <w:rFonts w:hint="default" w:ascii="Times New Roman" w:hAnsi="Times New Roman" w:eastAsia="宋体" w:cs="Times New Roman"/>
                <w:color w:val="auto"/>
                <w:kern w:val="0"/>
                <w:sz w:val="21"/>
                <w:szCs w:val="21"/>
                <w:u w:val="none" w:color="auto"/>
                <w:vertAlign w:val="subscript"/>
                <w:lang w:val="en-US" w:eastAsia="zh-CN"/>
              </w:rPr>
              <w:t>2</w:t>
            </w:r>
            <w:r>
              <w:rPr>
                <w:rFonts w:hint="default" w:ascii="Times New Roman" w:hAnsi="Times New Roman" w:eastAsia="宋体" w:cs="Times New Roman"/>
                <w:color w:val="auto"/>
                <w:kern w:val="0"/>
                <w:sz w:val="21"/>
                <w:szCs w:val="21"/>
                <w:u w:val="none" w:color="auto"/>
                <w:lang w:val="en-US" w:eastAsia="zh-CN"/>
              </w:rPr>
              <w:t>——作业起尘量，kg/h；</w:t>
            </w:r>
          </w:p>
          <w:p>
            <w:pPr>
              <w:adjustRightInd w:val="0"/>
              <w:snapToGrid w:val="0"/>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α——货物类型起尘调节系数，取</w:t>
            </w:r>
            <w:r>
              <w:rPr>
                <w:rFonts w:hint="eastAsia" w:ascii="Times New Roman" w:hAnsi="Times New Roman" w:eastAsia="宋体" w:cs="Times New Roman"/>
                <w:color w:val="auto"/>
                <w:kern w:val="0"/>
                <w:sz w:val="21"/>
                <w:szCs w:val="21"/>
                <w:u w:val="none" w:color="auto"/>
                <w:lang w:val="en-US" w:eastAsia="zh-CN"/>
              </w:rPr>
              <w:t>0.8</w:t>
            </w:r>
            <w:r>
              <w:rPr>
                <w:rFonts w:hint="default" w:ascii="Times New Roman" w:hAnsi="Times New Roman" w:eastAsia="宋体" w:cs="Times New Roman"/>
                <w:color w:val="auto"/>
                <w:kern w:val="0"/>
                <w:sz w:val="21"/>
                <w:szCs w:val="21"/>
                <w:u w:val="none" w:color="auto"/>
                <w:lang w:val="en-US" w:eastAsia="zh-CN"/>
              </w:rPr>
              <w:t>；</w:t>
            </w:r>
          </w:p>
          <w:p>
            <w:pPr>
              <w:adjustRightInd w:val="0"/>
              <w:snapToGrid w:val="0"/>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β——作业方式系数，</w:t>
            </w:r>
            <w:r>
              <w:rPr>
                <w:rFonts w:hint="eastAsia" w:ascii="Times New Roman" w:hAnsi="Times New Roman" w:eastAsia="宋体" w:cs="Times New Roman"/>
                <w:color w:val="auto"/>
                <w:kern w:val="0"/>
                <w:sz w:val="21"/>
                <w:szCs w:val="21"/>
                <w:u w:val="none" w:color="auto"/>
                <w:lang w:val="en-US" w:eastAsia="zh-CN"/>
              </w:rPr>
              <w:t>取</w:t>
            </w:r>
            <w:r>
              <w:rPr>
                <w:rFonts w:hint="default" w:ascii="Times New Roman" w:hAnsi="Times New Roman" w:eastAsia="宋体" w:cs="Times New Roman"/>
                <w:color w:val="auto"/>
                <w:kern w:val="0"/>
                <w:sz w:val="21"/>
                <w:szCs w:val="21"/>
                <w:u w:val="none" w:color="auto"/>
                <w:lang w:val="en-US" w:eastAsia="zh-CN"/>
              </w:rPr>
              <w:t>β=</w:t>
            </w:r>
            <w:r>
              <w:rPr>
                <w:rFonts w:hint="eastAsia" w:ascii="Times New Roman" w:hAnsi="Times New Roman" w:eastAsia="宋体" w:cs="Times New Roman"/>
                <w:color w:val="auto"/>
                <w:kern w:val="0"/>
                <w:sz w:val="21"/>
                <w:szCs w:val="21"/>
                <w:u w:val="none" w:color="auto"/>
                <w:lang w:val="en-US" w:eastAsia="zh-CN"/>
              </w:rPr>
              <w:t>1</w:t>
            </w:r>
            <w:r>
              <w:rPr>
                <w:rFonts w:hint="default" w:ascii="Times New Roman" w:hAnsi="Times New Roman" w:eastAsia="宋体" w:cs="Times New Roman"/>
                <w:color w:val="auto"/>
                <w:kern w:val="0"/>
                <w:sz w:val="21"/>
                <w:szCs w:val="21"/>
                <w:u w:val="none" w:color="auto"/>
                <w:lang w:val="en-US" w:eastAsia="zh-CN"/>
              </w:rPr>
              <w:t>；</w:t>
            </w:r>
          </w:p>
          <w:p>
            <w:pPr>
              <w:adjustRightInd w:val="0"/>
              <w:snapToGrid w:val="0"/>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H——作业落差（m），取1.0m；</w:t>
            </w:r>
          </w:p>
          <w:p>
            <w:pPr>
              <w:adjustRightInd w:val="0"/>
              <w:snapToGrid w:val="0"/>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ω</w:t>
            </w:r>
            <w:r>
              <w:rPr>
                <w:rFonts w:hint="default" w:ascii="Times New Roman" w:hAnsi="Times New Roman" w:eastAsia="宋体" w:cs="Times New Roman"/>
                <w:color w:val="auto"/>
                <w:kern w:val="0"/>
                <w:sz w:val="21"/>
                <w:szCs w:val="21"/>
                <w:u w:val="none" w:color="auto"/>
                <w:vertAlign w:val="subscript"/>
                <w:lang w:val="en-US" w:eastAsia="zh-CN"/>
              </w:rPr>
              <w:t>2</w:t>
            </w:r>
            <w:r>
              <w:rPr>
                <w:rFonts w:hint="default" w:ascii="Times New Roman" w:hAnsi="Times New Roman" w:eastAsia="宋体" w:cs="Times New Roman"/>
                <w:color w:val="auto"/>
                <w:kern w:val="0"/>
                <w:sz w:val="21"/>
                <w:szCs w:val="21"/>
                <w:u w:val="none" w:color="auto"/>
                <w:lang w:val="en-US" w:eastAsia="zh-CN"/>
              </w:rPr>
              <w:t>——水分作用系数，与散货性质有关，取0.45；</w:t>
            </w:r>
          </w:p>
          <w:p>
            <w:pPr>
              <w:adjustRightInd w:val="0"/>
              <w:snapToGrid w:val="0"/>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ω</w:t>
            </w:r>
            <w:r>
              <w:rPr>
                <w:rFonts w:hint="default" w:ascii="Times New Roman" w:hAnsi="Times New Roman" w:eastAsia="宋体" w:cs="Times New Roman"/>
                <w:color w:val="auto"/>
                <w:kern w:val="0"/>
                <w:sz w:val="21"/>
                <w:szCs w:val="21"/>
                <w:u w:val="none" w:color="auto"/>
                <w:vertAlign w:val="subscript"/>
                <w:lang w:val="en-US" w:eastAsia="zh-CN"/>
              </w:rPr>
              <w:t>0</w:t>
            </w:r>
            <w:r>
              <w:rPr>
                <w:rFonts w:hint="default" w:ascii="Times New Roman" w:hAnsi="Times New Roman" w:eastAsia="宋体" w:cs="Times New Roman"/>
                <w:color w:val="auto"/>
                <w:kern w:val="0"/>
                <w:sz w:val="21"/>
                <w:szCs w:val="21"/>
                <w:u w:val="none" w:color="auto"/>
                <w:lang w:val="en-US" w:eastAsia="zh-CN"/>
              </w:rPr>
              <w:t>——水分作用效果的临界值，取</w:t>
            </w:r>
            <w:r>
              <w:rPr>
                <w:rFonts w:hint="eastAsia" w:ascii="Times New Roman" w:hAnsi="Times New Roman" w:eastAsia="宋体" w:cs="Times New Roman"/>
                <w:color w:val="auto"/>
                <w:kern w:val="0"/>
                <w:sz w:val="21"/>
                <w:szCs w:val="21"/>
                <w:u w:val="none" w:color="auto"/>
                <w:lang w:val="en-US" w:eastAsia="zh-CN"/>
              </w:rPr>
              <w:t>6</w:t>
            </w:r>
            <w:r>
              <w:rPr>
                <w:rFonts w:hint="default" w:ascii="Times New Roman" w:hAnsi="Times New Roman" w:eastAsia="宋体" w:cs="Times New Roman"/>
                <w:color w:val="auto"/>
                <w:kern w:val="0"/>
                <w:sz w:val="21"/>
                <w:szCs w:val="21"/>
                <w:u w:val="none" w:color="auto"/>
                <w:lang w:val="en-US" w:eastAsia="zh-CN"/>
              </w:rPr>
              <w:t>%；</w:t>
            </w:r>
          </w:p>
          <w:p>
            <w:pPr>
              <w:adjustRightInd w:val="0"/>
              <w:snapToGrid w:val="0"/>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ω——含水率（%），取</w:t>
            </w:r>
            <w:r>
              <w:rPr>
                <w:rFonts w:hint="eastAsia" w:ascii="Times New Roman" w:hAnsi="Times New Roman" w:eastAsia="宋体" w:cs="Times New Roman"/>
                <w:color w:val="auto"/>
                <w:kern w:val="0"/>
                <w:sz w:val="21"/>
                <w:szCs w:val="21"/>
                <w:u w:val="none" w:color="auto"/>
                <w:lang w:val="en-US" w:eastAsia="zh-CN"/>
              </w:rPr>
              <w:t>10</w:t>
            </w:r>
            <w:r>
              <w:rPr>
                <w:rFonts w:hint="default" w:ascii="Times New Roman" w:hAnsi="Times New Roman" w:eastAsia="宋体" w:cs="Times New Roman"/>
                <w:color w:val="auto"/>
                <w:kern w:val="0"/>
                <w:sz w:val="21"/>
                <w:szCs w:val="21"/>
                <w:u w:val="none" w:color="auto"/>
                <w:lang w:val="en-US" w:eastAsia="zh-CN"/>
              </w:rPr>
              <w:t>%；</w:t>
            </w:r>
          </w:p>
          <w:p>
            <w:pPr>
              <w:adjustRightInd w:val="0"/>
              <w:snapToGrid w:val="0"/>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Y——作业量，t/h，</w:t>
            </w:r>
            <w:r>
              <w:rPr>
                <w:rFonts w:hint="eastAsia" w:ascii="Times New Roman" w:hAnsi="Times New Roman" w:eastAsia="宋体" w:cs="Times New Roman"/>
                <w:color w:val="auto"/>
                <w:kern w:val="0"/>
                <w:sz w:val="21"/>
                <w:szCs w:val="21"/>
                <w:u w:val="none" w:color="auto"/>
                <w:lang w:val="en-US" w:eastAsia="zh-CN"/>
              </w:rPr>
              <w:t>1000</w:t>
            </w:r>
            <w:r>
              <w:rPr>
                <w:rFonts w:hint="default" w:ascii="Times New Roman" w:hAnsi="Times New Roman" w:eastAsia="宋体" w:cs="Times New Roman"/>
                <w:color w:val="auto"/>
                <w:kern w:val="0"/>
                <w:sz w:val="21"/>
                <w:szCs w:val="21"/>
                <w:u w:val="none" w:color="auto"/>
                <w:lang w:val="en-US" w:eastAsia="zh-CN"/>
              </w:rPr>
              <w:t>t/h；</w:t>
            </w:r>
          </w:p>
          <w:p>
            <w:pPr>
              <w:adjustRightInd w:val="0"/>
              <w:snapToGrid w:val="0"/>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ν</w:t>
            </w:r>
            <w:r>
              <w:rPr>
                <w:rFonts w:hint="default" w:ascii="Times New Roman" w:hAnsi="Times New Roman" w:eastAsia="宋体" w:cs="Times New Roman"/>
                <w:color w:val="auto"/>
                <w:kern w:val="0"/>
                <w:sz w:val="21"/>
                <w:szCs w:val="21"/>
                <w:u w:val="none" w:color="auto"/>
                <w:vertAlign w:val="subscript"/>
                <w:lang w:val="en-US" w:eastAsia="zh-CN"/>
              </w:rPr>
              <w:t>2</w:t>
            </w:r>
            <w:r>
              <w:rPr>
                <w:rFonts w:hint="default" w:ascii="Times New Roman" w:hAnsi="Times New Roman" w:eastAsia="宋体" w:cs="Times New Roman"/>
                <w:color w:val="auto"/>
                <w:kern w:val="0"/>
                <w:sz w:val="21"/>
                <w:szCs w:val="21"/>
                <w:u w:val="none" w:color="auto"/>
                <w:lang w:val="en-US" w:eastAsia="zh-CN"/>
              </w:rPr>
              <w:t>——作业起尘量达到最大起尘量50%时的风速（m/s），取16m/s；</w:t>
            </w:r>
          </w:p>
          <w:p>
            <w:pPr>
              <w:adjustRightInd w:val="0"/>
              <w:snapToGrid w:val="0"/>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U——风速，m/s，</w:t>
            </w:r>
            <w:r>
              <w:rPr>
                <w:rFonts w:hint="eastAsia" w:ascii="Times New Roman" w:hAnsi="Times New Roman" w:eastAsia="宋体" w:cs="Times New Roman"/>
                <w:color w:val="auto"/>
                <w:kern w:val="0"/>
                <w:sz w:val="21"/>
                <w:szCs w:val="21"/>
                <w:u w:val="none" w:color="auto"/>
                <w:lang w:val="en-US" w:eastAsia="zh-CN"/>
              </w:rPr>
              <w:t>取2.5</w:t>
            </w:r>
            <w:r>
              <w:rPr>
                <w:rFonts w:hint="default" w:ascii="Times New Roman" w:hAnsi="Times New Roman" w:eastAsia="宋体" w:cs="Times New Roman"/>
                <w:color w:val="auto"/>
                <w:kern w:val="0"/>
                <w:sz w:val="21"/>
                <w:szCs w:val="21"/>
                <w:u w:val="none" w:color="auto"/>
                <w:lang w:val="en-US" w:eastAsia="zh-CN"/>
              </w:rPr>
              <w:t>m/s。</w:t>
            </w:r>
          </w:p>
          <w:p>
            <w:pPr>
              <w:adjustRightInd w:val="0"/>
              <w:snapToGrid w:val="0"/>
              <w:spacing w:line="360" w:lineRule="auto"/>
              <w:ind w:firstLine="420" w:firstLineChars="200"/>
              <w:rPr>
                <w:rFonts w:hint="default"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粉尘按其粒径可分为细粉尘和粗粉尘，其中粗粉尘由于重力作用，很快落地，而细粉尘可随气流输送、扩散，影响范围相对较大。煤炭含水率较高，</w:t>
            </w:r>
            <w:r>
              <w:rPr>
                <w:rFonts w:hint="eastAsia" w:cs="Times New Roman"/>
                <w:color w:val="auto"/>
                <w:kern w:val="0"/>
                <w:sz w:val="21"/>
                <w:szCs w:val="21"/>
                <w:u w:val="none" w:color="auto"/>
                <w:lang w:val="en-US" w:eastAsia="zh-CN"/>
              </w:rPr>
              <w:t>含尘量低，</w:t>
            </w:r>
            <w:r>
              <w:rPr>
                <w:rFonts w:hint="default" w:ascii="Times New Roman" w:hAnsi="Times New Roman" w:eastAsia="宋体" w:cs="Times New Roman"/>
                <w:color w:val="auto"/>
                <w:kern w:val="0"/>
                <w:sz w:val="21"/>
                <w:szCs w:val="21"/>
                <w:u w:val="none" w:color="auto"/>
                <w:lang w:val="en-US" w:eastAsia="zh-CN"/>
              </w:rPr>
              <w:t>主要考虑细粉尘，约占总粉尘量的5%</w:t>
            </w:r>
            <w:r>
              <w:rPr>
                <w:rFonts w:hint="eastAsia" w:cs="Times New Roman"/>
                <w:color w:val="auto"/>
                <w:kern w:val="0"/>
                <w:sz w:val="21"/>
                <w:szCs w:val="21"/>
                <w:u w:val="none" w:color="auto"/>
                <w:lang w:val="en-US" w:eastAsia="zh-CN"/>
              </w:rPr>
              <w:t>，</w:t>
            </w:r>
            <w:r>
              <w:rPr>
                <w:rFonts w:hint="default" w:ascii="Times New Roman" w:hAnsi="Times New Roman" w:eastAsia="宋体" w:cs="Times New Roman"/>
                <w:color w:val="auto"/>
                <w:kern w:val="0"/>
                <w:sz w:val="21"/>
                <w:szCs w:val="21"/>
                <w:u w:val="none" w:color="auto"/>
                <w:lang w:val="en-US" w:eastAsia="zh-CN"/>
              </w:rPr>
              <w:t>经计算可得煤炭起尘量为</w:t>
            </w:r>
            <w:r>
              <w:rPr>
                <w:rFonts w:hint="eastAsia" w:cs="Times New Roman"/>
                <w:color w:val="auto"/>
                <w:kern w:val="0"/>
                <w:sz w:val="21"/>
                <w:szCs w:val="21"/>
                <w:u w:val="none" w:color="auto"/>
                <w:lang w:val="en-US" w:eastAsia="zh-CN"/>
              </w:rPr>
              <w:t>1.3</w:t>
            </w:r>
            <w:r>
              <w:rPr>
                <w:rFonts w:hint="default" w:ascii="Times New Roman" w:hAnsi="Times New Roman" w:eastAsia="宋体" w:cs="Times New Roman"/>
                <w:color w:val="auto"/>
                <w:kern w:val="0"/>
                <w:sz w:val="21"/>
                <w:szCs w:val="21"/>
                <w:u w:val="none" w:color="auto"/>
                <w:lang w:val="en-US" w:eastAsia="zh-CN"/>
              </w:rPr>
              <w:t>kg/h</w:t>
            </w:r>
            <w:r>
              <w:rPr>
                <w:rFonts w:hint="eastAsia" w:cs="Times New Roman"/>
                <w:color w:val="auto"/>
                <w:kern w:val="0"/>
                <w:sz w:val="21"/>
                <w:szCs w:val="21"/>
                <w:u w:val="none" w:color="auto"/>
                <w:lang w:val="en-US" w:eastAsia="zh-CN"/>
              </w:rPr>
              <w:t>，煤炭卸料640万t/a，装船200万t/a，作业时间合计8400h，则装卸粉尘产生量为10.92t/a。虞公港码头</w:t>
            </w:r>
            <w:r>
              <w:rPr>
                <w:rFonts w:hint="default" w:ascii="Times New Roman" w:hAnsi="Times New Roman" w:eastAsia="宋体" w:cs="Times New Roman"/>
                <w:color w:val="auto"/>
                <w:kern w:val="0"/>
                <w:sz w:val="21"/>
                <w:szCs w:val="21"/>
                <w:u w:val="none" w:color="auto"/>
                <w:lang w:val="en-US" w:eastAsia="zh-CN"/>
              </w:rPr>
              <w:t>装卸</w:t>
            </w:r>
            <w:r>
              <w:rPr>
                <w:rFonts w:hint="eastAsia" w:cs="Times New Roman"/>
                <w:color w:val="auto"/>
                <w:kern w:val="0"/>
                <w:sz w:val="21"/>
                <w:szCs w:val="21"/>
                <w:u w:val="none" w:color="auto"/>
                <w:lang w:val="en-US" w:eastAsia="zh-CN"/>
              </w:rPr>
              <w:t>平台</w:t>
            </w:r>
            <w:r>
              <w:rPr>
                <w:rFonts w:hint="default" w:ascii="Times New Roman" w:hAnsi="Times New Roman" w:eastAsia="宋体" w:cs="Times New Roman"/>
                <w:color w:val="auto"/>
                <w:kern w:val="0"/>
                <w:sz w:val="21"/>
                <w:szCs w:val="21"/>
                <w:u w:val="none" w:color="auto"/>
                <w:lang w:val="en-US" w:eastAsia="zh-CN"/>
              </w:rPr>
              <w:t>设置</w:t>
            </w:r>
            <w:r>
              <w:rPr>
                <w:szCs w:val="28"/>
                <w:highlight w:val="none"/>
              </w:rPr>
              <w:t>高压自动微雾</w:t>
            </w:r>
            <w:r>
              <w:rPr>
                <w:highlight w:val="none"/>
              </w:rPr>
              <w:t>湿式</w:t>
            </w:r>
            <w:r>
              <w:rPr>
                <w:szCs w:val="28"/>
                <w:highlight w:val="none"/>
              </w:rPr>
              <w:t>抑尘系统</w:t>
            </w:r>
            <w:r>
              <w:rPr>
                <w:rFonts w:hint="default" w:ascii="Times New Roman" w:hAnsi="Times New Roman" w:eastAsia="宋体" w:cs="Times New Roman"/>
                <w:color w:val="auto"/>
                <w:kern w:val="0"/>
                <w:sz w:val="21"/>
                <w:szCs w:val="21"/>
                <w:u w:val="none" w:color="auto"/>
                <w:lang w:val="en-US" w:eastAsia="zh-CN"/>
              </w:rPr>
              <w:t>，并设返尘板，</w:t>
            </w:r>
            <w:r>
              <w:rPr>
                <w:rFonts w:hint="eastAsia" w:cs="Times New Roman"/>
                <w:color w:val="auto"/>
                <w:kern w:val="0"/>
                <w:sz w:val="21"/>
                <w:szCs w:val="21"/>
                <w:u w:val="none" w:color="auto"/>
                <w:lang w:val="en-US" w:eastAsia="zh-CN"/>
              </w:rPr>
              <w:t>采取</w:t>
            </w:r>
            <w:r>
              <w:rPr>
                <w:rFonts w:hint="default" w:ascii="Times New Roman" w:hAnsi="Times New Roman" w:eastAsia="宋体" w:cs="Times New Roman"/>
                <w:color w:val="auto"/>
                <w:kern w:val="0"/>
                <w:sz w:val="21"/>
                <w:szCs w:val="21"/>
                <w:u w:val="none" w:color="auto"/>
                <w:lang w:val="en-US" w:eastAsia="zh-CN"/>
              </w:rPr>
              <w:t>降低装卸</w:t>
            </w:r>
            <w:r>
              <w:rPr>
                <w:rFonts w:hint="eastAsia" w:cs="Times New Roman"/>
                <w:color w:val="auto"/>
                <w:kern w:val="0"/>
                <w:sz w:val="21"/>
                <w:szCs w:val="21"/>
                <w:u w:val="none" w:color="auto"/>
                <w:lang w:val="en-US" w:eastAsia="zh-CN"/>
              </w:rPr>
              <w:t>物料</w:t>
            </w:r>
            <w:r>
              <w:rPr>
                <w:rFonts w:hint="default" w:ascii="Times New Roman" w:hAnsi="Times New Roman" w:eastAsia="宋体" w:cs="Times New Roman"/>
                <w:color w:val="auto"/>
                <w:kern w:val="0"/>
                <w:sz w:val="21"/>
                <w:szCs w:val="21"/>
                <w:u w:val="none" w:color="auto"/>
                <w:lang w:val="en-US" w:eastAsia="zh-CN"/>
              </w:rPr>
              <w:t>跌落高度等措施，</w:t>
            </w:r>
            <w:r>
              <w:rPr>
                <w:rFonts w:hint="eastAsia" w:cs="Times New Roman"/>
                <w:color w:val="auto"/>
                <w:kern w:val="0"/>
                <w:sz w:val="21"/>
                <w:szCs w:val="21"/>
                <w:u w:val="none" w:color="auto"/>
                <w:lang w:val="en-US" w:eastAsia="zh-CN"/>
              </w:rPr>
              <w:t>总抑尘</w:t>
            </w:r>
            <w:r>
              <w:rPr>
                <w:rFonts w:hint="default" w:ascii="Times New Roman" w:hAnsi="Times New Roman" w:eastAsia="宋体" w:cs="Times New Roman"/>
                <w:color w:val="auto"/>
                <w:kern w:val="0"/>
                <w:sz w:val="21"/>
                <w:szCs w:val="21"/>
                <w:u w:val="none" w:color="auto"/>
                <w:lang w:val="en-US" w:eastAsia="zh-CN"/>
              </w:rPr>
              <w:t>效率按90%计。</w:t>
            </w:r>
            <w:r>
              <w:rPr>
                <w:rFonts w:hint="eastAsia" w:cs="Times New Roman"/>
                <w:color w:val="auto"/>
                <w:kern w:val="0"/>
                <w:sz w:val="21"/>
                <w:szCs w:val="21"/>
                <w:u w:val="none" w:color="auto"/>
                <w:lang w:val="en-US" w:eastAsia="zh-CN"/>
              </w:rPr>
              <w:t>则装卸粉尘排放量为1.09t/a。</w:t>
            </w:r>
          </w:p>
          <w:p>
            <w:pPr>
              <w:spacing w:line="360" w:lineRule="auto"/>
              <w:jc w:val="center"/>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表</w:t>
            </w:r>
            <w:r>
              <w:rPr>
                <w:rFonts w:hint="eastAsia"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3项目大气污染物排放情况一览表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797"/>
              <w:gridCol w:w="976"/>
              <w:gridCol w:w="991"/>
              <w:gridCol w:w="2138"/>
              <w:gridCol w:w="889"/>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产生环节</w:t>
                  </w:r>
                </w:p>
              </w:tc>
              <w:tc>
                <w:tcPr>
                  <w:tcW w:w="50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污染物</w:t>
                  </w:r>
                </w:p>
              </w:tc>
              <w:tc>
                <w:tcPr>
                  <w:tcW w:w="61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产生量t/a</w:t>
                  </w:r>
                </w:p>
              </w:tc>
              <w:tc>
                <w:tcPr>
                  <w:tcW w:w="62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产生速率kg/h</w:t>
                  </w:r>
                </w:p>
              </w:tc>
              <w:tc>
                <w:tcPr>
                  <w:tcW w:w="134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处理措施</w:t>
                  </w:r>
                </w:p>
              </w:tc>
              <w:tc>
                <w:tcPr>
                  <w:tcW w:w="56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排放量t/a</w:t>
                  </w:r>
                </w:p>
              </w:tc>
              <w:tc>
                <w:tcPr>
                  <w:tcW w:w="69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转载点</w:t>
                  </w:r>
                </w:p>
              </w:tc>
              <w:tc>
                <w:tcPr>
                  <w:tcW w:w="50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颗粒物</w:t>
                  </w:r>
                </w:p>
              </w:tc>
              <w:tc>
                <w:tcPr>
                  <w:tcW w:w="6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1.07</w:t>
                  </w:r>
                </w:p>
              </w:tc>
              <w:tc>
                <w:tcPr>
                  <w:tcW w:w="6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0.122</w:t>
                  </w:r>
                </w:p>
              </w:tc>
              <w:tc>
                <w:tcPr>
                  <w:tcW w:w="134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cs="Times New Roman"/>
                      <w:i w:val="0"/>
                      <w:iCs w:val="0"/>
                      <w:color w:val="auto"/>
                      <w:kern w:val="2"/>
                      <w:sz w:val="21"/>
                      <w:szCs w:val="21"/>
                      <w:u w:val="none" w:color="auto"/>
                      <w:lang w:val="en-US" w:eastAsia="zh-CN" w:bidi="ar-SA"/>
                    </w:rPr>
                    <w:t>装载点为全密闭式，采用全封闭带式输送机输送，装载点共设置</w:t>
                  </w:r>
                  <w:r>
                    <w:rPr>
                      <w:rFonts w:hint="default" w:ascii="Times New Roman" w:hAnsi="Times New Roman" w:eastAsia="宋体" w:cs="Times New Roman"/>
                      <w:i w:val="0"/>
                      <w:iCs w:val="0"/>
                      <w:color w:val="auto"/>
                      <w:kern w:val="2"/>
                      <w:sz w:val="21"/>
                      <w:szCs w:val="21"/>
                      <w:u w:val="none" w:color="auto"/>
                      <w:lang w:val="en-US" w:eastAsia="zh-CN" w:bidi="ar-SA"/>
                    </w:rPr>
                    <w:t>干雾抑尘装置2套</w:t>
                  </w:r>
                  <w:r>
                    <w:rPr>
                      <w:rFonts w:hint="eastAsia" w:cs="Times New Roman"/>
                      <w:i w:val="0"/>
                      <w:iCs w:val="0"/>
                      <w:color w:val="auto"/>
                      <w:kern w:val="2"/>
                      <w:sz w:val="21"/>
                      <w:szCs w:val="21"/>
                      <w:u w:val="none" w:color="auto"/>
                      <w:lang w:val="en-US" w:eastAsia="zh-CN" w:bidi="ar-SA"/>
                    </w:rPr>
                    <w:t>，抑尘效率80%</w:t>
                  </w:r>
                </w:p>
              </w:tc>
              <w:tc>
                <w:tcPr>
                  <w:tcW w:w="56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0.214</w:t>
                  </w:r>
                </w:p>
              </w:tc>
              <w:tc>
                <w:tcPr>
                  <w:tcW w:w="69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储煤场</w:t>
                  </w:r>
                </w:p>
              </w:tc>
              <w:tc>
                <w:tcPr>
                  <w:tcW w:w="50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颗粒物</w:t>
                  </w:r>
                </w:p>
              </w:tc>
              <w:tc>
                <w:tcPr>
                  <w:tcW w:w="6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color w:val="auto"/>
                      <w:kern w:val="0"/>
                      <w:sz w:val="21"/>
                      <w:szCs w:val="21"/>
                      <w:u w:val="none" w:color="auto"/>
                      <w:lang w:val="en-US" w:eastAsia="zh-CN"/>
                    </w:rPr>
                    <w:t>3.32</w:t>
                  </w:r>
                </w:p>
              </w:tc>
              <w:tc>
                <w:tcPr>
                  <w:tcW w:w="6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0.379</w:t>
                  </w:r>
                </w:p>
              </w:tc>
              <w:tc>
                <w:tcPr>
                  <w:tcW w:w="134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2"/>
                      <w:sz w:val="21"/>
                      <w:szCs w:val="21"/>
                      <w:u w:val="none" w:color="auto"/>
                      <w:lang w:val="en-US" w:eastAsia="zh-CN" w:bidi="ar-SA"/>
                    </w:rPr>
                    <w:t>储煤场为全密闭式，储煤棚</w:t>
                  </w:r>
                  <w:r>
                    <w:rPr>
                      <w:rFonts w:hint="eastAsia" w:ascii="Times New Roman" w:hAnsi="Times New Roman" w:eastAsia="宋体" w:cs="Times New Roman"/>
                      <w:color w:val="auto"/>
                      <w:kern w:val="0"/>
                      <w:sz w:val="21"/>
                      <w:szCs w:val="21"/>
                      <w:u w:val="none" w:color="auto"/>
                      <w:lang w:val="en-US" w:eastAsia="zh-CN"/>
                    </w:rPr>
                    <w:t>设固定式远程射雾器抑尘，共</w:t>
                  </w:r>
                  <w:r>
                    <w:rPr>
                      <w:rFonts w:hint="default" w:ascii="Times New Roman" w:hAnsi="Times New Roman" w:eastAsia="宋体" w:cs="Times New Roman"/>
                      <w:i w:val="0"/>
                      <w:iCs w:val="0"/>
                      <w:color w:val="auto"/>
                      <w:kern w:val="0"/>
                      <w:sz w:val="21"/>
                      <w:szCs w:val="21"/>
                      <w:u w:val="none" w:color="auto"/>
                      <w:lang w:val="en-US" w:eastAsia="zh-CN" w:bidi="ar"/>
                    </w:rPr>
                    <w:t>4台</w:t>
                  </w:r>
                  <w:r>
                    <w:rPr>
                      <w:rFonts w:hint="eastAsia" w:cs="Times New Roman"/>
                      <w:i w:val="0"/>
                      <w:iCs w:val="0"/>
                      <w:color w:val="auto"/>
                      <w:kern w:val="2"/>
                      <w:sz w:val="21"/>
                      <w:szCs w:val="21"/>
                      <w:u w:val="none" w:color="auto"/>
                      <w:lang w:val="en-US" w:eastAsia="zh-CN" w:bidi="ar-SA"/>
                    </w:rPr>
                    <w:t>，抑尘效率80%</w:t>
                  </w:r>
                </w:p>
              </w:tc>
              <w:tc>
                <w:tcPr>
                  <w:tcW w:w="56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0.664</w:t>
                  </w:r>
                </w:p>
              </w:tc>
              <w:tc>
                <w:tcPr>
                  <w:tcW w:w="69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煤炭装卸粉尘</w:t>
                  </w:r>
                </w:p>
              </w:tc>
              <w:tc>
                <w:tcPr>
                  <w:tcW w:w="50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颗粒物</w:t>
                  </w:r>
                </w:p>
              </w:tc>
              <w:tc>
                <w:tcPr>
                  <w:tcW w:w="615" w:type="pct"/>
                  <w:noWrap w:val="0"/>
                  <w:vAlign w:val="center"/>
                </w:tcPr>
                <w:p>
                  <w:pPr>
                    <w:keepNext w:val="0"/>
                    <w:keepLines w:val="0"/>
                    <w:widowControl/>
                    <w:suppressLineNumbers w:val="0"/>
                    <w:jc w:val="center"/>
                    <w:textAlignment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10.92</w:t>
                  </w:r>
                </w:p>
              </w:tc>
              <w:tc>
                <w:tcPr>
                  <w:tcW w:w="624" w:type="pct"/>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1.3</w:t>
                  </w:r>
                </w:p>
              </w:tc>
              <w:tc>
                <w:tcPr>
                  <w:tcW w:w="1345" w:type="pct"/>
                  <w:noWrap w:val="0"/>
                  <w:vAlign w:val="center"/>
                </w:tcPr>
                <w:p>
                  <w:pPr>
                    <w:keepNext w:val="0"/>
                    <w:keepLines w:val="0"/>
                    <w:widowControl/>
                    <w:suppressLineNumbers w:val="0"/>
                    <w:jc w:val="center"/>
                    <w:textAlignment w:val="center"/>
                    <w:rPr>
                      <w:rFonts w:hint="eastAsia" w:cs="Times New Roman"/>
                      <w:i w:val="0"/>
                      <w:iCs w:val="0"/>
                      <w:color w:val="auto"/>
                      <w:kern w:val="2"/>
                      <w:sz w:val="21"/>
                      <w:szCs w:val="21"/>
                      <w:u w:val="none" w:color="auto"/>
                      <w:lang w:val="en-US" w:eastAsia="zh-CN" w:bidi="ar-SA"/>
                    </w:rPr>
                  </w:pPr>
                  <w:r>
                    <w:rPr>
                      <w:rFonts w:hint="eastAsia" w:cs="Times New Roman"/>
                      <w:color w:val="auto"/>
                      <w:kern w:val="0"/>
                      <w:sz w:val="21"/>
                      <w:szCs w:val="21"/>
                      <w:u w:val="none" w:color="auto"/>
                      <w:lang w:val="en-US" w:eastAsia="zh-CN"/>
                    </w:rPr>
                    <w:t>依托虞公港码头高压自动微雾湿式抑尘系统</w:t>
                  </w:r>
                  <w:r>
                    <w:rPr>
                      <w:rFonts w:hint="default" w:ascii="Times New Roman" w:hAnsi="Times New Roman" w:eastAsia="宋体" w:cs="Times New Roman"/>
                      <w:color w:val="auto"/>
                      <w:kern w:val="0"/>
                      <w:sz w:val="21"/>
                      <w:szCs w:val="21"/>
                      <w:u w:val="none" w:color="auto"/>
                      <w:lang w:val="en-US" w:eastAsia="zh-CN"/>
                    </w:rPr>
                    <w:t>，设返尘板，降低</w:t>
                  </w:r>
                  <w:r>
                    <w:rPr>
                      <w:rFonts w:hint="eastAsia" w:cs="Times New Roman"/>
                      <w:color w:val="auto"/>
                      <w:kern w:val="0"/>
                      <w:sz w:val="21"/>
                      <w:szCs w:val="21"/>
                      <w:u w:val="none" w:color="auto"/>
                      <w:lang w:val="en-US" w:eastAsia="zh-CN"/>
                    </w:rPr>
                    <w:t>物料</w:t>
                  </w:r>
                  <w:r>
                    <w:rPr>
                      <w:rFonts w:hint="default" w:ascii="Times New Roman" w:hAnsi="Times New Roman" w:eastAsia="宋体" w:cs="Times New Roman"/>
                      <w:color w:val="auto"/>
                      <w:kern w:val="0"/>
                      <w:sz w:val="21"/>
                      <w:szCs w:val="21"/>
                      <w:u w:val="none" w:color="auto"/>
                      <w:lang w:val="en-US" w:eastAsia="zh-CN"/>
                    </w:rPr>
                    <w:t>跌落高度</w:t>
                  </w:r>
                  <w:r>
                    <w:rPr>
                      <w:rFonts w:hint="eastAsia" w:cs="Times New Roman"/>
                      <w:color w:val="auto"/>
                      <w:kern w:val="0"/>
                      <w:sz w:val="21"/>
                      <w:szCs w:val="21"/>
                      <w:u w:val="none" w:color="auto"/>
                      <w:lang w:val="en-US" w:eastAsia="zh-CN"/>
                    </w:rPr>
                    <w:t>等措施</w:t>
                  </w:r>
                  <w:r>
                    <w:rPr>
                      <w:rFonts w:hint="default" w:ascii="Times New Roman" w:hAnsi="Times New Roman" w:eastAsia="宋体" w:cs="Times New Roman"/>
                      <w:color w:val="auto"/>
                      <w:kern w:val="0"/>
                      <w:sz w:val="21"/>
                      <w:szCs w:val="21"/>
                      <w:u w:val="none" w:color="auto"/>
                      <w:lang w:val="en-US" w:eastAsia="zh-CN"/>
                    </w:rPr>
                    <w:t>，</w:t>
                  </w:r>
                  <w:r>
                    <w:rPr>
                      <w:rFonts w:hint="eastAsia" w:cs="Times New Roman"/>
                      <w:color w:val="auto"/>
                      <w:kern w:val="0"/>
                      <w:sz w:val="21"/>
                      <w:szCs w:val="21"/>
                      <w:u w:val="none" w:color="auto"/>
                      <w:lang w:val="en-US" w:eastAsia="zh-CN"/>
                    </w:rPr>
                    <w:t>总抑尘</w:t>
                  </w:r>
                  <w:r>
                    <w:rPr>
                      <w:rFonts w:hint="default" w:ascii="Times New Roman" w:hAnsi="Times New Roman" w:eastAsia="宋体" w:cs="Times New Roman"/>
                      <w:color w:val="auto"/>
                      <w:kern w:val="0"/>
                      <w:sz w:val="21"/>
                      <w:szCs w:val="21"/>
                      <w:u w:val="none" w:color="auto"/>
                      <w:lang w:val="en-US" w:eastAsia="zh-CN"/>
                    </w:rPr>
                    <w:t>效率90%</w:t>
                  </w:r>
                </w:p>
              </w:tc>
              <w:tc>
                <w:tcPr>
                  <w:tcW w:w="560" w:type="pct"/>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1.09</w:t>
                  </w:r>
                </w:p>
              </w:tc>
              <w:tc>
                <w:tcPr>
                  <w:tcW w:w="692" w:type="pct"/>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7" w:type="pct"/>
                  <w:gridSpan w:val="5"/>
                  <w:noWrap w:val="0"/>
                  <w:vAlign w:val="center"/>
                </w:tcPr>
                <w:p>
                  <w:pPr>
                    <w:keepNext w:val="0"/>
                    <w:keepLines w:val="0"/>
                    <w:widowControl/>
                    <w:suppressLineNumbers w:val="0"/>
                    <w:jc w:val="center"/>
                    <w:textAlignment w:val="center"/>
                    <w:rPr>
                      <w:rFonts w:hint="eastAsia" w:cs="Times New Roman"/>
                      <w:i w:val="0"/>
                      <w:iCs w:val="0"/>
                      <w:color w:val="auto"/>
                      <w:kern w:val="2"/>
                      <w:sz w:val="21"/>
                      <w:szCs w:val="21"/>
                      <w:u w:val="none" w:color="auto"/>
                      <w:lang w:val="en-US" w:eastAsia="zh-CN" w:bidi="ar-SA"/>
                    </w:rPr>
                  </w:pPr>
                  <w:r>
                    <w:rPr>
                      <w:rFonts w:hint="eastAsia" w:cs="Times New Roman"/>
                      <w:i w:val="0"/>
                      <w:iCs w:val="0"/>
                      <w:color w:val="auto"/>
                      <w:kern w:val="2"/>
                      <w:sz w:val="21"/>
                      <w:szCs w:val="21"/>
                      <w:u w:val="none" w:color="auto"/>
                      <w:lang w:val="en-US" w:eastAsia="zh-CN" w:bidi="ar-SA"/>
                    </w:rPr>
                    <w:t>合计</w:t>
                  </w:r>
                </w:p>
              </w:tc>
              <w:tc>
                <w:tcPr>
                  <w:tcW w:w="560" w:type="pct"/>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1.968</w:t>
                  </w:r>
                </w:p>
              </w:tc>
              <w:tc>
                <w:tcPr>
                  <w:tcW w:w="692" w:type="pct"/>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0.230</w:t>
                  </w:r>
                </w:p>
              </w:tc>
            </w:tr>
          </w:tbl>
          <w:p>
            <w:pPr>
              <w:adjustRightInd w:val="0"/>
              <w:snapToGrid w:val="0"/>
              <w:spacing w:line="360" w:lineRule="auto"/>
              <w:ind w:firstLine="422" w:firstLineChars="200"/>
              <w:rPr>
                <w:rFonts w:hint="default" w:ascii="Times New Roman" w:hAnsi="Times New Roman" w:eastAsia="宋体" w:cs="Times New Roman"/>
                <w:b/>
                <w:bCs/>
                <w:color w:val="auto"/>
                <w:kern w:val="0"/>
                <w:sz w:val="21"/>
                <w:szCs w:val="21"/>
                <w:u w:val="none" w:color="auto"/>
                <w:lang w:val="en-US" w:eastAsia="zh-CN"/>
              </w:rPr>
            </w:pPr>
            <w:r>
              <w:rPr>
                <w:rFonts w:hint="eastAsia" w:cs="Times New Roman"/>
                <w:b/>
                <w:bCs/>
                <w:color w:val="auto"/>
                <w:kern w:val="0"/>
                <w:sz w:val="21"/>
                <w:szCs w:val="21"/>
                <w:u w:val="none" w:color="auto"/>
                <w:lang w:val="en-US" w:eastAsia="zh-CN"/>
              </w:rPr>
              <w:t>（2）</w:t>
            </w:r>
            <w:r>
              <w:rPr>
                <w:rFonts w:hint="default" w:ascii="Times New Roman" w:hAnsi="Times New Roman" w:eastAsia="宋体" w:cs="Times New Roman"/>
                <w:b/>
                <w:bCs/>
                <w:color w:val="auto"/>
                <w:kern w:val="0"/>
                <w:sz w:val="21"/>
                <w:szCs w:val="21"/>
                <w:u w:val="none" w:color="auto"/>
                <w:lang w:val="en-US" w:eastAsia="zh-CN"/>
              </w:rPr>
              <w:t>废气污染治理设施可行性分析</w:t>
            </w:r>
          </w:p>
          <w:p>
            <w:pPr>
              <w:spacing w:line="480" w:lineRule="exact"/>
              <w:ind w:firstLine="408" w:firstLineChars="200"/>
              <w:rPr>
                <w:rFonts w:hint="eastAsia" w:ascii="Times New Roman" w:hAnsi="Times New Roman" w:cs="Times New Roman"/>
                <w:color w:val="auto"/>
                <w:spacing w:val="-3"/>
                <w:u w:val="none" w:color="auto"/>
                <w:lang w:eastAsia="zh-CN"/>
              </w:rPr>
            </w:pPr>
            <w:r>
              <w:rPr>
                <w:rFonts w:hint="eastAsia" w:ascii="Times New Roman" w:hAnsi="Times New Roman" w:cs="Times New Roman"/>
                <w:color w:val="auto"/>
                <w:spacing w:val="-3"/>
                <w:u w:val="none" w:color="auto"/>
                <w:lang w:eastAsia="zh-CN"/>
              </w:rPr>
              <w:t>本项目储煤场、转载点、带式输送机均为全封闭式，煤的堆存、堆取料机的装卸活动均在全封闭的储煤场内进行，来煤和供煤运输均采用密闭带式输送机，储煤场及各转载点均设抑尘装置。</w:t>
            </w:r>
          </w:p>
          <w:p>
            <w:pPr>
              <w:spacing w:line="480" w:lineRule="exact"/>
              <w:ind w:firstLine="420" w:firstLineChars="200"/>
              <w:rPr>
                <w:rFonts w:hint="eastAsia"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转载点共配套</w:t>
            </w:r>
            <w:r>
              <w:rPr>
                <w:rFonts w:hint="eastAsia" w:ascii="Times New Roman" w:hAnsi="Times New Roman" w:eastAsia="宋体" w:cs="Times New Roman"/>
                <w:color w:val="auto"/>
                <w:kern w:val="0"/>
                <w:sz w:val="21"/>
                <w:szCs w:val="21"/>
                <w:u w:val="none" w:color="auto"/>
                <w:lang w:val="en-US" w:eastAsia="zh-CN"/>
              </w:rPr>
              <w:t>设置微米级干雾抑尘</w:t>
            </w:r>
            <w:r>
              <w:rPr>
                <w:rFonts w:hint="eastAsia" w:cs="Times New Roman"/>
                <w:color w:val="auto"/>
                <w:kern w:val="0"/>
                <w:sz w:val="21"/>
                <w:szCs w:val="21"/>
                <w:u w:val="none" w:color="auto"/>
                <w:lang w:val="en-US" w:eastAsia="zh-CN"/>
              </w:rPr>
              <w:t>装置2套，</w:t>
            </w:r>
            <w:r>
              <w:rPr>
                <w:rFonts w:hint="eastAsia" w:ascii="Times New Roman" w:hAnsi="Times New Roman" w:eastAsia="宋体" w:cs="Times New Roman"/>
                <w:color w:val="auto"/>
                <w:kern w:val="0"/>
                <w:sz w:val="21"/>
                <w:szCs w:val="21"/>
                <w:u w:val="none" w:color="auto"/>
                <w:lang w:val="en-US" w:eastAsia="zh-CN"/>
              </w:rPr>
              <w:t>干雾抑尘</w:t>
            </w:r>
            <w:r>
              <w:rPr>
                <w:rFonts w:hint="eastAsia" w:cs="Times New Roman"/>
                <w:color w:val="auto"/>
                <w:kern w:val="0"/>
                <w:sz w:val="21"/>
                <w:szCs w:val="21"/>
                <w:u w:val="none" w:color="auto"/>
                <w:lang w:val="en-US" w:eastAsia="zh-CN"/>
              </w:rPr>
              <w:t>装置</w:t>
            </w:r>
            <w:r>
              <w:rPr>
                <w:rFonts w:hint="eastAsia" w:ascii="Times New Roman" w:hAnsi="Times New Roman" w:eastAsia="宋体" w:cs="Times New Roman"/>
                <w:color w:val="auto"/>
                <w:kern w:val="0"/>
                <w:sz w:val="21"/>
                <w:szCs w:val="21"/>
                <w:u w:val="none" w:color="auto"/>
                <w:lang w:val="en-US" w:eastAsia="zh-CN"/>
              </w:rPr>
              <w:t>由干雾机、储气罐、空压机、喷雾箱、喷嘴等组成，自动控制喷头开启数量和时间。干雾抑尘装置是由压缩空气驱动声波震荡器，通过高频声波的音爆作用在喷头共振室处将水高度雾化，产生的水雾颗粒达到10微米以下，有很好的抑尘效果</w:t>
            </w:r>
            <w:r>
              <w:rPr>
                <w:rFonts w:hint="eastAsia" w:cs="Times New Roman"/>
                <w:color w:val="auto"/>
                <w:kern w:val="0"/>
                <w:sz w:val="21"/>
                <w:szCs w:val="21"/>
                <w:u w:val="none" w:color="auto"/>
                <w:lang w:val="en-US" w:eastAsia="zh-CN"/>
              </w:rPr>
              <w:t>。</w:t>
            </w:r>
          </w:p>
          <w:p>
            <w:pPr>
              <w:spacing w:line="480" w:lineRule="exact"/>
              <w:ind w:firstLine="420" w:firstLineChars="200"/>
              <w:rPr>
                <w:rFonts w:hint="eastAsia"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本项目</w:t>
            </w:r>
            <w:r>
              <w:rPr>
                <w:rFonts w:hint="eastAsia" w:ascii="Times New Roman" w:hAnsi="Times New Roman" w:eastAsia="宋体" w:cs="Times New Roman"/>
                <w:color w:val="auto"/>
                <w:kern w:val="0"/>
                <w:sz w:val="21"/>
                <w:szCs w:val="21"/>
                <w:u w:val="none" w:color="auto"/>
                <w:lang w:val="en-US" w:eastAsia="zh-CN"/>
              </w:rPr>
              <w:t>在储煤棚设固定式远程射雾器抑尘共4台。通过将水雾形成与粉尘大小相当的水珠，粉尘颗粒随气流运行过程中与水珠颗粒产生接触而变得湿润，被湿润的粉尘颗粒继续吸附其它粉尘颗粒而逐渐凝结成颗粒团，粉尘颗粒团由于自身的重力作用而沉降。</w:t>
            </w:r>
          </w:p>
          <w:p>
            <w:pPr>
              <w:spacing w:line="480" w:lineRule="exact"/>
              <w:ind w:firstLine="420" w:firstLineChars="200"/>
              <w:rPr>
                <w:rFonts w:hint="default" w:ascii="Times New Roman" w:hAnsi="Times New Roman" w:cs="Times New Roman"/>
                <w:color w:val="auto"/>
                <w:kern w:val="0"/>
                <w:szCs w:val="21"/>
                <w:u w:val="none" w:color="auto"/>
                <w:lang w:val="en-US" w:eastAsia="zh-CN"/>
              </w:rPr>
            </w:pPr>
            <w:r>
              <w:rPr>
                <w:rFonts w:hint="eastAsia" w:cs="Times New Roman"/>
                <w:color w:val="auto"/>
                <w:kern w:val="0"/>
                <w:sz w:val="21"/>
                <w:szCs w:val="21"/>
                <w:u w:val="none" w:color="auto"/>
                <w:lang w:val="en-US" w:eastAsia="zh-CN"/>
              </w:rPr>
              <w:t>根据</w:t>
            </w:r>
            <w:r>
              <w:rPr>
                <w:rFonts w:hint="default" w:ascii="Times New Roman" w:hAnsi="Times New Roman" w:cs="Times New Roman"/>
                <w:color w:val="auto"/>
                <w:kern w:val="0"/>
                <w:szCs w:val="21"/>
                <w:u w:val="none" w:color="auto"/>
                <w:lang w:val="en-US" w:eastAsia="zh-CN"/>
              </w:rPr>
              <w:t>《排放源统计调查产排污核算方法和系数手册》中</w:t>
            </w:r>
            <w:r>
              <w:rPr>
                <w:rFonts w:hint="eastAsia" w:ascii="Times New Roman" w:hAnsi="Times New Roman" w:cs="Times New Roman"/>
                <w:color w:val="auto"/>
                <w:kern w:val="0"/>
                <w:szCs w:val="21"/>
                <w:u w:val="none" w:color="auto"/>
                <w:lang w:val="en-US" w:eastAsia="zh-CN"/>
              </w:rPr>
              <w:t>“固体物料堆场颗粒物核算系数手册”，密闭式空间粉尘控制效率为99%；</w:t>
            </w:r>
            <w:r>
              <w:rPr>
                <w:rFonts w:hint="default" w:ascii="Times New Roman" w:hAnsi="Times New Roman" w:cs="Times New Roman"/>
                <w:color w:val="auto"/>
                <w:kern w:val="0"/>
                <w:szCs w:val="21"/>
                <w:u w:val="none" w:color="auto"/>
                <w:lang w:val="en-US" w:eastAsia="zh-CN"/>
              </w:rPr>
              <w:t>《排放源统计调查产排污核算方法和系数手册》中</w:t>
            </w:r>
            <w:r>
              <w:rPr>
                <w:rFonts w:hint="eastAsia" w:ascii="Times New Roman" w:hAnsi="Times New Roman" w:cs="Times New Roman"/>
                <w:color w:val="auto"/>
                <w:kern w:val="0"/>
                <w:szCs w:val="21"/>
                <w:u w:val="none" w:color="auto"/>
                <w:lang w:val="en-US" w:eastAsia="zh-CN"/>
              </w:rPr>
              <w:t>“06煤炭开采和洗选业行业系数手册”，喷淋粉尘控制效率为80%。</w:t>
            </w:r>
          </w:p>
          <w:p>
            <w:pPr>
              <w:spacing w:line="480" w:lineRule="exact"/>
              <w:ind w:firstLine="420" w:firstLineChars="200"/>
              <w:rPr>
                <w:rFonts w:hint="eastAsia" w:cs="Times New Roman"/>
                <w:color w:val="auto"/>
                <w:kern w:val="0"/>
                <w:sz w:val="21"/>
                <w:szCs w:val="21"/>
                <w:u w:val="none" w:color="auto"/>
                <w:lang w:val="en-US" w:eastAsia="zh-CN"/>
              </w:rPr>
            </w:pPr>
            <w:r>
              <w:rPr>
                <w:rFonts w:hint="eastAsia"/>
                <w:highlight w:val="none"/>
                <w:lang w:eastAsia="zh-CN"/>
              </w:rPr>
              <w:t>本项目依托的虞公港码头装、卸船平台</w:t>
            </w:r>
            <w:r>
              <w:rPr>
                <w:rFonts w:cs="Times New Roman"/>
                <w:color w:val="auto"/>
                <w:szCs w:val="28"/>
                <w:highlight w:val="none"/>
              </w:rPr>
              <w:t>采用先进环保的装卸设备，</w:t>
            </w:r>
            <w:r>
              <w:rPr>
                <w:rFonts w:hint="eastAsia"/>
                <w:highlight w:val="none"/>
                <w:lang w:eastAsia="zh-CN"/>
              </w:rPr>
              <w:t>设置</w:t>
            </w:r>
            <w:r>
              <w:rPr>
                <w:szCs w:val="28"/>
                <w:highlight w:val="none"/>
              </w:rPr>
              <w:t>高压自动微雾</w:t>
            </w:r>
            <w:r>
              <w:rPr>
                <w:highlight w:val="none"/>
              </w:rPr>
              <w:t>湿式</w:t>
            </w:r>
            <w:r>
              <w:rPr>
                <w:szCs w:val="28"/>
                <w:highlight w:val="none"/>
              </w:rPr>
              <w:t>抑尘系统</w:t>
            </w:r>
            <w:r>
              <w:rPr>
                <w:rFonts w:hint="eastAsia"/>
                <w:szCs w:val="28"/>
                <w:highlight w:val="none"/>
              </w:rPr>
              <w:t>，相关装置与设备联锁，同步运行，防止粉尘逸散</w:t>
            </w:r>
            <w:r>
              <w:rPr>
                <w:rFonts w:hint="eastAsia" w:cs="Times New Roman"/>
                <w:color w:val="auto"/>
                <w:kern w:val="0"/>
                <w:sz w:val="21"/>
                <w:szCs w:val="21"/>
                <w:u w:val="none" w:color="auto"/>
                <w:lang w:val="en-US" w:eastAsia="zh-CN"/>
              </w:rPr>
              <w:t>；落料处设置水雾化喷淋装置并在落料处设置返尘板；采取</w:t>
            </w:r>
            <w:r>
              <w:rPr>
                <w:rFonts w:hint="default" w:ascii="Times New Roman" w:hAnsi="Times New Roman" w:eastAsia="宋体" w:cs="Times New Roman"/>
                <w:color w:val="auto"/>
                <w:kern w:val="0"/>
                <w:sz w:val="21"/>
                <w:szCs w:val="21"/>
                <w:u w:val="none" w:color="auto"/>
                <w:lang w:val="en-US" w:eastAsia="zh-CN"/>
              </w:rPr>
              <w:t>降低装卸</w:t>
            </w:r>
            <w:r>
              <w:rPr>
                <w:rFonts w:hint="eastAsia" w:cs="Times New Roman"/>
                <w:color w:val="auto"/>
                <w:kern w:val="0"/>
                <w:sz w:val="21"/>
                <w:szCs w:val="21"/>
                <w:u w:val="none" w:color="auto"/>
                <w:lang w:val="en-US" w:eastAsia="zh-CN"/>
              </w:rPr>
              <w:t>物料</w:t>
            </w:r>
            <w:r>
              <w:rPr>
                <w:rFonts w:hint="default" w:ascii="Times New Roman" w:hAnsi="Times New Roman" w:eastAsia="宋体" w:cs="Times New Roman"/>
                <w:color w:val="auto"/>
                <w:kern w:val="0"/>
                <w:sz w:val="21"/>
                <w:szCs w:val="21"/>
                <w:u w:val="none" w:color="auto"/>
                <w:lang w:val="en-US" w:eastAsia="zh-CN"/>
              </w:rPr>
              <w:t>跌落高度等措施</w:t>
            </w:r>
            <w:r>
              <w:rPr>
                <w:rFonts w:hint="eastAsia" w:cs="Times New Roman"/>
                <w:color w:val="auto"/>
                <w:kern w:val="0"/>
                <w:sz w:val="21"/>
                <w:szCs w:val="21"/>
                <w:u w:val="none" w:color="auto"/>
                <w:lang w:val="en-US" w:eastAsia="zh-CN"/>
              </w:rPr>
              <w:t>。根据虞公港码头验收报告中2025年6月10-12日厂界无组织废气进行的监测，监测结果见表4-4。</w:t>
            </w:r>
          </w:p>
          <w:p>
            <w:pPr>
              <w:adjustRightInd w:val="0"/>
              <w:snapToGrid w:val="0"/>
              <w:spacing w:line="480" w:lineRule="exact"/>
              <w:ind w:firstLine="422" w:firstLineChars="200"/>
              <w:jc w:val="center"/>
              <w:rPr>
                <w:rFonts w:hint="default" w:ascii="Times New Roman" w:hAnsi="Times New Roman" w:cs="Times New Roman"/>
                <w:b/>
                <w:kern w:val="0"/>
                <w:szCs w:val="21"/>
                <w:u w:val="none"/>
              </w:rPr>
            </w:pPr>
            <w:r>
              <w:rPr>
                <w:rFonts w:hint="default" w:ascii="Times New Roman" w:hAnsi="Times New Roman" w:cs="Times New Roman"/>
                <w:b/>
                <w:kern w:val="0"/>
                <w:szCs w:val="21"/>
                <w:u w:val="none"/>
              </w:rPr>
              <w:t>表</w:t>
            </w:r>
            <w:r>
              <w:rPr>
                <w:rFonts w:hint="eastAsia" w:cs="Times New Roman"/>
                <w:b/>
                <w:kern w:val="0"/>
                <w:szCs w:val="21"/>
                <w:u w:val="none"/>
                <w:lang w:val="en-US" w:eastAsia="zh-CN"/>
              </w:rPr>
              <w:t>4</w:t>
            </w:r>
            <w:r>
              <w:rPr>
                <w:rFonts w:hint="default" w:ascii="Times New Roman" w:hAnsi="Times New Roman" w:cs="Times New Roman"/>
                <w:b/>
                <w:kern w:val="0"/>
                <w:szCs w:val="21"/>
                <w:u w:val="none"/>
              </w:rPr>
              <w:t>-</w:t>
            </w:r>
            <w:r>
              <w:rPr>
                <w:rFonts w:hint="eastAsia" w:ascii="Times New Roman" w:hAnsi="Times New Roman" w:cs="Times New Roman"/>
                <w:b/>
                <w:kern w:val="0"/>
                <w:szCs w:val="21"/>
                <w:u w:val="none"/>
              </w:rPr>
              <w:t>9</w:t>
            </w:r>
            <w:r>
              <w:rPr>
                <w:rFonts w:hint="default" w:ascii="Times New Roman" w:hAnsi="Times New Roman" w:cs="Times New Roman"/>
                <w:b/>
                <w:kern w:val="0"/>
                <w:szCs w:val="21"/>
                <w:u w:val="none"/>
              </w:rPr>
              <w:t xml:space="preserve"> </w:t>
            </w:r>
            <w:r>
              <w:rPr>
                <w:rFonts w:hint="eastAsia" w:ascii="Times New Roman" w:hAnsi="Times New Roman" w:cs="Times New Roman"/>
                <w:b/>
                <w:kern w:val="0"/>
                <w:szCs w:val="21"/>
                <w:u w:val="none"/>
              </w:rPr>
              <w:t xml:space="preserve">  无组织废气</w:t>
            </w:r>
            <w:r>
              <w:rPr>
                <w:rFonts w:hint="default" w:ascii="Times New Roman" w:hAnsi="Times New Roman" w:cs="Times New Roman"/>
                <w:b/>
                <w:kern w:val="0"/>
                <w:szCs w:val="21"/>
                <w:u w:val="none"/>
              </w:rPr>
              <w:t>检测结果</w:t>
            </w:r>
          </w:p>
          <w:tbl>
            <w:tblPr>
              <w:tblStyle w:val="31"/>
              <w:tblW w:w="499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867"/>
              <w:gridCol w:w="920"/>
              <w:gridCol w:w="1301"/>
              <w:gridCol w:w="1301"/>
              <w:gridCol w:w="1303"/>
              <w:gridCol w:w="10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205" w:type="dxa"/>
                  <w:vMerge w:val="restart"/>
                  <w:tcBorders>
                    <w:top w:val="single" w:color="auto" w:sz="4" w:space="0"/>
                  </w:tcBorders>
                  <w:noWrap w:val="0"/>
                  <w:vAlign w:val="center"/>
                </w:tcPr>
                <w:p>
                  <w:pPr>
                    <w:autoSpaceDN w:val="0"/>
                    <w:spacing w:line="240" w:lineRule="exact"/>
                    <w:jc w:val="center"/>
                    <w:textAlignment w:val="center"/>
                    <w:rPr>
                      <w:rFonts w:eastAsia="宋体"/>
                      <w:szCs w:val="21"/>
                    </w:rPr>
                  </w:pPr>
                  <w:r>
                    <w:rPr>
                      <w:rFonts w:eastAsia="宋体"/>
                      <w:szCs w:val="21"/>
                    </w:rPr>
                    <w:t>采样日期</w:t>
                  </w:r>
                </w:p>
              </w:tc>
              <w:tc>
                <w:tcPr>
                  <w:tcW w:w="867" w:type="dxa"/>
                  <w:vMerge w:val="restart"/>
                  <w:tcBorders>
                    <w:top w:val="single" w:color="auto" w:sz="4" w:space="0"/>
                  </w:tcBorders>
                  <w:noWrap w:val="0"/>
                  <w:vAlign w:val="center"/>
                </w:tcPr>
                <w:p>
                  <w:pPr>
                    <w:autoSpaceDN w:val="0"/>
                    <w:spacing w:line="240" w:lineRule="exact"/>
                    <w:jc w:val="center"/>
                    <w:textAlignment w:val="center"/>
                    <w:rPr>
                      <w:rFonts w:eastAsia="宋体"/>
                      <w:szCs w:val="21"/>
                    </w:rPr>
                  </w:pPr>
                  <w:r>
                    <w:rPr>
                      <w:rFonts w:eastAsia="宋体"/>
                      <w:szCs w:val="21"/>
                    </w:rPr>
                    <w:t>检测项目</w:t>
                  </w:r>
                </w:p>
              </w:tc>
              <w:tc>
                <w:tcPr>
                  <w:tcW w:w="4825" w:type="dxa"/>
                  <w:gridSpan w:val="4"/>
                  <w:tcBorders>
                    <w:top w:val="single" w:color="auto" w:sz="4" w:space="0"/>
                  </w:tcBorders>
                  <w:noWrap w:val="0"/>
                  <w:vAlign w:val="center"/>
                </w:tcPr>
                <w:p>
                  <w:pPr>
                    <w:autoSpaceDN w:val="0"/>
                    <w:spacing w:line="240" w:lineRule="exact"/>
                    <w:jc w:val="center"/>
                    <w:textAlignment w:val="center"/>
                    <w:rPr>
                      <w:rFonts w:eastAsia="宋体"/>
                      <w:szCs w:val="21"/>
                    </w:rPr>
                  </w:pPr>
                  <w:r>
                    <w:rPr>
                      <w:rFonts w:eastAsia="宋体"/>
                      <w:szCs w:val="21"/>
                    </w:rPr>
                    <w:t>检测结果（mg/m</w:t>
                  </w:r>
                  <w:r>
                    <w:rPr>
                      <w:rFonts w:eastAsia="宋体"/>
                      <w:szCs w:val="21"/>
                      <w:vertAlign w:val="superscript"/>
                    </w:rPr>
                    <w:t>3</w:t>
                  </w:r>
                  <w:r>
                    <w:rPr>
                      <w:rFonts w:eastAsia="宋体"/>
                      <w:szCs w:val="21"/>
                    </w:rPr>
                    <w:t>）</w:t>
                  </w:r>
                </w:p>
              </w:tc>
              <w:tc>
                <w:tcPr>
                  <w:tcW w:w="1008" w:type="dxa"/>
                  <w:vMerge w:val="restart"/>
                  <w:tcBorders>
                    <w:top w:val="single" w:color="auto" w:sz="4" w:space="0"/>
                    <w:right w:val="single" w:color="auto" w:sz="4" w:space="0"/>
                  </w:tcBorders>
                  <w:noWrap w:val="0"/>
                  <w:vAlign w:val="center"/>
                </w:tcPr>
                <w:p>
                  <w:pPr>
                    <w:autoSpaceDN w:val="0"/>
                    <w:spacing w:line="240" w:lineRule="exact"/>
                    <w:jc w:val="center"/>
                    <w:textAlignment w:val="center"/>
                    <w:rPr>
                      <w:rFonts w:eastAsia="宋体"/>
                      <w:szCs w:val="21"/>
                    </w:rPr>
                  </w:pPr>
                  <w:r>
                    <w:rPr>
                      <w:rFonts w:eastAsia="宋体"/>
                      <w:szCs w:val="21"/>
                    </w:rPr>
                    <w:t>建议参考标准限值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205" w:type="dxa"/>
                  <w:vMerge w:val="continue"/>
                  <w:tcBorders>
                    <w:left w:val="single" w:color="auto" w:sz="4" w:space="0"/>
                  </w:tcBorders>
                  <w:noWrap w:val="0"/>
                  <w:vAlign w:val="center"/>
                </w:tcPr>
                <w:p>
                  <w:pPr>
                    <w:autoSpaceDN w:val="0"/>
                    <w:spacing w:line="240" w:lineRule="exact"/>
                    <w:jc w:val="center"/>
                    <w:textAlignment w:val="center"/>
                    <w:rPr>
                      <w:rFonts w:eastAsia="宋体"/>
                      <w:szCs w:val="21"/>
                    </w:rPr>
                  </w:pPr>
                </w:p>
              </w:tc>
              <w:tc>
                <w:tcPr>
                  <w:tcW w:w="867" w:type="dxa"/>
                  <w:vMerge w:val="continue"/>
                  <w:noWrap w:val="0"/>
                  <w:vAlign w:val="center"/>
                </w:tcPr>
                <w:p>
                  <w:pPr>
                    <w:autoSpaceDN w:val="0"/>
                    <w:spacing w:line="240" w:lineRule="exact"/>
                    <w:jc w:val="center"/>
                    <w:textAlignment w:val="center"/>
                    <w:rPr>
                      <w:rFonts w:eastAsia="宋体"/>
                      <w:szCs w:val="21"/>
                    </w:rPr>
                  </w:pPr>
                </w:p>
              </w:tc>
              <w:tc>
                <w:tcPr>
                  <w:tcW w:w="920" w:type="dxa"/>
                  <w:noWrap w:val="0"/>
                  <w:vAlign w:val="center"/>
                </w:tcPr>
                <w:p>
                  <w:pPr>
                    <w:autoSpaceDN w:val="0"/>
                    <w:spacing w:line="240" w:lineRule="exact"/>
                    <w:jc w:val="center"/>
                    <w:textAlignment w:val="center"/>
                    <w:rPr>
                      <w:rFonts w:eastAsia="宋体"/>
                      <w:szCs w:val="21"/>
                    </w:rPr>
                  </w:pPr>
                  <w:r>
                    <w:rPr>
                      <w:rFonts w:eastAsia="宋体"/>
                      <w:szCs w:val="21"/>
                    </w:rPr>
                    <w:t>点位名称</w:t>
                  </w:r>
                </w:p>
              </w:tc>
              <w:tc>
                <w:tcPr>
                  <w:tcW w:w="1301" w:type="dxa"/>
                  <w:noWrap w:val="0"/>
                  <w:vAlign w:val="center"/>
                </w:tcPr>
                <w:p>
                  <w:pPr>
                    <w:autoSpaceDN w:val="0"/>
                    <w:spacing w:line="240" w:lineRule="exact"/>
                    <w:jc w:val="center"/>
                    <w:textAlignment w:val="center"/>
                    <w:rPr>
                      <w:rFonts w:eastAsia="宋体"/>
                      <w:szCs w:val="21"/>
                    </w:rPr>
                  </w:pPr>
                  <w:r>
                    <w:rPr>
                      <w:rFonts w:eastAsia="宋体"/>
                      <w:szCs w:val="21"/>
                    </w:rPr>
                    <w:t>厂界外上风向G1</w:t>
                  </w:r>
                </w:p>
              </w:tc>
              <w:tc>
                <w:tcPr>
                  <w:tcW w:w="1301" w:type="dxa"/>
                  <w:noWrap w:val="0"/>
                  <w:vAlign w:val="center"/>
                </w:tcPr>
                <w:p>
                  <w:pPr>
                    <w:autoSpaceDN w:val="0"/>
                    <w:spacing w:line="240" w:lineRule="exact"/>
                    <w:jc w:val="center"/>
                    <w:textAlignment w:val="center"/>
                    <w:rPr>
                      <w:rFonts w:eastAsia="宋体"/>
                      <w:szCs w:val="21"/>
                    </w:rPr>
                  </w:pPr>
                  <w:r>
                    <w:rPr>
                      <w:rFonts w:eastAsia="宋体"/>
                      <w:szCs w:val="21"/>
                    </w:rPr>
                    <w:t>厂界外下风向G2</w:t>
                  </w:r>
                </w:p>
              </w:tc>
              <w:tc>
                <w:tcPr>
                  <w:tcW w:w="1303" w:type="dxa"/>
                  <w:noWrap w:val="0"/>
                  <w:vAlign w:val="center"/>
                </w:tcPr>
                <w:p>
                  <w:pPr>
                    <w:autoSpaceDN w:val="0"/>
                    <w:spacing w:line="240" w:lineRule="exact"/>
                    <w:jc w:val="center"/>
                    <w:textAlignment w:val="center"/>
                    <w:rPr>
                      <w:rFonts w:eastAsia="宋体"/>
                      <w:szCs w:val="21"/>
                    </w:rPr>
                  </w:pPr>
                  <w:r>
                    <w:rPr>
                      <w:rFonts w:eastAsia="宋体"/>
                      <w:szCs w:val="21"/>
                    </w:rPr>
                    <w:t>厂界外下风向G3</w:t>
                  </w:r>
                </w:p>
              </w:tc>
              <w:tc>
                <w:tcPr>
                  <w:tcW w:w="1008" w:type="dxa"/>
                  <w:vMerge w:val="continue"/>
                  <w:tcBorders>
                    <w:right w:val="single" w:color="auto" w:sz="4" w:space="0"/>
                  </w:tcBorders>
                  <w:noWrap w:val="0"/>
                  <w:vAlign w:val="center"/>
                </w:tcPr>
                <w:p>
                  <w:pPr>
                    <w:autoSpaceDN w:val="0"/>
                    <w:spacing w:line="240" w:lineRule="exact"/>
                    <w:jc w:val="center"/>
                    <w:textAlignment w:val="center"/>
                    <w:rPr>
                      <w:rFonts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205" w:type="dxa"/>
                  <w:vMerge w:val="restart"/>
                  <w:tcBorders>
                    <w:left w:val="single" w:color="auto" w:sz="4" w:space="0"/>
                  </w:tcBorders>
                  <w:noWrap w:val="0"/>
                  <w:vAlign w:val="center"/>
                </w:tcPr>
                <w:p>
                  <w:pPr>
                    <w:autoSpaceDN w:val="0"/>
                    <w:spacing w:line="240" w:lineRule="exact"/>
                    <w:jc w:val="center"/>
                    <w:textAlignment w:val="center"/>
                    <w:rPr>
                      <w:rFonts w:hint="eastAsia" w:eastAsia="宋体"/>
                      <w:szCs w:val="21"/>
                    </w:rPr>
                  </w:pPr>
                  <w:r>
                    <w:rPr>
                      <w:rFonts w:eastAsia="宋体"/>
                      <w:szCs w:val="21"/>
                    </w:rPr>
                    <w:t>2025.0</w:t>
                  </w:r>
                  <w:r>
                    <w:rPr>
                      <w:rFonts w:hint="eastAsia" w:eastAsia="宋体"/>
                      <w:szCs w:val="21"/>
                    </w:rPr>
                    <w:t>6</w:t>
                  </w:r>
                  <w:r>
                    <w:rPr>
                      <w:rFonts w:eastAsia="宋体"/>
                      <w:szCs w:val="21"/>
                    </w:rPr>
                    <w:t>.</w:t>
                  </w:r>
                  <w:r>
                    <w:rPr>
                      <w:rFonts w:hint="eastAsia" w:eastAsia="宋体"/>
                      <w:szCs w:val="21"/>
                    </w:rPr>
                    <w:t>10</w:t>
                  </w:r>
                </w:p>
              </w:tc>
              <w:tc>
                <w:tcPr>
                  <w:tcW w:w="867" w:type="dxa"/>
                  <w:vMerge w:val="restart"/>
                  <w:noWrap w:val="0"/>
                  <w:vAlign w:val="center"/>
                </w:tcPr>
                <w:p>
                  <w:pPr>
                    <w:autoSpaceDN w:val="0"/>
                    <w:spacing w:line="240" w:lineRule="exact"/>
                    <w:jc w:val="center"/>
                    <w:textAlignment w:val="center"/>
                    <w:rPr>
                      <w:rFonts w:eastAsia="宋体"/>
                      <w:szCs w:val="21"/>
                    </w:rPr>
                  </w:pPr>
                  <w:r>
                    <w:rPr>
                      <w:rFonts w:eastAsia="宋体"/>
                      <w:szCs w:val="21"/>
                    </w:rPr>
                    <w:t>颗粒物</w:t>
                  </w:r>
                </w:p>
              </w:tc>
              <w:tc>
                <w:tcPr>
                  <w:tcW w:w="920" w:type="dxa"/>
                  <w:noWrap w:val="0"/>
                  <w:vAlign w:val="center"/>
                </w:tcPr>
                <w:p>
                  <w:pPr>
                    <w:autoSpaceDN w:val="0"/>
                    <w:spacing w:line="240" w:lineRule="exact"/>
                    <w:jc w:val="center"/>
                    <w:textAlignment w:val="center"/>
                    <w:rPr>
                      <w:rFonts w:eastAsia="宋体"/>
                      <w:szCs w:val="21"/>
                    </w:rPr>
                  </w:pPr>
                  <w:r>
                    <w:rPr>
                      <w:rFonts w:eastAsia="宋体"/>
                      <w:szCs w:val="21"/>
                    </w:rPr>
                    <w:t>第一次</w:t>
                  </w:r>
                </w:p>
              </w:tc>
              <w:tc>
                <w:tcPr>
                  <w:tcW w:w="1301" w:type="dxa"/>
                  <w:noWrap w:val="0"/>
                  <w:vAlign w:val="center"/>
                </w:tcPr>
                <w:p>
                  <w:pPr>
                    <w:autoSpaceDN w:val="0"/>
                    <w:spacing w:line="240" w:lineRule="exact"/>
                    <w:jc w:val="center"/>
                    <w:textAlignment w:val="center"/>
                    <w:rPr>
                      <w:rFonts w:eastAsia="宋体"/>
                      <w:szCs w:val="21"/>
                    </w:rPr>
                  </w:pPr>
                  <w:r>
                    <w:rPr>
                      <w:rFonts w:eastAsia="宋体"/>
                      <w:szCs w:val="21"/>
                    </w:rPr>
                    <w:t>0.100</w:t>
                  </w:r>
                </w:p>
              </w:tc>
              <w:tc>
                <w:tcPr>
                  <w:tcW w:w="1301" w:type="dxa"/>
                  <w:noWrap w:val="0"/>
                  <w:vAlign w:val="center"/>
                </w:tcPr>
                <w:p>
                  <w:pPr>
                    <w:autoSpaceDN w:val="0"/>
                    <w:spacing w:line="240" w:lineRule="exact"/>
                    <w:jc w:val="center"/>
                    <w:textAlignment w:val="center"/>
                    <w:rPr>
                      <w:rFonts w:eastAsia="宋体"/>
                      <w:szCs w:val="21"/>
                    </w:rPr>
                  </w:pPr>
                  <w:r>
                    <w:rPr>
                      <w:rFonts w:eastAsia="宋体"/>
                      <w:szCs w:val="21"/>
                    </w:rPr>
                    <w:t>0.418</w:t>
                  </w:r>
                </w:p>
              </w:tc>
              <w:tc>
                <w:tcPr>
                  <w:tcW w:w="1303" w:type="dxa"/>
                  <w:noWrap w:val="0"/>
                  <w:vAlign w:val="center"/>
                </w:tcPr>
                <w:p>
                  <w:pPr>
                    <w:autoSpaceDN w:val="0"/>
                    <w:spacing w:line="240" w:lineRule="exact"/>
                    <w:jc w:val="center"/>
                    <w:textAlignment w:val="center"/>
                    <w:rPr>
                      <w:rFonts w:eastAsia="宋体"/>
                      <w:szCs w:val="21"/>
                    </w:rPr>
                  </w:pPr>
                  <w:r>
                    <w:rPr>
                      <w:rFonts w:eastAsia="宋体"/>
                      <w:szCs w:val="21"/>
                    </w:rPr>
                    <w:t>0.300</w:t>
                  </w:r>
                </w:p>
              </w:tc>
              <w:tc>
                <w:tcPr>
                  <w:tcW w:w="1008" w:type="dxa"/>
                  <w:vMerge w:val="restart"/>
                  <w:tcBorders>
                    <w:right w:val="single" w:color="auto" w:sz="4" w:space="0"/>
                  </w:tcBorders>
                  <w:noWrap w:val="0"/>
                  <w:vAlign w:val="center"/>
                </w:tcPr>
                <w:p>
                  <w:pPr>
                    <w:autoSpaceDN w:val="0"/>
                    <w:spacing w:line="240" w:lineRule="exact"/>
                    <w:jc w:val="center"/>
                    <w:textAlignment w:val="center"/>
                    <w:rPr>
                      <w:rFonts w:eastAsia="宋体"/>
                      <w:szCs w:val="21"/>
                    </w:rPr>
                  </w:pPr>
                  <w:r>
                    <w:rPr>
                      <w:rFonts w:eastAsia="宋体"/>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205" w:type="dxa"/>
                  <w:vMerge w:val="continue"/>
                  <w:tcBorders>
                    <w:left w:val="single" w:color="auto" w:sz="4" w:space="0"/>
                  </w:tcBorders>
                  <w:noWrap w:val="0"/>
                  <w:vAlign w:val="center"/>
                </w:tcPr>
                <w:p>
                  <w:pPr>
                    <w:autoSpaceDN w:val="0"/>
                    <w:spacing w:line="240" w:lineRule="exact"/>
                    <w:jc w:val="center"/>
                    <w:textAlignment w:val="center"/>
                    <w:rPr>
                      <w:rFonts w:eastAsia="宋体"/>
                      <w:szCs w:val="21"/>
                    </w:rPr>
                  </w:pPr>
                </w:p>
              </w:tc>
              <w:tc>
                <w:tcPr>
                  <w:tcW w:w="867" w:type="dxa"/>
                  <w:vMerge w:val="continue"/>
                  <w:noWrap w:val="0"/>
                  <w:vAlign w:val="center"/>
                </w:tcPr>
                <w:p>
                  <w:pPr>
                    <w:autoSpaceDN w:val="0"/>
                    <w:spacing w:line="240" w:lineRule="exact"/>
                    <w:jc w:val="center"/>
                    <w:textAlignment w:val="center"/>
                    <w:rPr>
                      <w:rFonts w:eastAsia="宋体"/>
                      <w:szCs w:val="21"/>
                    </w:rPr>
                  </w:pPr>
                </w:p>
              </w:tc>
              <w:tc>
                <w:tcPr>
                  <w:tcW w:w="920" w:type="dxa"/>
                  <w:noWrap w:val="0"/>
                  <w:vAlign w:val="center"/>
                </w:tcPr>
                <w:p>
                  <w:pPr>
                    <w:autoSpaceDN w:val="0"/>
                    <w:spacing w:line="240" w:lineRule="exact"/>
                    <w:jc w:val="center"/>
                    <w:textAlignment w:val="center"/>
                    <w:rPr>
                      <w:rFonts w:eastAsia="宋体"/>
                      <w:szCs w:val="21"/>
                    </w:rPr>
                  </w:pPr>
                  <w:r>
                    <w:rPr>
                      <w:rFonts w:eastAsia="宋体"/>
                      <w:szCs w:val="21"/>
                    </w:rPr>
                    <w:t>第二次</w:t>
                  </w:r>
                </w:p>
              </w:tc>
              <w:tc>
                <w:tcPr>
                  <w:tcW w:w="1301" w:type="dxa"/>
                  <w:noWrap w:val="0"/>
                  <w:vAlign w:val="center"/>
                </w:tcPr>
                <w:p>
                  <w:pPr>
                    <w:autoSpaceDN w:val="0"/>
                    <w:spacing w:line="240" w:lineRule="exact"/>
                    <w:jc w:val="center"/>
                    <w:textAlignment w:val="center"/>
                    <w:rPr>
                      <w:rFonts w:eastAsia="宋体"/>
                      <w:szCs w:val="21"/>
                    </w:rPr>
                  </w:pPr>
                  <w:r>
                    <w:rPr>
                      <w:rFonts w:eastAsia="宋体"/>
                      <w:szCs w:val="21"/>
                    </w:rPr>
                    <w:t>0.134</w:t>
                  </w:r>
                </w:p>
              </w:tc>
              <w:tc>
                <w:tcPr>
                  <w:tcW w:w="1301" w:type="dxa"/>
                  <w:noWrap w:val="0"/>
                  <w:vAlign w:val="center"/>
                </w:tcPr>
                <w:p>
                  <w:pPr>
                    <w:autoSpaceDN w:val="0"/>
                    <w:spacing w:line="240" w:lineRule="exact"/>
                    <w:jc w:val="center"/>
                    <w:textAlignment w:val="center"/>
                    <w:rPr>
                      <w:rFonts w:eastAsia="宋体"/>
                      <w:szCs w:val="21"/>
                    </w:rPr>
                  </w:pPr>
                  <w:r>
                    <w:rPr>
                      <w:rFonts w:eastAsia="宋体"/>
                      <w:szCs w:val="21"/>
                    </w:rPr>
                    <w:t>0.267</w:t>
                  </w:r>
                </w:p>
              </w:tc>
              <w:tc>
                <w:tcPr>
                  <w:tcW w:w="1303" w:type="dxa"/>
                  <w:noWrap w:val="0"/>
                  <w:vAlign w:val="center"/>
                </w:tcPr>
                <w:p>
                  <w:pPr>
                    <w:autoSpaceDN w:val="0"/>
                    <w:spacing w:line="240" w:lineRule="exact"/>
                    <w:jc w:val="center"/>
                    <w:textAlignment w:val="center"/>
                    <w:rPr>
                      <w:rFonts w:eastAsia="宋体"/>
                      <w:szCs w:val="21"/>
                    </w:rPr>
                  </w:pPr>
                  <w:r>
                    <w:rPr>
                      <w:rFonts w:eastAsia="宋体"/>
                      <w:szCs w:val="21"/>
                    </w:rPr>
                    <w:t>0.434</w:t>
                  </w:r>
                </w:p>
              </w:tc>
              <w:tc>
                <w:tcPr>
                  <w:tcW w:w="1008" w:type="dxa"/>
                  <w:vMerge w:val="continue"/>
                  <w:tcBorders>
                    <w:right w:val="single" w:color="auto" w:sz="4" w:space="0"/>
                  </w:tcBorders>
                  <w:noWrap w:val="0"/>
                  <w:vAlign w:val="center"/>
                </w:tcPr>
                <w:p>
                  <w:pPr>
                    <w:autoSpaceDN w:val="0"/>
                    <w:spacing w:line="240" w:lineRule="exact"/>
                    <w:jc w:val="center"/>
                    <w:textAlignment w:val="center"/>
                    <w:rPr>
                      <w:rFonts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205" w:type="dxa"/>
                  <w:vMerge w:val="continue"/>
                  <w:tcBorders>
                    <w:left w:val="single" w:color="auto" w:sz="4" w:space="0"/>
                  </w:tcBorders>
                  <w:noWrap w:val="0"/>
                  <w:vAlign w:val="center"/>
                </w:tcPr>
                <w:p>
                  <w:pPr>
                    <w:autoSpaceDN w:val="0"/>
                    <w:spacing w:line="240" w:lineRule="exact"/>
                    <w:jc w:val="center"/>
                    <w:textAlignment w:val="center"/>
                    <w:rPr>
                      <w:rFonts w:eastAsia="宋体"/>
                      <w:szCs w:val="21"/>
                    </w:rPr>
                  </w:pPr>
                </w:p>
              </w:tc>
              <w:tc>
                <w:tcPr>
                  <w:tcW w:w="867" w:type="dxa"/>
                  <w:vMerge w:val="continue"/>
                  <w:noWrap w:val="0"/>
                  <w:vAlign w:val="center"/>
                </w:tcPr>
                <w:p>
                  <w:pPr>
                    <w:autoSpaceDN w:val="0"/>
                    <w:spacing w:line="240" w:lineRule="exact"/>
                    <w:jc w:val="center"/>
                    <w:textAlignment w:val="center"/>
                    <w:rPr>
                      <w:rFonts w:eastAsia="宋体"/>
                      <w:szCs w:val="21"/>
                    </w:rPr>
                  </w:pPr>
                </w:p>
              </w:tc>
              <w:tc>
                <w:tcPr>
                  <w:tcW w:w="920" w:type="dxa"/>
                  <w:noWrap w:val="0"/>
                  <w:vAlign w:val="center"/>
                </w:tcPr>
                <w:p>
                  <w:pPr>
                    <w:autoSpaceDN w:val="0"/>
                    <w:spacing w:line="240" w:lineRule="exact"/>
                    <w:jc w:val="center"/>
                    <w:textAlignment w:val="center"/>
                    <w:rPr>
                      <w:rFonts w:eastAsia="宋体"/>
                      <w:szCs w:val="21"/>
                    </w:rPr>
                  </w:pPr>
                  <w:r>
                    <w:rPr>
                      <w:rFonts w:eastAsia="宋体"/>
                      <w:szCs w:val="21"/>
                    </w:rPr>
                    <w:t>第三次</w:t>
                  </w:r>
                </w:p>
              </w:tc>
              <w:tc>
                <w:tcPr>
                  <w:tcW w:w="1301" w:type="dxa"/>
                  <w:noWrap w:val="0"/>
                  <w:vAlign w:val="center"/>
                </w:tcPr>
                <w:p>
                  <w:pPr>
                    <w:autoSpaceDN w:val="0"/>
                    <w:spacing w:line="240" w:lineRule="exact"/>
                    <w:jc w:val="center"/>
                    <w:textAlignment w:val="center"/>
                    <w:rPr>
                      <w:rFonts w:eastAsia="宋体"/>
                      <w:szCs w:val="21"/>
                    </w:rPr>
                  </w:pPr>
                  <w:r>
                    <w:rPr>
                      <w:rFonts w:eastAsia="宋体"/>
                      <w:szCs w:val="21"/>
                    </w:rPr>
                    <w:t>0.117</w:t>
                  </w:r>
                </w:p>
              </w:tc>
              <w:tc>
                <w:tcPr>
                  <w:tcW w:w="1301" w:type="dxa"/>
                  <w:noWrap w:val="0"/>
                  <w:vAlign w:val="center"/>
                </w:tcPr>
                <w:p>
                  <w:pPr>
                    <w:autoSpaceDN w:val="0"/>
                    <w:spacing w:line="240" w:lineRule="exact"/>
                    <w:jc w:val="center"/>
                    <w:textAlignment w:val="center"/>
                    <w:rPr>
                      <w:rFonts w:eastAsia="宋体"/>
                      <w:szCs w:val="21"/>
                    </w:rPr>
                  </w:pPr>
                  <w:r>
                    <w:rPr>
                      <w:rFonts w:eastAsia="宋体"/>
                      <w:szCs w:val="21"/>
                    </w:rPr>
                    <w:t>0.334</w:t>
                  </w:r>
                </w:p>
              </w:tc>
              <w:tc>
                <w:tcPr>
                  <w:tcW w:w="1303" w:type="dxa"/>
                  <w:noWrap w:val="0"/>
                  <w:vAlign w:val="center"/>
                </w:tcPr>
                <w:p>
                  <w:pPr>
                    <w:autoSpaceDN w:val="0"/>
                    <w:spacing w:line="240" w:lineRule="exact"/>
                    <w:jc w:val="center"/>
                    <w:textAlignment w:val="center"/>
                    <w:rPr>
                      <w:rFonts w:eastAsia="宋体"/>
                      <w:szCs w:val="21"/>
                    </w:rPr>
                  </w:pPr>
                  <w:r>
                    <w:rPr>
                      <w:rFonts w:eastAsia="宋体"/>
                      <w:szCs w:val="21"/>
                    </w:rPr>
                    <w:t>0.317</w:t>
                  </w:r>
                </w:p>
              </w:tc>
              <w:tc>
                <w:tcPr>
                  <w:tcW w:w="1008" w:type="dxa"/>
                  <w:vMerge w:val="continue"/>
                  <w:tcBorders>
                    <w:right w:val="single" w:color="auto" w:sz="4" w:space="0"/>
                  </w:tcBorders>
                  <w:noWrap w:val="0"/>
                  <w:vAlign w:val="center"/>
                </w:tcPr>
                <w:p>
                  <w:pPr>
                    <w:autoSpaceDN w:val="0"/>
                    <w:spacing w:line="240" w:lineRule="exact"/>
                    <w:jc w:val="center"/>
                    <w:textAlignment w:val="center"/>
                    <w:rPr>
                      <w:rFonts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205" w:type="dxa"/>
                  <w:vMerge w:val="restart"/>
                  <w:tcBorders>
                    <w:left w:val="single" w:color="auto" w:sz="4" w:space="0"/>
                  </w:tcBorders>
                  <w:noWrap w:val="0"/>
                  <w:vAlign w:val="center"/>
                </w:tcPr>
                <w:p>
                  <w:pPr>
                    <w:autoSpaceDN w:val="0"/>
                    <w:spacing w:line="240" w:lineRule="exact"/>
                    <w:jc w:val="center"/>
                    <w:textAlignment w:val="center"/>
                    <w:rPr>
                      <w:rFonts w:hint="eastAsia" w:eastAsia="宋体"/>
                      <w:szCs w:val="21"/>
                    </w:rPr>
                  </w:pPr>
                  <w:r>
                    <w:rPr>
                      <w:rFonts w:eastAsia="宋体"/>
                      <w:szCs w:val="21"/>
                    </w:rPr>
                    <w:t>2025.0</w:t>
                  </w:r>
                  <w:r>
                    <w:rPr>
                      <w:rFonts w:hint="eastAsia" w:eastAsia="宋体"/>
                      <w:szCs w:val="21"/>
                    </w:rPr>
                    <w:t>6</w:t>
                  </w:r>
                  <w:r>
                    <w:rPr>
                      <w:rFonts w:eastAsia="宋体"/>
                      <w:szCs w:val="21"/>
                    </w:rPr>
                    <w:t>.</w:t>
                  </w:r>
                  <w:r>
                    <w:rPr>
                      <w:rFonts w:hint="eastAsia" w:eastAsia="宋体"/>
                      <w:szCs w:val="21"/>
                    </w:rPr>
                    <w:t>11</w:t>
                  </w:r>
                </w:p>
              </w:tc>
              <w:tc>
                <w:tcPr>
                  <w:tcW w:w="867" w:type="dxa"/>
                  <w:vMerge w:val="restart"/>
                  <w:noWrap w:val="0"/>
                  <w:vAlign w:val="center"/>
                </w:tcPr>
                <w:p>
                  <w:pPr>
                    <w:autoSpaceDN w:val="0"/>
                    <w:spacing w:line="240" w:lineRule="exact"/>
                    <w:jc w:val="center"/>
                    <w:textAlignment w:val="center"/>
                    <w:rPr>
                      <w:rFonts w:eastAsia="宋体"/>
                      <w:szCs w:val="21"/>
                    </w:rPr>
                  </w:pPr>
                  <w:r>
                    <w:rPr>
                      <w:rFonts w:eastAsia="宋体"/>
                      <w:szCs w:val="21"/>
                    </w:rPr>
                    <w:t>颗粒物</w:t>
                  </w:r>
                </w:p>
              </w:tc>
              <w:tc>
                <w:tcPr>
                  <w:tcW w:w="920" w:type="dxa"/>
                  <w:noWrap w:val="0"/>
                  <w:vAlign w:val="center"/>
                </w:tcPr>
                <w:p>
                  <w:pPr>
                    <w:autoSpaceDN w:val="0"/>
                    <w:spacing w:line="240" w:lineRule="exact"/>
                    <w:jc w:val="center"/>
                    <w:textAlignment w:val="center"/>
                    <w:rPr>
                      <w:rFonts w:eastAsia="宋体"/>
                      <w:szCs w:val="21"/>
                    </w:rPr>
                  </w:pPr>
                  <w:r>
                    <w:rPr>
                      <w:rFonts w:eastAsia="宋体"/>
                      <w:szCs w:val="21"/>
                    </w:rPr>
                    <w:t>第一次</w:t>
                  </w:r>
                </w:p>
              </w:tc>
              <w:tc>
                <w:tcPr>
                  <w:tcW w:w="1301" w:type="dxa"/>
                  <w:noWrap w:val="0"/>
                  <w:vAlign w:val="center"/>
                </w:tcPr>
                <w:p>
                  <w:pPr>
                    <w:autoSpaceDN w:val="0"/>
                    <w:spacing w:line="240" w:lineRule="exact"/>
                    <w:jc w:val="center"/>
                    <w:textAlignment w:val="center"/>
                    <w:rPr>
                      <w:rFonts w:eastAsia="宋体"/>
                      <w:szCs w:val="21"/>
                    </w:rPr>
                  </w:pPr>
                  <w:r>
                    <w:rPr>
                      <w:rFonts w:eastAsia="宋体"/>
                      <w:szCs w:val="21"/>
                    </w:rPr>
                    <w:t>0.150</w:t>
                  </w:r>
                </w:p>
              </w:tc>
              <w:tc>
                <w:tcPr>
                  <w:tcW w:w="1301" w:type="dxa"/>
                  <w:noWrap w:val="0"/>
                  <w:vAlign w:val="center"/>
                </w:tcPr>
                <w:p>
                  <w:pPr>
                    <w:autoSpaceDN w:val="0"/>
                    <w:spacing w:line="240" w:lineRule="exact"/>
                    <w:jc w:val="center"/>
                    <w:textAlignment w:val="center"/>
                    <w:rPr>
                      <w:rFonts w:eastAsia="宋体"/>
                      <w:szCs w:val="21"/>
                    </w:rPr>
                  </w:pPr>
                  <w:r>
                    <w:rPr>
                      <w:rFonts w:eastAsia="宋体"/>
                      <w:szCs w:val="21"/>
                    </w:rPr>
                    <w:t>0.384</w:t>
                  </w:r>
                </w:p>
              </w:tc>
              <w:tc>
                <w:tcPr>
                  <w:tcW w:w="1303" w:type="dxa"/>
                  <w:noWrap w:val="0"/>
                  <w:vAlign w:val="center"/>
                </w:tcPr>
                <w:p>
                  <w:pPr>
                    <w:autoSpaceDN w:val="0"/>
                    <w:spacing w:line="240" w:lineRule="exact"/>
                    <w:jc w:val="center"/>
                    <w:textAlignment w:val="center"/>
                    <w:rPr>
                      <w:rFonts w:eastAsia="宋体"/>
                      <w:szCs w:val="21"/>
                    </w:rPr>
                  </w:pPr>
                  <w:r>
                    <w:rPr>
                      <w:rFonts w:eastAsia="宋体"/>
                      <w:szCs w:val="21"/>
                    </w:rPr>
                    <w:t>0.467</w:t>
                  </w:r>
                </w:p>
              </w:tc>
              <w:tc>
                <w:tcPr>
                  <w:tcW w:w="1008" w:type="dxa"/>
                  <w:vMerge w:val="restart"/>
                  <w:tcBorders>
                    <w:right w:val="single" w:color="auto" w:sz="4" w:space="0"/>
                  </w:tcBorders>
                  <w:noWrap w:val="0"/>
                  <w:vAlign w:val="center"/>
                </w:tcPr>
                <w:p>
                  <w:pPr>
                    <w:autoSpaceDN w:val="0"/>
                    <w:spacing w:line="240" w:lineRule="exact"/>
                    <w:jc w:val="center"/>
                    <w:textAlignment w:val="center"/>
                    <w:rPr>
                      <w:rFonts w:eastAsia="宋体"/>
                      <w:szCs w:val="21"/>
                    </w:rPr>
                  </w:pPr>
                  <w:r>
                    <w:rPr>
                      <w:rFonts w:eastAsia="宋体"/>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205" w:type="dxa"/>
                  <w:vMerge w:val="continue"/>
                  <w:tcBorders>
                    <w:left w:val="single" w:color="auto" w:sz="4" w:space="0"/>
                  </w:tcBorders>
                  <w:noWrap w:val="0"/>
                  <w:vAlign w:val="center"/>
                </w:tcPr>
                <w:p>
                  <w:pPr>
                    <w:autoSpaceDN w:val="0"/>
                    <w:spacing w:line="240" w:lineRule="exact"/>
                    <w:jc w:val="center"/>
                    <w:textAlignment w:val="center"/>
                    <w:rPr>
                      <w:rFonts w:eastAsia="宋体"/>
                      <w:szCs w:val="21"/>
                    </w:rPr>
                  </w:pPr>
                </w:p>
              </w:tc>
              <w:tc>
                <w:tcPr>
                  <w:tcW w:w="867" w:type="dxa"/>
                  <w:vMerge w:val="continue"/>
                  <w:noWrap w:val="0"/>
                  <w:vAlign w:val="center"/>
                </w:tcPr>
                <w:p>
                  <w:pPr>
                    <w:autoSpaceDN w:val="0"/>
                    <w:spacing w:line="240" w:lineRule="exact"/>
                    <w:jc w:val="center"/>
                    <w:textAlignment w:val="center"/>
                    <w:rPr>
                      <w:rFonts w:eastAsia="宋体"/>
                      <w:szCs w:val="21"/>
                    </w:rPr>
                  </w:pPr>
                </w:p>
              </w:tc>
              <w:tc>
                <w:tcPr>
                  <w:tcW w:w="920" w:type="dxa"/>
                  <w:noWrap w:val="0"/>
                  <w:vAlign w:val="center"/>
                </w:tcPr>
                <w:p>
                  <w:pPr>
                    <w:autoSpaceDN w:val="0"/>
                    <w:spacing w:line="240" w:lineRule="exact"/>
                    <w:jc w:val="center"/>
                    <w:textAlignment w:val="center"/>
                    <w:rPr>
                      <w:rFonts w:eastAsia="宋体"/>
                      <w:szCs w:val="21"/>
                    </w:rPr>
                  </w:pPr>
                  <w:r>
                    <w:rPr>
                      <w:rFonts w:eastAsia="宋体"/>
                      <w:szCs w:val="21"/>
                    </w:rPr>
                    <w:t>第二次</w:t>
                  </w:r>
                </w:p>
              </w:tc>
              <w:tc>
                <w:tcPr>
                  <w:tcW w:w="1301" w:type="dxa"/>
                  <w:noWrap w:val="0"/>
                  <w:vAlign w:val="center"/>
                </w:tcPr>
                <w:p>
                  <w:pPr>
                    <w:autoSpaceDN w:val="0"/>
                    <w:spacing w:line="240" w:lineRule="exact"/>
                    <w:jc w:val="center"/>
                    <w:textAlignment w:val="center"/>
                    <w:rPr>
                      <w:rFonts w:eastAsia="宋体"/>
                      <w:szCs w:val="21"/>
                    </w:rPr>
                  </w:pPr>
                  <w:r>
                    <w:rPr>
                      <w:rFonts w:eastAsia="宋体"/>
                      <w:szCs w:val="21"/>
                    </w:rPr>
                    <w:t>0.184</w:t>
                  </w:r>
                </w:p>
              </w:tc>
              <w:tc>
                <w:tcPr>
                  <w:tcW w:w="1301" w:type="dxa"/>
                  <w:noWrap w:val="0"/>
                  <w:vAlign w:val="center"/>
                </w:tcPr>
                <w:p>
                  <w:pPr>
                    <w:autoSpaceDN w:val="0"/>
                    <w:spacing w:line="240" w:lineRule="exact"/>
                    <w:jc w:val="center"/>
                    <w:textAlignment w:val="center"/>
                    <w:rPr>
                      <w:rFonts w:eastAsia="宋体"/>
                      <w:szCs w:val="21"/>
                    </w:rPr>
                  </w:pPr>
                  <w:r>
                    <w:rPr>
                      <w:rFonts w:eastAsia="宋体"/>
                      <w:szCs w:val="21"/>
                    </w:rPr>
                    <w:t>0.251</w:t>
                  </w:r>
                </w:p>
              </w:tc>
              <w:tc>
                <w:tcPr>
                  <w:tcW w:w="1303" w:type="dxa"/>
                  <w:noWrap w:val="0"/>
                  <w:vAlign w:val="center"/>
                </w:tcPr>
                <w:p>
                  <w:pPr>
                    <w:autoSpaceDN w:val="0"/>
                    <w:spacing w:line="240" w:lineRule="exact"/>
                    <w:jc w:val="center"/>
                    <w:textAlignment w:val="center"/>
                    <w:rPr>
                      <w:rFonts w:eastAsia="宋体"/>
                      <w:szCs w:val="21"/>
                    </w:rPr>
                  </w:pPr>
                  <w:r>
                    <w:rPr>
                      <w:rFonts w:eastAsia="宋体"/>
                      <w:szCs w:val="21"/>
                    </w:rPr>
                    <w:t>0.234</w:t>
                  </w:r>
                </w:p>
              </w:tc>
              <w:tc>
                <w:tcPr>
                  <w:tcW w:w="1008" w:type="dxa"/>
                  <w:vMerge w:val="continue"/>
                  <w:tcBorders>
                    <w:right w:val="single" w:color="auto" w:sz="4" w:space="0"/>
                  </w:tcBorders>
                  <w:noWrap w:val="0"/>
                  <w:vAlign w:val="center"/>
                </w:tcPr>
                <w:p>
                  <w:pPr>
                    <w:autoSpaceDN w:val="0"/>
                    <w:spacing w:line="240" w:lineRule="exact"/>
                    <w:jc w:val="center"/>
                    <w:textAlignment w:val="center"/>
                    <w:rPr>
                      <w:rFonts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205" w:type="dxa"/>
                  <w:vMerge w:val="continue"/>
                  <w:tcBorders>
                    <w:left w:val="single" w:color="auto" w:sz="4" w:space="0"/>
                  </w:tcBorders>
                  <w:noWrap w:val="0"/>
                  <w:vAlign w:val="center"/>
                </w:tcPr>
                <w:p>
                  <w:pPr>
                    <w:autoSpaceDN w:val="0"/>
                    <w:spacing w:line="240" w:lineRule="exact"/>
                    <w:jc w:val="center"/>
                    <w:textAlignment w:val="center"/>
                    <w:rPr>
                      <w:rFonts w:eastAsia="宋体"/>
                      <w:szCs w:val="21"/>
                    </w:rPr>
                  </w:pPr>
                </w:p>
              </w:tc>
              <w:tc>
                <w:tcPr>
                  <w:tcW w:w="867" w:type="dxa"/>
                  <w:vMerge w:val="continue"/>
                  <w:noWrap w:val="0"/>
                  <w:vAlign w:val="center"/>
                </w:tcPr>
                <w:p>
                  <w:pPr>
                    <w:autoSpaceDN w:val="0"/>
                    <w:spacing w:line="240" w:lineRule="exact"/>
                    <w:jc w:val="center"/>
                    <w:textAlignment w:val="center"/>
                    <w:rPr>
                      <w:rFonts w:eastAsia="宋体"/>
                      <w:szCs w:val="21"/>
                    </w:rPr>
                  </w:pPr>
                </w:p>
              </w:tc>
              <w:tc>
                <w:tcPr>
                  <w:tcW w:w="920" w:type="dxa"/>
                  <w:noWrap w:val="0"/>
                  <w:vAlign w:val="center"/>
                </w:tcPr>
                <w:p>
                  <w:pPr>
                    <w:autoSpaceDN w:val="0"/>
                    <w:spacing w:line="240" w:lineRule="exact"/>
                    <w:jc w:val="center"/>
                    <w:textAlignment w:val="center"/>
                    <w:rPr>
                      <w:rFonts w:eastAsia="宋体"/>
                      <w:szCs w:val="21"/>
                    </w:rPr>
                  </w:pPr>
                  <w:r>
                    <w:rPr>
                      <w:rFonts w:eastAsia="宋体"/>
                      <w:szCs w:val="21"/>
                    </w:rPr>
                    <w:t>第三次</w:t>
                  </w:r>
                </w:p>
              </w:tc>
              <w:tc>
                <w:tcPr>
                  <w:tcW w:w="1301" w:type="dxa"/>
                  <w:noWrap w:val="0"/>
                  <w:vAlign w:val="center"/>
                </w:tcPr>
                <w:p>
                  <w:pPr>
                    <w:autoSpaceDN w:val="0"/>
                    <w:spacing w:line="240" w:lineRule="exact"/>
                    <w:jc w:val="center"/>
                    <w:textAlignment w:val="center"/>
                    <w:rPr>
                      <w:rFonts w:eastAsia="宋体"/>
                      <w:szCs w:val="21"/>
                    </w:rPr>
                  </w:pPr>
                  <w:r>
                    <w:rPr>
                      <w:rFonts w:eastAsia="宋体"/>
                      <w:szCs w:val="21"/>
                    </w:rPr>
                    <w:t>0.167</w:t>
                  </w:r>
                </w:p>
              </w:tc>
              <w:tc>
                <w:tcPr>
                  <w:tcW w:w="1301" w:type="dxa"/>
                  <w:noWrap w:val="0"/>
                  <w:vAlign w:val="center"/>
                </w:tcPr>
                <w:p>
                  <w:pPr>
                    <w:autoSpaceDN w:val="0"/>
                    <w:spacing w:line="240" w:lineRule="exact"/>
                    <w:jc w:val="center"/>
                    <w:textAlignment w:val="center"/>
                    <w:rPr>
                      <w:rFonts w:eastAsia="宋体"/>
                      <w:szCs w:val="21"/>
                    </w:rPr>
                  </w:pPr>
                  <w:r>
                    <w:rPr>
                      <w:rFonts w:eastAsia="宋体"/>
                      <w:szCs w:val="21"/>
                    </w:rPr>
                    <w:t>0.401</w:t>
                  </w:r>
                </w:p>
              </w:tc>
              <w:tc>
                <w:tcPr>
                  <w:tcW w:w="1303" w:type="dxa"/>
                  <w:noWrap w:val="0"/>
                  <w:vAlign w:val="center"/>
                </w:tcPr>
                <w:p>
                  <w:pPr>
                    <w:autoSpaceDN w:val="0"/>
                    <w:spacing w:line="240" w:lineRule="exact"/>
                    <w:jc w:val="center"/>
                    <w:textAlignment w:val="center"/>
                    <w:rPr>
                      <w:rFonts w:eastAsia="宋体"/>
                      <w:szCs w:val="21"/>
                    </w:rPr>
                  </w:pPr>
                  <w:r>
                    <w:rPr>
                      <w:rFonts w:eastAsia="宋体"/>
                      <w:szCs w:val="21"/>
                    </w:rPr>
                    <w:t>0.418</w:t>
                  </w:r>
                </w:p>
              </w:tc>
              <w:tc>
                <w:tcPr>
                  <w:tcW w:w="1008" w:type="dxa"/>
                  <w:vMerge w:val="continue"/>
                  <w:tcBorders>
                    <w:right w:val="single" w:color="auto" w:sz="4" w:space="0"/>
                  </w:tcBorders>
                  <w:noWrap w:val="0"/>
                  <w:vAlign w:val="center"/>
                </w:tcPr>
                <w:p>
                  <w:pPr>
                    <w:autoSpaceDN w:val="0"/>
                    <w:spacing w:line="240" w:lineRule="exact"/>
                    <w:jc w:val="center"/>
                    <w:textAlignment w:val="center"/>
                    <w:rPr>
                      <w:rFonts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905" w:type="dxa"/>
                  <w:gridSpan w:val="7"/>
                  <w:tcBorders>
                    <w:left w:val="single" w:color="auto" w:sz="4" w:space="0"/>
                    <w:right w:val="single" w:color="auto" w:sz="4" w:space="0"/>
                  </w:tcBorders>
                  <w:noWrap w:val="0"/>
                  <w:vAlign w:val="center"/>
                </w:tcPr>
                <w:p>
                  <w:pPr>
                    <w:autoSpaceDN w:val="0"/>
                    <w:spacing w:line="240" w:lineRule="exact"/>
                    <w:jc w:val="both"/>
                    <w:textAlignment w:val="center"/>
                    <w:rPr>
                      <w:rFonts w:eastAsia="宋体"/>
                      <w:szCs w:val="21"/>
                    </w:rPr>
                  </w:pPr>
                  <w:r>
                    <w:rPr>
                      <w:rFonts w:eastAsia="宋体"/>
                      <w:szCs w:val="21"/>
                    </w:rPr>
                    <w:t>备注：“ND”表示检测结果未检出</w:t>
                  </w:r>
                </w:p>
              </w:tc>
            </w:tr>
          </w:tbl>
          <w:p>
            <w:pPr>
              <w:spacing w:line="480" w:lineRule="exact"/>
              <w:ind w:firstLine="420" w:firstLineChars="200"/>
              <w:rPr>
                <w:rFonts w:hint="eastAsia"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由上表可知，</w:t>
            </w:r>
            <w:r>
              <w:rPr>
                <w:rFonts w:hint="eastAsia" w:cs="Times New Roman"/>
                <w:color w:val="auto"/>
                <w:kern w:val="0"/>
                <w:sz w:val="21"/>
                <w:szCs w:val="21"/>
                <w:u w:val="none" w:color="auto"/>
                <w:lang w:val="zh-CN" w:eastAsia="zh-CN"/>
              </w:rPr>
              <w:t>厂界</w:t>
            </w:r>
            <w:r>
              <w:rPr>
                <w:rFonts w:hint="eastAsia" w:cs="Times New Roman"/>
                <w:color w:val="auto"/>
                <w:kern w:val="0"/>
                <w:sz w:val="21"/>
                <w:szCs w:val="21"/>
                <w:u w:val="none" w:color="auto"/>
                <w:lang w:val="en-US" w:eastAsia="zh-CN"/>
              </w:rPr>
              <w:t>无组织排放颗粒物能满足</w:t>
            </w:r>
            <w:r>
              <w:rPr>
                <w:rFonts w:hint="default" w:ascii="Times New Roman" w:hAnsi="Times New Roman" w:eastAsia="宋体" w:cs="Times New Roman"/>
                <w:color w:val="auto"/>
                <w:spacing w:val="-3"/>
                <w:highlight w:val="none"/>
                <w:u w:val="none" w:color="auto"/>
                <w:lang w:val="en-US" w:eastAsia="zh-CN"/>
              </w:rPr>
              <w:t>《煤炭工业污染物排放标准》（GB20426-2006）中表5规定的限值</w:t>
            </w:r>
            <w:r>
              <w:rPr>
                <w:rFonts w:hint="eastAsia" w:cs="Times New Roman"/>
                <w:color w:val="auto"/>
                <w:kern w:val="0"/>
                <w:sz w:val="21"/>
                <w:szCs w:val="21"/>
                <w:u w:val="none" w:color="auto"/>
                <w:lang w:val="en-US" w:eastAsia="zh-CN"/>
              </w:rPr>
              <w:t>要求。</w:t>
            </w:r>
          </w:p>
          <w:p>
            <w:pPr>
              <w:spacing w:line="480" w:lineRule="exact"/>
              <w:ind w:firstLine="408" w:firstLineChars="200"/>
              <w:rPr>
                <w:rFonts w:hint="eastAsia" w:ascii="Times New Roman" w:hAnsi="Times New Roman" w:eastAsia="宋体" w:cs="Times New Roman"/>
                <w:color w:val="auto"/>
                <w:spacing w:val="-3"/>
                <w:kern w:val="2"/>
                <w:sz w:val="21"/>
                <w:szCs w:val="24"/>
                <w:u w:val="none" w:color="auto"/>
                <w:lang w:val="en-US" w:eastAsia="zh-CN" w:bidi="ar-SA"/>
              </w:rPr>
            </w:pPr>
            <w:r>
              <w:rPr>
                <w:rFonts w:hint="eastAsia" w:ascii="Times New Roman" w:hAnsi="Times New Roman" w:eastAsia="宋体" w:cs="Times New Roman"/>
                <w:color w:val="auto"/>
                <w:spacing w:val="-3"/>
                <w:kern w:val="2"/>
                <w:sz w:val="21"/>
                <w:szCs w:val="24"/>
                <w:u w:val="none" w:color="auto"/>
                <w:lang w:val="en-US" w:eastAsia="zh-CN" w:bidi="ar-SA"/>
              </w:rPr>
              <w:t>综上，本项目废气处理措施可行，</w:t>
            </w:r>
            <w:r>
              <w:rPr>
                <w:rFonts w:hint="default" w:ascii="Times New Roman" w:hAnsi="Times New Roman" w:eastAsia="宋体" w:cs="Times New Roman"/>
                <w:color w:val="auto"/>
                <w:spacing w:val="-3"/>
                <w:kern w:val="2"/>
                <w:sz w:val="21"/>
                <w:szCs w:val="24"/>
                <w:u w:val="none" w:color="auto"/>
                <w:lang w:val="en-US" w:eastAsia="zh-CN" w:bidi="ar-SA"/>
              </w:rPr>
              <w:t>对周围大气环境影响较小。</w:t>
            </w:r>
          </w:p>
          <w:p>
            <w:pPr>
              <w:adjustRightInd w:val="0"/>
              <w:snapToGrid w:val="0"/>
              <w:spacing w:line="360" w:lineRule="auto"/>
              <w:ind w:firstLine="422" w:firstLineChars="200"/>
              <w:rPr>
                <w:rFonts w:hint="default" w:ascii="Times New Roman" w:hAnsi="Times New Roman" w:eastAsia="宋体" w:cs="Times New Roman"/>
                <w:b/>
                <w:bCs/>
                <w:color w:val="auto"/>
                <w:kern w:val="0"/>
                <w:sz w:val="21"/>
                <w:szCs w:val="21"/>
                <w:u w:val="none" w:color="auto"/>
                <w:lang w:val="en-US" w:eastAsia="zh-CN"/>
              </w:rPr>
            </w:pPr>
            <w:r>
              <w:rPr>
                <w:rFonts w:hint="eastAsia" w:cs="Times New Roman"/>
                <w:b/>
                <w:bCs/>
                <w:color w:val="auto"/>
                <w:kern w:val="0"/>
                <w:sz w:val="21"/>
                <w:szCs w:val="21"/>
                <w:u w:val="none" w:color="auto"/>
                <w:lang w:val="en-US" w:eastAsia="zh-CN"/>
              </w:rPr>
              <w:t>（3）</w:t>
            </w:r>
            <w:r>
              <w:rPr>
                <w:rFonts w:hint="default" w:ascii="Times New Roman" w:hAnsi="Times New Roman" w:eastAsia="宋体" w:cs="Times New Roman"/>
                <w:b/>
                <w:bCs/>
                <w:color w:val="auto"/>
                <w:kern w:val="0"/>
                <w:sz w:val="21"/>
                <w:szCs w:val="21"/>
                <w:u w:val="none" w:color="auto"/>
                <w:lang w:val="en-US" w:eastAsia="zh-CN"/>
              </w:rPr>
              <w:t>监测要求</w:t>
            </w:r>
          </w:p>
          <w:p>
            <w:pPr>
              <w:spacing w:line="480" w:lineRule="exact"/>
              <w:ind w:firstLine="420" w:firstLineChars="200"/>
              <w:jc w:val="left"/>
              <w:rPr>
                <w:rFonts w:hint="default" w:ascii="Times New Roman" w:hAnsi="Times New Roman" w:cs="Times New Roman"/>
                <w:color w:val="auto"/>
                <w:u w:val="none" w:color="auto"/>
              </w:rPr>
            </w:pPr>
            <w:r>
              <w:rPr>
                <w:rFonts w:hint="default" w:ascii="Times New Roman" w:hAnsi="Times New Roman" w:cs="Times New Roman"/>
                <w:color w:val="auto"/>
                <w:u w:val="none" w:color="auto"/>
              </w:rPr>
              <w:t>参考《排污单位自行监测技术指南 总则》（HJ819-2017）</w:t>
            </w:r>
            <w:r>
              <w:rPr>
                <w:rFonts w:hint="default" w:ascii="Times New Roman" w:hAnsi="Times New Roman" w:cs="Times New Roman"/>
                <w:color w:val="auto"/>
                <w:u w:val="none" w:color="auto"/>
                <w:lang w:val="en-US" w:eastAsia="zh-CN"/>
              </w:rPr>
              <w:t>，</w:t>
            </w:r>
            <w:r>
              <w:rPr>
                <w:rFonts w:hint="default" w:ascii="Times New Roman" w:hAnsi="Times New Roman" w:cs="Times New Roman"/>
                <w:color w:val="auto"/>
                <w:u w:val="none" w:color="auto"/>
              </w:rPr>
              <w:t>本项目废气自行监测计划见下表。</w:t>
            </w:r>
          </w:p>
          <w:p>
            <w:pPr>
              <w:pStyle w:val="75"/>
              <w:spacing w:before="48" w:after="48"/>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表4-</w:t>
            </w:r>
            <w:r>
              <w:rPr>
                <w:rFonts w:hint="eastAsia" w:ascii="Times New Roman" w:hAnsi="Times New Roman" w:cs="Times New Roman"/>
                <w:color w:val="auto"/>
                <w:u w:val="none" w:color="auto"/>
                <w:lang w:val="en-US" w:eastAsia="zh-CN"/>
              </w:rPr>
              <w:t>5</w:t>
            </w:r>
            <w:r>
              <w:rPr>
                <w:rFonts w:hint="default" w:ascii="Times New Roman" w:hAnsi="Times New Roman" w:eastAsia="宋体" w:cs="Times New Roman"/>
                <w:color w:val="auto"/>
                <w:u w:val="none" w:color="auto"/>
              </w:rPr>
              <w:t xml:space="preserve"> 废气自行监测计划表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5"/>
              <w:gridCol w:w="1584"/>
              <w:gridCol w:w="1095"/>
              <w:gridCol w:w="1033"/>
              <w:gridCol w:w="1539"/>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64" w:type="pct"/>
                  <w:noWrap w:val="0"/>
                  <w:vAlign w:val="center"/>
                </w:tcPr>
                <w:p>
                  <w:pPr>
                    <w:tabs>
                      <w:tab w:val="left" w:pos="2587"/>
                    </w:tabs>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类别</w:t>
                  </w:r>
                </w:p>
              </w:tc>
              <w:tc>
                <w:tcPr>
                  <w:tcW w:w="998" w:type="pct"/>
                  <w:noWrap w:val="0"/>
                  <w:vAlign w:val="center"/>
                </w:tcPr>
                <w:p>
                  <w:pPr>
                    <w:tabs>
                      <w:tab w:val="left" w:pos="2587"/>
                    </w:tabs>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监测因子</w:t>
                  </w:r>
                </w:p>
              </w:tc>
              <w:tc>
                <w:tcPr>
                  <w:tcW w:w="690" w:type="pct"/>
                  <w:noWrap w:val="0"/>
                  <w:vAlign w:val="center"/>
                </w:tcPr>
                <w:p>
                  <w:pPr>
                    <w:tabs>
                      <w:tab w:val="left" w:pos="2587"/>
                    </w:tabs>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排放类型</w:t>
                  </w:r>
                </w:p>
              </w:tc>
              <w:tc>
                <w:tcPr>
                  <w:tcW w:w="651" w:type="pct"/>
                  <w:noWrap w:val="0"/>
                  <w:vAlign w:val="center"/>
                </w:tcPr>
                <w:p>
                  <w:pPr>
                    <w:tabs>
                      <w:tab w:val="left" w:pos="2587"/>
                    </w:tabs>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监测频次</w:t>
                  </w:r>
                </w:p>
              </w:tc>
              <w:tc>
                <w:tcPr>
                  <w:tcW w:w="970" w:type="pct"/>
                  <w:noWrap w:val="0"/>
                  <w:vAlign w:val="center"/>
                </w:tcPr>
                <w:p>
                  <w:pPr>
                    <w:tabs>
                      <w:tab w:val="left" w:pos="2587"/>
                    </w:tabs>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监测位置</w:t>
                  </w:r>
                </w:p>
              </w:tc>
              <w:tc>
                <w:tcPr>
                  <w:tcW w:w="1126" w:type="pct"/>
                  <w:noWrap w:val="0"/>
                  <w:vAlign w:val="center"/>
                </w:tcPr>
                <w:p>
                  <w:pPr>
                    <w:tabs>
                      <w:tab w:val="left" w:pos="2587"/>
                    </w:tabs>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64" w:type="pct"/>
                  <w:noWrap w:val="0"/>
                  <w:vAlign w:val="center"/>
                </w:tcPr>
                <w:p>
                  <w:pPr>
                    <w:tabs>
                      <w:tab w:val="left" w:pos="2587"/>
                    </w:tabs>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废气</w:t>
                  </w:r>
                </w:p>
              </w:tc>
              <w:tc>
                <w:tcPr>
                  <w:tcW w:w="998" w:type="pct"/>
                  <w:noWrap w:val="0"/>
                  <w:vAlign w:val="center"/>
                </w:tcPr>
                <w:p>
                  <w:pPr>
                    <w:tabs>
                      <w:tab w:val="left" w:pos="2587"/>
                    </w:tabs>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颗粒物</w:t>
                  </w:r>
                </w:p>
              </w:tc>
              <w:tc>
                <w:tcPr>
                  <w:tcW w:w="690" w:type="pct"/>
                  <w:noWrap w:val="0"/>
                  <w:vAlign w:val="center"/>
                </w:tcPr>
                <w:p>
                  <w:pPr>
                    <w:tabs>
                      <w:tab w:val="left" w:pos="2587"/>
                    </w:tabs>
                    <w:jc w:val="center"/>
                    <w:rPr>
                      <w:rFonts w:hint="default" w:ascii="Times New Roman" w:hAnsi="Times New Roman" w:cs="Times New Roman"/>
                      <w:color w:val="auto"/>
                      <w:sz w:val="21"/>
                      <w:szCs w:val="21"/>
                      <w:u w:val="none" w:color="auto"/>
                    </w:rPr>
                  </w:pPr>
                  <w:r>
                    <w:rPr>
                      <w:rFonts w:hint="eastAsia" w:cs="Times New Roman"/>
                      <w:color w:val="auto"/>
                      <w:sz w:val="21"/>
                      <w:szCs w:val="21"/>
                      <w:u w:val="none" w:color="auto"/>
                      <w:lang w:eastAsia="zh-CN"/>
                    </w:rPr>
                    <w:t>无组织</w:t>
                  </w:r>
                </w:p>
              </w:tc>
              <w:tc>
                <w:tcPr>
                  <w:tcW w:w="651" w:type="pct"/>
                  <w:noWrap w:val="0"/>
                  <w:vAlign w:val="center"/>
                </w:tcPr>
                <w:p>
                  <w:pPr>
                    <w:tabs>
                      <w:tab w:val="left" w:pos="2587"/>
                    </w:tabs>
                    <w:jc w:val="center"/>
                    <w:rPr>
                      <w:rFonts w:hint="eastAsia" w:ascii="Times New Roman" w:hAnsi="Times New Roman" w:eastAsia="宋体" w:cs="Times New Roman"/>
                      <w:color w:val="auto"/>
                      <w:sz w:val="21"/>
                      <w:szCs w:val="21"/>
                      <w:u w:val="none" w:color="auto"/>
                      <w:lang w:eastAsia="zh-CN"/>
                    </w:rPr>
                  </w:pPr>
                  <w:r>
                    <w:rPr>
                      <w:rFonts w:hint="default" w:ascii="Times New Roman" w:hAnsi="Times New Roman" w:cs="Times New Roman"/>
                      <w:color w:val="auto"/>
                      <w:sz w:val="21"/>
                      <w:szCs w:val="21"/>
                      <w:u w:val="none" w:color="auto"/>
                    </w:rPr>
                    <w:t>1次/</w:t>
                  </w:r>
                  <w:r>
                    <w:rPr>
                      <w:rFonts w:hint="eastAsia" w:cs="Times New Roman"/>
                      <w:color w:val="auto"/>
                      <w:sz w:val="21"/>
                      <w:szCs w:val="21"/>
                      <w:u w:val="none" w:color="auto"/>
                      <w:lang w:eastAsia="zh-CN"/>
                    </w:rPr>
                    <w:t>年</w:t>
                  </w:r>
                </w:p>
              </w:tc>
              <w:tc>
                <w:tcPr>
                  <w:tcW w:w="970" w:type="pct"/>
                  <w:noWrap w:val="0"/>
                  <w:vAlign w:val="center"/>
                </w:tcPr>
                <w:p>
                  <w:pPr>
                    <w:tabs>
                      <w:tab w:val="left" w:pos="2587"/>
                    </w:tabs>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厂界上风向、下风向</w:t>
                  </w:r>
                </w:p>
              </w:tc>
              <w:tc>
                <w:tcPr>
                  <w:tcW w:w="1126" w:type="pct"/>
                  <w:noWrap w:val="0"/>
                  <w:vAlign w:val="center"/>
                </w:tcPr>
                <w:p>
                  <w:pPr>
                    <w:tabs>
                      <w:tab w:val="left" w:pos="2587"/>
                    </w:tabs>
                    <w:jc w:val="center"/>
                    <w:rPr>
                      <w:rFonts w:hint="default" w:ascii="Times New Roman" w:hAnsi="Times New Roman" w:eastAsia="宋体" w:cs="Times New Roman"/>
                      <w:color w:val="auto"/>
                      <w:sz w:val="21"/>
                      <w:szCs w:val="21"/>
                      <w:u w:val="none" w:color="auto"/>
                      <w:lang w:val="en-US" w:eastAsia="zh-CN"/>
                    </w:rPr>
                  </w:pPr>
                  <w:r>
                    <w:rPr>
                      <w:rFonts w:hint="eastAsia"/>
                      <w:color w:val="auto"/>
                      <w:spacing w:val="-3"/>
                      <w:highlight w:val="none"/>
                      <w:u w:val="none" w:color="auto"/>
                      <w:lang w:val="en-US" w:eastAsia="zh-CN"/>
                    </w:rPr>
                    <w:t>《煤炭工业污染物排放标准》（GB20426-2006）中表5 规定的限值</w:t>
                  </w:r>
                </w:p>
              </w:tc>
            </w:tr>
          </w:tbl>
          <w:p>
            <w:pPr>
              <w:spacing w:line="480" w:lineRule="exact"/>
              <w:ind w:firstLine="422" w:firstLineChars="200"/>
              <w:rPr>
                <w:rFonts w:hint="default" w:ascii="Times New Roman" w:hAnsi="Times New Roman" w:cs="Times New Roman"/>
                <w:b/>
                <w:color w:val="auto"/>
                <w:u w:val="none" w:color="auto"/>
              </w:rPr>
            </w:pPr>
            <w:r>
              <w:rPr>
                <w:rFonts w:hint="eastAsia" w:cs="Times New Roman"/>
                <w:b/>
                <w:color w:val="auto"/>
                <w:u w:val="none" w:color="auto"/>
                <w:lang w:val="en-US" w:eastAsia="zh-CN"/>
              </w:rPr>
              <w:t>2、</w:t>
            </w:r>
            <w:r>
              <w:rPr>
                <w:rFonts w:hint="default" w:ascii="Times New Roman" w:hAnsi="Times New Roman" w:cs="Times New Roman"/>
                <w:b/>
                <w:color w:val="auto"/>
                <w:u w:val="none" w:color="auto"/>
              </w:rPr>
              <w:t>废水</w:t>
            </w:r>
          </w:p>
          <w:p>
            <w:pPr>
              <w:pStyle w:val="6"/>
              <w:keepNext w:val="0"/>
              <w:keepLines w:val="0"/>
              <w:pageBreakBefore w:val="0"/>
              <w:widowControl w:val="0"/>
              <w:numPr>
                <w:ilvl w:val="0"/>
                <w:numId w:val="0"/>
              </w:numPr>
              <w:tabs>
                <w:tab w:val="clear" w:pos="720"/>
              </w:tabs>
              <w:kinsoku/>
              <w:wordWrap/>
              <w:overflowPunct/>
              <w:topLinePunct w:val="0"/>
              <w:autoSpaceDE/>
              <w:autoSpaceDN/>
              <w:bidi w:val="0"/>
              <w:spacing w:line="480" w:lineRule="exact"/>
              <w:textAlignment w:val="auto"/>
              <w:rPr>
                <w:rFonts w:hint="default"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 xml:space="preserve">    （1）</w:t>
            </w:r>
            <w:r>
              <w:rPr>
                <w:rFonts w:hint="default" w:ascii="Times New Roman" w:hAnsi="Times New Roman" w:cs="Times New Roman"/>
                <w:color w:val="auto"/>
                <w:sz w:val="21"/>
                <w:szCs w:val="21"/>
                <w:u w:val="none" w:color="auto"/>
              </w:rPr>
              <w:t>废水污染物源强及排放情况</w:t>
            </w:r>
          </w:p>
          <w:p>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cs="Times New Roman"/>
                <w:color w:val="auto"/>
                <w:kern w:val="2"/>
                <w:highlight w:val="none"/>
                <w:u w:val="none" w:color="auto"/>
                <w:lang w:eastAsia="zh-CN"/>
              </w:rPr>
            </w:pPr>
            <w:r>
              <w:rPr>
                <w:rFonts w:hint="default" w:ascii="Times New Roman" w:hAnsi="Times New Roman" w:eastAsia="宋体" w:cs="Times New Roman"/>
                <w:color w:val="auto"/>
                <w:kern w:val="2"/>
                <w:highlight w:val="none"/>
                <w:u w:val="none" w:color="auto"/>
              </w:rPr>
              <w:t>本项目</w:t>
            </w:r>
            <w:r>
              <w:rPr>
                <w:rFonts w:hint="eastAsia" w:cs="Times New Roman"/>
                <w:color w:val="auto"/>
                <w:kern w:val="2"/>
                <w:highlight w:val="none"/>
                <w:u w:val="none" w:color="auto"/>
                <w:lang w:eastAsia="zh-CN"/>
              </w:rPr>
              <w:t>废水主要为地面冲洗废水、初期雨水、员工生活污水等。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textAlignment w:val="auto"/>
              <w:rPr>
                <w:rFonts w:hint="eastAsia" w:cs="Times New Roman"/>
                <w:color w:val="auto"/>
                <w:kern w:val="0"/>
                <w:szCs w:val="21"/>
                <w:u w:val="none" w:color="auto"/>
                <w:lang w:eastAsia="zh-CN"/>
              </w:rPr>
            </w:pPr>
            <w:r>
              <w:rPr>
                <w:rFonts w:hint="eastAsia" w:cs="Times New Roman"/>
                <w:color w:val="auto"/>
                <w:kern w:val="0"/>
                <w:szCs w:val="21"/>
                <w:u w:val="none" w:color="auto"/>
                <w:lang w:val="en-US" w:eastAsia="zh-CN"/>
              </w:rPr>
              <w:t>1</w:t>
            </w:r>
            <w:r>
              <w:rPr>
                <w:rFonts w:hint="eastAsia" w:cs="Times New Roman"/>
                <w:color w:val="auto"/>
                <w:kern w:val="0"/>
                <w:szCs w:val="21"/>
                <w:u w:val="none" w:color="auto"/>
                <w:lang w:eastAsia="zh-CN"/>
              </w:rPr>
              <w:t>）生活污水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textAlignment w:val="auto"/>
              <w:rPr>
                <w:rFonts w:hint="eastAsia" w:cs="Times New Roman"/>
                <w:color w:val="auto"/>
                <w:highlight w:val="none"/>
                <w:u w:val="none" w:color="auto"/>
                <w:lang w:val="en-US" w:eastAsia="zh-CN"/>
              </w:rPr>
            </w:pPr>
            <w:r>
              <w:rPr>
                <w:rFonts w:hint="default" w:ascii="Times New Roman" w:hAnsi="Times New Roman" w:eastAsia="宋体" w:cs="Times New Roman"/>
                <w:color w:val="auto"/>
                <w:kern w:val="0"/>
                <w:sz w:val="21"/>
                <w:szCs w:val="20"/>
                <w:highlight w:val="none"/>
                <w:u w:val="none" w:color="auto"/>
                <w:lang w:val="en-US" w:eastAsia="zh-CN" w:bidi="ar-SA"/>
              </w:rPr>
              <w:t>本项目职工人数为</w:t>
            </w:r>
            <w:r>
              <w:rPr>
                <w:rFonts w:hint="eastAsia" w:cs="Times New Roman"/>
                <w:color w:val="auto"/>
                <w:kern w:val="0"/>
                <w:sz w:val="21"/>
                <w:szCs w:val="20"/>
                <w:highlight w:val="none"/>
                <w:u w:val="none" w:color="auto"/>
                <w:lang w:val="en-US" w:eastAsia="zh-CN" w:bidi="ar-SA"/>
              </w:rPr>
              <w:t>20</w:t>
            </w:r>
            <w:r>
              <w:rPr>
                <w:rFonts w:hint="default" w:ascii="Times New Roman" w:hAnsi="Times New Roman" w:eastAsia="宋体" w:cs="Times New Roman"/>
                <w:color w:val="auto"/>
                <w:kern w:val="0"/>
                <w:sz w:val="21"/>
                <w:szCs w:val="20"/>
                <w:highlight w:val="none"/>
                <w:u w:val="none" w:color="auto"/>
                <w:lang w:val="en-US" w:eastAsia="zh-CN" w:bidi="ar-SA"/>
              </w:rPr>
              <w:t>人，</w:t>
            </w:r>
            <w:r>
              <w:rPr>
                <w:rFonts w:hint="eastAsia" w:ascii="Times New Roman" w:hAnsi="Times New Roman" w:eastAsia="宋体" w:cs="Times New Roman"/>
                <w:color w:val="auto"/>
                <w:kern w:val="0"/>
                <w:sz w:val="21"/>
                <w:szCs w:val="20"/>
                <w:highlight w:val="none"/>
                <w:u w:val="none"/>
                <w:lang w:val="en-US" w:eastAsia="zh-CN" w:bidi="ar-SA"/>
              </w:rPr>
              <w:t>根据前文水平衡核算，项目</w:t>
            </w:r>
            <w:r>
              <w:rPr>
                <w:rFonts w:hint="eastAsia" w:cs="Times New Roman"/>
                <w:color w:val="auto"/>
                <w:kern w:val="0"/>
                <w:sz w:val="21"/>
                <w:szCs w:val="20"/>
                <w:highlight w:val="none"/>
                <w:u w:val="none"/>
                <w:lang w:val="en-US" w:eastAsia="zh-CN" w:bidi="ar-SA"/>
              </w:rPr>
              <w:t>生活污水总产生量为</w:t>
            </w:r>
            <w:r>
              <w:rPr>
                <w:rFonts w:hint="eastAsia" w:cs="Times New Roman"/>
                <w:color w:val="auto"/>
                <w:kern w:val="0"/>
                <w:sz w:val="21"/>
                <w:szCs w:val="20"/>
                <w:highlight w:val="none"/>
                <w:u w:val="none" w:color="auto"/>
                <w:lang w:val="en-US" w:eastAsia="zh-CN" w:bidi="ar-SA"/>
              </w:rPr>
              <w:t>2.32</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color="auto"/>
                <w:lang w:val="en-US" w:eastAsia="zh-CN" w:bidi="ar-SA"/>
              </w:rPr>
              <w:t>d（846.8</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/a</w:t>
            </w:r>
            <w:r>
              <w:rPr>
                <w:rFonts w:hint="eastAsia"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lang w:val="en-US" w:eastAsia="zh-CN" w:bidi="ar-SA"/>
              </w:rPr>
              <w:t>。</w:t>
            </w:r>
            <w:r>
              <w:rPr>
                <w:rFonts w:hint="eastAsia" w:cs="Times New Roman"/>
                <w:color w:val="auto"/>
                <w:highlight w:val="none"/>
                <w:u w:val="none" w:color="auto"/>
                <w:lang w:val="en-US" w:eastAsia="zh-CN"/>
              </w:rPr>
              <w:t>生活污水经化粪池收集排入自建一体化生活污水处理站处理</w:t>
            </w:r>
            <w:r>
              <w:rPr>
                <w:rFonts w:hint="eastAsia" w:ascii="Times New Roman" w:hAnsi="Times New Roman" w:eastAsia="宋体" w:cs="Times New Roman"/>
                <w:color w:val="auto"/>
                <w:spacing w:val="-3"/>
                <w:highlight w:val="none"/>
                <w:u w:val="none" w:color="auto"/>
                <w:lang w:val="en-US" w:eastAsia="zh-CN"/>
              </w:rPr>
              <w:t>达到《城市污水再生利用城市杂用水水质》(GB/T18920-2020)表1中的城市绿化用水后</w:t>
            </w:r>
            <w:r>
              <w:rPr>
                <w:rFonts w:hint="eastAsia" w:cs="Times New Roman"/>
                <w:color w:val="auto"/>
                <w:highlight w:val="none"/>
                <w:u w:val="none" w:color="auto"/>
                <w:lang w:val="en-US" w:eastAsia="zh-CN"/>
              </w:rPr>
              <w:t>回用于厂区绿化，不外排。</w:t>
            </w:r>
          </w:p>
          <w:p>
            <w:pPr>
              <w:adjustRightInd w:val="0"/>
              <w:snapToGrid w:val="0"/>
              <w:spacing w:line="480" w:lineRule="exact"/>
              <w:ind w:firstLine="422" w:firstLineChars="200"/>
              <w:jc w:val="center"/>
              <w:rPr>
                <w:rFonts w:hint="default" w:ascii="Times New Roman" w:hAnsi="Times New Roman" w:eastAsia="宋体" w:cs="Times New Roman"/>
                <w:b/>
                <w:kern w:val="0"/>
                <w:szCs w:val="21"/>
                <w:u w:val="none"/>
                <w:lang w:val="en-US" w:eastAsia="zh-CN"/>
              </w:rPr>
            </w:pPr>
            <w:r>
              <w:rPr>
                <w:rFonts w:hint="default" w:ascii="Times New Roman" w:hAnsi="Times New Roman" w:cs="Times New Roman"/>
                <w:b/>
                <w:kern w:val="0"/>
                <w:szCs w:val="21"/>
                <w:u w:val="none"/>
              </w:rPr>
              <w:t>表4-</w:t>
            </w:r>
            <w:r>
              <w:rPr>
                <w:rFonts w:hint="eastAsia" w:cs="Times New Roman"/>
                <w:b/>
                <w:kern w:val="0"/>
                <w:szCs w:val="21"/>
                <w:u w:val="none"/>
                <w:lang w:val="en-US" w:eastAsia="zh-CN"/>
              </w:rPr>
              <w:t>6</w:t>
            </w:r>
            <w:r>
              <w:rPr>
                <w:rFonts w:hint="default" w:ascii="Times New Roman" w:hAnsi="Times New Roman" w:cs="Times New Roman"/>
                <w:b/>
                <w:kern w:val="0"/>
                <w:szCs w:val="21"/>
                <w:u w:val="none"/>
              </w:rPr>
              <w:t xml:space="preserve">  </w:t>
            </w:r>
            <w:r>
              <w:rPr>
                <w:rFonts w:hint="eastAsia" w:ascii="Times New Roman" w:hAnsi="Times New Roman" w:cs="Times New Roman"/>
                <w:b/>
                <w:kern w:val="0"/>
                <w:szCs w:val="21"/>
                <w:u w:val="none"/>
                <w:lang w:eastAsia="zh-CN"/>
              </w:rPr>
              <w:t>生活污水</w:t>
            </w:r>
            <w:r>
              <w:rPr>
                <w:rFonts w:hint="default" w:ascii="Times New Roman" w:hAnsi="Times New Roman" w:cs="Times New Roman"/>
                <w:b/>
                <w:kern w:val="0"/>
                <w:szCs w:val="21"/>
                <w:u w:val="none"/>
              </w:rPr>
              <w:t>污染源</w:t>
            </w:r>
            <w:r>
              <w:rPr>
                <w:rFonts w:hint="eastAsia" w:ascii="Times New Roman" w:hAnsi="Times New Roman" w:cs="Times New Roman"/>
                <w:b/>
                <w:kern w:val="0"/>
                <w:szCs w:val="21"/>
                <w:u w:val="none"/>
                <w:lang w:eastAsia="zh-CN"/>
              </w:rPr>
              <w:t>产排</w:t>
            </w:r>
            <w:r>
              <w:rPr>
                <w:rFonts w:hint="default" w:ascii="Times New Roman" w:hAnsi="Times New Roman" w:cs="Times New Roman"/>
                <w:b/>
                <w:kern w:val="0"/>
                <w:szCs w:val="21"/>
                <w:u w:val="none"/>
                <w:lang w:eastAsia="zh-CN"/>
              </w:rPr>
              <w:t>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743"/>
              <w:gridCol w:w="1126"/>
              <w:gridCol w:w="1156"/>
              <w:gridCol w:w="926"/>
              <w:gridCol w:w="981"/>
              <w:gridCol w:w="994"/>
              <w:gridCol w:w="5"/>
              <w:gridCol w:w="1030"/>
              <w:gridCol w:w="967"/>
              <w:gridCol w:w="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5" w:type="pct"/>
                <w:trHeight w:val="340" w:hRule="atLeast"/>
                <w:jc w:val="center"/>
              </w:trPr>
              <w:tc>
                <w:tcPr>
                  <w:tcW w:w="468" w:type="pct"/>
                  <w:vMerge w:val="restart"/>
                  <w:tcBorders>
                    <w:lef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类别</w:t>
                  </w:r>
                </w:p>
              </w:tc>
              <w:tc>
                <w:tcPr>
                  <w:tcW w:w="709" w:type="pct"/>
                  <w:vMerge w:val="restart"/>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污染物种类</w:t>
                  </w:r>
                </w:p>
              </w:tc>
              <w:tc>
                <w:tcPr>
                  <w:tcW w:w="1929" w:type="pct"/>
                  <w:gridSpan w:val="3"/>
                  <w:tcBorders>
                    <w:bottom w:val="single" w:color="auto" w:sz="4" w:space="0"/>
                    <w:righ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污染物产生量和浓度</w:t>
                  </w:r>
                </w:p>
              </w:tc>
              <w:tc>
                <w:tcPr>
                  <w:tcW w:w="626" w:type="pct"/>
                  <w:tcBorders>
                    <w:bottom w:val="single" w:color="auto" w:sz="4" w:space="0"/>
                    <w:righ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治理设施</w:t>
                  </w:r>
                </w:p>
              </w:tc>
              <w:tc>
                <w:tcPr>
                  <w:tcW w:w="1261" w:type="pct"/>
                  <w:gridSpan w:val="3"/>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污染物</w:t>
                  </w:r>
                  <w:r>
                    <w:rPr>
                      <w:rFonts w:hint="eastAsia" w:ascii="Times New Roman" w:hAnsi="Times New Roman" w:cs="Times New Roman"/>
                      <w:sz w:val="21"/>
                      <w:szCs w:val="21"/>
                      <w:u w:val="none"/>
                      <w:lang w:eastAsia="zh-CN"/>
                    </w:rPr>
                    <w:t>回用</w:t>
                  </w:r>
                  <w:r>
                    <w:rPr>
                      <w:rFonts w:hint="default" w:ascii="Times New Roman" w:hAnsi="Times New Roman" w:cs="Times New Roman"/>
                      <w:sz w:val="21"/>
                      <w:szCs w:val="21"/>
                      <w:u w:val="none"/>
                    </w:rPr>
                    <w:t>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68" w:type="pct"/>
                  <w:vMerge w:val="continue"/>
                  <w:tcBorders>
                    <w:left w:val="single" w:color="auto" w:sz="4" w:space="0"/>
                  </w:tcBorders>
                  <w:noWrap w:val="0"/>
                  <w:vAlign w:val="center"/>
                </w:tcPr>
                <w:p>
                  <w:pPr>
                    <w:jc w:val="center"/>
                    <w:rPr>
                      <w:rFonts w:hint="default" w:ascii="Times New Roman" w:hAnsi="Times New Roman" w:cs="Times New Roman"/>
                      <w:sz w:val="21"/>
                      <w:szCs w:val="21"/>
                      <w:u w:val="none"/>
                    </w:rPr>
                  </w:pPr>
                </w:p>
              </w:tc>
              <w:tc>
                <w:tcPr>
                  <w:tcW w:w="709" w:type="pct"/>
                  <w:vMerge w:val="continue"/>
                  <w:noWrap w:val="0"/>
                  <w:vAlign w:val="center"/>
                </w:tcPr>
                <w:p>
                  <w:pPr>
                    <w:jc w:val="center"/>
                    <w:rPr>
                      <w:rFonts w:hint="default" w:ascii="Times New Roman" w:hAnsi="Times New Roman" w:cs="Times New Roman"/>
                      <w:sz w:val="21"/>
                      <w:szCs w:val="21"/>
                      <w:u w:val="none"/>
                    </w:rPr>
                  </w:pPr>
                </w:p>
              </w:tc>
              <w:tc>
                <w:tcPr>
                  <w:tcW w:w="728" w:type="pct"/>
                  <w:tcBorders>
                    <w:top w:val="single" w:color="auto" w:sz="4" w:space="0"/>
                    <w:righ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废水产生量m</w:t>
                  </w:r>
                  <w:r>
                    <w:rPr>
                      <w:rFonts w:hint="default" w:ascii="Times New Roman" w:hAnsi="Times New Roman" w:cs="Times New Roman"/>
                      <w:sz w:val="21"/>
                      <w:szCs w:val="21"/>
                      <w:u w:val="none"/>
                      <w:vertAlign w:val="superscript"/>
                    </w:rPr>
                    <w:t>3</w:t>
                  </w:r>
                  <w:r>
                    <w:rPr>
                      <w:rFonts w:hint="default" w:ascii="Times New Roman" w:hAnsi="Times New Roman" w:cs="Times New Roman"/>
                      <w:sz w:val="21"/>
                      <w:szCs w:val="21"/>
                      <w:u w:val="none"/>
                    </w:rPr>
                    <w:t>/a</w:t>
                  </w:r>
                </w:p>
              </w:tc>
              <w:tc>
                <w:tcPr>
                  <w:tcW w:w="583" w:type="pc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产生浓度mg/L</w:t>
                  </w:r>
                </w:p>
              </w:tc>
              <w:tc>
                <w:tcPr>
                  <w:tcW w:w="617" w:type="pc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1"/>
                      <w:szCs w:val="21"/>
                      <w:u w:val="none"/>
                      <w:vertAlign w:val="superscript"/>
                    </w:rPr>
                  </w:pPr>
                  <w:r>
                    <w:rPr>
                      <w:rFonts w:hint="default" w:ascii="Times New Roman" w:hAnsi="Times New Roman" w:cs="Times New Roman"/>
                      <w:sz w:val="21"/>
                      <w:szCs w:val="21"/>
                      <w:u w:val="none"/>
                    </w:rPr>
                    <w:t>产生量</w:t>
                  </w:r>
                  <w:r>
                    <w:rPr>
                      <w:rFonts w:hint="eastAsia" w:ascii="Times New Roman" w:hAnsi="Times New Roman" w:cs="Times New Roman"/>
                      <w:sz w:val="21"/>
                      <w:szCs w:val="21"/>
                      <w:u w:val="none"/>
                      <w:lang w:val="en-US" w:eastAsia="zh-CN"/>
                    </w:rPr>
                    <w:t>t</w:t>
                  </w:r>
                  <w:r>
                    <w:rPr>
                      <w:rFonts w:hint="default" w:ascii="Times New Roman" w:hAnsi="Times New Roman" w:cs="Times New Roman"/>
                      <w:sz w:val="21"/>
                      <w:szCs w:val="21"/>
                      <w:u w:val="none"/>
                    </w:rPr>
                    <w:t>/a</w:t>
                  </w:r>
                </w:p>
              </w:tc>
              <w:tc>
                <w:tcPr>
                  <w:tcW w:w="629" w:type="pct"/>
                  <w:gridSpan w:val="2"/>
                  <w:tcBorders>
                    <w:top w:val="single" w:color="auto" w:sz="4" w:space="0"/>
                    <w:lef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治理工艺</w:t>
                  </w:r>
                </w:p>
              </w:tc>
              <w:tc>
                <w:tcPr>
                  <w:tcW w:w="649" w:type="pc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1"/>
                      <w:szCs w:val="21"/>
                      <w:u w:val="none"/>
                    </w:rPr>
                  </w:pPr>
                  <w:r>
                    <w:rPr>
                      <w:rFonts w:hint="eastAsia" w:ascii="Times New Roman" w:hAnsi="Times New Roman" w:cs="Times New Roman"/>
                      <w:sz w:val="21"/>
                      <w:szCs w:val="21"/>
                      <w:u w:val="none"/>
                      <w:lang w:eastAsia="zh-CN"/>
                    </w:rPr>
                    <w:t>回用</w:t>
                  </w:r>
                  <w:r>
                    <w:rPr>
                      <w:rFonts w:hint="default" w:ascii="Times New Roman" w:hAnsi="Times New Roman" w:cs="Times New Roman"/>
                      <w:sz w:val="21"/>
                      <w:szCs w:val="21"/>
                      <w:u w:val="none"/>
                    </w:rPr>
                    <w:t>浓度mg/L</w:t>
                  </w:r>
                </w:p>
              </w:tc>
              <w:tc>
                <w:tcPr>
                  <w:tcW w:w="614" w:type="pct"/>
                  <w:gridSpan w:val="2"/>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1"/>
                      <w:szCs w:val="21"/>
                      <w:u w:val="none"/>
                      <w:vertAlign w:val="superscript"/>
                    </w:rPr>
                  </w:pPr>
                  <w:r>
                    <w:rPr>
                      <w:rFonts w:hint="eastAsia" w:ascii="Times New Roman" w:hAnsi="Times New Roman" w:cs="Times New Roman"/>
                      <w:sz w:val="21"/>
                      <w:szCs w:val="21"/>
                      <w:u w:val="none"/>
                      <w:lang w:eastAsia="zh-CN"/>
                    </w:rPr>
                    <w:t>回用</w:t>
                  </w:r>
                  <w:r>
                    <w:rPr>
                      <w:rFonts w:hint="default" w:ascii="Times New Roman" w:hAnsi="Times New Roman" w:cs="Times New Roman"/>
                      <w:sz w:val="21"/>
                      <w:szCs w:val="21"/>
                      <w:u w:val="none"/>
                    </w:rPr>
                    <w:t>量</w:t>
                  </w:r>
                  <w:r>
                    <w:rPr>
                      <w:rFonts w:hint="eastAsia" w:ascii="Times New Roman" w:hAnsi="Times New Roman" w:cs="Times New Roman"/>
                      <w:sz w:val="21"/>
                      <w:szCs w:val="21"/>
                      <w:u w:val="none"/>
                      <w:lang w:val="en-US" w:eastAsia="zh-CN"/>
                    </w:rPr>
                    <w:t>t</w:t>
                  </w:r>
                  <w:r>
                    <w:rPr>
                      <w:rFonts w:hint="default" w:ascii="Times New Roman" w:hAnsi="Times New Roman" w:cs="Times New Roman"/>
                      <w:sz w:val="21"/>
                      <w:szCs w:val="21"/>
                      <w:u w:val="none"/>
                    </w:rPr>
                    <w: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68" w:type="pct"/>
                  <w:vMerge w:val="restart"/>
                  <w:tcBorders>
                    <w:left w:val="single" w:color="auto" w:sz="4" w:space="0"/>
                  </w:tcBorders>
                  <w:noWrap w:val="0"/>
                  <w:vAlign w:val="center"/>
                </w:tcPr>
                <w:p>
                  <w:pPr>
                    <w:jc w:val="center"/>
                    <w:rPr>
                      <w:rFonts w:hint="eastAsia" w:ascii="Times New Roman" w:hAnsi="Times New Roman" w:eastAsia="宋体" w:cs="Times New Roman"/>
                      <w:sz w:val="21"/>
                      <w:szCs w:val="21"/>
                      <w:u w:val="none"/>
                      <w:lang w:eastAsia="zh-CN"/>
                    </w:rPr>
                  </w:pPr>
                  <w:r>
                    <w:rPr>
                      <w:rFonts w:hint="eastAsia" w:ascii="Times New Roman" w:hAnsi="Times New Roman" w:eastAsia="宋体" w:cs="Times New Roman"/>
                      <w:sz w:val="21"/>
                      <w:szCs w:val="21"/>
                      <w:u w:val="none"/>
                      <w:lang w:eastAsia="zh-CN"/>
                    </w:rPr>
                    <w:t>生活污水</w:t>
                  </w:r>
                </w:p>
              </w:tc>
              <w:tc>
                <w:tcPr>
                  <w:tcW w:w="709"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u w:val="none"/>
                    </w:rPr>
                  </w:pPr>
                  <w:r>
                    <w:rPr>
                      <w:rStyle w:val="76"/>
                      <w:rFonts w:eastAsia="宋体"/>
                      <w:sz w:val="21"/>
                      <w:szCs w:val="21"/>
                      <w:u w:val="none"/>
                      <w:lang w:val="en-US" w:eastAsia="zh-CN" w:bidi="ar"/>
                    </w:rPr>
                    <w:t>COD</w:t>
                  </w:r>
                  <w:r>
                    <w:rPr>
                      <w:rStyle w:val="77"/>
                      <w:rFonts w:eastAsia="宋体"/>
                      <w:sz w:val="21"/>
                      <w:szCs w:val="21"/>
                      <w:u w:val="none"/>
                      <w:lang w:val="en-US" w:eastAsia="zh-CN" w:bidi="ar"/>
                    </w:rPr>
                    <w:t>Cr</w:t>
                  </w:r>
                </w:p>
              </w:tc>
              <w:tc>
                <w:tcPr>
                  <w:tcW w:w="728" w:type="pct"/>
                  <w:vMerge w:val="restart"/>
                  <w:tcBorders>
                    <w:top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846.8</w:t>
                  </w:r>
                </w:p>
              </w:tc>
              <w:tc>
                <w:tcPr>
                  <w:tcW w:w="939"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996"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0.296 </w:t>
                  </w:r>
                </w:p>
              </w:tc>
              <w:tc>
                <w:tcPr>
                  <w:tcW w:w="629" w:type="pct"/>
                  <w:gridSpan w:val="2"/>
                  <w:vMerge w:val="restart"/>
                  <w:tcBorders>
                    <w:top w:val="single" w:color="auto" w:sz="4" w:space="0"/>
                    <w:left w:val="single" w:color="auto" w:sz="4" w:space="0"/>
                  </w:tcBorders>
                  <w:noWrap w:val="0"/>
                  <w:vAlign w:val="center"/>
                </w:tcPr>
                <w:p>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化粪池+一体化生活污水处理站</w:t>
                  </w:r>
                </w:p>
              </w:tc>
              <w:tc>
                <w:tcPr>
                  <w:tcW w:w="10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9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68" w:type="pct"/>
                  <w:vMerge w:val="continue"/>
                  <w:tcBorders>
                    <w:left w:val="single" w:color="auto" w:sz="4" w:space="0"/>
                  </w:tcBorders>
                  <w:noWrap w:val="0"/>
                  <w:vAlign w:val="center"/>
                </w:tcPr>
                <w:p>
                  <w:pPr>
                    <w:jc w:val="center"/>
                    <w:rPr>
                      <w:rFonts w:hint="default" w:ascii="Times New Roman" w:hAnsi="Times New Roman" w:cs="Times New Roman"/>
                      <w:sz w:val="21"/>
                      <w:szCs w:val="21"/>
                      <w:u w:val="none"/>
                    </w:rPr>
                  </w:pPr>
                </w:p>
              </w:tc>
              <w:tc>
                <w:tcPr>
                  <w:tcW w:w="709" w:type="pct"/>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eastAsia="zh-CN"/>
                    </w:rPr>
                  </w:pPr>
                  <w:r>
                    <w:rPr>
                      <w:rStyle w:val="78"/>
                      <w:sz w:val="21"/>
                      <w:szCs w:val="21"/>
                      <w:u w:val="none"/>
                      <w:lang w:val="en-US" w:eastAsia="zh-CN" w:bidi="ar"/>
                    </w:rPr>
                    <w:t>氨氮</w:t>
                  </w:r>
                </w:p>
              </w:tc>
              <w:tc>
                <w:tcPr>
                  <w:tcW w:w="728" w:type="pct"/>
                  <w:vMerge w:val="continue"/>
                  <w:tcBorders>
                    <w:right w:val="single" w:color="auto" w:sz="4" w:space="0"/>
                  </w:tcBorders>
                  <w:noWrap w:val="0"/>
                  <w:vAlign w:val="center"/>
                </w:tcPr>
                <w:p>
                  <w:pPr>
                    <w:jc w:val="center"/>
                    <w:rPr>
                      <w:rFonts w:hint="default" w:ascii="Times New Roman" w:hAnsi="Times New Roman" w:cs="Times New Roman"/>
                      <w:sz w:val="21"/>
                      <w:szCs w:val="21"/>
                      <w:u w:val="none"/>
                    </w:rPr>
                  </w:pPr>
                </w:p>
              </w:tc>
              <w:tc>
                <w:tcPr>
                  <w:tcW w:w="939"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996"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0.030 </w:t>
                  </w:r>
                </w:p>
              </w:tc>
              <w:tc>
                <w:tcPr>
                  <w:tcW w:w="629" w:type="pct"/>
                  <w:gridSpan w:val="2"/>
                  <w:vMerge w:val="continue"/>
                  <w:tcBorders>
                    <w:left w:val="single" w:color="auto" w:sz="4" w:space="0"/>
                  </w:tcBorders>
                  <w:noWrap w:val="0"/>
                  <w:vAlign w:val="center"/>
                </w:tcPr>
                <w:p>
                  <w:pPr>
                    <w:jc w:val="center"/>
                    <w:rPr>
                      <w:rFonts w:hint="default" w:ascii="Times New Roman" w:hAnsi="Times New Roman" w:cs="Times New Roman"/>
                      <w:sz w:val="21"/>
                      <w:szCs w:val="21"/>
                      <w:u w:val="none"/>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68" w:type="pct"/>
                  <w:vMerge w:val="continue"/>
                  <w:tcBorders>
                    <w:left w:val="single" w:color="auto" w:sz="4" w:space="0"/>
                  </w:tcBorders>
                  <w:noWrap w:val="0"/>
                  <w:vAlign w:val="center"/>
                </w:tcPr>
                <w:p>
                  <w:pPr>
                    <w:jc w:val="center"/>
                    <w:rPr>
                      <w:rFonts w:hint="default" w:ascii="Times New Roman" w:hAnsi="Times New Roman" w:cs="Times New Roman"/>
                      <w:sz w:val="21"/>
                      <w:szCs w:val="21"/>
                      <w:u w:val="none"/>
                    </w:rPr>
                  </w:pPr>
                </w:p>
              </w:tc>
              <w:tc>
                <w:tcPr>
                  <w:tcW w:w="709" w:type="pct"/>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eastAsia="zh-CN"/>
                    </w:rPr>
                  </w:pPr>
                  <w:r>
                    <w:rPr>
                      <w:rStyle w:val="78"/>
                      <w:sz w:val="21"/>
                      <w:szCs w:val="21"/>
                      <w:u w:val="none"/>
                      <w:lang w:val="en-US" w:eastAsia="zh-CN" w:bidi="ar"/>
                    </w:rPr>
                    <w:t>悬浮物</w:t>
                  </w:r>
                </w:p>
              </w:tc>
              <w:tc>
                <w:tcPr>
                  <w:tcW w:w="728" w:type="pct"/>
                  <w:vMerge w:val="continue"/>
                  <w:tcBorders>
                    <w:right w:val="single" w:color="auto" w:sz="4" w:space="0"/>
                  </w:tcBorders>
                  <w:noWrap w:val="0"/>
                  <w:vAlign w:val="center"/>
                </w:tcPr>
                <w:p>
                  <w:pPr>
                    <w:jc w:val="center"/>
                    <w:rPr>
                      <w:rFonts w:hint="default" w:ascii="Times New Roman" w:hAnsi="Times New Roman" w:cs="Times New Roman"/>
                      <w:sz w:val="21"/>
                      <w:szCs w:val="21"/>
                      <w:u w:val="none"/>
                    </w:rPr>
                  </w:pPr>
                </w:p>
              </w:tc>
              <w:tc>
                <w:tcPr>
                  <w:tcW w:w="939"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996"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0.254 </w:t>
                  </w:r>
                </w:p>
              </w:tc>
              <w:tc>
                <w:tcPr>
                  <w:tcW w:w="629" w:type="pct"/>
                  <w:gridSpan w:val="2"/>
                  <w:vMerge w:val="continue"/>
                  <w:tcBorders>
                    <w:left w:val="single" w:color="auto" w:sz="4" w:space="0"/>
                  </w:tcBorders>
                  <w:noWrap w:val="0"/>
                  <w:vAlign w:val="center"/>
                </w:tcPr>
                <w:p>
                  <w:pPr>
                    <w:jc w:val="center"/>
                    <w:rPr>
                      <w:rFonts w:hint="default" w:ascii="Times New Roman" w:hAnsi="Times New Roman" w:cs="Times New Roman"/>
                      <w:sz w:val="21"/>
                      <w:szCs w:val="21"/>
                      <w:u w:val="none"/>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0.013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68" w:type="pct"/>
                  <w:vMerge w:val="continue"/>
                  <w:tcBorders>
                    <w:left w:val="single" w:color="auto" w:sz="4" w:space="0"/>
                  </w:tcBorders>
                  <w:noWrap w:val="0"/>
                  <w:vAlign w:val="center"/>
                </w:tcPr>
                <w:p>
                  <w:pPr>
                    <w:jc w:val="center"/>
                    <w:rPr>
                      <w:rFonts w:hint="default" w:ascii="Times New Roman" w:hAnsi="Times New Roman" w:cs="Times New Roman"/>
                      <w:sz w:val="21"/>
                      <w:szCs w:val="21"/>
                      <w:u w:val="none"/>
                    </w:rPr>
                  </w:pPr>
                </w:p>
              </w:tc>
              <w:tc>
                <w:tcPr>
                  <w:tcW w:w="709" w:type="pct"/>
                  <w:noWrap w:val="0"/>
                  <w:vAlign w:val="center"/>
                </w:tcPr>
                <w:p>
                  <w:pPr>
                    <w:keepNext w:val="0"/>
                    <w:keepLines w:val="0"/>
                    <w:widowControl/>
                    <w:suppressLineNumbers w:val="0"/>
                    <w:jc w:val="center"/>
                    <w:textAlignment w:val="center"/>
                    <w:rPr>
                      <w:rFonts w:hint="default" w:ascii="Times New Roman" w:hAnsi="Times New Roman" w:cs="Times New Roman"/>
                      <w:bCs/>
                      <w:kern w:val="0"/>
                      <w:sz w:val="21"/>
                      <w:szCs w:val="21"/>
                      <w:u w:val="none"/>
                      <w:lang w:eastAsia="zh-CN"/>
                    </w:rPr>
                  </w:pPr>
                  <w:r>
                    <w:rPr>
                      <w:rStyle w:val="76"/>
                      <w:rFonts w:eastAsia="宋体"/>
                      <w:sz w:val="21"/>
                      <w:szCs w:val="21"/>
                      <w:u w:val="none"/>
                      <w:lang w:val="en-US" w:eastAsia="zh-CN" w:bidi="ar"/>
                    </w:rPr>
                    <w:t>BOD</w:t>
                  </w:r>
                  <w:r>
                    <w:rPr>
                      <w:rStyle w:val="77"/>
                      <w:rFonts w:eastAsia="宋体"/>
                      <w:sz w:val="21"/>
                      <w:szCs w:val="21"/>
                      <w:u w:val="none"/>
                      <w:lang w:val="en-US" w:eastAsia="zh-CN" w:bidi="ar"/>
                    </w:rPr>
                    <w:t>5</w:t>
                  </w:r>
                </w:p>
              </w:tc>
              <w:tc>
                <w:tcPr>
                  <w:tcW w:w="728" w:type="pct"/>
                  <w:vMerge w:val="continue"/>
                  <w:tcBorders>
                    <w:right w:val="single" w:color="auto" w:sz="4" w:space="0"/>
                  </w:tcBorders>
                  <w:noWrap w:val="0"/>
                  <w:vAlign w:val="center"/>
                </w:tcPr>
                <w:p>
                  <w:pPr>
                    <w:jc w:val="center"/>
                    <w:rPr>
                      <w:rFonts w:hint="default" w:ascii="Times New Roman" w:hAnsi="Times New Roman" w:cs="Times New Roman"/>
                      <w:sz w:val="21"/>
                      <w:szCs w:val="21"/>
                      <w:u w:val="none"/>
                    </w:rPr>
                  </w:pPr>
                </w:p>
              </w:tc>
              <w:tc>
                <w:tcPr>
                  <w:tcW w:w="9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9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0.212 </w:t>
                  </w:r>
                </w:p>
              </w:tc>
              <w:tc>
                <w:tcPr>
                  <w:tcW w:w="629" w:type="pct"/>
                  <w:gridSpan w:val="2"/>
                  <w:vMerge w:val="continue"/>
                  <w:tcBorders>
                    <w:left w:val="single" w:color="auto" w:sz="4" w:space="0"/>
                  </w:tcBorders>
                  <w:noWrap w:val="0"/>
                  <w:vAlign w:val="center"/>
                </w:tcPr>
                <w:p>
                  <w:pPr>
                    <w:jc w:val="center"/>
                    <w:rPr>
                      <w:rFonts w:hint="default" w:ascii="Times New Roman" w:hAnsi="Times New Roman" w:cs="Times New Roman"/>
                      <w:sz w:val="21"/>
                      <w:szCs w:val="21"/>
                      <w:u w:val="none"/>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0.008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68" w:type="pct"/>
                  <w:vMerge w:val="continue"/>
                  <w:tcBorders>
                    <w:left w:val="single" w:color="auto" w:sz="4" w:space="0"/>
                  </w:tcBorders>
                  <w:noWrap w:val="0"/>
                  <w:vAlign w:val="center"/>
                </w:tcPr>
                <w:p>
                  <w:pPr>
                    <w:jc w:val="center"/>
                    <w:rPr>
                      <w:rFonts w:hint="default" w:ascii="Times New Roman" w:hAnsi="Times New Roman" w:cs="Times New Roman"/>
                      <w:sz w:val="21"/>
                      <w:szCs w:val="21"/>
                      <w:u w:val="none"/>
                    </w:rPr>
                  </w:pPr>
                </w:p>
              </w:tc>
              <w:tc>
                <w:tcPr>
                  <w:tcW w:w="709" w:type="pct"/>
                  <w:noWrap w:val="0"/>
                  <w:vAlign w:val="center"/>
                </w:tcPr>
                <w:p>
                  <w:pPr>
                    <w:keepNext w:val="0"/>
                    <w:keepLines w:val="0"/>
                    <w:widowControl/>
                    <w:suppressLineNumbers w:val="0"/>
                    <w:jc w:val="center"/>
                    <w:textAlignment w:val="center"/>
                    <w:rPr>
                      <w:rStyle w:val="76"/>
                      <w:rFonts w:eastAsia="宋体"/>
                      <w:sz w:val="21"/>
                      <w:szCs w:val="21"/>
                      <w:u w:val="none"/>
                      <w:lang w:val="en-US" w:eastAsia="zh-CN" w:bidi="ar"/>
                    </w:rPr>
                  </w:pPr>
                  <w:r>
                    <w:rPr>
                      <w:rStyle w:val="76"/>
                      <w:rFonts w:hint="eastAsia" w:eastAsia="宋体"/>
                      <w:sz w:val="21"/>
                      <w:szCs w:val="21"/>
                      <w:u w:val="none"/>
                      <w:lang w:val="en-US" w:eastAsia="zh-CN" w:bidi="ar"/>
                    </w:rPr>
                    <w:t>动植物油</w:t>
                  </w:r>
                </w:p>
              </w:tc>
              <w:tc>
                <w:tcPr>
                  <w:tcW w:w="728" w:type="pct"/>
                  <w:vMerge w:val="continue"/>
                  <w:tcBorders>
                    <w:right w:val="single" w:color="auto" w:sz="4" w:space="0"/>
                  </w:tcBorders>
                  <w:noWrap w:val="0"/>
                  <w:vAlign w:val="center"/>
                </w:tcPr>
                <w:p>
                  <w:pPr>
                    <w:jc w:val="center"/>
                    <w:rPr>
                      <w:rFonts w:hint="default" w:ascii="Times New Roman" w:hAnsi="Times New Roman" w:cs="Times New Roman"/>
                      <w:sz w:val="21"/>
                      <w:szCs w:val="21"/>
                      <w:u w:val="none"/>
                    </w:rPr>
                  </w:pPr>
                </w:p>
              </w:tc>
              <w:tc>
                <w:tcPr>
                  <w:tcW w:w="9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20</w:t>
                  </w:r>
                </w:p>
              </w:tc>
              <w:tc>
                <w:tcPr>
                  <w:tcW w:w="9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0.017 </w:t>
                  </w:r>
                </w:p>
              </w:tc>
              <w:tc>
                <w:tcPr>
                  <w:tcW w:w="629" w:type="pct"/>
                  <w:gridSpan w:val="2"/>
                  <w:vMerge w:val="continue"/>
                  <w:tcBorders>
                    <w:left w:val="single" w:color="auto" w:sz="4" w:space="0"/>
                  </w:tcBorders>
                  <w:noWrap w:val="0"/>
                  <w:vAlign w:val="center"/>
                </w:tcPr>
                <w:p>
                  <w:pPr>
                    <w:jc w:val="center"/>
                    <w:rPr>
                      <w:rFonts w:hint="default" w:ascii="Times New Roman" w:hAnsi="Times New Roman" w:cs="Times New Roman"/>
                      <w:sz w:val="21"/>
                      <w:szCs w:val="21"/>
                      <w:u w:val="none"/>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0.008 </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textAlignment w:val="auto"/>
              <w:rPr>
                <w:rFonts w:hint="eastAsia" w:cs="Times New Roman"/>
                <w:color w:val="auto"/>
                <w:kern w:val="0"/>
                <w:sz w:val="21"/>
                <w:szCs w:val="21"/>
                <w:u w:val="none" w:color="auto"/>
                <w:lang w:val="en-US" w:eastAsia="zh-CN" w:bidi="ar"/>
              </w:rPr>
            </w:pPr>
            <w:r>
              <w:rPr>
                <w:rFonts w:hint="eastAsia" w:cs="Times New Roman"/>
                <w:color w:val="auto"/>
                <w:kern w:val="0"/>
                <w:sz w:val="21"/>
                <w:szCs w:val="21"/>
                <w:u w:val="none" w:color="auto"/>
                <w:lang w:val="en-US" w:eastAsia="zh-CN" w:bidi="ar"/>
              </w:rPr>
              <w:t>项目厂区生活污水经化粪池预处理后通过污水排水管重力流排入新建生活污水处理站处理，工艺为“综合池（由格栅及调节池组成）+一体化处理设备（厌氧+缺氧+好氧+沉淀+消毒+清水池）。生活污水处理站设计规模为5m³/d，选用“厌氧-缺氧-好氧（A</w:t>
            </w:r>
            <w:r>
              <w:rPr>
                <w:rFonts w:hint="eastAsia" w:cs="Times New Roman"/>
                <w:color w:val="auto"/>
                <w:kern w:val="0"/>
                <w:sz w:val="21"/>
                <w:szCs w:val="21"/>
                <w:u w:val="none" w:color="auto"/>
                <w:vertAlign w:val="superscript"/>
                <w:lang w:val="en-US" w:eastAsia="zh-CN" w:bidi="ar"/>
              </w:rPr>
              <w:t>2</w:t>
            </w:r>
            <w:r>
              <w:rPr>
                <w:rFonts w:hint="eastAsia" w:cs="Times New Roman"/>
                <w:color w:val="auto"/>
                <w:kern w:val="0"/>
                <w:sz w:val="21"/>
                <w:szCs w:val="21"/>
                <w:u w:val="none" w:color="auto"/>
                <w:lang w:val="en-US" w:eastAsia="zh-CN" w:bidi="ar"/>
              </w:rPr>
              <w:t>/O）”为核心处理工艺的一体化污水处理设备，该工艺抗冲击负荷能力强，剩余污泥量少，可间歇运行，设备耗能较低，管理方便。</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textAlignment w:val="auto"/>
              <w:rPr>
                <w:rFonts w:hint="default" w:cs="Times New Roman"/>
                <w:color w:val="auto"/>
                <w:kern w:val="0"/>
                <w:sz w:val="21"/>
                <w:szCs w:val="21"/>
                <w:u w:val="none" w:color="auto"/>
                <w:lang w:val="en-US" w:eastAsia="zh-CN" w:bidi="ar"/>
              </w:rPr>
            </w:pPr>
            <w:r>
              <w:rPr>
                <w:rFonts w:hint="eastAsia" w:cs="Times New Roman"/>
                <w:color w:val="auto"/>
                <w:kern w:val="0"/>
                <w:sz w:val="21"/>
                <w:szCs w:val="20"/>
                <w:highlight w:val="none"/>
                <w:u w:val="none" w:color="auto"/>
                <w:lang w:val="en-US" w:eastAsia="zh-CN" w:bidi="ar-SA"/>
              </w:rPr>
              <w:t>本项目厂区绿化面积约7000m</w:t>
            </w:r>
            <w:r>
              <w:rPr>
                <w:rFonts w:hint="eastAsia" w:cs="Times New Roman"/>
                <w:color w:val="auto"/>
                <w:kern w:val="0"/>
                <w:sz w:val="21"/>
                <w:szCs w:val="20"/>
                <w:highlight w:val="none"/>
                <w:u w:val="none" w:color="auto"/>
                <w:vertAlign w:val="superscript"/>
                <w:lang w:val="en-US" w:eastAsia="zh-CN" w:bidi="ar-SA"/>
              </w:rPr>
              <w:t>2</w:t>
            </w:r>
            <w:r>
              <w:rPr>
                <w:rFonts w:hint="eastAsia" w:cs="Times New Roman"/>
                <w:color w:val="auto"/>
                <w:kern w:val="0"/>
                <w:sz w:val="21"/>
                <w:szCs w:val="20"/>
                <w:highlight w:val="none"/>
                <w:u w:val="none" w:color="auto"/>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用水量为</w:t>
            </w:r>
            <w:r>
              <w:rPr>
                <w:rFonts w:hint="eastAsia" w:cs="Times New Roman"/>
                <w:color w:val="auto"/>
                <w:kern w:val="0"/>
                <w:sz w:val="21"/>
                <w:szCs w:val="20"/>
                <w:highlight w:val="none"/>
                <w:u w:val="none" w:color="auto"/>
                <w:lang w:val="en-US" w:eastAsia="zh-CN" w:bidi="ar-SA"/>
              </w:rPr>
              <w:t>7</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eastAsia" w:cs="Times New Roman"/>
                <w:color w:val="auto"/>
                <w:kern w:val="0"/>
                <w:sz w:val="21"/>
                <w:szCs w:val="20"/>
                <w:highlight w:val="none"/>
                <w:u w:val="none" w:color="auto"/>
                <w:lang w:val="en-US" w:eastAsia="zh-CN" w:bidi="ar-SA"/>
              </w:rPr>
              <w:t>d（2555</w:t>
            </w:r>
            <w:r>
              <w:rPr>
                <w:rFonts w:hint="eastAsia" w:ascii="Times New Roman" w:hAnsi="Times New Roman" w:eastAsia="宋体" w:cs="Times New Roman"/>
                <w:color w:val="auto"/>
                <w:kern w:val="0"/>
                <w:sz w:val="21"/>
                <w:szCs w:val="20"/>
                <w:highlight w:val="none"/>
                <w:u w:val="none" w:color="auto"/>
                <w:lang w:val="en-US" w:eastAsia="zh-CN" w:bidi="ar-SA"/>
              </w:rPr>
              <w:t>m</w:t>
            </w:r>
            <w:r>
              <w:rPr>
                <w:rFonts w:hint="eastAsia" w:ascii="Times New Roman" w:hAnsi="Times New Roman" w:eastAsia="宋体" w:cs="Times New Roman"/>
                <w:color w:val="auto"/>
                <w:kern w:val="0"/>
                <w:sz w:val="21"/>
                <w:szCs w:val="20"/>
                <w:highlight w:val="none"/>
                <w:u w:val="none" w:color="auto"/>
                <w:vertAlign w:val="superscript"/>
                <w:lang w:val="en-US" w:eastAsia="zh-CN" w:bidi="ar-SA"/>
              </w:rPr>
              <w:t>3</w:t>
            </w:r>
            <w:r>
              <w:rPr>
                <w:rFonts w:hint="eastAsia" w:ascii="Times New Roman" w:hAnsi="Times New Roman" w:eastAsia="宋体" w:cs="Times New Roman"/>
                <w:color w:val="auto"/>
                <w:kern w:val="0"/>
                <w:sz w:val="21"/>
                <w:szCs w:val="20"/>
                <w:highlight w:val="none"/>
                <w:u w:val="none" w:color="auto"/>
                <w:lang w:val="en-US" w:eastAsia="zh-CN" w:bidi="ar-SA"/>
              </w:rPr>
              <w:t>/a</w:t>
            </w:r>
            <w:r>
              <w:rPr>
                <w:rFonts w:hint="eastAsia" w:cs="Times New Roman"/>
                <w:color w:val="auto"/>
                <w:kern w:val="0"/>
                <w:sz w:val="21"/>
                <w:szCs w:val="20"/>
                <w:highlight w:val="none"/>
                <w:u w:val="none" w:color="auto"/>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w:t>
            </w:r>
            <w:r>
              <w:rPr>
                <w:rFonts w:hint="eastAsia" w:ascii="Times New Roman" w:hAnsi="Times New Roman" w:eastAsia="宋体" w:cs="Times New Roman"/>
                <w:color w:val="auto"/>
                <w:kern w:val="0"/>
                <w:sz w:val="21"/>
                <w:szCs w:val="20"/>
                <w:highlight w:val="none"/>
                <w:u w:val="none" w:color="auto"/>
                <w:lang w:val="en-US" w:eastAsia="zh-CN" w:bidi="ar-SA"/>
              </w:rPr>
              <w:t>本项目</w:t>
            </w:r>
            <w:r>
              <w:rPr>
                <w:rFonts w:hint="eastAsia" w:cs="Times New Roman"/>
                <w:color w:val="auto"/>
                <w:kern w:val="0"/>
                <w:sz w:val="21"/>
                <w:szCs w:val="21"/>
                <w:u w:val="none" w:color="auto"/>
                <w:lang w:val="en-US" w:eastAsia="zh-CN" w:bidi="ar"/>
              </w:rPr>
              <w:t>生活污水经处理后回用于厂区绿化可行。</w:t>
            </w:r>
          </w:p>
          <w:p>
            <w:pPr>
              <w:adjustRightInd w:val="0"/>
              <w:snapToGrid w:val="0"/>
              <w:spacing w:line="480" w:lineRule="exact"/>
              <w:ind w:firstLine="422" w:firstLineChars="200"/>
              <w:jc w:val="center"/>
              <w:rPr>
                <w:rFonts w:hint="eastAsia" w:ascii="Times New Roman" w:hAnsi="Times New Roman" w:eastAsia="宋体" w:cs="Times New Roman"/>
                <w:b/>
                <w:kern w:val="0"/>
                <w:szCs w:val="21"/>
                <w:u w:val="none"/>
                <w:lang w:val="en-US" w:eastAsia="zh-CN"/>
              </w:rPr>
            </w:pPr>
            <w:r>
              <w:rPr>
                <w:rFonts w:hint="default" w:ascii="Times New Roman" w:hAnsi="Times New Roman" w:cs="Times New Roman"/>
                <w:b/>
                <w:kern w:val="0"/>
                <w:szCs w:val="21"/>
                <w:u w:val="none"/>
              </w:rPr>
              <w:t>表4-</w:t>
            </w:r>
            <w:r>
              <w:rPr>
                <w:rFonts w:hint="eastAsia" w:cs="Times New Roman"/>
                <w:b/>
                <w:kern w:val="0"/>
                <w:szCs w:val="21"/>
                <w:u w:val="none"/>
                <w:lang w:val="en-US" w:eastAsia="zh-CN"/>
              </w:rPr>
              <w:t>7</w:t>
            </w:r>
            <w:r>
              <w:rPr>
                <w:rFonts w:hint="default" w:ascii="Times New Roman" w:hAnsi="Times New Roman" w:cs="Times New Roman"/>
                <w:b/>
                <w:kern w:val="0"/>
                <w:szCs w:val="21"/>
                <w:u w:val="none"/>
              </w:rPr>
              <w:t xml:space="preserve">  </w:t>
            </w:r>
            <w:r>
              <w:rPr>
                <w:rFonts w:hint="eastAsia" w:ascii="Times New Roman" w:hAnsi="Times New Roman" w:cs="Times New Roman"/>
                <w:b/>
                <w:kern w:val="0"/>
                <w:szCs w:val="21"/>
                <w:u w:val="none"/>
                <w:lang w:eastAsia="zh-CN"/>
              </w:rPr>
              <w:t>生活污水处理站设备表</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619"/>
              <w:gridCol w:w="1483"/>
              <w:gridCol w:w="3879"/>
              <w:gridCol w:w="1247"/>
              <w:gridCol w:w="70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left w:val="single" w:color="auto" w:sz="4" w:space="0"/>
                  </w:tcBorders>
                  <w:noWrap w:val="0"/>
                  <w:vAlign w:val="center"/>
                </w:tcPr>
                <w:p>
                  <w:pPr>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序号</w:t>
                  </w:r>
                </w:p>
              </w:tc>
              <w:tc>
                <w:tcPr>
                  <w:tcW w:w="935" w:type="pct"/>
                  <w:noWrap w:val="0"/>
                  <w:vAlign w:val="center"/>
                </w:tcPr>
                <w:p>
                  <w:pPr>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名称</w:t>
                  </w:r>
                </w:p>
              </w:tc>
              <w:tc>
                <w:tcPr>
                  <w:tcW w:w="2445" w:type="pct"/>
                  <w:tcBorders>
                    <w:right w:val="single" w:color="auto" w:sz="4" w:space="0"/>
                  </w:tcBorders>
                  <w:noWrap w:val="0"/>
                  <w:vAlign w:val="center"/>
                </w:tcPr>
                <w:p>
                  <w:pPr>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规格型号</w:t>
                  </w:r>
                </w:p>
              </w:tc>
              <w:tc>
                <w:tcPr>
                  <w:tcW w:w="786" w:type="pct"/>
                  <w:tcBorders>
                    <w:right w:val="single" w:color="auto" w:sz="4" w:space="0"/>
                  </w:tcBorders>
                  <w:noWrap w:val="0"/>
                  <w:vAlign w:val="center"/>
                </w:tcPr>
                <w:p>
                  <w:pPr>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数量</w:t>
                  </w:r>
                </w:p>
              </w:tc>
              <w:tc>
                <w:tcPr>
                  <w:tcW w:w="441" w:type="pct"/>
                  <w:tcBorders>
                    <w:left w:val="single" w:color="auto" w:sz="4" w:space="0"/>
                    <w:right w:val="single" w:color="auto" w:sz="4" w:space="0"/>
                  </w:tcBorders>
                  <w:noWrap w:val="0"/>
                  <w:vAlign w:val="center"/>
                </w:tcPr>
                <w:p>
                  <w:pPr>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单位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left w:val="single" w:color="auto" w:sz="4" w:space="0"/>
                  </w:tcBorders>
                  <w:noWrap w:val="0"/>
                  <w:vAlign w:val="center"/>
                </w:tcPr>
                <w:p>
                  <w:pPr>
                    <w:jc w:val="center"/>
                    <w:rPr>
                      <w:rFonts w:hint="eastAsia"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1</w:t>
                  </w:r>
                </w:p>
              </w:tc>
              <w:tc>
                <w:tcPr>
                  <w:tcW w:w="935" w:type="pct"/>
                  <w:noWrap w:val="0"/>
                  <w:vAlign w:val="center"/>
                </w:tcPr>
                <w:p>
                  <w:pPr>
                    <w:jc w:val="center"/>
                    <w:rPr>
                      <w:rFonts w:hint="default" w:ascii="Times New Roman" w:hAnsi="Times New Roman" w:cs="Times New Roman"/>
                      <w:sz w:val="21"/>
                      <w:szCs w:val="21"/>
                      <w:u w:val="none"/>
                    </w:rPr>
                  </w:pPr>
                  <w:r>
                    <w:rPr>
                      <w:rFonts w:hint="eastAsia" w:cs="Times New Roman"/>
                      <w:color w:val="auto"/>
                      <w:kern w:val="0"/>
                      <w:sz w:val="21"/>
                      <w:szCs w:val="21"/>
                      <w:u w:val="none" w:color="auto"/>
                      <w:lang w:val="en-US" w:eastAsia="zh-CN" w:bidi="ar"/>
                    </w:rPr>
                    <w:t>设备间</w:t>
                  </w:r>
                </w:p>
              </w:tc>
              <w:tc>
                <w:tcPr>
                  <w:tcW w:w="2445" w:type="pct"/>
                  <w:tcBorders>
                    <w:right w:val="single" w:color="auto" w:sz="4" w:space="0"/>
                  </w:tcBorders>
                  <w:noWrap w:val="0"/>
                  <w:vAlign w:val="center"/>
                </w:tcPr>
                <w:p>
                  <w:pPr>
                    <w:jc w:val="center"/>
                    <w:rPr>
                      <w:rFonts w:hint="default" w:ascii="Times New Roman" w:hAnsi="Times New Roman" w:cs="Times New Roman"/>
                      <w:sz w:val="21"/>
                      <w:szCs w:val="21"/>
                      <w:u w:val="none"/>
                    </w:rPr>
                  </w:pPr>
                  <w:r>
                    <w:rPr>
                      <w:rFonts w:hint="eastAsia" w:cs="Times New Roman"/>
                      <w:color w:val="auto"/>
                      <w:kern w:val="0"/>
                      <w:sz w:val="21"/>
                      <w:szCs w:val="21"/>
                      <w:u w:val="none" w:color="auto"/>
                      <w:lang w:val="en-US" w:eastAsia="zh-CN" w:bidi="ar"/>
                    </w:rPr>
                    <w:t>L×B×H=4.5m×3.5m×3.8m</w:t>
                  </w:r>
                </w:p>
              </w:tc>
              <w:tc>
                <w:tcPr>
                  <w:tcW w:w="786" w:type="pct"/>
                  <w:tcBorders>
                    <w:right w:val="single" w:color="auto" w:sz="4" w:space="0"/>
                  </w:tcBorders>
                  <w:noWrap w:val="0"/>
                  <w:vAlign w:val="center"/>
                </w:tcPr>
                <w:p>
                  <w:pPr>
                    <w:jc w:val="center"/>
                    <w:rPr>
                      <w:rFonts w:hint="eastAsia"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1</w:t>
                  </w:r>
                </w:p>
              </w:tc>
              <w:tc>
                <w:tcPr>
                  <w:tcW w:w="441" w:type="pct"/>
                  <w:tcBorders>
                    <w:left w:val="single" w:color="auto" w:sz="4" w:space="0"/>
                    <w:right w:val="single" w:color="auto" w:sz="4" w:space="0"/>
                  </w:tcBorders>
                  <w:noWrap w:val="0"/>
                  <w:vAlign w:val="center"/>
                </w:tcPr>
                <w:p>
                  <w:pPr>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left w:val="single" w:color="auto" w:sz="4" w:space="0"/>
                  </w:tcBorders>
                  <w:noWrap w:val="0"/>
                  <w:vAlign w:val="center"/>
                </w:tcPr>
                <w:p>
                  <w:pPr>
                    <w:jc w:val="center"/>
                    <w:rPr>
                      <w:rFonts w:hint="eastAsia"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2</w:t>
                  </w:r>
                </w:p>
              </w:tc>
              <w:tc>
                <w:tcPr>
                  <w:tcW w:w="935" w:type="pct"/>
                  <w:noWrap w:val="0"/>
                  <w:vAlign w:val="center"/>
                </w:tcPr>
                <w:p>
                  <w:pPr>
                    <w:jc w:val="center"/>
                    <w:rPr>
                      <w:rFonts w:hint="default" w:ascii="Times New Roman" w:hAnsi="Times New Roman" w:cs="Times New Roman"/>
                      <w:sz w:val="21"/>
                      <w:szCs w:val="21"/>
                      <w:u w:val="none"/>
                    </w:rPr>
                  </w:pPr>
                  <w:r>
                    <w:rPr>
                      <w:rFonts w:hint="eastAsia" w:cs="Times New Roman"/>
                      <w:color w:val="auto"/>
                      <w:kern w:val="0"/>
                      <w:sz w:val="21"/>
                      <w:szCs w:val="21"/>
                      <w:u w:val="none" w:color="auto"/>
                      <w:lang w:val="en-US" w:eastAsia="zh-CN" w:bidi="ar"/>
                    </w:rPr>
                    <w:t>格栅井</w:t>
                  </w:r>
                </w:p>
              </w:tc>
              <w:tc>
                <w:tcPr>
                  <w:tcW w:w="2445" w:type="pct"/>
                  <w:tcBorders>
                    <w:right w:val="single" w:color="auto" w:sz="4" w:space="0"/>
                  </w:tcBorders>
                  <w:noWrap w:val="0"/>
                  <w:vAlign w:val="center"/>
                </w:tcPr>
                <w:p>
                  <w:pPr>
                    <w:jc w:val="center"/>
                    <w:rPr>
                      <w:rFonts w:hint="default" w:ascii="Times New Roman" w:hAnsi="Times New Roman" w:cs="Times New Roman"/>
                      <w:sz w:val="21"/>
                      <w:szCs w:val="21"/>
                      <w:u w:val="none"/>
                    </w:rPr>
                  </w:pPr>
                  <w:r>
                    <w:rPr>
                      <w:rFonts w:hint="eastAsia" w:cs="Times New Roman"/>
                      <w:color w:val="auto"/>
                      <w:kern w:val="0"/>
                      <w:sz w:val="21"/>
                      <w:szCs w:val="21"/>
                      <w:u w:val="none" w:color="auto"/>
                      <w:lang w:val="en-US" w:eastAsia="zh-CN" w:bidi="ar"/>
                    </w:rPr>
                    <w:t>L×B×H=5.3m×0.8m×3.3m，钢筋混凝土，地下3.0m</w:t>
                  </w:r>
                </w:p>
              </w:tc>
              <w:tc>
                <w:tcPr>
                  <w:tcW w:w="786" w:type="pct"/>
                  <w:tcBorders>
                    <w:right w:val="single" w:color="auto" w:sz="4" w:space="0"/>
                  </w:tcBorders>
                  <w:shd w:val="clear" w:color="auto" w:fill="auto"/>
                  <w:noWrap w:val="0"/>
                  <w:vAlign w:val="center"/>
                </w:tcPr>
                <w:p>
                  <w:pPr>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val="en-US" w:eastAsia="zh-CN"/>
                    </w:rPr>
                    <w:t>1</w:t>
                  </w:r>
                </w:p>
              </w:tc>
              <w:tc>
                <w:tcPr>
                  <w:tcW w:w="441" w:type="pct"/>
                  <w:tcBorders>
                    <w:left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eastAsia="zh-CN"/>
                    </w:rPr>
                    <w:t>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left w:val="single" w:color="auto" w:sz="4" w:space="0"/>
                  </w:tcBorders>
                  <w:noWrap w:val="0"/>
                  <w:vAlign w:val="center"/>
                </w:tcPr>
                <w:p>
                  <w:pPr>
                    <w:jc w:val="center"/>
                    <w:rPr>
                      <w:rFonts w:hint="eastAsia"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3</w:t>
                  </w:r>
                </w:p>
              </w:tc>
              <w:tc>
                <w:tcPr>
                  <w:tcW w:w="935" w:type="pct"/>
                  <w:noWrap w:val="0"/>
                  <w:vAlign w:val="center"/>
                </w:tcPr>
                <w:p>
                  <w:pPr>
                    <w:jc w:val="center"/>
                    <w:rPr>
                      <w:rFonts w:hint="default" w:ascii="Times New Roman" w:hAnsi="Times New Roman" w:cs="Times New Roman"/>
                      <w:sz w:val="21"/>
                      <w:szCs w:val="21"/>
                      <w:u w:val="none"/>
                    </w:rPr>
                  </w:pPr>
                  <w:r>
                    <w:rPr>
                      <w:rFonts w:hint="eastAsia" w:cs="Times New Roman"/>
                      <w:color w:val="auto"/>
                      <w:kern w:val="0"/>
                      <w:sz w:val="21"/>
                      <w:szCs w:val="21"/>
                      <w:u w:val="none" w:color="auto"/>
                      <w:lang w:val="en-US" w:eastAsia="zh-CN" w:bidi="ar"/>
                    </w:rPr>
                    <w:t>调节池</w:t>
                  </w:r>
                </w:p>
              </w:tc>
              <w:tc>
                <w:tcPr>
                  <w:tcW w:w="2445" w:type="pct"/>
                  <w:tcBorders>
                    <w:right w:val="single" w:color="auto" w:sz="4" w:space="0"/>
                  </w:tcBorders>
                  <w:noWrap w:val="0"/>
                  <w:vAlign w:val="center"/>
                </w:tcPr>
                <w:p>
                  <w:pPr>
                    <w:jc w:val="center"/>
                    <w:rPr>
                      <w:rFonts w:hint="default" w:ascii="Times New Roman" w:hAnsi="Times New Roman" w:cs="Times New Roman"/>
                      <w:sz w:val="21"/>
                      <w:szCs w:val="21"/>
                      <w:u w:val="none"/>
                    </w:rPr>
                  </w:pPr>
                  <w:r>
                    <w:rPr>
                      <w:rFonts w:hint="eastAsia" w:cs="Times New Roman"/>
                      <w:color w:val="auto"/>
                      <w:kern w:val="0"/>
                      <w:sz w:val="21"/>
                      <w:szCs w:val="21"/>
                      <w:u w:val="none" w:color="auto"/>
                      <w:lang w:val="en-US" w:eastAsia="zh-CN" w:bidi="ar"/>
                    </w:rPr>
                    <w:t>L×B×H=3m×2m×4m ，钢筋混凝土，地下3.7m</w:t>
                  </w:r>
                </w:p>
              </w:tc>
              <w:tc>
                <w:tcPr>
                  <w:tcW w:w="786" w:type="pct"/>
                  <w:tcBorders>
                    <w:right w:val="single" w:color="auto" w:sz="4" w:space="0"/>
                  </w:tcBorders>
                  <w:shd w:val="clear" w:color="auto" w:fill="auto"/>
                  <w:noWrap w:val="0"/>
                  <w:vAlign w:val="center"/>
                </w:tcPr>
                <w:p>
                  <w:pPr>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val="en-US" w:eastAsia="zh-CN"/>
                    </w:rPr>
                    <w:t>1</w:t>
                  </w:r>
                </w:p>
              </w:tc>
              <w:tc>
                <w:tcPr>
                  <w:tcW w:w="441" w:type="pct"/>
                  <w:tcBorders>
                    <w:left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eastAsia="zh-CN"/>
                    </w:rPr>
                    <w:t>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left w:val="single" w:color="auto" w:sz="4" w:space="0"/>
                  </w:tcBorders>
                  <w:noWrap w:val="0"/>
                  <w:vAlign w:val="center"/>
                </w:tcPr>
                <w:p>
                  <w:pPr>
                    <w:jc w:val="center"/>
                    <w:rPr>
                      <w:rFonts w:hint="eastAsia"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4</w:t>
                  </w:r>
                </w:p>
              </w:tc>
              <w:tc>
                <w:tcPr>
                  <w:tcW w:w="935" w:type="pct"/>
                  <w:noWrap w:val="0"/>
                  <w:vAlign w:val="center"/>
                </w:tcPr>
                <w:p>
                  <w:pPr>
                    <w:jc w:val="center"/>
                    <w:rPr>
                      <w:rFonts w:hint="default" w:ascii="Times New Roman" w:hAnsi="Times New Roman" w:cs="Times New Roman"/>
                      <w:sz w:val="21"/>
                      <w:szCs w:val="21"/>
                      <w:u w:val="none"/>
                    </w:rPr>
                  </w:pPr>
                  <w:r>
                    <w:rPr>
                      <w:rFonts w:hint="eastAsia" w:cs="Times New Roman"/>
                      <w:color w:val="auto"/>
                      <w:kern w:val="0"/>
                      <w:sz w:val="21"/>
                      <w:szCs w:val="21"/>
                      <w:u w:val="none" w:color="auto"/>
                      <w:lang w:val="en-US" w:eastAsia="zh-CN" w:bidi="ar"/>
                    </w:rPr>
                    <w:t>中水池</w:t>
                  </w:r>
                </w:p>
              </w:tc>
              <w:tc>
                <w:tcPr>
                  <w:tcW w:w="2445" w:type="pct"/>
                  <w:tcBorders>
                    <w:right w:val="single" w:color="auto" w:sz="4" w:space="0"/>
                  </w:tcBorders>
                  <w:noWrap w:val="0"/>
                  <w:vAlign w:val="center"/>
                </w:tcPr>
                <w:p>
                  <w:pPr>
                    <w:jc w:val="center"/>
                    <w:rPr>
                      <w:rFonts w:hint="default" w:ascii="Times New Roman" w:hAnsi="Times New Roman" w:cs="Times New Roman"/>
                      <w:sz w:val="21"/>
                      <w:szCs w:val="21"/>
                      <w:u w:val="none"/>
                    </w:rPr>
                  </w:pPr>
                  <w:r>
                    <w:rPr>
                      <w:rFonts w:hint="eastAsia" w:cs="Times New Roman"/>
                      <w:color w:val="auto"/>
                      <w:kern w:val="0"/>
                      <w:sz w:val="21"/>
                      <w:szCs w:val="21"/>
                      <w:u w:val="none" w:color="auto"/>
                      <w:lang w:val="en-US" w:eastAsia="zh-CN" w:bidi="ar"/>
                    </w:rPr>
                    <w:t>L×B×H=2m×2m×4m、钢筋混凝土、地下3.7m</w:t>
                  </w:r>
                </w:p>
              </w:tc>
              <w:tc>
                <w:tcPr>
                  <w:tcW w:w="786" w:type="pct"/>
                  <w:tcBorders>
                    <w:right w:val="single" w:color="auto" w:sz="4" w:space="0"/>
                  </w:tcBorders>
                  <w:shd w:val="clear" w:color="auto" w:fill="auto"/>
                  <w:noWrap w:val="0"/>
                  <w:vAlign w:val="center"/>
                </w:tcPr>
                <w:p>
                  <w:pPr>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val="en-US" w:eastAsia="zh-CN"/>
                    </w:rPr>
                    <w:t>1</w:t>
                  </w:r>
                </w:p>
              </w:tc>
              <w:tc>
                <w:tcPr>
                  <w:tcW w:w="441" w:type="pct"/>
                  <w:tcBorders>
                    <w:left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eastAsia="zh-CN"/>
                    </w:rPr>
                    <w:t>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left w:val="single" w:color="auto" w:sz="4" w:space="0"/>
                  </w:tcBorders>
                  <w:noWrap w:val="0"/>
                  <w:vAlign w:val="center"/>
                </w:tcPr>
                <w:p>
                  <w:pPr>
                    <w:jc w:val="center"/>
                    <w:rPr>
                      <w:rFonts w:hint="eastAsia"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5</w:t>
                  </w:r>
                </w:p>
              </w:tc>
              <w:tc>
                <w:tcPr>
                  <w:tcW w:w="935" w:type="pct"/>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A²/O一体化污水处理设备</w:t>
                  </w:r>
                </w:p>
              </w:tc>
              <w:tc>
                <w:tcPr>
                  <w:tcW w:w="2445" w:type="pct"/>
                  <w:tcBorders>
                    <w:right w:val="single" w:color="auto" w:sz="4" w:space="0"/>
                  </w:tcBorders>
                  <w:noWrap w:val="0"/>
                  <w:vAlign w:val="center"/>
                </w:tcPr>
                <w:p>
                  <w:pPr>
                    <w:jc w:val="center"/>
                    <w:rPr>
                      <w:rFonts w:hint="eastAsia" w:ascii="Times New Roman" w:hAnsi="Times New Roman" w:eastAsia="宋体" w:cs="Times New Roman"/>
                      <w:sz w:val="21"/>
                      <w:szCs w:val="21"/>
                      <w:u w:val="none"/>
                      <w:lang w:eastAsia="zh-CN"/>
                    </w:rPr>
                  </w:pPr>
                  <w:r>
                    <w:rPr>
                      <w:rFonts w:hint="eastAsia" w:ascii="Times New Roman" w:hAnsi="Times New Roman" w:eastAsia="Times New Roman"/>
                      <w:color w:val="000000"/>
                      <w:sz w:val="23"/>
                      <w:szCs w:val="24"/>
                    </w:rPr>
                    <w:t xml:space="preserve">5m³/d </w:t>
                  </w:r>
                  <w:r>
                    <w:rPr>
                      <w:rFonts w:hint="eastAsia" w:ascii="Times New Roman" w:hAnsi="Times New Roman" w:eastAsia="宋体"/>
                      <w:color w:val="000000"/>
                      <w:sz w:val="23"/>
                      <w:szCs w:val="24"/>
                      <w:lang w:eastAsia="zh-CN"/>
                    </w:rPr>
                    <w:t>，</w:t>
                  </w:r>
                  <w:r>
                    <w:rPr>
                      <w:rFonts w:hint="eastAsia" w:ascii="宋体" w:hAnsi="宋体"/>
                      <w:color w:val="000000"/>
                      <w:sz w:val="23"/>
                      <w:szCs w:val="24"/>
                    </w:rPr>
                    <w:t>玻璃钢</w:t>
                  </w:r>
                </w:p>
              </w:tc>
              <w:tc>
                <w:tcPr>
                  <w:tcW w:w="786" w:type="pct"/>
                  <w:tcBorders>
                    <w:right w:val="single" w:color="auto" w:sz="4" w:space="0"/>
                  </w:tcBorders>
                  <w:shd w:val="clear" w:color="auto" w:fill="auto"/>
                  <w:noWrap w:val="0"/>
                  <w:vAlign w:val="center"/>
                </w:tcPr>
                <w:p>
                  <w:pPr>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val="en-US" w:eastAsia="zh-CN"/>
                    </w:rPr>
                    <w:t>1</w:t>
                  </w:r>
                </w:p>
              </w:tc>
              <w:tc>
                <w:tcPr>
                  <w:tcW w:w="441" w:type="pct"/>
                  <w:tcBorders>
                    <w:left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left w:val="single" w:color="auto" w:sz="4" w:space="0"/>
                  </w:tcBorders>
                  <w:noWrap w:val="0"/>
                  <w:vAlign w:val="center"/>
                </w:tcPr>
                <w:p>
                  <w:pPr>
                    <w:jc w:val="center"/>
                    <w:rPr>
                      <w:rFonts w:hint="eastAsia"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6</w:t>
                  </w:r>
                </w:p>
              </w:tc>
              <w:tc>
                <w:tcPr>
                  <w:tcW w:w="935" w:type="pct"/>
                  <w:noWrap w:val="0"/>
                  <w:vAlign w:val="center"/>
                </w:tcPr>
                <w:p>
                  <w:pPr>
                    <w:jc w:val="center"/>
                    <w:rPr>
                      <w:rFonts w:hint="default" w:ascii="Times New Roman" w:hAnsi="Times New Roman" w:cs="Times New Roman"/>
                      <w:sz w:val="21"/>
                      <w:szCs w:val="21"/>
                      <w:u w:val="none"/>
                    </w:rPr>
                  </w:pPr>
                  <w:r>
                    <w:rPr>
                      <w:rFonts w:hint="eastAsia" w:ascii="宋体" w:hAnsi="宋体"/>
                      <w:color w:val="000000"/>
                      <w:sz w:val="23"/>
                      <w:szCs w:val="24"/>
                    </w:rPr>
                    <w:t xml:space="preserve">细格栅 </w:t>
                  </w:r>
                </w:p>
              </w:tc>
              <w:tc>
                <w:tcPr>
                  <w:tcW w:w="2445" w:type="pct"/>
                  <w:tcBorders>
                    <w:righ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渠宽0.8m，深3m，栅条宽度、栅条间隙：5mm</w:t>
                  </w:r>
                </w:p>
              </w:tc>
              <w:tc>
                <w:tcPr>
                  <w:tcW w:w="786" w:type="pct"/>
                  <w:tcBorders>
                    <w:right w:val="single" w:color="auto" w:sz="4" w:space="0"/>
                  </w:tcBorders>
                  <w:shd w:val="clear" w:color="auto" w:fill="auto"/>
                  <w:noWrap w:val="0"/>
                  <w:vAlign w:val="center"/>
                </w:tcPr>
                <w:p>
                  <w:pPr>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val="en-US" w:eastAsia="zh-CN"/>
                    </w:rPr>
                    <w:t>1</w:t>
                  </w:r>
                </w:p>
              </w:tc>
              <w:tc>
                <w:tcPr>
                  <w:tcW w:w="441" w:type="pct"/>
                  <w:tcBorders>
                    <w:left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left w:val="single" w:color="auto" w:sz="4" w:space="0"/>
                  </w:tcBorders>
                  <w:noWrap w:val="0"/>
                  <w:vAlign w:val="center"/>
                </w:tcPr>
                <w:p>
                  <w:pPr>
                    <w:jc w:val="center"/>
                    <w:rPr>
                      <w:rFonts w:hint="eastAsia"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7</w:t>
                  </w:r>
                </w:p>
              </w:tc>
              <w:tc>
                <w:tcPr>
                  <w:tcW w:w="935" w:type="pct"/>
                  <w:noWrap w:val="0"/>
                  <w:vAlign w:val="center"/>
                </w:tcPr>
                <w:p>
                  <w:pPr>
                    <w:jc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bidi="ar"/>
                    </w:rPr>
                    <w:t>调节池提升泵</w:t>
                  </w:r>
                </w:p>
              </w:tc>
              <w:tc>
                <w:tcPr>
                  <w:tcW w:w="2445" w:type="pct"/>
                  <w:tcBorders>
                    <w:right w:val="single" w:color="auto" w:sz="4" w:space="0"/>
                  </w:tcBorders>
                  <w:noWrap w:val="0"/>
                  <w:vAlign w:val="center"/>
                </w:tcPr>
                <w:p>
                  <w:pPr>
                    <w:jc w:val="center"/>
                    <w:rPr>
                      <w:rFonts w:hint="default" w:ascii="Times New Roman" w:hAnsi="Times New Roman" w:eastAsia="宋体" w:cs="Times New Roman"/>
                      <w:color w:val="auto"/>
                      <w:kern w:val="0"/>
                      <w:sz w:val="21"/>
                      <w:szCs w:val="21"/>
                      <w:u w:val="none" w:color="auto"/>
                      <w:lang w:val="en-US" w:eastAsia="zh-CN" w:bidi="ar"/>
                    </w:rPr>
                  </w:pPr>
                  <w:r>
                    <w:rPr>
                      <w:rFonts w:hint="eastAsia" w:ascii="Times New Roman" w:hAnsi="Times New Roman" w:eastAsia="宋体" w:cs="Times New Roman"/>
                      <w:color w:val="auto"/>
                      <w:kern w:val="0"/>
                      <w:sz w:val="21"/>
                      <w:szCs w:val="21"/>
                      <w:u w:val="none" w:color="auto"/>
                      <w:lang w:val="en-US" w:eastAsia="zh-CN" w:bidi="ar"/>
                    </w:rPr>
                    <w:t xml:space="preserve">Q=3m³/h，H=8m，N=0.37kW </w:t>
                  </w:r>
                </w:p>
              </w:tc>
              <w:tc>
                <w:tcPr>
                  <w:tcW w:w="786" w:type="pct"/>
                  <w:tcBorders>
                    <w:right w:val="single" w:color="auto" w:sz="4" w:space="0"/>
                  </w:tcBorders>
                  <w:noWrap w:val="0"/>
                  <w:vAlign w:val="center"/>
                </w:tcPr>
                <w:p>
                  <w:pPr>
                    <w:jc w:val="center"/>
                    <w:rPr>
                      <w:rFonts w:hint="eastAsia" w:ascii="Times New Roman" w:hAnsi="Times New Roman" w:eastAsia="宋体" w:cs="Times New Roman"/>
                      <w:color w:val="auto"/>
                      <w:kern w:val="0"/>
                      <w:sz w:val="21"/>
                      <w:szCs w:val="21"/>
                      <w:u w:val="none" w:color="auto"/>
                      <w:lang w:val="en-US" w:eastAsia="zh-CN" w:bidi="ar"/>
                    </w:rPr>
                  </w:pPr>
                  <w:r>
                    <w:rPr>
                      <w:rFonts w:hint="eastAsia" w:ascii="Times New Roman" w:hAnsi="Times New Roman" w:eastAsia="宋体" w:cs="Times New Roman"/>
                      <w:color w:val="auto"/>
                      <w:kern w:val="0"/>
                      <w:sz w:val="21"/>
                      <w:szCs w:val="21"/>
                      <w:u w:val="none" w:color="auto"/>
                      <w:lang w:val="en-US" w:eastAsia="zh-CN" w:bidi="ar"/>
                    </w:rPr>
                    <w:t>2（一用一备）</w:t>
                  </w:r>
                </w:p>
              </w:tc>
              <w:tc>
                <w:tcPr>
                  <w:tcW w:w="441" w:type="pct"/>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0"/>
                      <w:sz w:val="21"/>
                      <w:szCs w:val="21"/>
                      <w:u w:val="none" w:color="auto"/>
                      <w:lang w:val="en-US" w:eastAsia="zh-CN" w:bidi="ar"/>
                    </w:rPr>
                  </w:pPr>
                  <w:r>
                    <w:rPr>
                      <w:rFonts w:hint="eastAsia" w:ascii="Times New Roman" w:hAnsi="Times New Roman" w:eastAsia="宋体" w:cs="Times New Roman"/>
                      <w:color w:val="auto"/>
                      <w:kern w:val="0"/>
                      <w:sz w:val="21"/>
                      <w:szCs w:val="21"/>
                      <w:u w:val="none" w:color="auto"/>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left w:val="single" w:color="auto" w:sz="4" w:space="0"/>
                  </w:tcBorders>
                  <w:noWrap w:val="0"/>
                  <w:vAlign w:val="center"/>
                </w:tcPr>
                <w:p>
                  <w:pPr>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8</w:t>
                  </w:r>
                </w:p>
              </w:tc>
              <w:tc>
                <w:tcPr>
                  <w:tcW w:w="935" w:type="pct"/>
                  <w:noWrap w:val="0"/>
                  <w:vAlign w:val="center"/>
                </w:tcPr>
                <w:p>
                  <w:pPr>
                    <w:jc w:val="center"/>
                    <w:rPr>
                      <w:rFonts w:hint="default" w:ascii="Times New Roman" w:hAnsi="Times New Roman" w:eastAsia="宋体" w:cs="Times New Roman"/>
                      <w:color w:val="auto"/>
                      <w:kern w:val="0"/>
                      <w:sz w:val="21"/>
                      <w:szCs w:val="21"/>
                      <w:u w:val="none" w:color="auto"/>
                      <w:lang w:val="en-US" w:eastAsia="zh-CN" w:bidi="ar"/>
                    </w:rPr>
                  </w:pPr>
                  <w:r>
                    <w:rPr>
                      <w:rFonts w:hint="eastAsia" w:ascii="Times New Roman" w:hAnsi="Times New Roman" w:eastAsia="宋体" w:cs="Times New Roman"/>
                      <w:color w:val="auto"/>
                      <w:kern w:val="0"/>
                      <w:sz w:val="21"/>
                      <w:szCs w:val="21"/>
                      <w:u w:val="none" w:color="auto"/>
                      <w:lang w:val="en-US" w:eastAsia="zh-CN" w:bidi="ar"/>
                    </w:rPr>
                    <w:t>中水池提升泵</w:t>
                  </w:r>
                </w:p>
              </w:tc>
              <w:tc>
                <w:tcPr>
                  <w:tcW w:w="2445" w:type="pct"/>
                  <w:tcBorders>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0"/>
                      <w:sz w:val="21"/>
                      <w:szCs w:val="21"/>
                      <w:u w:val="none" w:color="auto"/>
                      <w:lang w:val="en-US" w:eastAsia="zh-CN" w:bidi="ar"/>
                    </w:rPr>
                  </w:pPr>
                  <w:r>
                    <w:rPr>
                      <w:rFonts w:hint="eastAsia" w:ascii="Times New Roman" w:hAnsi="Times New Roman" w:eastAsia="宋体" w:cs="Times New Roman"/>
                      <w:color w:val="auto"/>
                      <w:kern w:val="0"/>
                      <w:sz w:val="21"/>
                      <w:szCs w:val="21"/>
                      <w:u w:val="none" w:color="auto"/>
                      <w:lang w:val="en-US" w:eastAsia="zh-CN" w:bidi="ar"/>
                    </w:rPr>
                    <w:t xml:space="preserve">Q=3m³/h，H=8m，N=0.37kW </w:t>
                  </w:r>
                </w:p>
              </w:tc>
              <w:tc>
                <w:tcPr>
                  <w:tcW w:w="786" w:type="pct"/>
                  <w:tcBorders>
                    <w:bottom w:val="single" w:color="auto" w:sz="4" w:space="0"/>
                    <w:right w:val="single" w:color="auto" w:sz="4" w:space="0"/>
                  </w:tcBorders>
                  <w:shd w:val="clear" w:color="auto" w:fill="auto"/>
                  <w:noWrap w:val="0"/>
                  <w:vAlign w:val="center"/>
                </w:tcPr>
                <w:p>
                  <w:pPr>
                    <w:jc w:val="center"/>
                    <w:rPr>
                      <w:rFonts w:hint="eastAsia" w:ascii="Times New Roman" w:hAnsi="Times New Roman" w:eastAsia="宋体" w:cs="Times New Roman"/>
                      <w:color w:val="auto"/>
                      <w:kern w:val="0"/>
                      <w:sz w:val="21"/>
                      <w:szCs w:val="21"/>
                      <w:u w:val="none" w:color="auto"/>
                      <w:lang w:val="en-US" w:eastAsia="zh-CN" w:bidi="ar"/>
                    </w:rPr>
                  </w:pPr>
                  <w:r>
                    <w:rPr>
                      <w:rFonts w:hint="eastAsia" w:ascii="Times New Roman" w:hAnsi="Times New Roman" w:eastAsia="宋体" w:cs="Times New Roman"/>
                      <w:color w:val="auto"/>
                      <w:kern w:val="0"/>
                      <w:sz w:val="21"/>
                      <w:szCs w:val="21"/>
                      <w:u w:val="none" w:color="auto"/>
                      <w:lang w:val="en-US" w:eastAsia="zh-CN" w:bidi="ar"/>
                    </w:rPr>
                    <w:t>2（一用一备）</w:t>
                  </w:r>
                </w:p>
              </w:tc>
              <w:tc>
                <w:tcPr>
                  <w:tcW w:w="441" w:type="pct"/>
                  <w:tcBorders>
                    <w:left w:val="single" w:color="auto" w:sz="4" w:space="0"/>
                    <w:bottom w:val="single" w:color="auto" w:sz="4" w:space="0"/>
                    <w:right w:val="single" w:color="auto" w:sz="4" w:space="0"/>
                  </w:tcBorders>
                  <w:shd w:val="clear" w:color="auto" w:fill="auto"/>
                  <w:noWrap w:val="0"/>
                  <w:vAlign w:val="center"/>
                </w:tcPr>
                <w:p>
                  <w:pPr>
                    <w:jc w:val="center"/>
                    <w:rPr>
                      <w:rFonts w:hint="eastAsia" w:ascii="Times New Roman" w:hAnsi="Times New Roman" w:eastAsia="宋体" w:cs="Times New Roman"/>
                      <w:color w:val="auto"/>
                      <w:kern w:val="0"/>
                      <w:sz w:val="21"/>
                      <w:szCs w:val="21"/>
                      <w:u w:val="none" w:color="auto"/>
                      <w:lang w:val="en-US" w:eastAsia="zh-CN" w:bidi="ar"/>
                    </w:rPr>
                  </w:pPr>
                  <w:r>
                    <w:rPr>
                      <w:rFonts w:hint="eastAsia" w:ascii="Times New Roman" w:hAnsi="Times New Roman" w:eastAsia="宋体" w:cs="Times New Roman"/>
                      <w:color w:val="auto"/>
                      <w:kern w:val="0"/>
                      <w:sz w:val="21"/>
                      <w:szCs w:val="21"/>
                      <w:u w:val="none" w:color="auto"/>
                      <w:lang w:val="en-US" w:eastAsia="zh-CN" w:bidi="ar"/>
                    </w:rPr>
                    <w:t>台</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val="en-US" w:eastAsia="zh-CN"/>
              </w:rPr>
              <w:t>2</w:t>
            </w:r>
            <w:r>
              <w:rPr>
                <w:rFonts w:hint="default" w:ascii="Times New Roman" w:hAnsi="Times New Roman" w:eastAsia="宋体" w:cs="Times New Roman"/>
                <w:color w:val="auto"/>
                <w:kern w:val="0"/>
                <w:szCs w:val="21"/>
                <w:u w:val="none" w:color="auto"/>
                <w:lang w:eastAsia="zh-CN"/>
              </w:rPr>
              <w:t>）转载点地面冲洗废水、初期雨水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煤炭在运输过程会产生扬尘，无组织扬尘也会对转载点地面造成一定污染。根据水平衡核算，本项目转载点冲洗地面废水产生量为19.2m</w:t>
            </w:r>
            <w:r>
              <w:rPr>
                <w:rFonts w:hint="default" w:ascii="Times New Roman" w:hAnsi="Times New Roman" w:eastAsia="宋体" w:cs="Times New Roman"/>
                <w:color w:val="auto"/>
                <w:kern w:val="0"/>
                <w:sz w:val="21"/>
                <w:szCs w:val="20"/>
                <w:highlight w:val="none"/>
                <w:u w:val="none" w:color="auto"/>
                <w:vertAlign w:val="superscript"/>
                <w:lang w:val="en-US" w:eastAsia="zh-CN" w:bidi="ar-SA"/>
              </w:rPr>
              <w:t>3</w:t>
            </w:r>
            <w:r>
              <w:rPr>
                <w:rFonts w:hint="default" w:ascii="Times New Roman" w:hAnsi="Times New Roman" w:eastAsia="宋体" w:cs="Times New Roman"/>
                <w:color w:val="auto"/>
                <w:kern w:val="0"/>
                <w:sz w:val="21"/>
                <w:szCs w:val="20"/>
                <w:highlight w:val="none"/>
                <w:u w:val="none" w:color="auto"/>
                <w:lang w:val="en-US" w:eastAsia="zh-CN" w:bidi="ar-SA"/>
              </w:rPr>
              <w:t>/d（7008m</w:t>
            </w:r>
            <w:r>
              <w:rPr>
                <w:rFonts w:hint="default" w:ascii="Times New Roman" w:hAnsi="Times New Roman" w:eastAsia="宋体" w:cs="Times New Roman"/>
                <w:color w:val="auto"/>
                <w:kern w:val="0"/>
                <w:sz w:val="21"/>
                <w:szCs w:val="20"/>
                <w:highlight w:val="none"/>
                <w:u w:val="none" w:color="auto"/>
                <w:vertAlign w:val="superscript"/>
                <w:lang w:val="en-US" w:eastAsia="zh-CN" w:bidi="ar-SA"/>
              </w:rPr>
              <w:t>3</w:t>
            </w:r>
            <w:r>
              <w:rPr>
                <w:rFonts w:hint="default" w:ascii="Times New Roman" w:hAnsi="Times New Roman" w:eastAsia="宋体" w:cs="Times New Roman"/>
                <w:color w:val="auto"/>
                <w:kern w:val="0"/>
                <w:sz w:val="21"/>
                <w:szCs w:val="20"/>
                <w:highlight w:val="none"/>
                <w:u w:val="none" w:color="auto"/>
                <w:lang w:val="en-US" w:eastAsia="zh-CN" w:bidi="ar-SA"/>
              </w:rPr>
              <w:t>/a），主要污染物为SS，参考虞公港验收报告中监测数据，SS产生浓度约100mg/L。各构筑物的冲洗排水汇至底层集水坑，依托</w:t>
            </w:r>
            <w:r>
              <w:rPr>
                <w:rFonts w:hint="default" w:ascii="Times New Roman" w:hAnsi="Times New Roman" w:eastAsia="宋体" w:cs="Times New Roman"/>
                <w:bCs/>
                <w:color w:val="auto"/>
                <w:sz w:val="21"/>
                <w:szCs w:val="21"/>
                <w:highlight w:val="none"/>
                <w:u w:val="none" w:color="auto"/>
                <w:lang w:val="en-US" w:eastAsia="zh-CN" w:bidi="ar"/>
              </w:rPr>
              <w:t>虞公港生产废水处理站处理后，全部回用于厂区喷洒降尘等，不外排</w:t>
            </w:r>
            <w:r>
              <w:rPr>
                <w:rFonts w:hint="default" w:ascii="Times New Roman" w:hAnsi="Times New Roman" w:eastAsia="宋体" w:cs="Times New Roman"/>
                <w:color w:val="auto"/>
                <w:kern w:val="0"/>
                <w:sz w:val="21"/>
                <w:szCs w:val="20"/>
                <w:highlight w:val="none"/>
                <w:u w:val="none" w:color="auto"/>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2"/>
                <w:highlight w:val="none"/>
                <w:u w:val="none" w:color="auto"/>
                <w:lang w:eastAsia="zh-CN"/>
              </w:rPr>
              <w:t>储煤棚、转载点周边道路等处初期雨水均含有粉尘污染物，为减少降雨初期排水系统溢流或放江的污染，本项目设初期雨水沉淀池以控制雨水径流污染。本项目厂区雨污分流，设有带盖板矩形雨水沟，</w:t>
            </w:r>
            <w:r>
              <w:rPr>
                <w:rFonts w:hint="default" w:ascii="Times New Roman" w:hAnsi="Times New Roman" w:eastAsia="宋体" w:cs="Times New Roman"/>
                <w:bCs/>
                <w:color w:val="auto"/>
                <w:sz w:val="21"/>
                <w:szCs w:val="21"/>
                <w:highlight w:val="none"/>
                <w:u w:val="none" w:color="auto"/>
                <w:lang w:val="en-US" w:eastAsia="zh-CN" w:bidi="ar"/>
              </w:rPr>
              <w:t>初期雨水经雨水沟收集进入初期雨水沉淀池，根据前文核算，本项目单次初期雨水产生量为861.3m</w:t>
            </w:r>
            <w:r>
              <w:rPr>
                <w:rFonts w:hint="default" w:ascii="Times New Roman" w:hAnsi="Times New Roman" w:eastAsia="宋体" w:cs="Times New Roman"/>
                <w:bCs/>
                <w:color w:val="auto"/>
                <w:sz w:val="21"/>
                <w:szCs w:val="21"/>
                <w:highlight w:val="none"/>
                <w:u w:val="none" w:color="auto"/>
                <w:vertAlign w:val="superscript"/>
                <w:lang w:val="en-US" w:eastAsia="zh-CN" w:bidi="ar"/>
              </w:rPr>
              <w:t>3</w:t>
            </w:r>
            <w:r>
              <w:rPr>
                <w:rFonts w:hint="default" w:ascii="Times New Roman" w:hAnsi="Times New Roman" w:eastAsia="宋体" w:cs="Times New Roman"/>
                <w:bCs/>
                <w:color w:val="auto"/>
                <w:sz w:val="21"/>
                <w:szCs w:val="21"/>
                <w:highlight w:val="none"/>
                <w:u w:val="none" w:color="auto"/>
                <w:lang w:val="en-US" w:eastAsia="zh-CN" w:bidi="ar"/>
              </w:rPr>
              <w:t>，年收集初期雨水量约（</w:t>
            </w:r>
            <w:r>
              <w:rPr>
                <w:rFonts w:hint="default" w:ascii="Times New Roman" w:hAnsi="Times New Roman" w:eastAsia="宋体" w:cs="Times New Roman"/>
                <w:color w:val="auto"/>
                <w:kern w:val="0"/>
                <w:sz w:val="21"/>
                <w:szCs w:val="20"/>
                <w:highlight w:val="none"/>
                <w:u w:val="none" w:color="auto"/>
                <w:lang w:val="en-US" w:eastAsia="zh-CN" w:bidi="ar-SA"/>
              </w:rPr>
              <w:t>82.6m</w:t>
            </w:r>
            <w:r>
              <w:rPr>
                <w:rFonts w:hint="default" w:ascii="Times New Roman" w:hAnsi="Times New Roman" w:eastAsia="宋体" w:cs="Times New Roman"/>
                <w:color w:val="auto"/>
                <w:kern w:val="0"/>
                <w:sz w:val="21"/>
                <w:szCs w:val="20"/>
                <w:highlight w:val="none"/>
                <w:u w:val="none" w:color="auto"/>
                <w:vertAlign w:val="superscript"/>
                <w:lang w:val="en-US" w:eastAsia="zh-CN" w:bidi="ar-SA"/>
              </w:rPr>
              <w:t>3</w:t>
            </w:r>
            <w:r>
              <w:rPr>
                <w:rFonts w:hint="default" w:ascii="Times New Roman" w:hAnsi="Times New Roman" w:eastAsia="宋体" w:cs="Times New Roman"/>
                <w:color w:val="auto"/>
                <w:kern w:val="0"/>
                <w:sz w:val="21"/>
                <w:szCs w:val="20"/>
                <w:highlight w:val="none"/>
                <w:u w:val="none" w:color="auto"/>
                <w:lang w:val="en-US" w:eastAsia="zh-CN" w:bidi="ar-SA"/>
              </w:rPr>
              <w:t>/d</w:t>
            </w:r>
            <w:r>
              <w:rPr>
                <w:rFonts w:hint="default" w:ascii="Times New Roman" w:hAnsi="Times New Roman" w:eastAsia="宋体" w:cs="Times New Roman"/>
                <w:bCs/>
                <w:color w:val="auto"/>
                <w:sz w:val="21"/>
                <w:szCs w:val="21"/>
                <w:highlight w:val="none"/>
                <w:u w:val="none" w:color="auto"/>
                <w:lang w:val="en-US" w:eastAsia="zh-CN" w:bidi="ar"/>
              </w:rPr>
              <w:t>）</w:t>
            </w:r>
            <w:r>
              <w:rPr>
                <w:rFonts w:hint="default" w:ascii="Times New Roman" w:hAnsi="Times New Roman" w:eastAsia="宋体" w:cs="Times New Roman"/>
                <w:color w:val="auto"/>
                <w:kern w:val="2"/>
                <w:highlight w:val="none"/>
                <w:u w:val="none" w:color="auto"/>
                <w:lang w:val="en-US" w:eastAsia="zh-CN"/>
              </w:rPr>
              <w:t>30145.5</w:t>
            </w:r>
            <w:r>
              <w:rPr>
                <w:rFonts w:hint="default" w:ascii="Times New Roman" w:hAnsi="Times New Roman" w:eastAsia="宋体" w:cs="Times New Roman"/>
                <w:bCs/>
                <w:color w:val="auto"/>
                <w:sz w:val="21"/>
                <w:szCs w:val="21"/>
                <w:highlight w:val="none"/>
                <w:u w:val="none" w:color="auto"/>
                <w:lang w:val="en-US" w:eastAsia="zh-CN" w:bidi="ar"/>
              </w:rPr>
              <w:t>m</w:t>
            </w:r>
            <w:r>
              <w:rPr>
                <w:rFonts w:hint="default" w:ascii="Times New Roman" w:hAnsi="Times New Roman" w:eastAsia="宋体" w:cs="Times New Roman"/>
                <w:bCs/>
                <w:color w:val="auto"/>
                <w:sz w:val="21"/>
                <w:szCs w:val="21"/>
                <w:highlight w:val="none"/>
                <w:u w:val="none" w:color="auto"/>
                <w:vertAlign w:val="superscript"/>
                <w:lang w:val="en-US" w:eastAsia="zh-CN" w:bidi="ar"/>
              </w:rPr>
              <w:t>3</w:t>
            </w:r>
            <w:r>
              <w:rPr>
                <w:rFonts w:hint="default" w:ascii="Times New Roman" w:hAnsi="Times New Roman" w:eastAsia="宋体" w:cs="Times New Roman"/>
                <w:bCs/>
                <w:color w:val="auto"/>
                <w:sz w:val="21"/>
                <w:szCs w:val="21"/>
                <w:highlight w:val="none"/>
                <w:u w:val="none" w:color="auto"/>
                <w:lang w:val="en-US" w:eastAsia="zh-CN" w:bidi="ar"/>
              </w:rPr>
              <w:t>/a，</w:t>
            </w:r>
            <w:r>
              <w:rPr>
                <w:rFonts w:hint="default" w:ascii="Times New Roman" w:hAnsi="Times New Roman" w:eastAsia="宋体" w:cs="Times New Roman"/>
                <w:color w:val="auto"/>
                <w:kern w:val="0"/>
                <w:sz w:val="21"/>
                <w:szCs w:val="20"/>
                <w:highlight w:val="none"/>
                <w:u w:val="none" w:color="auto"/>
                <w:lang w:val="en-US" w:eastAsia="zh-CN" w:bidi="ar-SA"/>
              </w:rPr>
              <w:t>主要污染物为SS。依托</w:t>
            </w:r>
            <w:r>
              <w:rPr>
                <w:rFonts w:hint="default" w:ascii="Times New Roman" w:hAnsi="Times New Roman" w:eastAsia="宋体" w:cs="Times New Roman"/>
                <w:bCs/>
                <w:color w:val="auto"/>
                <w:sz w:val="21"/>
                <w:szCs w:val="21"/>
                <w:highlight w:val="none"/>
                <w:u w:val="none" w:color="auto"/>
                <w:lang w:val="en-US" w:eastAsia="zh-CN" w:bidi="ar"/>
              </w:rPr>
              <w:t>虞公港生产废水处理站处理后，全部回用于厂区喷洒降尘等，不外排</w:t>
            </w:r>
            <w:r>
              <w:rPr>
                <w:rFonts w:hint="default" w:ascii="Times New Roman" w:hAnsi="Times New Roman" w:eastAsia="宋体" w:cs="Times New Roman"/>
                <w:color w:val="auto"/>
                <w:kern w:val="0"/>
                <w:sz w:val="21"/>
                <w:szCs w:val="20"/>
                <w:highlight w:val="none"/>
                <w:u w:val="none" w:color="auto"/>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宋体" w:cs="Times New Roman"/>
                <w:bCs/>
                <w:highlight w:val="none"/>
                <w:lang w:eastAsia="zh-CN"/>
              </w:rPr>
            </w:pPr>
            <w:r>
              <w:rPr>
                <w:rFonts w:hint="default" w:ascii="Times New Roman" w:hAnsi="Times New Roman" w:eastAsia="宋体" w:cs="Times New Roman"/>
                <w:color w:val="auto"/>
                <w:kern w:val="0"/>
                <w:sz w:val="21"/>
                <w:szCs w:val="21"/>
                <w:highlight w:val="none"/>
                <w:u w:val="none" w:color="auto"/>
                <w:lang w:val="en-US" w:eastAsia="zh-CN" w:bidi="ar"/>
              </w:rPr>
              <w:t>湘阴虞公港散货泊位片区建设有一座生产废水处理站处理站，处理规模为650m³/d，</w:t>
            </w:r>
            <w:r>
              <w:rPr>
                <w:rFonts w:hint="default" w:ascii="Times New Roman" w:hAnsi="Times New Roman" w:eastAsia="宋体" w:cs="Times New Roman"/>
                <w:highlight w:val="none"/>
              </w:rPr>
              <w:t>工艺为“综合池（</w:t>
            </w:r>
            <w:r>
              <w:rPr>
                <w:rFonts w:hint="default" w:ascii="Times New Roman" w:hAnsi="Times New Roman" w:eastAsia="宋体" w:cs="Times New Roman"/>
                <w:bCs/>
                <w:highlight w:val="none"/>
              </w:rPr>
              <w:t>由沉砂隔油池和调节池组成</w:t>
            </w:r>
            <w:r>
              <w:rPr>
                <w:rFonts w:hint="default" w:ascii="Times New Roman" w:hAnsi="Times New Roman" w:eastAsia="宋体" w:cs="Times New Roman"/>
                <w:highlight w:val="none"/>
              </w:rPr>
              <w:t>）+一体化处理设备+中间水槽+过滤+消毒+回用水池”</w:t>
            </w:r>
            <w:r>
              <w:rPr>
                <w:rFonts w:hint="default" w:ascii="Times New Roman" w:hAnsi="Times New Roman" w:eastAsia="宋体" w:cs="Times New Roman"/>
                <w:bCs/>
                <w:highlight w:val="none"/>
              </w:rPr>
              <w:t>，达到《城市污水再生利用城市杂用水水质》（GB/T18920-2020）中绿化标准后回用于港区喷洒降尘、冲洗、绿化。</w:t>
            </w:r>
            <w:r>
              <w:rPr>
                <w:rFonts w:hint="eastAsia" w:ascii="Times New Roman" w:hAnsi="Times New Roman" w:eastAsia="宋体" w:cs="Times New Roman"/>
                <w:bCs/>
                <w:highlight w:val="none"/>
                <w:lang w:eastAsia="zh-CN"/>
              </w:rPr>
              <w:t>目前</w:t>
            </w:r>
            <w:r>
              <w:rPr>
                <w:rFonts w:hint="default" w:ascii="Times New Roman" w:hAnsi="Times New Roman" w:eastAsia="宋体" w:cs="Times New Roman"/>
                <w:bCs/>
                <w:highlight w:val="none"/>
              </w:rPr>
              <w:t>废水排水量约为150m³/d，生产废水处理站富裕处理能力约500m³/d，本项目的生产废水、初期雨水</w:t>
            </w:r>
            <w:r>
              <w:rPr>
                <w:rFonts w:hint="default" w:ascii="Times New Roman" w:hAnsi="Times New Roman" w:eastAsia="宋体" w:cs="Times New Roman"/>
                <w:bCs/>
                <w:highlight w:val="none"/>
                <w:lang w:eastAsia="zh-CN"/>
              </w:rPr>
              <w:t>排放量约</w:t>
            </w:r>
            <w:r>
              <w:rPr>
                <w:rFonts w:hint="default" w:ascii="Times New Roman" w:hAnsi="Times New Roman" w:eastAsia="宋体" w:cs="Times New Roman"/>
                <w:bCs/>
                <w:highlight w:val="none"/>
                <w:lang w:val="en-US" w:eastAsia="zh-CN"/>
              </w:rPr>
              <w:t>101.8</w:t>
            </w:r>
            <w:r>
              <w:rPr>
                <w:rFonts w:hint="default" w:ascii="Times New Roman" w:hAnsi="Times New Roman" w:eastAsia="宋体" w:cs="Times New Roman"/>
                <w:color w:val="auto"/>
                <w:kern w:val="0"/>
                <w:sz w:val="21"/>
                <w:szCs w:val="20"/>
                <w:highlight w:val="none"/>
                <w:u w:val="none" w:color="auto"/>
                <w:lang w:val="en-US" w:eastAsia="zh-CN" w:bidi="ar-SA"/>
              </w:rPr>
              <w:t>m</w:t>
            </w:r>
            <w:r>
              <w:rPr>
                <w:rFonts w:hint="default" w:ascii="Times New Roman" w:hAnsi="Times New Roman" w:eastAsia="宋体" w:cs="Times New Roman"/>
                <w:color w:val="auto"/>
                <w:kern w:val="0"/>
                <w:sz w:val="21"/>
                <w:szCs w:val="20"/>
                <w:highlight w:val="none"/>
                <w:u w:val="none" w:color="auto"/>
                <w:vertAlign w:val="superscript"/>
                <w:lang w:val="en-US" w:eastAsia="zh-CN" w:bidi="ar-SA"/>
              </w:rPr>
              <w:t>3</w:t>
            </w:r>
            <w:r>
              <w:rPr>
                <w:rFonts w:hint="default" w:ascii="Times New Roman" w:hAnsi="Times New Roman" w:eastAsia="宋体" w:cs="Times New Roman"/>
                <w:color w:val="auto"/>
                <w:kern w:val="0"/>
                <w:sz w:val="21"/>
                <w:szCs w:val="20"/>
                <w:highlight w:val="none"/>
                <w:u w:val="none" w:color="auto"/>
                <w:lang w:val="en-US" w:eastAsia="zh-CN" w:bidi="ar-SA"/>
              </w:rPr>
              <w:t>/d</w:t>
            </w:r>
            <w:r>
              <w:rPr>
                <w:rFonts w:hint="default" w:ascii="Times New Roman" w:hAnsi="Times New Roman" w:eastAsia="宋体" w:cs="Times New Roman"/>
                <w:bCs/>
                <w:highlight w:val="none"/>
                <w:lang w:eastAsia="zh-CN"/>
              </w:rPr>
              <w:t>，依托可行</w:t>
            </w:r>
            <w:r>
              <w:rPr>
                <w:rFonts w:hint="default" w:ascii="Times New Roman" w:hAnsi="Times New Roman" w:eastAsia="宋体" w:cs="Times New Roman"/>
                <w:bCs/>
                <w:highlight w:val="none"/>
              </w:rPr>
              <w:t>。</w:t>
            </w:r>
            <w:r>
              <w:rPr>
                <w:rFonts w:hint="default" w:ascii="Times New Roman" w:hAnsi="Times New Roman" w:eastAsia="宋体" w:cs="Times New Roman"/>
                <w:bCs/>
                <w:highlight w:val="none"/>
                <w:lang w:eastAsia="zh-CN"/>
              </w:rPr>
              <w:t>生产废水处理站工艺流程如下：</w:t>
            </w:r>
          </w:p>
          <w:p>
            <w:pPr>
              <w:pStyle w:val="52"/>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pPr>
            <w:r>
              <w:object>
                <v:shape id="_x0000_i1028" o:spt="75" type="#_x0000_t75" style="height:263.8pt;width:374.95pt;" o:ole="t" filled="f" o:preferrelative="t" stroked="f" coordsize="21600,21600">
                  <v:path/>
                  <v:fill on="f" focussize="0,0"/>
                  <v:stroke on="f"/>
                  <v:imagedata r:id="rId18" o:title=""/>
                  <o:lock v:ext="edit" aspectratio="t"/>
                  <w10:wrap type="none"/>
                  <w10:anchorlock/>
                </v:shape>
                <o:OLEObject Type="Embed" ProgID="Visio.Drawing.11" ShapeID="_x0000_i1028" DrawAspect="Content" ObjectID="_1468075728" r:id="rId17">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textAlignment w:val="auto"/>
              <w:rPr>
                <w:rFonts w:hint="eastAsia" w:ascii="Times New Roman" w:hAnsi="Times New Roman" w:eastAsia="宋体" w:cs="Times New Roman"/>
                <w:color w:val="auto"/>
                <w:kern w:val="0"/>
                <w:szCs w:val="21"/>
                <w:u w:val="none" w:color="auto"/>
                <w:lang w:val="zh-CN" w:eastAsia="zh-CN"/>
              </w:rPr>
            </w:pPr>
            <w:r>
              <w:rPr>
                <w:rFonts w:hint="eastAsia" w:ascii="Times New Roman" w:hAnsi="Times New Roman" w:eastAsia="宋体" w:cs="Times New Roman"/>
                <w:color w:val="auto"/>
                <w:kern w:val="0"/>
                <w:szCs w:val="21"/>
                <w:u w:val="none" w:color="auto"/>
                <w:lang w:eastAsia="zh-CN"/>
              </w:rPr>
              <w:t>根据虞公港码头验收报告中</w:t>
            </w:r>
            <w:r>
              <w:rPr>
                <w:rFonts w:hint="default" w:ascii="Times New Roman" w:hAnsi="Times New Roman" w:eastAsia="宋体" w:cs="Times New Roman"/>
                <w:color w:val="auto"/>
                <w:kern w:val="0"/>
                <w:szCs w:val="21"/>
                <w:u w:val="none" w:color="auto"/>
                <w:lang w:eastAsia="zh-CN"/>
              </w:rPr>
              <w:t>202</w:t>
            </w:r>
            <w:r>
              <w:rPr>
                <w:rFonts w:hint="eastAsia" w:ascii="Times New Roman" w:hAnsi="Times New Roman" w:eastAsia="宋体" w:cs="Times New Roman"/>
                <w:color w:val="auto"/>
                <w:kern w:val="0"/>
                <w:szCs w:val="21"/>
                <w:u w:val="none" w:color="auto"/>
                <w:lang w:eastAsia="zh-CN"/>
              </w:rPr>
              <w:t>5年6月10</w:t>
            </w:r>
            <w:r>
              <w:rPr>
                <w:rFonts w:hint="default" w:ascii="Times New Roman" w:hAnsi="Times New Roman" w:eastAsia="宋体" w:cs="Times New Roman"/>
                <w:color w:val="auto"/>
                <w:kern w:val="0"/>
                <w:szCs w:val="21"/>
                <w:u w:val="none" w:color="auto"/>
                <w:lang w:eastAsia="zh-CN"/>
              </w:rPr>
              <w:t>-</w:t>
            </w:r>
            <w:r>
              <w:rPr>
                <w:rFonts w:hint="eastAsia" w:ascii="Times New Roman" w:hAnsi="Times New Roman" w:eastAsia="宋体" w:cs="Times New Roman"/>
                <w:color w:val="auto"/>
                <w:kern w:val="0"/>
                <w:szCs w:val="21"/>
                <w:u w:val="none" w:color="auto"/>
                <w:lang w:eastAsia="zh-CN"/>
              </w:rPr>
              <w:t>11日对</w:t>
            </w:r>
            <w:r>
              <w:rPr>
                <w:rFonts w:hint="eastAsia" w:cs="Times New Roman"/>
                <w:color w:val="auto"/>
                <w:kern w:val="0"/>
                <w:szCs w:val="21"/>
                <w:u w:val="none" w:color="auto"/>
                <w:lang w:eastAsia="zh-CN"/>
              </w:rPr>
              <w:t>生产废水</w:t>
            </w:r>
            <w:r>
              <w:rPr>
                <w:rFonts w:hint="eastAsia" w:ascii="Times New Roman" w:hAnsi="Times New Roman" w:eastAsia="宋体" w:cs="Times New Roman"/>
                <w:color w:val="auto"/>
                <w:kern w:val="0"/>
                <w:szCs w:val="21"/>
                <w:u w:val="none" w:color="auto"/>
                <w:lang w:eastAsia="zh-CN"/>
              </w:rPr>
              <w:t>处理站的监测，废水</w:t>
            </w:r>
            <w:r>
              <w:rPr>
                <w:rFonts w:hint="default" w:ascii="Times New Roman" w:hAnsi="Times New Roman" w:eastAsia="宋体" w:cs="Times New Roman"/>
                <w:color w:val="auto"/>
                <w:kern w:val="0"/>
                <w:szCs w:val="21"/>
                <w:u w:val="none" w:color="auto"/>
                <w:lang w:val="zh-CN" w:eastAsia="zh-CN"/>
              </w:rPr>
              <w:t>监测结果见表</w:t>
            </w:r>
            <w:r>
              <w:rPr>
                <w:rFonts w:hint="eastAsia" w:cs="Times New Roman"/>
                <w:color w:val="auto"/>
                <w:kern w:val="0"/>
                <w:szCs w:val="21"/>
                <w:u w:val="none" w:color="auto"/>
                <w:lang w:val="en-US" w:eastAsia="zh-CN"/>
              </w:rPr>
              <w:t>4</w:t>
            </w:r>
            <w:r>
              <w:rPr>
                <w:rFonts w:hint="default" w:ascii="Times New Roman" w:hAnsi="Times New Roman" w:eastAsia="宋体" w:cs="Times New Roman"/>
                <w:color w:val="auto"/>
                <w:kern w:val="0"/>
                <w:szCs w:val="21"/>
                <w:u w:val="none" w:color="auto"/>
                <w:lang w:val="zh-CN" w:eastAsia="zh-CN"/>
              </w:rPr>
              <w:t>-</w:t>
            </w:r>
            <w:r>
              <w:rPr>
                <w:rFonts w:hint="eastAsia" w:cs="Times New Roman"/>
                <w:color w:val="auto"/>
                <w:kern w:val="0"/>
                <w:szCs w:val="21"/>
                <w:u w:val="none" w:color="auto"/>
                <w:lang w:val="en-US" w:eastAsia="zh-CN"/>
              </w:rPr>
              <w:t>8</w:t>
            </w:r>
            <w:r>
              <w:rPr>
                <w:rFonts w:hint="default" w:ascii="Times New Roman" w:hAnsi="Times New Roman" w:eastAsia="宋体" w:cs="Times New Roman"/>
                <w:color w:val="auto"/>
                <w:kern w:val="0"/>
                <w:szCs w:val="21"/>
                <w:u w:val="none" w:color="auto"/>
                <w:lang w:val="zh-CN" w:eastAsia="zh-CN"/>
              </w:rPr>
              <w:t>。</w:t>
            </w:r>
          </w:p>
          <w:p>
            <w:pPr>
              <w:adjustRightInd w:val="0"/>
              <w:snapToGrid w:val="0"/>
              <w:spacing w:line="480" w:lineRule="exact"/>
              <w:ind w:firstLine="422" w:firstLineChars="200"/>
              <w:jc w:val="center"/>
              <w:rPr>
                <w:rFonts w:hint="eastAsia" w:ascii="Times New Roman" w:hAnsi="Times New Roman" w:cs="Times New Roman"/>
                <w:b/>
                <w:kern w:val="0"/>
                <w:szCs w:val="21"/>
                <w:u w:val="none"/>
              </w:rPr>
            </w:pPr>
            <w:r>
              <w:rPr>
                <w:rFonts w:hint="eastAsia" w:ascii="Times New Roman" w:hAnsi="Times New Roman" w:cs="Times New Roman"/>
                <w:b/>
                <w:kern w:val="0"/>
                <w:szCs w:val="21"/>
                <w:u w:val="none"/>
              </w:rPr>
              <w:t>表</w:t>
            </w:r>
            <w:r>
              <w:rPr>
                <w:rFonts w:hint="eastAsia" w:cs="Times New Roman"/>
                <w:b/>
                <w:kern w:val="0"/>
                <w:szCs w:val="21"/>
                <w:u w:val="none"/>
                <w:lang w:val="en-US" w:eastAsia="zh-CN"/>
              </w:rPr>
              <w:t>4</w:t>
            </w:r>
            <w:r>
              <w:rPr>
                <w:rFonts w:hint="default" w:ascii="Times New Roman" w:hAnsi="Times New Roman" w:cs="Times New Roman"/>
                <w:b/>
                <w:kern w:val="0"/>
                <w:szCs w:val="21"/>
                <w:u w:val="none"/>
              </w:rPr>
              <w:t>-</w:t>
            </w:r>
            <w:r>
              <w:rPr>
                <w:rFonts w:hint="eastAsia" w:cs="Times New Roman"/>
                <w:b/>
                <w:kern w:val="0"/>
                <w:szCs w:val="21"/>
                <w:u w:val="none"/>
                <w:lang w:val="en-US" w:eastAsia="zh-CN"/>
              </w:rPr>
              <w:t>8</w:t>
            </w:r>
            <w:r>
              <w:rPr>
                <w:rFonts w:hint="default" w:ascii="Times New Roman" w:hAnsi="Times New Roman" w:cs="Times New Roman"/>
                <w:b/>
                <w:kern w:val="0"/>
                <w:szCs w:val="21"/>
                <w:u w:val="none"/>
              </w:rPr>
              <w:t xml:space="preserve"> </w:t>
            </w:r>
            <w:r>
              <w:rPr>
                <w:rFonts w:hint="eastAsia" w:ascii="Times New Roman" w:hAnsi="Times New Roman" w:cs="Times New Roman"/>
                <w:b/>
                <w:kern w:val="0"/>
                <w:szCs w:val="21"/>
                <w:u w:val="none"/>
              </w:rPr>
              <w:t>废水检测结果</w:t>
            </w:r>
          </w:p>
          <w:tbl>
            <w:tblPr>
              <w:tblStyle w:val="31"/>
              <w:tblW w:w="804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51" w:type="dxa"/>
                <w:bottom w:w="0" w:type="dxa"/>
                <w:right w:w="51" w:type="dxa"/>
              </w:tblCellMar>
            </w:tblPr>
            <w:tblGrid>
              <w:gridCol w:w="1161"/>
              <w:gridCol w:w="638"/>
              <w:gridCol w:w="1028"/>
              <w:gridCol w:w="807"/>
              <w:gridCol w:w="873"/>
              <w:gridCol w:w="856"/>
              <w:gridCol w:w="921"/>
              <w:gridCol w:w="972"/>
              <w:gridCol w:w="78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161" w:type="dxa"/>
                  <w:vMerge w:val="restart"/>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w:t>
                  </w:r>
                </w:p>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日期</w:t>
                  </w:r>
                </w:p>
              </w:tc>
              <w:tc>
                <w:tcPr>
                  <w:tcW w:w="638" w:type="dxa"/>
                  <w:vMerge w:val="restart"/>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点位名称</w:t>
                  </w:r>
                </w:p>
              </w:tc>
              <w:tc>
                <w:tcPr>
                  <w:tcW w:w="1028" w:type="dxa"/>
                  <w:vMerge w:val="restart"/>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3457" w:type="dxa"/>
                  <w:gridSpan w:val="4"/>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检测结果</w:t>
                  </w:r>
                </w:p>
              </w:tc>
              <w:tc>
                <w:tcPr>
                  <w:tcW w:w="972" w:type="dxa"/>
                  <w:vMerge w:val="restart"/>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建议参考标准限值</w:t>
                  </w:r>
                </w:p>
              </w:tc>
              <w:tc>
                <w:tcPr>
                  <w:tcW w:w="788" w:type="dxa"/>
                  <w:vMerge w:val="restart"/>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1028" w:type="dxa"/>
                  <w:vMerge w:val="continue"/>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807" w:type="dxa"/>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873" w:type="dxa"/>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856" w:type="dxa"/>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921" w:type="dxa"/>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第四次</w:t>
                  </w:r>
                </w:p>
              </w:tc>
              <w:tc>
                <w:tcPr>
                  <w:tcW w:w="972" w:type="dxa"/>
                  <w:vMerge w:val="continue"/>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788" w:type="dxa"/>
                  <w:vMerge w:val="continue"/>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restart"/>
                  <w:tcBorders>
                    <w:top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2025.06.10</w:t>
                  </w:r>
                </w:p>
              </w:tc>
              <w:tc>
                <w:tcPr>
                  <w:tcW w:w="638" w:type="dxa"/>
                  <w:vMerge w:val="restart"/>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污水处理设施出口</w:t>
                  </w:r>
                </w:p>
              </w:tc>
              <w:tc>
                <w:tcPr>
                  <w:tcW w:w="1028" w:type="dxa"/>
                  <w:noWrap w:val="0"/>
                  <w:vAlign w:val="center"/>
                </w:tcPr>
                <w:p>
                  <w:pPr>
                    <w:autoSpaceDN w:val="0"/>
                    <w:spacing w:line="240" w:lineRule="exact"/>
                    <w:jc w:val="center"/>
                    <w:textAlignment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pH</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无量纲</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CODcr</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氨氮</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1.16</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1.14</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1.15</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7.6</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7.9</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悬浮物</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总磷</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0.67</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0.62</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0.69</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0.79</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石油类</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0.19</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0.01L</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0.01L</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色度</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倍</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臭和味</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无不快感</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浊度</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NTU</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溶解性总固体</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972" w:type="dxa"/>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≦2000</w:t>
                  </w:r>
                </w:p>
              </w:tc>
              <w:tc>
                <w:tcPr>
                  <w:tcW w:w="788" w:type="dxa"/>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阴离子表面活性剂</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972" w:type="dxa"/>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788" w:type="dxa"/>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溶解氧</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restart"/>
                  <w:tcBorders>
                    <w:top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2025.06.11</w:t>
                  </w:r>
                </w:p>
              </w:tc>
              <w:tc>
                <w:tcPr>
                  <w:tcW w:w="638" w:type="dxa"/>
                  <w:vMerge w:val="restart"/>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污水处理设施出口</w:t>
                  </w:r>
                </w:p>
              </w:tc>
              <w:tc>
                <w:tcPr>
                  <w:tcW w:w="1028" w:type="dxa"/>
                  <w:noWrap w:val="0"/>
                  <w:vAlign w:val="center"/>
                </w:tcPr>
                <w:p>
                  <w:pPr>
                    <w:autoSpaceDN w:val="0"/>
                    <w:spacing w:line="240" w:lineRule="exact"/>
                    <w:jc w:val="center"/>
                    <w:textAlignment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pH</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无量纲</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CODcr</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氨氮</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1.13</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7.9</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7.8</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8.1</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悬浮物</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总磷</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0.68</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0.62</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0.66</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0.71</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石油类</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0.19</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0.23</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色度</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倍</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臭和味</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无不快感</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浊度</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NTU</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溶解性总固体</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w:t>
                  </w:r>
                </w:p>
              </w:tc>
              <w:tc>
                <w:tcPr>
                  <w:tcW w:w="972" w:type="dxa"/>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≦2000</w:t>
                  </w:r>
                </w:p>
              </w:tc>
              <w:tc>
                <w:tcPr>
                  <w:tcW w:w="788" w:type="dxa"/>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bottom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阴离子表面活性剂</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972" w:type="dxa"/>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788" w:type="dxa"/>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1" w:type="dxa"/>
                  <w:bottom w:w="0" w:type="dxa"/>
                  <w:right w:w="51" w:type="dxa"/>
                </w:tblCellMar>
              </w:tblPrEx>
              <w:trPr>
                <w:trHeight w:val="261" w:hRule="atLeast"/>
                <w:jc w:val="center"/>
              </w:trPr>
              <w:tc>
                <w:tcPr>
                  <w:tcW w:w="1161" w:type="dxa"/>
                  <w:vMerge w:val="continue"/>
                  <w:tcBorders>
                    <w:top w:val="single" w:color="auto" w:sz="4" w:space="0"/>
                  </w:tcBorders>
                  <w:noWrap w:val="0"/>
                  <w:vAlign w:val="center"/>
                </w:tcPr>
                <w:p>
                  <w:pPr>
                    <w:autoSpaceDN w:val="0"/>
                    <w:spacing w:line="240" w:lineRule="exact"/>
                    <w:jc w:val="center"/>
                    <w:textAlignment w:val="center"/>
                    <w:rPr>
                      <w:rFonts w:hint="default" w:ascii="Times New Roman" w:hAnsi="Times New Roman" w:eastAsia="宋体" w:cs="Times New Roman"/>
                      <w:sz w:val="21"/>
                      <w:szCs w:val="21"/>
                    </w:rPr>
                  </w:pPr>
                </w:p>
              </w:tc>
              <w:tc>
                <w:tcPr>
                  <w:tcW w:w="63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sz w:val="21"/>
                      <w:szCs w:val="21"/>
                    </w:rPr>
                  </w:pPr>
                </w:p>
              </w:tc>
              <w:tc>
                <w:tcPr>
                  <w:tcW w:w="102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溶解氧</w:t>
                  </w:r>
                </w:p>
              </w:tc>
              <w:tc>
                <w:tcPr>
                  <w:tcW w:w="807"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873"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w:t>
                  </w:r>
                </w:p>
              </w:tc>
              <w:tc>
                <w:tcPr>
                  <w:tcW w:w="856"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w:t>
                  </w:r>
                </w:p>
              </w:tc>
              <w:tc>
                <w:tcPr>
                  <w:tcW w:w="921"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w:t>
                  </w:r>
                </w:p>
              </w:tc>
              <w:tc>
                <w:tcPr>
                  <w:tcW w:w="972"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788" w:type="dxa"/>
                  <w:noWrap w:val="0"/>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bl>
          <w:p>
            <w:pPr>
              <w:autoSpaceDE w:val="0"/>
              <w:autoSpaceDN w:val="0"/>
              <w:adjustRightInd w:val="0"/>
              <w:spacing w:line="360" w:lineRule="auto"/>
              <w:ind w:firstLine="420" w:firstLineChars="200"/>
              <w:rPr>
                <w:rFonts w:hint="eastAsia" w:eastAsia="宋体"/>
                <w:kern w:val="0"/>
                <w:sz w:val="24"/>
                <w:lang w:val="en-US" w:eastAsia="zh-CN"/>
              </w:rPr>
            </w:pPr>
            <w:r>
              <w:rPr>
                <w:rFonts w:hint="eastAsia" w:ascii="宋体" w:hAnsi="宋体" w:eastAsia="宋体" w:cs="宋体"/>
                <w:bCs/>
                <w:highlight w:val="none"/>
                <w:lang w:val="en-US" w:eastAsia="zh-CN"/>
              </w:rPr>
              <w:t>根据以上监测结果可知，生产废水处理设施排口各污染因子均达到了《城市污水再生利用城市杂用水水质》（GB/T18920-2020）表1中的城市绿化用水要求。</w:t>
            </w:r>
            <w:r>
              <w:rPr>
                <w:rFonts w:hint="eastAsia" w:ascii="宋体" w:hAnsi="宋体" w:eastAsia="宋体" w:cs="宋体"/>
                <w:bCs/>
                <w:highlight w:val="none"/>
              </w:rPr>
              <w:t>本项目的生产废水、初期雨水</w:t>
            </w:r>
            <w:r>
              <w:rPr>
                <w:rFonts w:hint="eastAsia" w:ascii="宋体" w:hAnsi="宋体" w:cs="宋体"/>
                <w:bCs/>
                <w:highlight w:val="none"/>
                <w:lang w:eastAsia="zh-CN"/>
              </w:rPr>
              <w:t>与虞公港生产废水水质相似，依托</w:t>
            </w:r>
            <w:r>
              <w:rPr>
                <w:rFonts w:hint="eastAsia" w:cs="Times New Roman"/>
                <w:bCs/>
                <w:color w:val="auto"/>
                <w:sz w:val="21"/>
                <w:szCs w:val="21"/>
                <w:highlight w:val="none"/>
                <w:u w:val="none" w:color="auto"/>
                <w:lang w:val="en-US" w:eastAsia="zh-CN" w:bidi="ar"/>
              </w:rPr>
              <w:t>虞公港生产废水处理站处理后，可达标回用，依托可行</w:t>
            </w:r>
            <w:r>
              <w:rPr>
                <w:rFonts w:hint="default" w:ascii="Times New Roman" w:hAnsi="Times New Roman" w:eastAsia="宋体" w:cs="Times New Roman"/>
                <w:color w:val="auto"/>
                <w:kern w:val="0"/>
                <w:sz w:val="21"/>
                <w:szCs w:val="20"/>
                <w:highlight w:val="none"/>
                <w:u w:val="none" w:color="auto"/>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22" w:firstLineChars="200"/>
              <w:textAlignment w:val="auto"/>
              <w:rPr>
                <w:rFonts w:hint="default" w:ascii="Times New Roman" w:hAnsi="Times New Roman" w:cs="Times New Roman"/>
                <w:b/>
                <w:color w:val="auto"/>
                <w:kern w:val="0"/>
                <w:szCs w:val="21"/>
                <w:u w:val="none" w:color="auto"/>
              </w:rPr>
            </w:pPr>
            <w:r>
              <w:rPr>
                <w:rFonts w:hint="eastAsia" w:cs="Times New Roman"/>
                <w:b/>
                <w:color w:val="auto"/>
                <w:kern w:val="0"/>
                <w:szCs w:val="21"/>
                <w:u w:val="none" w:color="auto"/>
                <w:lang w:eastAsia="zh-CN"/>
              </w:rPr>
              <w:t>（</w:t>
            </w:r>
            <w:r>
              <w:rPr>
                <w:rFonts w:hint="eastAsia" w:cs="Times New Roman"/>
                <w:b/>
                <w:color w:val="auto"/>
                <w:kern w:val="0"/>
                <w:szCs w:val="21"/>
                <w:u w:val="none" w:color="auto"/>
                <w:lang w:val="en-US" w:eastAsia="zh-CN"/>
              </w:rPr>
              <w:t>3</w:t>
            </w:r>
            <w:r>
              <w:rPr>
                <w:rFonts w:hint="eastAsia" w:cs="Times New Roman"/>
                <w:b/>
                <w:color w:val="auto"/>
                <w:kern w:val="0"/>
                <w:szCs w:val="21"/>
                <w:u w:val="none" w:color="auto"/>
                <w:lang w:eastAsia="zh-CN"/>
              </w:rPr>
              <w:t>）</w:t>
            </w:r>
            <w:r>
              <w:rPr>
                <w:rFonts w:hint="default" w:ascii="Times New Roman" w:hAnsi="Times New Roman" w:cs="Times New Roman"/>
                <w:b/>
                <w:color w:val="auto"/>
                <w:kern w:val="0"/>
                <w:szCs w:val="21"/>
                <w:u w:val="none" w:color="auto"/>
              </w:rPr>
              <w:t>监测要求</w:t>
            </w:r>
          </w:p>
          <w:p>
            <w:pPr>
              <w:autoSpaceDE w:val="0"/>
              <w:autoSpaceDN w:val="0"/>
              <w:adjustRightInd w:val="0"/>
              <w:spacing w:line="360" w:lineRule="auto"/>
              <w:ind w:firstLine="420" w:firstLineChars="200"/>
              <w:rPr>
                <w:rFonts w:hint="default" w:ascii="宋体" w:hAnsi="宋体" w:eastAsia="宋体" w:cs="宋体"/>
                <w:bCs/>
                <w:highlight w:val="none"/>
                <w:lang w:val="en-US" w:eastAsia="zh-CN"/>
              </w:rPr>
            </w:pPr>
            <w:r>
              <w:rPr>
                <w:rFonts w:hint="eastAsia" w:ascii="宋体" w:hAnsi="宋体" w:eastAsia="宋体" w:cs="宋体"/>
                <w:bCs/>
                <w:highlight w:val="none"/>
                <w:lang w:val="en-US" w:eastAsia="zh-CN"/>
              </w:rPr>
              <w:t>本项目生产、生活污水均不外排，无废水监测要求。</w:t>
            </w:r>
          </w:p>
          <w:p>
            <w:pPr>
              <w:pStyle w:val="64"/>
              <w:numPr>
                <w:ilvl w:val="0"/>
                <w:numId w:val="7"/>
              </w:numPr>
              <w:bidi w:val="0"/>
              <w:spacing w:line="360" w:lineRule="auto"/>
              <w:ind w:left="0" w:leftChars="0" w:firstLine="422" w:firstLineChars="200"/>
              <w:outlineLvl w:val="9"/>
              <w:rPr>
                <w:rFonts w:hint="eastAsia" w:cs="Times New Roman"/>
                <w:color w:val="auto"/>
                <w:u w:val="none" w:color="auto"/>
                <w:lang w:val="en-US" w:eastAsia="zh-CN"/>
              </w:rPr>
            </w:pPr>
            <w:r>
              <w:rPr>
                <w:rFonts w:hint="eastAsia" w:cs="Times New Roman"/>
                <w:color w:val="auto"/>
                <w:u w:val="none" w:color="auto"/>
                <w:lang w:val="en-US" w:eastAsia="zh-CN"/>
              </w:rPr>
              <w:t>噪声</w:t>
            </w:r>
          </w:p>
          <w:p>
            <w:pPr>
              <w:pStyle w:val="64"/>
              <w:numPr>
                <w:ilvl w:val="0"/>
                <w:numId w:val="0"/>
              </w:numPr>
              <w:bidi w:val="0"/>
              <w:spacing w:line="360" w:lineRule="auto"/>
              <w:ind w:leftChars="200"/>
              <w:outlineLvl w:val="9"/>
              <w:rPr>
                <w:rFonts w:hint="default" w:ascii="Times New Roman" w:hAnsi="Times New Roman" w:eastAsia="宋体" w:cs="Times New Roman"/>
                <w:color w:val="auto"/>
                <w:u w:val="none" w:color="auto"/>
              </w:rPr>
            </w:pPr>
            <w:r>
              <w:rPr>
                <w:rFonts w:hint="eastAsia" w:cs="Times New Roman"/>
                <w:color w:val="auto"/>
                <w:u w:val="none" w:color="auto"/>
                <w:lang w:val="en-US" w:eastAsia="zh-CN"/>
              </w:rPr>
              <w:t>（1）</w:t>
            </w:r>
            <w:r>
              <w:rPr>
                <w:rFonts w:hint="default" w:ascii="Times New Roman" w:hAnsi="Times New Roman" w:eastAsia="宋体" w:cs="Times New Roman"/>
                <w:color w:val="auto"/>
                <w:u w:val="none" w:color="auto"/>
              </w:rPr>
              <w:t>噪声污染源</w:t>
            </w:r>
          </w:p>
          <w:p>
            <w:pPr>
              <w:spacing w:line="360" w:lineRule="auto"/>
              <w:ind w:firstLine="420" w:firstLineChars="200"/>
              <w:rPr>
                <w:rFonts w:hint="default" w:ascii="Times New Roman" w:hAnsi="Times New Roman" w:eastAsia="宋体" w:cs="Times New Roman"/>
                <w:b/>
                <w:color w:val="auto"/>
                <w:kern w:val="2"/>
                <w:sz w:val="21"/>
                <w:szCs w:val="21"/>
                <w:u w:val="none" w:color="auto"/>
                <w:lang w:val="en-US" w:eastAsia="zh-CN" w:bidi="ar"/>
              </w:rPr>
            </w:pPr>
            <w:r>
              <w:rPr>
                <w:rFonts w:hint="default" w:ascii="Times New Roman" w:hAnsi="Times New Roman" w:eastAsia="宋体" w:cs="Times New Roman"/>
                <w:color w:val="auto"/>
                <w:szCs w:val="21"/>
                <w:u w:val="none" w:color="auto"/>
                <w:lang w:bidi="ar"/>
              </w:rPr>
              <w:t>本项目营运期主要噪声源为</w:t>
            </w:r>
            <w:r>
              <w:rPr>
                <w:rFonts w:hint="eastAsia" w:cs="Times New Roman"/>
                <w:color w:val="auto"/>
                <w:szCs w:val="21"/>
                <w:u w:val="none" w:color="auto"/>
                <w:lang w:eastAsia="zh-CN" w:bidi="ar"/>
              </w:rPr>
              <w:t>堆取料机、装载机、带式输送机等</w:t>
            </w:r>
            <w:r>
              <w:rPr>
                <w:rFonts w:hint="default" w:ascii="Times New Roman" w:hAnsi="Times New Roman" w:eastAsia="宋体" w:cs="Times New Roman"/>
                <w:color w:val="auto"/>
                <w:szCs w:val="21"/>
                <w:u w:val="none" w:color="auto"/>
                <w:lang w:bidi="ar"/>
              </w:rPr>
              <w:t>。</w:t>
            </w:r>
            <w:r>
              <w:rPr>
                <w:rFonts w:hint="default" w:ascii="Times New Roman" w:hAnsi="Times New Roman" w:eastAsia="宋体" w:cs="Times New Roman"/>
                <w:color w:val="auto"/>
                <w:spacing w:val="0"/>
                <w:kern w:val="0"/>
                <w:szCs w:val="21"/>
                <w:u w:val="none" w:color="auto"/>
              </w:rPr>
              <w:t>其噪声源强见表4</w:t>
            </w:r>
            <w:r>
              <w:rPr>
                <w:rFonts w:hint="default" w:ascii="Times New Roman" w:hAnsi="Times New Roman" w:eastAsia="宋体" w:cs="Times New Roman"/>
                <w:color w:val="auto"/>
                <w:spacing w:val="0"/>
                <w:kern w:val="0"/>
                <w:szCs w:val="21"/>
                <w:u w:val="none" w:color="auto"/>
                <w:lang w:val="en-US" w:eastAsia="zh-CN"/>
              </w:rPr>
              <w:t>-</w:t>
            </w:r>
            <w:r>
              <w:rPr>
                <w:rFonts w:hint="eastAsia" w:ascii="Times New Roman" w:hAnsi="Times New Roman" w:eastAsia="宋体" w:cs="Times New Roman"/>
                <w:color w:val="auto"/>
                <w:spacing w:val="0"/>
                <w:kern w:val="0"/>
                <w:szCs w:val="21"/>
                <w:u w:val="none" w:color="auto"/>
                <w:lang w:val="en-US" w:eastAsia="zh-CN"/>
              </w:rPr>
              <w:t>13</w:t>
            </w:r>
            <w:r>
              <w:rPr>
                <w:rFonts w:hint="default" w:ascii="Times New Roman" w:hAnsi="Times New Roman" w:eastAsia="宋体" w:cs="Times New Roman"/>
                <w:color w:val="auto"/>
                <w:spacing w:val="0"/>
                <w:kern w:val="0"/>
                <w:szCs w:val="21"/>
                <w:u w:val="none" w:color="auto"/>
              </w:rPr>
              <w:t>。</w:t>
            </w:r>
          </w:p>
          <w:p>
            <w:pPr>
              <w:widowControl/>
              <w:spacing w:before="0" w:beforeAutospacing="0" w:after="0" w:afterAutospacing="0"/>
              <w:ind w:firstLine="482"/>
              <w:jc w:val="center"/>
              <w:rPr>
                <w:rFonts w:hint="default" w:ascii="Times New Roman" w:hAnsi="Times New Roman" w:eastAsia="宋体" w:cs="Times New Roman"/>
                <w:b/>
                <w:color w:val="auto"/>
                <w:kern w:val="2"/>
                <w:sz w:val="21"/>
                <w:szCs w:val="21"/>
                <w:u w:val="none" w:color="auto"/>
                <w:lang w:val="en-US" w:eastAsia="zh-CN" w:bidi="ar"/>
              </w:rPr>
            </w:pPr>
            <w:r>
              <w:rPr>
                <w:rFonts w:hint="default" w:ascii="Times New Roman" w:hAnsi="Times New Roman" w:eastAsia="宋体" w:cs="Times New Roman"/>
                <w:b/>
                <w:color w:val="auto"/>
                <w:kern w:val="2"/>
                <w:sz w:val="21"/>
                <w:szCs w:val="21"/>
                <w:u w:val="none" w:color="auto"/>
                <w:lang w:val="en-US" w:eastAsia="zh-CN" w:bidi="ar"/>
              </w:rPr>
              <w:t>表4-</w:t>
            </w:r>
            <w:r>
              <w:rPr>
                <w:rFonts w:hint="eastAsia" w:cs="Times New Roman"/>
                <w:b/>
                <w:color w:val="auto"/>
                <w:kern w:val="2"/>
                <w:sz w:val="21"/>
                <w:szCs w:val="21"/>
                <w:u w:val="none" w:color="auto"/>
                <w:lang w:val="en-US" w:eastAsia="zh-CN" w:bidi="ar"/>
              </w:rPr>
              <w:t>9</w:t>
            </w:r>
            <w:r>
              <w:rPr>
                <w:rFonts w:hint="eastAsia" w:ascii="Times New Roman" w:hAnsi="Times New Roman" w:eastAsia="宋体" w:cs="Times New Roman"/>
                <w:b/>
                <w:color w:val="auto"/>
                <w:kern w:val="2"/>
                <w:sz w:val="21"/>
                <w:szCs w:val="21"/>
                <w:u w:val="none" w:color="auto"/>
                <w:lang w:val="en-US" w:eastAsia="zh-CN" w:bidi="ar"/>
              </w:rPr>
              <w:t xml:space="preserve"> </w:t>
            </w:r>
            <w:r>
              <w:rPr>
                <w:rFonts w:hint="default" w:ascii="Times New Roman" w:hAnsi="Times New Roman" w:eastAsia="宋体" w:cs="Times New Roman"/>
                <w:b/>
                <w:color w:val="auto"/>
                <w:kern w:val="2"/>
                <w:sz w:val="21"/>
                <w:szCs w:val="21"/>
                <w:u w:val="none" w:color="auto"/>
                <w:lang w:val="en-US" w:eastAsia="zh-CN" w:bidi="ar"/>
              </w:rPr>
              <w:t>本项目噪声源强及降噪措施汇总表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1148"/>
              <w:gridCol w:w="1301"/>
              <w:gridCol w:w="1333"/>
              <w:gridCol w:w="1533"/>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b/>
                      <w:color w:val="auto"/>
                      <w:kern w:val="0"/>
                      <w:sz w:val="21"/>
                      <w:szCs w:val="21"/>
                      <w:u w:val="none" w:color="auto"/>
                      <w:lang w:val="en-US" w:eastAsia="zh-CN" w:bidi="ar-SA"/>
                    </w:rPr>
                  </w:pPr>
                  <w:r>
                    <w:rPr>
                      <w:rFonts w:hint="default" w:ascii="Times New Roman" w:hAnsi="Times New Roman" w:eastAsia="宋体" w:cs="Times New Roman"/>
                      <w:b/>
                      <w:color w:val="auto"/>
                      <w:kern w:val="0"/>
                      <w:sz w:val="21"/>
                      <w:szCs w:val="21"/>
                      <w:u w:val="none" w:color="auto"/>
                      <w:lang w:val="en-US" w:eastAsia="zh-CN" w:bidi="ar"/>
                    </w:rPr>
                    <w:t>设备名称</w:t>
                  </w:r>
                </w:p>
              </w:tc>
              <w:tc>
                <w:tcPr>
                  <w:tcW w:w="1148" w:type="dxa"/>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b/>
                      <w:color w:val="auto"/>
                      <w:kern w:val="0"/>
                      <w:sz w:val="21"/>
                      <w:szCs w:val="21"/>
                      <w:u w:val="none" w:color="auto"/>
                      <w:lang w:val="en-US" w:eastAsia="zh-CN" w:bidi="ar-SA"/>
                    </w:rPr>
                  </w:pPr>
                  <w:r>
                    <w:rPr>
                      <w:rFonts w:hint="default" w:ascii="Times New Roman" w:hAnsi="Times New Roman" w:eastAsia="宋体" w:cs="Times New Roman"/>
                      <w:b/>
                      <w:color w:val="auto"/>
                      <w:kern w:val="0"/>
                      <w:sz w:val="21"/>
                      <w:szCs w:val="21"/>
                      <w:u w:val="none" w:color="auto"/>
                      <w:lang w:val="en-US" w:eastAsia="zh-CN" w:bidi="ar"/>
                    </w:rPr>
                    <w:t>数量/台</w:t>
                  </w:r>
                </w:p>
              </w:tc>
              <w:tc>
                <w:tcPr>
                  <w:tcW w:w="1301" w:type="dxa"/>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b/>
                      <w:color w:val="auto"/>
                      <w:kern w:val="0"/>
                      <w:sz w:val="21"/>
                      <w:szCs w:val="21"/>
                      <w:u w:val="none" w:color="auto"/>
                      <w:lang w:val="en-US" w:eastAsia="zh-CN" w:bidi="ar"/>
                    </w:rPr>
                  </w:pPr>
                  <w:r>
                    <w:rPr>
                      <w:rFonts w:hint="default" w:ascii="Times New Roman" w:hAnsi="Times New Roman" w:eastAsia="宋体" w:cs="Times New Roman"/>
                      <w:b/>
                      <w:color w:val="auto"/>
                      <w:kern w:val="0"/>
                      <w:sz w:val="21"/>
                      <w:szCs w:val="21"/>
                      <w:u w:val="none" w:color="auto"/>
                      <w:lang w:val="en-US" w:eastAsia="zh-CN" w:bidi="ar"/>
                    </w:rPr>
                    <w:t>声源类型</w:t>
                  </w:r>
                </w:p>
              </w:tc>
              <w:tc>
                <w:tcPr>
                  <w:tcW w:w="1333" w:type="dxa"/>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b/>
                      <w:color w:val="auto"/>
                      <w:kern w:val="0"/>
                      <w:sz w:val="21"/>
                      <w:szCs w:val="21"/>
                      <w:u w:val="none" w:color="auto"/>
                      <w:lang w:val="en-US" w:eastAsia="zh-CN" w:bidi="ar-SA"/>
                    </w:rPr>
                  </w:pPr>
                  <w:r>
                    <w:rPr>
                      <w:rFonts w:hint="default" w:ascii="Times New Roman" w:hAnsi="Times New Roman" w:eastAsia="宋体" w:cs="Times New Roman"/>
                      <w:b/>
                      <w:color w:val="auto"/>
                      <w:kern w:val="0"/>
                      <w:sz w:val="21"/>
                      <w:szCs w:val="21"/>
                      <w:u w:val="none" w:color="auto"/>
                      <w:lang w:val="en-US" w:eastAsia="zh-CN" w:bidi="ar"/>
                    </w:rPr>
                    <w:t>源强（</w:t>
                  </w:r>
                  <w:r>
                    <w:rPr>
                      <w:rFonts w:hint="default" w:ascii="Times New Roman" w:hAnsi="Times New Roman" w:eastAsia="宋体" w:cs="Times New Roman"/>
                      <w:b/>
                      <w:color w:val="auto"/>
                      <w:kern w:val="2"/>
                      <w:sz w:val="21"/>
                      <w:szCs w:val="21"/>
                      <w:u w:val="none" w:color="auto"/>
                      <w:lang w:val="en-US" w:eastAsia="zh-CN" w:bidi="ar"/>
                    </w:rPr>
                    <w:t>dB(A)</w:t>
                  </w:r>
                  <w:r>
                    <w:rPr>
                      <w:rFonts w:hint="default" w:ascii="Times New Roman" w:hAnsi="Times New Roman" w:eastAsia="宋体" w:cs="Times New Roman"/>
                      <w:b/>
                      <w:color w:val="auto"/>
                      <w:kern w:val="0"/>
                      <w:sz w:val="21"/>
                      <w:szCs w:val="21"/>
                      <w:u w:val="none" w:color="auto"/>
                      <w:lang w:val="en-US" w:eastAsia="zh-CN" w:bidi="ar"/>
                    </w:rPr>
                    <w:t>）</w:t>
                  </w:r>
                </w:p>
              </w:tc>
              <w:tc>
                <w:tcPr>
                  <w:tcW w:w="1533" w:type="dxa"/>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b/>
                      <w:color w:val="auto"/>
                      <w:kern w:val="0"/>
                      <w:sz w:val="21"/>
                      <w:szCs w:val="21"/>
                      <w:u w:val="none" w:color="auto"/>
                      <w:lang w:val="en-US" w:eastAsia="zh-CN" w:bidi="ar-SA"/>
                    </w:rPr>
                  </w:pPr>
                  <w:r>
                    <w:rPr>
                      <w:rFonts w:hint="default" w:ascii="Times New Roman" w:hAnsi="Times New Roman" w:eastAsia="宋体" w:cs="Times New Roman"/>
                      <w:b/>
                      <w:color w:val="auto"/>
                      <w:kern w:val="0"/>
                      <w:sz w:val="21"/>
                      <w:szCs w:val="21"/>
                      <w:u w:val="none" w:color="auto"/>
                      <w:lang w:val="en-US" w:eastAsia="zh-CN" w:bidi="ar"/>
                    </w:rPr>
                    <w:t>降噪措施</w:t>
                  </w:r>
                </w:p>
              </w:tc>
              <w:tc>
                <w:tcPr>
                  <w:tcW w:w="898" w:type="dxa"/>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b/>
                      <w:color w:val="auto"/>
                      <w:kern w:val="0"/>
                      <w:sz w:val="21"/>
                      <w:szCs w:val="21"/>
                      <w:u w:val="none" w:color="auto"/>
                      <w:lang w:val="en-US" w:eastAsia="zh-CN" w:bidi="ar"/>
                    </w:rPr>
                  </w:pPr>
                  <w:r>
                    <w:rPr>
                      <w:rFonts w:hint="default" w:ascii="Times New Roman" w:hAnsi="Times New Roman" w:eastAsia="宋体" w:cs="Times New Roman"/>
                      <w:b/>
                      <w:color w:val="auto"/>
                      <w:kern w:val="0"/>
                      <w:sz w:val="21"/>
                      <w:szCs w:val="21"/>
                      <w:u w:val="none" w:color="auto"/>
                      <w:lang w:val="en-US" w:eastAsia="zh-CN" w:bidi="ar"/>
                    </w:rPr>
                    <w:t>排放</w:t>
                  </w:r>
                </w:p>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b/>
                      <w:color w:val="auto"/>
                      <w:kern w:val="0"/>
                      <w:sz w:val="21"/>
                      <w:szCs w:val="21"/>
                      <w:u w:val="none" w:color="auto"/>
                      <w:lang w:val="en-US" w:eastAsia="zh-CN" w:bidi="ar"/>
                    </w:rPr>
                  </w:pPr>
                  <w:r>
                    <w:rPr>
                      <w:rFonts w:hint="default" w:ascii="Times New Roman" w:hAnsi="Times New Roman" w:eastAsia="宋体" w:cs="Times New Roman"/>
                      <w:b/>
                      <w:color w:val="auto"/>
                      <w:kern w:val="0"/>
                      <w:sz w:val="21"/>
                      <w:szCs w:val="21"/>
                      <w:u w:val="none" w:color="auto"/>
                      <w:lang w:val="en-US" w:eastAsia="zh-CN" w:bidi="ar"/>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noWrap w:val="0"/>
                  <w:vAlign w:val="center"/>
                </w:tcPr>
                <w:p>
                  <w:pPr>
                    <w:spacing w:line="360" w:lineRule="exact"/>
                    <w:jc w:val="center"/>
                    <w:rPr>
                      <w:rFonts w:hint="default"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 w:val="21"/>
                      <w:szCs w:val="21"/>
                      <w:u w:val="none" w:color="auto"/>
                      <w:lang w:val="en-US" w:eastAsia="zh-CN"/>
                    </w:rPr>
                    <w:t>斗轮堆取料机</w:t>
                  </w:r>
                </w:p>
              </w:tc>
              <w:tc>
                <w:tcPr>
                  <w:tcW w:w="1148" w:type="dxa"/>
                  <w:noWrap w:val="0"/>
                  <w:vAlign w:val="center"/>
                </w:tcPr>
                <w:p>
                  <w:pPr>
                    <w:spacing w:line="360" w:lineRule="exact"/>
                    <w:jc w:val="center"/>
                    <w:rPr>
                      <w:rFonts w:hint="default" w:ascii="Times New Roman" w:hAnsi="Times New Roman" w:eastAsia="宋体" w:cs="Times New Roman"/>
                      <w:color w:val="auto"/>
                      <w:kern w:val="0"/>
                      <w:szCs w:val="21"/>
                      <w:u w:val="none" w:color="auto"/>
                      <w:lang w:val="en-US" w:eastAsia="zh-CN"/>
                    </w:rPr>
                  </w:pPr>
                  <w:r>
                    <w:rPr>
                      <w:rFonts w:hint="eastAsia" w:cs="Times New Roman"/>
                      <w:bCs/>
                      <w:color w:val="auto"/>
                      <w:sz w:val="22"/>
                      <w:u w:val="none" w:color="auto"/>
                      <w:lang w:val="en-US" w:eastAsia="zh-CN"/>
                    </w:rPr>
                    <w:t>4</w:t>
                  </w:r>
                </w:p>
              </w:tc>
              <w:tc>
                <w:tcPr>
                  <w:tcW w:w="1301" w:type="dxa"/>
                  <w:noWrap w:val="0"/>
                  <w:vAlign w:val="center"/>
                </w:tcPr>
                <w:p>
                  <w:pPr>
                    <w:jc w:val="center"/>
                    <w:rPr>
                      <w:rFonts w:hint="eastAsia" w:ascii="Times New Roman" w:hAnsi="Times New Roman" w:eastAsia="宋体" w:cs="Times New Roman"/>
                      <w:color w:val="auto"/>
                      <w:szCs w:val="21"/>
                      <w:u w:val="none" w:color="auto"/>
                      <w:lang w:eastAsia="zh-CN" w:bidi="ar"/>
                    </w:rPr>
                  </w:pPr>
                  <w:r>
                    <w:rPr>
                      <w:rFonts w:hint="eastAsia" w:cs="Times New Roman"/>
                      <w:color w:val="auto"/>
                      <w:szCs w:val="21"/>
                      <w:u w:val="none" w:color="auto"/>
                      <w:lang w:eastAsia="zh-CN" w:bidi="ar"/>
                    </w:rPr>
                    <w:t>间断</w:t>
                  </w:r>
                </w:p>
              </w:tc>
              <w:tc>
                <w:tcPr>
                  <w:tcW w:w="13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i w:val="0"/>
                      <w:iCs w:val="0"/>
                      <w:color w:val="auto"/>
                      <w:kern w:val="0"/>
                      <w:sz w:val="21"/>
                      <w:szCs w:val="21"/>
                      <w:u w:val="none" w:color="auto"/>
                      <w:lang w:val="en-US" w:eastAsia="zh-CN" w:bidi="ar"/>
                    </w:rPr>
                    <w:t>85</w:t>
                  </w:r>
                </w:p>
              </w:tc>
              <w:tc>
                <w:tcPr>
                  <w:tcW w:w="1533" w:type="dxa"/>
                  <w:vMerge w:val="restart"/>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
                    </w:rPr>
                    <w:t>选用低噪声设备、</w:t>
                  </w:r>
                  <w:r>
                    <w:rPr>
                      <w:rFonts w:hint="default" w:ascii="Times New Roman" w:hAnsi="Times New Roman" w:eastAsia="宋体" w:cs="Times New Roman"/>
                      <w:color w:val="auto"/>
                      <w:kern w:val="0"/>
                      <w:sz w:val="21"/>
                      <w:szCs w:val="21"/>
                      <w:u w:val="none" w:color="auto"/>
                      <w:lang w:val="en-US" w:eastAsia="zh-CN" w:bidi="ar"/>
                    </w:rPr>
                    <w:t>设备基础减震、厂房及建筑材料隔声、吸声等措施</w:t>
                  </w:r>
                </w:p>
              </w:tc>
              <w:tc>
                <w:tcPr>
                  <w:tcW w:w="898" w:type="dxa"/>
                  <w:vMerge w:val="restart"/>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≤7920</w:t>
                  </w:r>
                  <w:r>
                    <w:rPr>
                      <w:rFonts w:hint="default" w:ascii="Times New Roman" w:hAnsi="Times New Roman" w:eastAsia="宋体" w:cs="Times New Roman"/>
                      <w:color w:val="auto"/>
                      <w:kern w:val="0"/>
                      <w:sz w:val="21"/>
                      <w:szCs w:val="21"/>
                      <w:u w:val="none" w:color="auto"/>
                      <w:lang w:val="en-US" w:eastAsia="zh-CN" w:bidi="ar-SA"/>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0" w:type="dxa"/>
                  <w:noWrap w:val="0"/>
                  <w:vAlign w:val="center"/>
                </w:tcPr>
                <w:p>
                  <w:pPr>
                    <w:spacing w:line="360" w:lineRule="exact"/>
                    <w:jc w:val="center"/>
                    <w:rPr>
                      <w:rFonts w:hint="default" w:ascii="Times New Roman" w:hAnsi="Times New Roman" w:eastAsia="宋体" w:cs="Times New Roman"/>
                      <w:color w:val="auto"/>
                      <w:szCs w:val="21"/>
                      <w:highlight w:val="none"/>
                      <w:u w:val="none" w:color="auto"/>
                      <w:lang w:bidi="ar"/>
                    </w:rPr>
                  </w:pPr>
                  <w:r>
                    <w:rPr>
                      <w:rFonts w:hint="eastAsia" w:ascii="Times New Roman" w:hAnsi="Times New Roman" w:eastAsia="宋体" w:cs="Times New Roman"/>
                      <w:color w:val="auto"/>
                      <w:sz w:val="21"/>
                      <w:szCs w:val="21"/>
                      <w:u w:val="none" w:color="auto"/>
                      <w:lang w:val="en-US" w:eastAsia="zh-CN"/>
                    </w:rPr>
                    <w:t>除铁器</w:t>
                  </w:r>
                </w:p>
              </w:tc>
              <w:tc>
                <w:tcPr>
                  <w:tcW w:w="1148" w:type="dxa"/>
                  <w:noWrap w:val="0"/>
                  <w:vAlign w:val="center"/>
                </w:tcPr>
                <w:p>
                  <w:pPr>
                    <w:spacing w:line="360" w:lineRule="exact"/>
                    <w:jc w:val="center"/>
                    <w:rPr>
                      <w:rFonts w:hint="default" w:ascii="Times New Roman" w:hAnsi="Times New Roman" w:eastAsia="宋体" w:cs="Times New Roman"/>
                      <w:color w:val="auto"/>
                      <w:kern w:val="0"/>
                      <w:szCs w:val="21"/>
                      <w:u w:val="none" w:color="auto"/>
                      <w:lang w:val="en-US" w:eastAsia="zh-CN" w:bidi="ar"/>
                    </w:rPr>
                  </w:pPr>
                  <w:r>
                    <w:rPr>
                      <w:rFonts w:hint="eastAsia" w:cs="Times New Roman"/>
                      <w:color w:val="auto"/>
                      <w:kern w:val="0"/>
                      <w:szCs w:val="21"/>
                      <w:u w:val="none" w:color="auto"/>
                      <w:lang w:val="en-US" w:eastAsia="zh-CN" w:bidi="ar"/>
                    </w:rPr>
                    <w:t>3</w:t>
                  </w:r>
                </w:p>
              </w:tc>
              <w:tc>
                <w:tcPr>
                  <w:tcW w:w="1301" w:type="dxa"/>
                  <w:noWrap w:val="0"/>
                  <w:vAlign w:val="center"/>
                </w:tcPr>
                <w:p>
                  <w:pPr>
                    <w:jc w:val="center"/>
                    <w:rPr>
                      <w:rFonts w:hint="default" w:ascii="Times New Roman" w:hAnsi="Times New Roman" w:eastAsia="宋体" w:cs="Times New Roman"/>
                      <w:color w:val="auto"/>
                      <w:szCs w:val="21"/>
                      <w:u w:val="none" w:color="auto"/>
                      <w:lang w:bidi="ar"/>
                    </w:rPr>
                  </w:pPr>
                  <w:r>
                    <w:rPr>
                      <w:rFonts w:hint="eastAsia" w:cs="Times New Roman"/>
                      <w:color w:val="auto"/>
                      <w:szCs w:val="21"/>
                      <w:u w:val="none" w:color="auto"/>
                      <w:lang w:eastAsia="zh-CN" w:bidi="ar"/>
                    </w:rPr>
                    <w:t>间断</w:t>
                  </w:r>
                </w:p>
              </w:tc>
              <w:tc>
                <w:tcPr>
                  <w:tcW w:w="13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u w:val="none" w:color="auto"/>
                      <w:lang w:val="en-US" w:eastAsia="zh-CN" w:bidi="ar"/>
                    </w:rPr>
                  </w:pPr>
                  <w:r>
                    <w:rPr>
                      <w:rFonts w:hint="eastAsia" w:cs="Times New Roman"/>
                      <w:color w:val="auto"/>
                      <w:szCs w:val="21"/>
                      <w:u w:val="none" w:color="auto"/>
                      <w:lang w:val="en-US" w:eastAsia="zh-CN" w:bidi="ar"/>
                    </w:rPr>
                    <w:t>80</w:t>
                  </w:r>
                </w:p>
              </w:tc>
              <w:tc>
                <w:tcPr>
                  <w:tcW w:w="1533" w:type="dxa"/>
                  <w:vMerge w:val="continue"/>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kern w:val="0"/>
                      <w:sz w:val="21"/>
                      <w:szCs w:val="21"/>
                      <w:u w:val="none" w:color="auto"/>
                      <w:lang w:val="en-US" w:eastAsia="zh-CN" w:bidi="ar"/>
                    </w:rPr>
                  </w:pPr>
                </w:p>
              </w:tc>
              <w:tc>
                <w:tcPr>
                  <w:tcW w:w="898" w:type="dxa"/>
                  <w:vMerge w:val="continue"/>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kern w:val="0"/>
                      <w:sz w:val="21"/>
                      <w:szCs w:val="21"/>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noWrap w:val="0"/>
                  <w:vAlign w:val="center"/>
                </w:tcPr>
                <w:p>
                  <w:pPr>
                    <w:spacing w:line="360" w:lineRule="exact"/>
                    <w:jc w:val="center"/>
                    <w:rPr>
                      <w:rFonts w:hint="default" w:ascii="Times New Roman" w:hAnsi="Times New Roman" w:eastAsia="宋体" w:cs="Times New Roman"/>
                      <w:color w:val="auto"/>
                      <w:szCs w:val="21"/>
                      <w:highlight w:val="none"/>
                      <w:u w:val="none" w:color="auto"/>
                      <w:lang w:bidi="ar"/>
                    </w:rPr>
                  </w:pPr>
                  <w:r>
                    <w:rPr>
                      <w:rFonts w:hint="eastAsia" w:cs="Times New Roman"/>
                      <w:color w:val="auto"/>
                      <w:szCs w:val="21"/>
                      <w:u w:val="none" w:color="auto"/>
                      <w:lang w:eastAsia="zh-CN"/>
                    </w:rPr>
                    <w:t>带式输送机</w:t>
                  </w:r>
                </w:p>
              </w:tc>
              <w:tc>
                <w:tcPr>
                  <w:tcW w:w="1148" w:type="dxa"/>
                  <w:noWrap w:val="0"/>
                  <w:vAlign w:val="center"/>
                </w:tcPr>
                <w:p>
                  <w:pPr>
                    <w:spacing w:line="360" w:lineRule="exact"/>
                    <w:jc w:val="center"/>
                    <w:rPr>
                      <w:rFonts w:hint="default" w:ascii="Times New Roman" w:hAnsi="Times New Roman" w:eastAsia="宋体" w:cs="Times New Roman"/>
                      <w:color w:val="auto"/>
                      <w:kern w:val="0"/>
                      <w:szCs w:val="21"/>
                      <w:u w:val="none" w:color="auto"/>
                      <w:lang w:val="en-US" w:eastAsia="zh-CN" w:bidi="ar"/>
                    </w:rPr>
                  </w:pPr>
                  <w:r>
                    <w:rPr>
                      <w:rFonts w:hint="eastAsia" w:cs="Times New Roman"/>
                      <w:color w:val="auto"/>
                      <w:kern w:val="0"/>
                      <w:szCs w:val="21"/>
                      <w:u w:val="none" w:color="auto"/>
                      <w:lang w:val="en-US" w:eastAsia="zh-CN" w:bidi="ar"/>
                    </w:rPr>
                    <w:t>11</w:t>
                  </w:r>
                </w:p>
              </w:tc>
              <w:tc>
                <w:tcPr>
                  <w:tcW w:w="1301" w:type="dxa"/>
                  <w:noWrap w:val="0"/>
                  <w:vAlign w:val="center"/>
                </w:tcPr>
                <w:p>
                  <w:pPr>
                    <w:jc w:val="center"/>
                    <w:rPr>
                      <w:rFonts w:hint="default" w:ascii="Times New Roman" w:hAnsi="Times New Roman" w:eastAsia="宋体" w:cs="Times New Roman"/>
                      <w:color w:val="auto"/>
                      <w:szCs w:val="21"/>
                      <w:u w:val="none" w:color="auto"/>
                      <w:lang w:bidi="ar"/>
                    </w:rPr>
                  </w:pPr>
                  <w:r>
                    <w:rPr>
                      <w:rFonts w:hint="eastAsia" w:cs="Times New Roman"/>
                      <w:color w:val="auto"/>
                      <w:szCs w:val="21"/>
                      <w:u w:val="none" w:color="auto"/>
                      <w:lang w:eastAsia="zh-CN" w:bidi="ar"/>
                    </w:rPr>
                    <w:t>间断</w:t>
                  </w:r>
                </w:p>
              </w:tc>
              <w:tc>
                <w:tcPr>
                  <w:tcW w:w="13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u w:val="none" w:color="auto"/>
                      <w:lang w:val="en-US" w:eastAsia="zh-CN" w:bidi="ar"/>
                    </w:rPr>
                  </w:pPr>
                  <w:r>
                    <w:rPr>
                      <w:rFonts w:hint="eastAsia" w:cs="Times New Roman"/>
                      <w:color w:val="auto"/>
                      <w:szCs w:val="21"/>
                      <w:u w:val="none" w:color="auto"/>
                      <w:lang w:val="en-US" w:eastAsia="zh-CN" w:bidi="ar"/>
                    </w:rPr>
                    <w:t>85</w:t>
                  </w:r>
                </w:p>
              </w:tc>
              <w:tc>
                <w:tcPr>
                  <w:tcW w:w="1533" w:type="dxa"/>
                  <w:vMerge w:val="continue"/>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kern w:val="0"/>
                      <w:sz w:val="21"/>
                      <w:szCs w:val="21"/>
                      <w:u w:val="none" w:color="auto"/>
                      <w:lang w:val="en-US" w:eastAsia="zh-CN" w:bidi="ar"/>
                    </w:rPr>
                  </w:pPr>
                </w:p>
              </w:tc>
              <w:tc>
                <w:tcPr>
                  <w:tcW w:w="898" w:type="dxa"/>
                  <w:vMerge w:val="continue"/>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kern w:val="0"/>
                      <w:sz w:val="21"/>
                      <w:szCs w:val="21"/>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noWrap w:val="0"/>
                  <w:vAlign w:val="center"/>
                </w:tcPr>
                <w:p>
                  <w:pPr>
                    <w:spacing w:line="360" w:lineRule="exact"/>
                    <w:jc w:val="center"/>
                    <w:rPr>
                      <w:rFonts w:hint="eastAsia" w:ascii="Times New Roman" w:hAnsi="Times New Roman" w:cs="Times New Roman"/>
                      <w:color w:val="auto"/>
                      <w:szCs w:val="21"/>
                      <w:u w:val="none" w:color="auto"/>
                      <w:lang w:eastAsia="zh-CN"/>
                    </w:rPr>
                  </w:pPr>
                  <w:r>
                    <w:rPr>
                      <w:rFonts w:hint="default" w:ascii="Times New Roman" w:hAnsi="Times New Roman" w:eastAsia="宋体" w:cs="Times New Roman"/>
                      <w:color w:val="auto"/>
                      <w:sz w:val="21"/>
                      <w:szCs w:val="21"/>
                      <w:u w:val="none" w:color="auto"/>
                      <w:lang w:val="en-US" w:eastAsia="zh-CN"/>
                    </w:rPr>
                    <w:t>装载机</w:t>
                  </w:r>
                </w:p>
              </w:tc>
              <w:tc>
                <w:tcPr>
                  <w:tcW w:w="1148" w:type="dxa"/>
                  <w:noWrap w:val="0"/>
                  <w:vAlign w:val="center"/>
                </w:tcPr>
                <w:p>
                  <w:pPr>
                    <w:spacing w:line="360" w:lineRule="exact"/>
                    <w:jc w:val="center"/>
                    <w:rPr>
                      <w:rFonts w:hint="default" w:ascii="Times New Roman" w:hAnsi="Times New Roman" w:eastAsia="宋体" w:cs="Times New Roman"/>
                      <w:color w:val="auto"/>
                      <w:kern w:val="0"/>
                      <w:szCs w:val="21"/>
                      <w:u w:val="none" w:color="auto"/>
                      <w:lang w:val="en-US" w:eastAsia="zh-CN" w:bidi="ar"/>
                    </w:rPr>
                  </w:pPr>
                  <w:r>
                    <w:rPr>
                      <w:rFonts w:hint="eastAsia" w:cs="Times New Roman"/>
                      <w:color w:val="auto"/>
                      <w:kern w:val="0"/>
                      <w:szCs w:val="21"/>
                      <w:u w:val="none" w:color="auto"/>
                      <w:lang w:val="en-US" w:eastAsia="zh-CN" w:bidi="ar"/>
                    </w:rPr>
                    <w:t>2</w:t>
                  </w:r>
                </w:p>
              </w:tc>
              <w:tc>
                <w:tcPr>
                  <w:tcW w:w="1301" w:type="dxa"/>
                  <w:noWrap w:val="0"/>
                  <w:vAlign w:val="center"/>
                </w:tcPr>
                <w:p>
                  <w:pPr>
                    <w:jc w:val="center"/>
                    <w:rPr>
                      <w:rFonts w:hint="default" w:ascii="Times New Roman" w:hAnsi="Times New Roman" w:eastAsia="宋体" w:cs="Times New Roman"/>
                      <w:color w:val="auto"/>
                      <w:szCs w:val="21"/>
                      <w:u w:val="none" w:color="auto"/>
                    </w:rPr>
                  </w:pPr>
                  <w:r>
                    <w:rPr>
                      <w:rFonts w:hint="eastAsia" w:cs="Times New Roman"/>
                      <w:color w:val="auto"/>
                      <w:szCs w:val="21"/>
                      <w:u w:val="none" w:color="auto"/>
                      <w:lang w:eastAsia="zh-CN" w:bidi="ar"/>
                    </w:rPr>
                    <w:t>间断</w:t>
                  </w:r>
                </w:p>
              </w:tc>
              <w:tc>
                <w:tcPr>
                  <w:tcW w:w="13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u w:val="none" w:color="auto"/>
                      <w:lang w:val="en-US" w:eastAsia="zh-CN" w:bidi="ar"/>
                    </w:rPr>
                  </w:pPr>
                  <w:r>
                    <w:rPr>
                      <w:rFonts w:hint="eastAsia" w:cs="Times New Roman"/>
                      <w:color w:val="auto"/>
                      <w:szCs w:val="21"/>
                      <w:u w:val="none" w:color="auto"/>
                      <w:lang w:val="en-US" w:eastAsia="zh-CN" w:bidi="ar"/>
                    </w:rPr>
                    <w:t>80</w:t>
                  </w:r>
                </w:p>
              </w:tc>
              <w:tc>
                <w:tcPr>
                  <w:tcW w:w="1533" w:type="dxa"/>
                  <w:vMerge w:val="continue"/>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kern w:val="0"/>
                      <w:sz w:val="21"/>
                      <w:szCs w:val="21"/>
                      <w:u w:val="none" w:color="auto"/>
                      <w:lang w:val="en-US" w:eastAsia="zh-CN" w:bidi="ar"/>
                    </w:rPr>
                  </w:pPr>
                </w:p>
              </w:tc>
              <w:tc>
                <w:tcPr>
                  <w:tcW w:w="898" w:type="dxa"/>
                  <w:vMerge w:val="continue"/>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kern w:val="0"/>
                      <w:sz w:val="21"/>
                      <w:szCs w:val="21"/>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noWrap w:val="0"/>
                  <w:vAlign w:val="center"/>
                </w:tcPr>
                <w:p>
                  <w:pPr>
                    <w:spacing w:line="360" w:lineRule="exact"/>
                    <w:jc w:val="center"/>
                    <w:rPr>
                      <w:rFonts w:hint="eastAsia" w:ascii="Times New Roman" w:hAnsi="Times New Roman" w:cs="Times New Roman"/>
                      <w:color w:val="auto"/>
                      <w:szCs w:val="21"/>
                      <w:u w:val="none" w:color="auto"/>
                      <w:lang w:eastAsia="zh-CN"/>
                    </w:rPr>
                  </w:pPr>
                  <w:r>
                    <w:rPr>
                      <w:rFonts w:hint="default" w:ascii="Times New Roman" w:hAnsi="Times New Roman" w:eastAsia="宋体" w:cs="Times New Roman"/>
                      <w:color w:val="auto"/>
                      <w:sz w:val="21"/>
                      <w:szCs w:val="21"/>
                      <w:u w:val="none" w:color="auto"/>
                      <w:lang w:val="en-US" w:eastAsia="zh-CN"/>
                    </w:rPr>
                    <w:t>推煤机</w:t>
                  </w:r>
                </w:p>
              </w:tc>
              <w:tc>
                <w:tcPr>
                  <w:tcW w:w="1148" w:type="dxa"/>
                  <w:noWrap w:val="0"/>
                  <w:vAlign w:val="center"/>
                </w:tcPr>
                <w:p>
                  <w:pPr>
                    <w:spacing w:line="360" w:lineRule="exact"/>
                    <w:jc w:val="center"/>
                    <w:rPr>
                      <w:rFonts w:hint="default" w:ascii="Times New Roman" w:hAnsi="Times New Roman" w:eastAsia="宋体" w:cs="Times New Roman"/>
                      <w:color w:val="auto"/>
                      <w:kern w:val="0"/>
                      <w:szCs w:val="21"/>
                      <w:u w:val="none" w:color="auto"/>
                      <w:lang w:val="en-US" w:eastAsia="zh-CN" w:bidi="ar"/>
                    </w:rPr>
                  </w:pPr>
                  <w:r>
                    <w:rPr>
                      <w:rFonts w:hint="eastAsia" w:cs="Times New Roman"/>
                      <w:color w:val="auto"/>
                      <w:kern w:val="0"/>
                      <w:szCs w:val="21"/>
                      <w:u w:val="none" w:color="auto"/>
                      <w:lang w:val="en-US" w:eastAsia="zh-CN" w:bidi="ar"/>
                    </w:rPr>
                    <w:t>2</w:t>
                  </w:r>
                </w:p>
              </w:tc>
              <w:tc>
                <w:tcPr>
                  <w:tcW w:w="1301" w:type="dxa"/>
                  <w:noWrap w:val="0"/>
                  <w:vAlign w:val="center"/>
                </w:tcPr>
                <w:p>
                  <w:pPr>
                    <w:jc w:val="center"/>
                    <w:rPr>
                      <w:rFonts w:hint="default" w:ascii="Times New Roman" w:hAnsi="Times New Roman" w:eastAsia="宋体" w:cs="Times New Roman"/>
                      <w:color w:val="auto"/>
                      <w:szCs w:val="21"/>
                      <w:u w:val="none" w:color="auto"/>
                    </w:rPr>
                  </w:pPr>
                  <w:r>
                    <w:rPr>
                      <w:rFonts w:hint="eastAsia" w:cs="Times New Roman"/>
                      <w:color w:val="auto"/>
                      <w:szCs w:val="21"/>
                      <w:u w:val="none" w:color="auto"/>
                      <w:lang w:eastAsia="zh-CN" w:bidi="ar"/>
                    </w:rPr>
                    <w:t>间断</w:t>
                  </w:r>
                </w:p>
              </w:tc>
              <w:tc>
                <w:tcPr>
                  <w:tcW w:w="13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u w:val="none" w:color="auto"/>
                      <w:lang w:val="en-US" w:eastAsia="zh-CN" w:bidi="ar"/>
                    </w:rPr>
                  </w:pPr>
                  <w:r>
                    <w:rPr>
                      <w:rFonts w:hint="eastAsia" w:cs="Times New Roman"/>
                      <w:color w:val="auto"/>
                      <w:szCs w:val="21"/>
                      <w:u w:val="none" w:color="auto"/>
                      <w:lang w:val="en-US" w:eastAsia="zh-CN" w:bidi="ar"/>
                    </w:rPr>
                    <w:t>80</w:t>
                  </w:r>
                </w:p>
              </w:tc>
              <w:tc>
                <w:tcPr>
                  <w:tcW w:w="1533" w:type="dxa"/>
                  <w:vMerge w:val="continue"/>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kern w:val="0"/>
                      <w:sz w:val="21"/>
                      <w:szCs w:val="21"/>
                      <w:u w:val="none" w:color="auto"/>
                      <w:lang w:val="en-US" w:eastAsia="zh-CN" w:bidi="ar"/>
                    </w:rPr>
                  </w:pPr>
                </w:p>
              </w:tc>
              <w:tc>
                <w:tcPr>
                  <w:tcW w:w="898" w:type="dxa"/>
                  <w:vMerge w:val="continue"/>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kern w:val="0"/>
                      <w:sz w:val="21"/>
                      <w:szCs w:val="21"/>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noWrap w:val="0"/>
                  <w:vAlign w:val="center"/>
                </w:tcPr>
                <w:p>
                  <w:pPr>
                    <w:spacing w:line="360" w:lineRule="exact"/>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kern w:val="0"/>
                      <w:sz w:val="21"/>
                      <w:szCs w:val="20"/>
                      <w:highlight w:val="none"/>
                      <w:u w:val="none" w:color="auto"/>
                      <w:lang w:val="en-US" w:eastAsia="zh-CN" w:bidi="ar-SA"/>
                    </w:rPr>
                    <w:t>射雾器</w:t>
                  </w:r>
                </w:p>
              </w:tc>
              <w:tc>
                <w:tcPr>
                  <w:tcW w:w="1148" w:type="dxa"/>
                  <w:noWrap w:val="0"/>
                  <w:vAlign w:val="center"/>
                </w:tcPr>
                <w:p>
                  <w:pPr>
                    <w:spacing w:line="360" w:lineRule="exact"/>
                    <w:jc w:val="center"/>
                    <w:rPr>
                      <w:rFonts w:hint="default" w:cs="Times New Roman"/>
                      <w:color w:val="auto"/>
                      <w:kern w:val="0"/>
                      <w:szCs w:val="21"/>
                      <w:u w:val="none" w:color="auto"/>
                      <w:lang w:val="en-US" w:eastAsia="zh-CN" w:bidi="ar"/>
                    </w:rPr>
                  </w:pPr>
                  <w:r>
                    <w:rPr>
                      <w:rFonts w:hint="eastAsia" w:cs="Times New Roman"/>
                      <w:color w:val="auto"/>
                      <w:kern w:val="0"/>
                      <w:szCs w:val="21"/>
                      <w:u w:val="none" w:color="auto"/>
                      <w:lang w:val="en-US" w:eastAsia="zh-CN" w:bidi="ar"/>
                    </w:rPr>
                    <w:t>4</w:t>
                  </w:r>
                </w:p>
              </w:tc>
              <w:tc>
                <w:tcPr>
                  <w:tcW w:w="1301" w:type="dxa"/>
                  <w:noWrap w:val="0"/>
                  <w:vAlign w:val="center"/>
                </w:tcPr>
                <w:p>
                  <w:pPr>
                    <w:jc w:val="center"/>
                    <w:rPr>
                      <w:rFonts w:hint="eastAsia" w:ascii="Times New Roman" w:hAnsi="Times New Roman" w:eastAsia="宋体" w:cs="Times New Roman"/>
                      <w:color w:val="auto"/>
                      <w:szCs w:val="21"/>
                      <w:u w:val="none" w:color="auto"/>
                      <w:lang w:eastAsia="zh-CN"/>
                    </w:rPr>
                  </w:pPr>
                  <w:r>
                    <w:rPr>
                      <w:rFonts w:hint="eastAsia" w:ascii="Times New Roman" w:hAnsi="Times New Roman" w:eastAsia="宋体" w:cs="Times New Roman"/>
                      <w:color w:val="auto"/>
                      <w:szCs w:val="21"/>
                      <w:u w:val="none" w:color="auto"/>
                      <w:lang w:eastAsia="zh-CN"/>
                    </w:rPr>
                    <w:t>持续</w:t>
                  </w:r>
                </w:p>
              </w:tc>
              <w:tc>
                <w:tcPr>
                  <w:tcW w:w="1333" w:type="dxa"/>
                  <w:noWrap w:val="0"/>
                  <w:vAlign w:val="center"/>
                </w:tcPr>
                <w:p>
                  <w:pPr>
                    <w:keepNext w:val="0"/>
                    <w:keepLines w:val="0"/>
                    <w:widowControl/>
                    <w:suppressLineNumbers w:val="0"/>
                    <w:jc w:val="center"/>
                    <w:textAlignment w:val="center"/>
                    <w:rPr>
                      <w:rFonts w:hint="default" w:cs="Times New Roman"/>
                      <w:color w:val="auto"/>
                      <w:szCs w:val="21"/>
                      <w:u w:val="none" w:color="auto"/>
                      <w:lang w:val="en-US" w:eastAsia="zh-CN" w:bidi="ar"/>
                    </w:rPr>
                  </w:pPr>
                  <w:r>
                    <w:rPr>
                      <w:rFonts w:hint="eastAsia" w:cs="Times New Roman"/>
                      <w:color w:val="auto"/>
                      <w:szCs w:val="21"/>
                      <w:u w:val="none" w:color="auto"/>
                      <w:lang w:val="en-US" w:eastAsia="zh-CN" w:bidi="ar"/>
                    </w:rPr>
                    <w:t>90</w:t>
                  </w:r>
                </w:p>
              </w:tc>
              <w:tc>
                <w:tcPr>
                  <w:tcW w:w="1533" w:type="dxa"/>
                  <w:vMerge w:val="continue"/>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kern w:val="0"/>
                      <w:sz w:val="21"/>
                      <w:szCs w:val="21"/>
                      <w:u w:val="none" w:color="auto"/>
                      <w:lang w:val="en-US" w:eastAsia="zh-CN" w:bidi="ar"/>
                    </w:rPr>
                  </w:pPr>
                </w:p>
              </w:tc>
              <w:tc>
                <w:tcPr>
                  <w:tcW w:w="898" w:type="dxa"/>
                  <w:vMerge w:val="continue"/>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kern w:val="0"/>
                      <w:sz w:val="21"/>
                      <w:szCs w:val="21"/>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noWrap w:val="0"/>
                  <w:vAlign w:val="center"/>
                </w:tcPr>
                <w:p>
                  <w:pPr>
                    <w:spacing w:line="360" w:lineRule="exact"/>
                    <w:jc w:val="center"/>
                    <w:rPr>
                      <w:rFonts w:hint="eastAsia"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干雾抑尘装置</w:t>
                  </w:r>
                </w:p>
              </w:tc>
              <w:tc>
                <w:tcPr>
                  <w:tcW w:w="1148" w:type="dxa"/>
                  <w:noWrap w:val="0"/>
                  <w:vAlign w:val="center"/>
                </w:tcPr>
                <w:p>
                  <w:pPr>
                    <w:spacing w:line="360" w:lineRule="exact"/>
                    <w:jc w:val="center"/>
                    <w:rPr>
                      <w:rFonts w:hint="default" w:cs="Times New Roman"/>
                      <w:color w:val="auto"/>
                      <w:kern w:val="0"/>
                      <w:szCs w:val="21"/>
                      <w:u w:val="none" w:color="auto"/>
                      <w:lang w:val="en-US" w:eastAsia="zh-CN" w:bidi="ar"/>
                    </w:rPr>
                  </w:pPr>
                  <w:r>
                    <w:rPr>
                      <w:rFonts w:hint="eastAsia" w:cs="Times New Roman"/>
                      <w:color w:val="auto"/>
                      <w:kern w:val="0"/>
                      <w:szCs w:val="21"/>
                      <w:u w:val="none" w:color="auto"/>
                      <w:lang w:val="en-US" w:eastAsia="zh-CN" w:bidi="ar"/>
                    </w:rPr>
                    <w:t>2</w:t>
                  </w:r>
                </w:p>
              </w:tc>
              <w:tc>
                <w:tcPr>
                  <w:tcW w:w="1301" w:type="dxa"/>
                  <w:noWrap w:val="0"/>
                  <w:vAlign w:val="center"/>
                </w:tcPr>
                <w:p>
                  <w:pPr>
                    <w:jc w:val="center"/>
                    <w:rPr>
                      <w:rFonts w:hint="default" w:ascii="Times New Roman" w:hAnsi="Times New Roman" w:eastAsia="宋体" w:cs="Times New Roman"/>
                      <w:color w:val="auto"/>
                      <w:szCs w:val="21"/>
                      <w:u w:val="none" w:color="auto"/>
                    </w:rPr>
                  </w:pPr>
                  <w:r>
                    <w:rPr>
                      <w:rFonts w:hint="eastAsia" w:ascii="Times New Roman" w:hAnsi="Times New Roman" w:eastAsia="宋体" w:cs="Times New Roman"/>
                      <w:color w:val="auto"/>
                      <w:szCs w:val="21"/>
                      <w:u w:val="none" w:color="auto"/>
                      <w:lang w:eastAsia="zh-CN"/>
                    </w:rPr>
                    <w:t>持续</w:t>
                  </w:r>
                </w:p>
              </w:tc>
              <w:tc>
                <w:tcPr>
                  <w:tcW w:w="1333" w:type="dxa"/>
                  <w:noWrap w:val="0"/>
                  <w:vAlign w:val="center"/>
                </w:tcPr>
                <w:p>
                  <w:pPr>
                    <w:keepNext w:val="0"/>
                    <w:keepLines w:val="0"/>
                    <w:widowControl/>
                    <w:suppressLineNumbers w:val="0"/>
                    <w:jc w:val="center"/>
                    <w:textAlignment w:val="center"/>
                    <w:rPr>
                      <w:rFonts w:hint="default" w:cs="Times New Roman"/>
                      <w:color w:val="auto"/>
                      <w:szCs w:val="21"/>
                      <w:u w:val="none" w:color="auto"/>
                      <w:lang w:val="en-US" w:eastAsia="zh-CN" w:bidi="ar"/>
                    </w:rPr>
                  </w:pPr>
                  <w:r>
                    <w:rPr>
                      <w:rFonts w:hint="eastAsia" w:cs="Times New Roman"/>
                      <w:color w:val="auto"/>
                      <w:szCs w:val="21"/>
                      <w:u w:val="none" w:color="auto"/>
                      <w:lang w:val="en-US" w:eastAsia="zh-CN" w:bidi="ar"/>
                    </w:rPr>
                    <w:t>90</w:t>
                  </w:r>
                </w:p>
              </w:tc>
              <w:tc>
                <w:tcPr>
                  <w:tcW w:w="1533" w:type="dxa"/>
                  <w:vMerge w:val="continue"/>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kern w:val="0"/>
                      <w:sz w:val="21"/>
                      <w:szCs w:val="21"/>
                      <w:u w:val="none" w:color="auto"/>
                      <w:lang w:val="en-US" w:eastAsia="zh-CN" w:bidi="ar"/>
                    </w:rPr>
                  </w:pPr>
                </w:p>
              </w:tc>
              <w:tc>
                <w:tcPr>
                  <w:tcW w:w="898" w:type="dxa"/>
                  <w:vMerge w:val="continue"/>
                  <w:noWrap w:val="0"/>
                  <w:vAlign w:val="center"/>
                </w:tcPr>
                <w:p>
                  <w:pPr>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kern w:val="0"/>
                      <w:sz w:val="21"/>
                      <w:szCs w:val="21"/>
                      <w:u w:val="none" w:color="auto"/>
                      <w:lang w:val="en-US" w:eastAsia="zh-CN" w:bidi="ar"/>
                    </w:rPr>
                  </w:pPr>
                </w:p>
              </w:tc>
            </w:tr>
          </w:tbl>
          <w:p>
            <w:pPr>
              <w:spacing w:line="480" w:lineRule="exact"/>
              <w:ind w:firstLine="422" w:firstLineChars="200"/>
              <w:rPr>
                <w:rFonts w:hint="default" w:ascii="Times New Roman" w:hAnsi="Times New Roman" w:eastAsia="宋体" w:cs="Times New Roman"/>
                <w:color w:val="auto"/>
                <w:spacing w:val="0"/>
                <w:kern w:val="0"/>
                <w:szCs w:val="21"/>
                <w:u w:val="none" w:color="auto"/>
                <w:lang w:val="en-US" w:eastAsia="zh-CN"/>
              </w:rPr>
            </w:pPr>
            <w:r>
              <w:rPr>
                <w:rFonts w:hint="eastAsia" w:cs="Times New Roman"/>
                <w:b/>
                <w:bCs/>
                <w:color w:val="auto"/>
                <w:spacing w:val="0"/>
                <w:kern w:val="0"/>
                <w:szCs w:val="21"/>
                <w:u w:val="none" w:color="auto"/>
                <w:lang w:val="en-US" w:eastAsia="zh-CN"/>
              </w:rPr>
              <w:t>（2）</w:t>
            </w:r>
            <w:r>
              <w:rPr>
                <w:rFonts w:hint="default" w:ascii="Times New Roman" w:hAnsi="Times New Roman" w:eastAsia="宋体" w:cs="Times New Roman"/>
                <w:b/>
                <w:bCs/>
                <w:color w:val="auto"/>
                <w:spacing w:val="0"/>
                <w:kern w:val="0"/>
                <w:szCs w:val="21"/>
                <w:u w:val="none" w:color="auto"/>
                <w:lang w:val="en-US" w:eastAsia="zh-CN"/>
              </w:rPr>
              <w:t>预测模式和方法</w:t>
            </w:r>
          </w:p>
          <w:p>
            <w:pPr>
              <w:spacing w:line="360" w:lineRule="auto"/>
              <w:ind w:firstLine="422" w:firstLineChars="200"/>
              <w:rPr>
                <w:rFonts w:hint="default" w:ascii="Times New Roman" w:hAnsi="Times New Roman" w:cs="Times New Roman"/>
                <w:b/>
                <w:bCs/>
                <w:color w:val="auto"/>
                <w:spacing w:val="0"/>
                <w:kern w:val="0"/>
                <w:szCs w:val="21"/>
                <w:u w:val="none" w:color="auto"/>
                <w:lang w:val="en-US" w:eastAsia="zh-CN"/>
              </w:rPr>
            </w:pPr>
            <w:r>
              <w:rPr>
                <w:rFonts w:hint="default" w:ascii="Times New Roman" w:hAnsi="Times New Roman" w:cs="Times New Roman"/>
                <w:b/>
                <w:bCs/>
                <w:color w:val="auto"/>
                <w:spacing w:val="0"/>
                <w:kern w:val="0"/>
                <w:szCs w:val="21"/>
                <w:u w:val="none" w:color="auto"/>
                <w:lang w:val="en-US" w:eastAsia="zh-CN"/>
              </w:rPr>
              <w:t>A、模式和方法</w:t>
            </w:r>
          </w:p>
          <w:p>
            <w:pPr>
              <w:spacing w:line="360" w:lineRule="auto"/>
              <w:ind w:firstLine="420" w:firstLineChars="200"/>
              <w:rPr>
                <w:rFonts w:hint="default" w:ascii="Times New Roman" w:hAnsi="Times New Roman" w:cs="Times New Roman"/>
                <w:color w:val="auto"/>
                <w:spacing w:val="0"/>
                <w:kern w:val="0"/>
                <w:sz w:val="21"/>
                <w:szCs w:val="21"/>
                <w:u w:val="none" w:color="auto"/>
                <w:lang w:val="en-US" w:eastAsia="zh-CN"/>
              </w:rPr>
            </w:pPr>
            <w:r>
              <w:rPr>
                <w:rFonts w:hint="default" w:ascii="Times New Roman" w:hAnsi="Times New Roman" w:cs="Times New Roman"/>
                <w:color w:val="auto"/>
                <w:spacing w:val="0"/>
                <w:kern w:val="0"/>
                <w:sz w:val="21"/>
                <w:szCs w:val="21"/>
                <w:u w:val="none" w:color="auto"/>
                <w:lang w:val="en-US" w:eastAsia="zh-CN"/>
              </w:rPr>
              <w:t>采用《环境影响评价技术导则声环境》（HJ2.4—2021）附录B中的室内声源等效室外声源声功率级计算方法，公式如下：</w:t>
            </w:r>
          </w:p>
          <w:p>
            <w:pPr>
              <w:spacing w:line="360" w:lineRule="auto"/>
              <w:ind w:firstLine="0" w:firstLineChars="0"/>
              <w:jc w:val="center"/>
              <w:rPr>
                <w:rFonts w:hint="default" w:ascii="Times New Roman" w:hAnsi="Times New Roman" w:cs="Times New Roman"/>
                <w:color w:val="auto"/>
                <w:spacing w:val="0"/>
                <w:kern w:val="0"/>
                <w:sz w:val="21"/>
                <w:szCs w:val="21"/>
                <w:u w:val="none" w:color="auto"/>
                <w:lang w:val="en-US"/>
              </w:rPr>
            </w:pPr>
            <m:oMathPara>
              <m:oMath>
                <m:sSub>
                  <m:sSubPr>
                    <m:ctrlPr>
                      <w:rPr>
                        <w:rFonts w:hint="default" w:ascii="Cambria Math" w:hAnsi="Cambria Math" w:cs="Times New Roman"/>
                        <w:color w:val="auto"/>
                        <w:spacing w:val="0"/>
                        <w:kern w:val="0"/>
                        <w:sz w:val="21"/>
                        <w:szCs w:val="21"/>
                        <w:u w:val="none" w:color="auto"/>
                        <w:lang w:val="en-US" w:eastAsia="zh-CN" w:bidi="ar-SA"/>
                      </w:rPr>
                    </m:ctrlPr>
                  </m:sSubPr>
                  <m:e>
                    <m:r>
                      <m:rPr>
                        <m:sty m:val="p"/>
                      </m:rPr>
                      <w:rPr>
                        <w:rFonts w:hint="default" w:ascii="Cambria Math" w:hAnsi="Cambria Math" w:cs="Times New Roman"/>
                        <w:color w:val="auto"/>
                        <w:spacing w:val="0"/>
                        <w:kern w:val="0"/>
                        <w:sz w:val="21"/>
                        <w:szCs w:val="21"/>
                        <w:u w:val="none" w:color="auto"/>
                        <w:lang w:val="en-US" w:eastAsia="zh-CN" w:bidi="ar-SA"/>
                      </w:rPr>
                      <m:t>L</m:t>
                    </m:r>
                    <m:ctrlPr>
                      <w:rPr>
                        <w:rFonts w:hint="default" w:ascii="Cambria Math" w:hAnsi="Cambria Math" w:cs="Times New Roman"/>
                        <w:color w:val="auto"/>
                        <w:spacing w:val="0"/>
                        <w:kern w:val="0"/>
                        <w:sz w:val="21"/>
                        <w:szCs w:val="21"/>
                        <w:u w:val="none" w:color="auto"/>
                        <w:lang w:val="en-US" w:eastAsia="zh-CN" w:bidi="ar-SA"/>
                      </w:rPr>
                    </m:ctrlPr>
                  </m:e>
                  <m:sub>
                    <m:r>
                      <m:rPr>
                        <m:sty m:val="p"/>
                      </m:rPr>
                      <w:rPr>
                        <w:rFonts w:hint="default" w:ascii="Cambria Math" w:hAnsi="Cambria Math" w:cs="Times New Roman"/>
                        <w:color w:val="auto"/>
                        <w:spacing w:val="0"/>
                        <w:kern w:val="0"/>
                        <w:sz w:val="21"/>
                        <w:szCs w:val="21"/>
                        <w:u w:val="none" w:color="auto"/>
                        <w:lang w:val="en-US" w:eastAsia="zh-CN" w:bidi="ar-SA"/>
                      </w:rPr>
                      <m:t>P2</m:t>
                    </m:r>
                    <m:ctrlPr>
                      <w:rPr>
                        <w:rFonts w:hint="default" w:ascii="Cambria Math" w:hAnsi="Cambria Math" w:cs="Times New Roman"/>
                        <w:color w:val="auto"/>
                        <w:spacing w:val="0"/>
                        <w:kern w:val="0"/>
                        <w:sz w:val="21"/>
                        <w:szCs w:val="21"/>
                        <w:u w:val="none" w:color="auto"/>
                        <w:lang w:val="en-US" w:eastAsia="zh-CN" w:bidi="ar-SA"/>
                      </w:rPr>
                    </m:ctrlPr>
                  </m:sub>
                </m:sSub>
                <m:r>
                  <m:rPr>
                    <m:sty m:val="p"/>
                  </m:rPr>
                  <w:rPr>
                    <w:rFonts w:hint="default" w:ascii="Cambria Math" w:hAnsi="Cambria Math" w:cs="Times New Roman"/>
                    <w:color w:val="auto"/>
                    <w:spacing w:val="0"/>
                    <w:kern w:val="0"/>
                    <w:sz w:val="21"/>
                    <w:szCs w:val="21"/>
                    <w:u w:val="none" w:color="auto"/>
                    <w:lang w:val="en-US" w:bidi="ar-SA"/>
                  </w:rPr>
                  <m:t>=</m:t>
                </m:r>
                <m:sSub>
                  <m:sSubPr>
                    <m:ctrlPr>
                      <w:rPr>
                        <w:rFonts w:hint="default" w:ascii="Cambria Math" w:hAnsi="Cambria Math" w:cs="Times New Roman"/>
                        <w:color w:val="auto"/>
                        <w:spacing w:val="0"/>
                        <w:kern w:val="0"/>
                        <w:sz w:val="21"/>
                        <w:szCs w:val="21"/>
                        <w:u w:val="none" w:color="auto"/>
                        <w:lang w:val="en-US" w:eastAsia="zh-CN" w:bidi="ar-SA"/>
                      </w:rPr>
                    </m:ctrlPr>
                  </m:sSubPr>
                  <m:e>
                    <m:r>
                      <m:rPr>
                        <m:sty m:val="p"/>
                      </m:rPr>
                      <w:rPr>
                        <w:rFonts w:hint="default" w:ascii="Cambria Math" w:hAnsi="Cambria Math" w:cs="Times New Roman"/>
                        <w:color w:val="auto"/>
                        <w:spacing w:val="0"/>
                        <w:kern w:val="0"/>
                        <w:sz w:val="21"/>
                        <w:szCs w:val="21"/>
                        <w:u w:val="none" w:color="auto"/>
                        <w:lang w:val="en-US" w:eastAsia="zh-CN" w:bidi="ar-SA"/>
                      </w:rPr>
                      <m:t>L</m:t>
                    </m:r>
                    <m:ctrlPr>
                      <w:rPr>
                        <w:rFonts w:hint="default" w:ascii="Cambria Math" w:hAnsi="Cambria Math" w:cs="Times New Roman"/>
                        <w:color w:val="auto"/>
                        <w:spacing w:val="0"/>
                        <w:kern w:val="0"/>
                        <w:sz w:val="21"/>
                        <w:szCs w:val="21"/>
                        <w:u w:val="none" w:color="auto"/>
                        <w:lang w:val="en-US" w:eastAsia="zh-CN" w:bidi="ar-SA"/>
                      </w:rPr>
                    </m:ctrlPr>
                  </m:e>
                  <m:sub>
                    <m:r>
                      <m:rPr>
                        <m:sty m:val="p"/>
                      </m:rPr>
                      <w:rPr>
                        <w:rFonts w:hint="default" w:ascii="Cambria Math" w:hAnsi="Cambria Math" w:cs="Times New Roman"/>
                        <w:color w:val="auto"/>
                        <w:spacing w:val="0"/>
                        <w:kern w:val="0"/>
                        <w:sz w:val="21"/>
                        <w:szCs w:val="21"/>
                        <w:u w:val="none" w:color="auto"/>
                        <w:lang w:val="en-US" w:eastAsia="zh-CN" w:bidi="ar-SA"/>
                      </w:rPr>
                      <m:t>P1</m:t>
                    </m:r>
                    <m:ctrlPr>
                      <w:rPr>
                        <w:rFonts w:hint="default" w:ascii="Cambria Math" w:hAnsi="Cambria Math" w:cs="Times New Roman"/>
                        <w:color w:val="auto"/>
                        <w:spacing w:val="0"/>
                        <w:kern w:val="0"/>
                        <w:sz w:val="21"/>
                        <w:szCs w:val="21"/>
                        <w:u w:val="none" w:color="auto"/>
                        <w:lang w:val="en-US" w:eastAsia="zh-CN" w:bidi="ar-SA"/>
                      </w:rPr>
                    </m:ctrlPr>
                  </m:sub>
                </m:sSub>
                <m:r>
                  <m:rPr>
                    <m:sty m:val="p"/>
                  </m:rPr>
                  <w:rPr>
                    <w:rFonts w:hint="default" w:ascii="Cambria Math" w:hAnsi="Cambria Math" w:cs="Times New Roman"/>
                    <w:color w:val="auto"/>
                    <w:spacing w:val="0"/>
                    <w:kern w:val="0"/>
                    <w:sz w:val="21"/>
                    <w:szCs w:val="21"/>
                    <w:u w:val="none" w:color="auto"/>
                    <w:lang w:val="en-US" w:bidi="ar-SA"/>
                  </w:rPr>
                  <m:t>−</m:t>
                </m:r>
                <m:d>
                  <m:dPr>
                    <m:ctrlPr>
                      <w:rPr>
                        <w:rFonts w:hint="default" w:ascii="Cambria Math" w:hAnsi="Cambria Math" w:cs="Times New Roman"/>
                        <w:color w:val="auto"/>
                        <w:spacing w:val="0"/>
                        <w:kern w:val="0"/>
                        <w:sz w:val="21"/>
                        <w:szCs w:val="21"/>
                        <w:u w:val="none" w:color="auto"/>
                        <w:lang w:val="en-US" w:bidi="ar-SA"/>
                      </w:rPr>
                    </m:ctrlPr>
                  </m:dPr>
                  <m:e>
                    <m:r>
                      <m:rPr>
                        <m:sty m:val="p"/>
                      </m:rPr>
                      <w:rPr>
                        <w:rFonts w:hint="default" w:ascii="Cambria Math" w:hAnsi="Cambria Math" w:cs="Times New Roman"/>
                        <w:color w:val="auto"/>
                        <w:spacing w:val="0"/>
                        <w:kern w:val="0"/>
                        <w:sz w:val="21"/>
                        <w:szCs w:val="21"/>
                        <w:u w:val="none" w:color="auto"/>
                        <w:lang w:val="en-US" w:eastAsia="zh-CN" w:bidi="ar-SA"/>
                      </w:rPr>
                      <m:t>TL</m:t>
                    </m:r>
                    <m:r>
                      <m:rPr>
                        <m:sty m:val="p"/>
                      </m:rPr>
                      <w:rPr>
                        <w:rFonts w:hint="default" w:ascii="Cambria Math" w:hAnsi="Cambria Math" w:cs="Times New Roman"/>
                        <w:color w:val="auto"/>
                        <w:spacing w:val="0"/>
                        <w:kern w:val="0"/>
                        <w:sz w:val="21"/>
                        <w:szCs w:val="21"/>
                        <w:u w:val="none" w:color="auto"/>
                        <w:lang w:val="en-US" w:bidi="ar-SA"/>
                      </w:rPr>
                      <m:t>+</m:t>
                    </m:r>
                    <m:r>
                      <m:rPr>
                        <m:sty m:val="p"/>
                      </m:rPr>
                      <w:rPr>
                        <w:rFonts w:hint="default" w:ascii="Cambria Math" w:hAnsi="Cambria Math" w:cs="Times New Roman"/>
                        <w:color w:val="auto"/>
                        <w:spacing w:val="0"/>
                        <w:kern w:val="0"/>
                        <w:sz w:val="21"/>
                        <w:szCs w:val="21"/>
                        <w:u w:val="none" w:color="auto"/>
                        <w:lang w:val="en-US" w:eastAsia="zh-CN" w:bidi="ar-SA"/>
                      </w:rPr>
                      <m:t>6</m:t>
                    </m:r>
                    <m:ctrlPr>
                      <w:rPr>
                        <w:rFonts w:hint="default" w:ascii="Cambria Math" w:hAnsi="Cambria Math" w:cs="Times New Roman"/>
                        <w:color w:val="auto"/>
                        <w:spacing w:val="0"/>
                        <w:kern w:val="0"/>
                        <w:sz w:val="21"/>
                        <w:szCs w:val="21"/>
                        <w:u w:val="none" w:color="auto"/>
                        <w:lang w:val="en-US" w:bidi="ar-SA"/>
                      </w:rPr>
                    </m:ctrlPr>
                  </m:e>
                </m:d>
              </m:oMath>
            </m:oMathPara>
          </w:p>
          <w:p>
            <w:pPr>
              <w:pStyle w:val="9"/>
              <w:spacing w:before="0" w:after="0" w:line="360" w:lineRule="auto"/>
              <w:ind w:firstLine="420" w:firstLineChars="200"/>
              <w:jc w:val="both"/>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式中：L</w:t>
            </w:r>
            <w:r>
              <w:rPr>
                <w:rFonts w:hint="default" w:ascii="Times New Roman" w:hAnsi="Times New Roman" w:eastAsia="宋体" w:cs="Times New Roman"/>
                <w:b w:val="0"/>
                <w:bCs w:val="0"/>
                <w:color w:val="auto"/>
                <w:sz w:val="21"/>
                <w:szCs w:val="21"/>
                <w:u w:val="none" w:color="auto"/>
                <w:vertAlign w:val="subscript"/>
                <w:lang w:val="en-US" w:eastAsia="zh-CN"/>
              </w:rPr>
              <w:t>p1</w:t>
            </w:r>
            <w:r>
              <w:rPr>
                <w:rFonts w:hint="default" w:ascii="Times New Roman" w:hAnsi="Times New Roman" w:eastAsia="宋体" w:cs="Times New Roman"/>
                <w:b w:val="0"/>
                <w:bCs w:val="0"/>
                <w:color w:val="auto"/>
                <w:sz w:val="21"/>
                <w:szCs w:val="21"/>
                <w:u w:val="none" w:color="auto"/>
                <w:lang w:val="en-US" w:eastAsia="zh-CN"/>
              </w:rPr>
              <w:t>——靠近开口处（或窗户）室内某倍频带的声压级或A声级，dB；</w:t>
            </w:r>
          </w:p>
          <w:p>
            <w:pPr>
              <w:pStyle w:val="9"/>
              <w:spacing w:before="0" w:after="0" w:line="360" w:lineRule="auto"/>
              <w:ind w:firstLine="420" w:firstLineChars="200"/>
              <w:jc w:val="both"/>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w:t>
            </w:r>
            <w:r>
              <w:rPr>
                <w:rFonts w:hint="default" w:ascii="Times New Roman" w:hAnsi="Times New Roman" w:eastAsia="宋体" w:cs="Times New Roman"/>
                <w:b w:val="0"/>
                <w:bCs w:val="0"/>
                <w:color w:val="auto"/>
                <w:sz w:val="21"/>
                <w:szCs w:val="21"/>
                <w:u w:val="none" w:color="auto"/>
                <w:vertAlign w:val="subscript"/>
                <w:lang w:val="en-US" w:eastAsia="zh-CN"/>
              </w:rPr>
              <w:t>p2</w:t>
            </w:r>
            <w:r>
              <w:rPr>
                <w:rFonts w:hint="default" w:ascii="Times New Roman" w:hAnsi="Times New Roman" w:eastAsia="宋体" w:cs="Times New Roman"/>
                <w:b w:val="0"/>
                <w:bCs w:val="0"/>
                <w:color w:val="auto"/>
                <w:sz w:val="21"/>
                <w:szCs w:val="21"/>
                <w:u w:val="none" w:color="auto"/>
                <w:lang w:val="en-US" w:eastAsia="zh-CN"/>
              </w:rPr>
              <w:t>——靠近开口处（或窗户）室外某倍频带的声压级或A声级，dB；</w:t>
            </w:r>
          </w:p>
          <w:p>
            <w:pPr>
              <w:pStyle w:val="9"/>
              <w:spacing w:before="0" w:after="0" w:line="360" w:lineRule="auto"/>
              <w:ind w:firstLine="420" w:firstLineChars="200"/>
              <w:jc w:val="both"/>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TL——隔墙（或窗户）倍频带或A声级的隔声量，dB。</w:t>
            </w:r>
          </w:p>
          <w:p>
            <w:pPr>
              <w:pStyle w:val="9"/>
              <w:spacing w:before="0" w:after="0" w:line="360" w:lineRule="auto"/>
              <w:ind w:firstLine="420" w:firstLineChars="200"/>
              <w:jc w:val="both"/>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计算某一室内声源靠近围护结构处产生的倍频带声压级或A声级：</w:t>
            </w:r>
          </w:p>
          <w:p>
            <w:pPr>
              <w:spacing w:line="360" w:lineRule="auto"/>
              <w:ind w:firstLine="0" w:firstLineChars="0"/>
              <w:jc w:val="center"/>
              <w:rPr>
                <w:rFonts w:hint="default" w:ascii="Times New Roman" w:hAnsi="Times New Roman" w:cs="Times New Roman"/>
                <w:color w:val="0000FF"/>
                <w:spacing w:val="0"/>
                <w:kern w:val="0"/>
                <w:sz w:val="21"/>
                <w:szCs w:val="21"/>
                <w:u w:val="none" w:color="auto"/>
                <w:lang w:val="en-US" w:eastAsia="zh-CN"/>
              </w:rPr>
            </w:pPr>
            <w:r>
              <w:rPr>
                <w:rFonts w:hint="default" w:ascii="Times New Roman" w:hAnsi="Times New Roman" w:cs="Times New Roman"/>
                <w:color w:val="0000FF"/>
                <w:sz w:val="21"/>
                <w:szCs w:val="21"/>
                <w:u w:val="none" w:color="auto"/>
              </w:rPr>
              <w:drawing>
                <wp:inline distT="0" distB="0" distL="114300" distR="114300">
                  <wp:extent cx="1943100" cy="485775"/>
                  <wp:effectExtent l="0" t="0" r="7620" b="1905"/>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pic:cNvPicPr>
                            <a:picLocks noChangeAspect="1"/>
                          </pic:cNvPicPr>
                        </pic:nvPicPr>
                        <pic:blipFill>
                          <a:blip r:embed="rId19"/>
                          <a:stretch>
                            <a:fillRect/>
                          </a:stretch>
                        </pic:blipFill>
                        <pic:spPr>
                          <a:xfrm>
                            <a:off x="0" y="0"/>
                            <a:ext cx="1943100" cy="485775"/>
                          </a:xfrm>
                          <a:prstGeom prst="rect">
                            <a:avLst/>
                          </a:prstGeom>
                          <a:noFill/>
                          <a:ln>
                            <a:noFill/>
                          </a:ln>
                        </pic:spPr>
                      </pic:pic>
                    </a:graphicData>
                  </a:graphic>
                </wp:inline>
              </w:drawing>
            </w:r>
          </w:p>
          <w:p>
            <w:pPr>
              <w:pStyle w:val="9"/>
              <w:spacing w:before="0" w:after="0" w:line="360" w:lineRule="auto"/>
              <w:ind w:firstLine="420" w:firstLineChars="200"/>
              <w:jc w:val="both"/>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式中：L</w:t>
            </w:r>
            <w:r>
              <w:rPr>
                <w:rFonts w:hint="default" w:ascii="Times New Roman" w:hAnsi="Times New Roman" w:eastAsia="宋体" w:cs="Times New Roman"/>
                <w:b w:val="0"/>
                <w:bCs w:val="0"/>
                <w:color w:val="auto"/>
                <w:sz w:val="21"/>
                <w:szCs w:val="21"/>
                <w:u w:val="none" w:color="auto"/>
                <w:vertAlign w:val="subscript"/>
                <w:lang w:val="en-US" w:eastAsia="zh-CN"/>
              </w:rPr>
              <w:t>p1</w:t>
            </w:r>
            <w:r>
              <w:rPr>
                <w:rFonts w:hint="default" w:ascii="Times New Roman" w:hAnsi="Times New Roman" w:eastAsia="宋体" w:cs="Times New Roman"/>
                <w:b w:val="0"/>
                <w:bCs w:val="0"/>
                <w:color w:val="auto"/>
                <w:sz w:val="21"/>
                <w:szCs w:val="21"/>
                <w:u w:val="none" w:color="auto"/>
                <w:lang w:val="en-US" w:eastAsia="zh-CN"/>
              </w:rPr>
              <w:t>——靠近开口处（或窗户）室内某倍频带的声压级或A声级，dB；</w:t>
            </w:r>
          </w:p>
          <w:p>
            <w:pPr>
              <w:pStyle w:val="9"/>
              <w:spacing w:before="0" w:after="0" w:line="360" w:lineRule="auto"/>
              <w:ind w:firstLine="420" w:firstLineChars="200"/>
              <w:jc w:val="both"/>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Lw——点声源声功率级（A计权或倍频带），dB；</w:t>
            </w:r>
          </w:p>
          <w:p>
            <w:pPr>
              <w:pStyle w:val="9"/>
              <w:spacing w:before="0" w:after="0" w:line="360" w:lineRule="auto"/>
              <w:ind w:firstLine="420" w:firstLineChars="200"/>
              <w:jc w:val="both"/>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Q——指向性因数；通常对无指向性声源，当声源放在房间中心时，Q=1；当放在一面墙的中心时，Q=2；当放在两面墙夹角处时，Q=4；当放在三面墙夹角处时，Q=8；</w:t>
            </w:r>
          </w:p>
          <w:p>
            <w:pPr>
              <w:pStyle w:val="9"/>
              <w:spacing w:before="0" w:after="0" w:line="360" w:lineRule="auto"/>
              <w:ind w:firstLine="420" w:firstLineChars="200"/>
              <w:jc w:val="both"/>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R——房间常数；R=Sα/（1-α），S为房间内表面面积，m2；α为平均吸声系数；</w:t>
            </w:r>
          </w:p>
          <w:p>
            <w:pPr>
              <w:pStyle w:val="9"/>
              <w:spacing w:before="0" w:after="0" w:line="360" w:lineRule="auto"/>
              <w:ind w:firstLine="420" w:firstLineChars="200"/>
              <w:jc w:val="both"/>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r——声源到靠近围护结构某点处的距离，m。</w:t>
            </w:r>
          </w:p>
          <w:p>
            <w:pPr>
              <w:pStyle w:val="9"/>
              <w:spacing w:before="0" w:after="0" w:line="360" w:lineRule="auto"/>
              <w:ind w:firstLine="420" w:firstLineChars="200"/>
              <w:jc w:val="both"/>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计算出所有室内声源在围护结构处产生的i倍频带叠加声压级：</w:t>
            </w:r>
          </w:p>
          <w:p>
            <w:pPr>
              <w:spacing w:line="360" w:lineRule="auto"/>
              <w:ind w:firstLine="0" w:firstLineChars="0"/>
              <w:jc w:val="center"/>
              <w:rPr>
                <w:rFonts w:hint="default" w:ascii="Times New Roman" w:hAnsi="Times New Roman" w:cs="Times New Roman"/>
                <w:color w:val="auto"/>
                <w:spacing w:val="0"/>
                <w:kern w:val="0"/>
                <w:szCs w:val="21"/>
                <w:u w:val="none" w:color="auto"/>
                <w:lang w:val="en-US" w:eastAsia="zh-CN"/>
              </w:rPr>
            </w:pPr>
            <w:r>
              <w:rPr>
                <w:rFonts w:hint="default" w:ascii="Times New Roman" w:hAnsi="Times New Roman" w:cs="Times New Roman"/>
                <w:color w:val="auto"/>
                <w:u w:val="none" w:color="auto"/>
              </w:rPr>
              <w:drawing>
                <wp:inline distT="0" distB="0" distL="114300" distR="114300">
                  <wp:extent cx="1971675" cy="583565"/>
                  <wp:effectExtent l="0" t="0" r="9525" b="10795"/>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pic:cNvPicPr>
                        </pic:nvPicPr>
                        <pic:blipFill>
                          <a:blip r:embed="rId20"/>
                          <a:stretch>
                            <a:fillRect/>
                          </a:stretch>
                        </pic:blipFill>
                        <pic:spPr>
                          <a:xfrm>
                            <a:off x="0" y="0"/>
                            <a:ext cx="1971675" cy="583565"/>
                          </a:xfrm>
                          <a:prstGeom prst="rect">
                            <a:avLst/>
                          </a:prstGeom>
                          <a:noFill/>
                          <a:ln>
                            <a:noFill/>
                          </a:ln>
                        </pic:spPr>
                      </pic:pic>
                    </a:graphicData>
                  </a:graphic>
                </wp:inline>
              </w:drawing>
            </w:r>
          </w:p>
          <w:p>
            <w:pPr>
              <w:spacing w:line="360" w:lineRule="auto"/>
              <w:ind w:firstLine="420" w:firstLineChars="200"/>
              <w:rPr>
                <w:rFonts w:hint="default" w:ascii="Times New Roman" w:hAnsi="Times New Roman" w:cs="Times New Roman"/>
                <w:color w:val="auto"/>
                <w:spacing w:val="0"/>
                <w:kern w:val="0"/>
                <w:szCs w:val="21"/>
                <w:u w:val="none" w:color="auto"/>
                <w:lang w:val="en-US" w:eastAsia="zh-CN"/>
              </w:rPr>
            </w:pPr>
            <w:r>
              <w:rPr>
                <w:rFonts w:hint="default" w:ascii="Times New Roman" w:hAnsi="Times New Roman" w:cs="Times New Roman"/>
                <w:color w:val="auto"/>
                <w:spacing w:val="0"/>
                <w:kern w:val="0"/>
                <w:szCs w:val="21"/>
                <w:u w:val="none" w:color="auto"/>
                <w:lang w:val="en-US" w:eastAsia="zh-CN"/>
              </w:rPr>
              <w:t>式中：L</w:t>
            </w:r>
            <w:r>
              <w:rPr>
                <w:rFonts w:hint="default" w:ascii="Times New Roman" w:hAnsi="Times New Roman" w:cs="Times New Roman"/>
                <w:color w:val="auto"/>
                <w:spacing w:val="0"/>
                <w:kern w:val="0"/>
                <w:szCs w:val="21"/>
                <w:u w:val="none" w:color="auto"/>
                <w:vertAlign w:val="subscript"/>
                <w:lang w:val="en-US" w:eastAsia="zh-CN"/>
              </w:rPr>
              <w:t>p1i</w:t>
            </w:r>
            <w:r>
              <w:rPr>
                <w:rFonts w:hint="default" w:ascii="Times New Roman" w:hAnsi="Times New Roman" w:cs="Times New Roman"/>
                <w:color w:val="auto"/>
                <w:spacing w:val="0"/>
                <w:kern w:val="0"/>
                <w:szCs w:val="21"/>
                <w:u w:val="none" w:color="auto"/>
                <w:vertAlign w:val="baseline"/>
                <w:lang w:val="en-US" w:eastAsia="zh-CN"/>
              </w:rPr>
              <w:t>（</w:t>
            </w:r>
            <w:r>
              <w:rPr>
                <w:rFonts w:hint="default" w:ascii="Times New Roman" w:hAnsi="Times New Roman" w:cs="Times New Roman"/>
                <w:color w:val="auto"/>
                <w:spacing w:val="0"/>
                <w:kern w:val="0"/>
                <w:szCs w:val="21"/>
                <w:u w:val="none" w:color="auto"/>
                <w:lang w:val="en-US" w:eastAsia="zh-CN"/>
              </w:rPr>
              <w:t>T</w:t>
            </w:r>
            <w:r>
              <w:rPr>
                <w:rFonts w:hint="default" w:ascii="Times New Roman" w:hAnsi="Times New Roman" w:cs="Times New Roman"/>
                <w:color w:val="auto"/>
                <w:spacing w:val="0"/>
                <w:kern w:val="0"/>
                <w:szCs w:val="21"/>
                <w:u w:val="none" w:color="auto"/>
                <w:vertAlign w:val="baseline"/>
                <w:lang w:val="en-US" w:eastAsia="zh-CN"/>
              </w:rPr>
              <w:t>）</w:t>
            </w:r>
            <w:r>
              <w:rPr>
                <w:rFonts w:hint="default" w:ascii="Times New Roman" w:hAnsi="Times New Roman" w:cs="Times New Roman"/>
                <w:color w:val="auto"/>
                <w:spacing w:val="0"/>
                <w:kern w:val="0"/>
                <w:szCs w:val="21"/>
                <w:u w:val="none" w:color="auto"/>
                <w:lang w:val="en-US" w:eastAsia="zh-CN"/>
              </w:rPr>
              <w:t>——靠近围护结构处室内N个声源i倍频带的叠加声压级，dB；</w:t>
            </w:r>
          </w:p>
          <w:p>
            <w:pPr>
              <w:spacing w:line="360" w:lineRule="auto"/>
              <w:ind w:firstLine="420" w:firstLineChars="200"/>
              <w:rPr>
                <w:rFonts w:hint="default" w:ascii="Times New Roman" w:hAnsi="Times New Roman" w:cs="Times New Roman"/>
                <w:color w:val="auto"/>
                <w:spacing w:val="0"/>
                <w:kern w:val="0"/>
                <w:szCs w:val="21"/>
                <w:u w:val="none" w:color="auto"/>
                <w:lang w:val="en-US" w:eastAsia="zh-CN"/>
              </w:rPr>
            </w:pPr>
            <w:r>
              <w:rPr>
                <w:rFonts w:hint="default" w:ascii="Times New Roman" w:hAnsi="Times New Roman" w:cs="Times New Roman"/>
                <w:color w:val="auto"/>
                <w:spacing w:val="0"/>
                <w:kern w:val="0"/>
                <w:szCs w:val="21"/>
                <w:u w:val="none" w:color="auto"/>
                <w:lang w:val="en-US" w:eastAsia="zh-CN"/>
              </w:rPr>
              <w:t>L</w:t>
            </w:r>
            <w:r>
              <w:rPr>
                <w:rFonts w:hint="default" w:ascii="Times New Roman" w:hAnsi="Times New Roman" w:cs="Times New Roman"/>
                <w:color w:val="auto"/>
                <w:spacing w:val="0"/>
                <w:kern w:val="0"/>
                <w:szCs w:val="21"/>
                <w:u w:val="none" w:color="auto"/>
                <w:vertAlign w:val="subscript"/>
                <w:lang w:val="en-US" w:eastAsia="zh-CN"/>
              </w:rPr>
              <w:t>p1ij</w:t>
            </w:r>
            <w:r>
              <w:rPr>
                <w:rFonts w:hint="default" w:ascii="Times New Roman" w:hAnsi="Times New Roman" w:cs="Times New Roman"/>
                <w:color w:val="auto"/>
                <w:spacing w:val="0"/>
                <w:kern w:val="0"/>
                <w:szCs w:val="21"/>
                <w:u w:val="none" w:color="auto"/>
                <w:lang w:val="en-US" w:eastAsia="zh-CN"/>
              </w:rPr>
              <w:t>——室内j声源i倍频带的声压级，dB；</w:t>
            </w:r>
          </w:p>
          <w:p>
            <w:pPr>
              <w:spacing w:line="360" w:lineRule="auto"/>
              <w:ind w:firstLine="420" w:firstLineChars="200"/>
              <w:rPr>
                <w:rFonts w:hint="default" w:ascii="Times New Roman" w:hAnsi="Times New Roman" w:cs="Times New Roman"/>
                <w:color w:val="auto"/>
                <w:spacing w:val="0"/>
                <w:kern w:val="0"/>
                <w:szCs w:val="21"/>
                <w:u w:val="none" w:color="auto"/>
                <w:lang w:val="en-US" w:eastAsia="zh-CN"/>
              </w:rPr>
            </w:pPr>
            <w:r>
              <w:rPr>
                <w:rFonts w:hint="default" w:ascii="Times New Roman" w:hAnsi="Times New Roman" w:cs="Times New Roman"/>
                <w:color w:val="auto"/>
                <w:spacing w:val="0"/>
                <w:kern w:val="0"/>
                <w:szCs w:val="21"/>
                <w:u w:val="none" w:color="auto"/>
                <w:lang w:val="en-US" w:eastAsia="zh-CN"/>
              </w:rPr>
              <w:t>N——室内声源总数。</w:t>
            </w:r>
          </w:p>
          <w:p>
            <w:pPr>
              <w:spacing w:line="360" w:lineRule="auto"/>
              <w:ind w:firstLine="422" w:firstLineChars="200"/>
              <w:rPr>
                <w:rFonts w:hint="default" w:ascii="Times New Roman" w:hAnsi="Times New Roman" w:eastAsia="宋体" w:cs="Times New Roman"/>
                <w:b/>
                <w:bCs/>
                <w:color w:val="auto"/>
                <w:spacing w:val="0"/>
                <w:kern w:val="0"/>
                <w:szCs w:val="21"/>
                <w:u w:val="none" w:color="auto"/>
                <w:lang w:val="en-US" w:eastAsia="zh-CN"/>
              </w:rPr>
            </w:pPr>
            <w:r>
              <w:rPr>
                <w:rFonts w:hint="default" w:ascii="Times New Roman" w:hAnsi="Times New Roman" w:cs="Times New Roman"/>
                <w:b/>
                <w:bCs/>
                <w:color w:val="auto"/>
                <w:spacing w:val="0"/>
                <w:kern w:val="0"/>
                <w:szCs w:val="21"/>
                <w:u w:val="none" w:color="auto"/>
                <w:lang w:val="en-US" w:eastAsia="zh-CN"/>
              </w:rPr>
              <w:t>B、噪声计算基本参数</w:t>
            </w:r>
          </w:p>
          <w:p>
            <w:pPr>
              <w:spacing w:line="360" w:lineRule="auto"/>
              <w:ind w:firstLine="420" w:firstLineChars="200"/>
              <w:rPr>
                <w:rFonts w:hint="default" w:ascii="Times New Roman" w:hAnsi="Times New Roman" w:eastAsia="宋体" w:cs="Times New Roman"/>
                <w:color w:val="auto"/>
                <w:spacing w:val="0"/>
                <w:kern w:val="0"/>
                <w:szCs w:val="21"/>
                <w:u w:val="none" w:color="auto"/>
                <w:lang w:val="en-US" w:eastAsia="zh-CN"/>
              </w:rPr>
            </w:pPr>
            <w:r>
              <w:rPr>
                <w:rFonts w:hint="default" w:ascii="Times New Roman" w:hAnsi="Times New Roman" w:cs="Times New Roman"/>
                <w:color w:val="auto"/>
                <w:spacing w:val="0"/>
                <w:kern w:val="0"/>
                <w:szCs w:val="21"/>
                <w:u w:val="none" w:color="auto"/>
                <w:lang w:val="en-US" w:eastAsia="zh-CN"/>
              </w:rPr>
              <w:t>根据以上公式，其噪声预测所需参数见下表：</w:t>
            </w:r>
          </w:p>
          <w:p>
            <w:pPr>
              <w:pStyle w:val="9"/>
              <w:spacing w:before="0" w:after="0" w:line="240" w:lineRule="auto"/>
              <w:ind w:firstLine="0" w:firstLineChars="0"/>
              <w:jc w:val="center"/>
              <w:rPr>
                <w:rFonts w:hint="default" w:ascii="Times New Roman" w:hAnsi="Times New Roman" w:eastAsia="宋体" w:cs="Times New Roman"/>
                <w:b/>
                <w:bCs/>
                <w:color w:val="auto"/>
                <w:u w:val="none" w:color="auto"/>
                <w:vertAlign w:val="baseline"/>
                <w:lang w:val="en-US" w:eastAsia="zh-CN"/>
              </w:rPr>
            </w:pPr>
            <w:r>
              <w:rPr>
                <w:rFonts w:hint="default" w:ascii="Times New Roman" w:hAnsi="Times New Roman" w:eastAsia="宋体" w:cs="Times New Roman"/>
                <w:b/>
                <w:bCs/>
                <w:color w:val="auto"/>
                <w:u w:val="none" w:color="auto"/>
                <w:lang w:val="en-US" w:eastAsia="zh-CN"/>
              </w:rPr>
              <w:t>表4-</w:t>
            </w:r>
            <w:r>
              <w:rPr>
                <w:rFonts w:hint="eastAsia" w:ascii="Times New Roman" w:hAnsi="Times New Roman" w:cs="Times New Roman"/>
                <w:b/>
                <w:bCs/>
                <w:color w:val="auto"/>
                <w:u w:val="none" w:color="auto"/>
                <w:lang w:val="en-US" w:eastAsia="zh-CN"/>
              </w:rPr>
              <w:t>10</w:t>
            </w:r>
            <w:r>
              <w:rPr>
                <w:rFonts w:hint="default" w:ascii="Times New Roman" w:hAnsi="Times New Roman" w:eastAsia="宋体" w:cs="Times New Roman"/>
                <w:b/>
                <w:bCs/>
                <w:color w:val="auto"/>
                <w:u w:val="none" w:color="auto"/>
                <w:lang w:val="en-US" w:eastAsia="zh-CN"/>
              </w:rPr>
              <w:t>噪声基本参数一览表</w:t>
            </w:r>
          </w:p>
          <w:tbl>
            <w:tblPr>
              <w:tblStyle w:val="31"/>
              <w:tblW w:w="498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530"/>
              <w:gridCol w:w="1206"/>
              <w:gridCol w:w="864"/>
              <w:gridCol w:w="815"/>
              <w:gridCol w:w="799"/>
              <w:gridCol w:w="897"/>
              <w:gridCol w:w="946"/>
              <w:gridCol w:w="845"/>
              <w:gridCol w:w="10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序号</w:t>
                  </w:r>
                </w:p>
              </w:tc>
              <w:tc>
                <w:tcPr>
                  <w:tcW w:w="762"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auto"/>
                      <w:sz w:val="21"/>
                      <w:szCs w:val="21"/>
                      <w:u w:val="none" w:color="auto"/>
                      <w:lang w:eastAsia="zh-CN"/>
                    </w:rPr>
                  </w:pPr>
                  <w:r>
                    <w:rPr>
                      <w:rFonts w:hint="eastAsia" w:cs="Times New Roman"/>
                      <w:b/>
                      <w:bCs/>
                      <w:i w:val="0"/>
                      <w:iCs w:val="0"/>
                      <w:color w:val="auto"/>
                      <w:sz w:val="21"/>
                      <w:szCs w:val="21"/>
                      <w:u w:val="none" w:color="auto"/>
                      <w:lang w:eastAsia="zh-CN"/>
                    </w:rPr>
                    <w:t>车间</w:t>
                  </w:r>
                </w:p>
              </w:tc>
              <w:tc>
                <w:tcPr>
                  <w:tcW w:w="54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长</w:t>
                  </w:r>
                  <w:r>
                    <w:rPr>
                      <w:rStyle w:val="79"/>
                      <w:rFonts w:hint="default" w:ascii="Times New Roman" w:hAnsi="Times New Roman" w:eastAsia="宋体" w:cs="Times New Roman"/>
                      <w:b/>
                      <w:bCs/>
                      <w:color w:val="auto"/>
                      <w:sz w:val="21"/>
                      <w:szCs w:val="21"/>
                      <w:u w:val="none" w:color="auto"/>
                      <w:lang w:val="en-US" w:eastAsia="zh-CN" w:bidi="ar"/>
                    </w:rPr>
                    <w:t>/m</w:t>
                  </w:r>
                </w:p>
              </w:tc>
              <w:tc>
                <w:tcPr>
                  <w:tcW w:w="5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宽</w:t>
                  </w:r>
                  <w:r>
                    <w:rPr>
                      <w:rStyle w:val="79"/>
                      <w:rFonts w:hint="default" w:ascii="Times New Roman" w:hAnsi="Times New Roman" w:eastAsia="宋体" w:cs="Times New Roman"/>
                      <w:b/>
                      <w:bCs/>
                      <w:color w:val="auto"/>
                      <w:sz w:val="21"/>
                      <w:szCs w:val="21"/>
                      <w:u w:val="none" w:color="auto"/>
                      <w:lang w:val="en-US" w:eastAsia="zh-CN" w:bidi="ar"/>
                    </w:rPr>
                    <w:t>/m</w:t>
                  </w:r>
                </w:p>
              </w:tc>
              <w:tc>
                <w:tcPr>
                  <w:tcW w:w="50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高</w:t>
                  </w:r>
                  <w:r>
                    <w:rPr>
                      <w:rStyle w:val="79"/>
                      <w:rFonts w:hint="default" w:ascii="Times New Roman" w:hAnsi="Times New Roman" w:eastAsia="宋体" w:cs="Times New Roman"/>
                      <w:b/>
                      <w:bCs/>
                      <w:color w:val="auto"/>
                      <w:sz w:val="21"/>
                      <w:szCs w:val="21"/>
                      <w:u w:val="none" w:color="auto"/>
                      <w:lang w:val="en-US" w:eastAsia="zh-CN" w:bidi="ar"/>
                    </w:rPr>
                    <w:t>/m</w:t>
                  </w:r>
                </w:p>
              </w:tc>
              <w:tc>
                <w:tcPr>
                  <w:tcW w:w="56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表面积</w:t>
                  </w:r>
                  <w:r>
                    <w:rPr>
                      <w:rFonts w:hint="eastAsia" w:cs="Times New Roman"/>
                      <w:b/>
                      <w:bCs/>
                      <w:i w:val="0"/>
                      <w:iCs w:val="0"/>
                      <w:color w:val="auto"/>
                      <w:kern w:val="0"/>
                      <w:sz w:val="21"/>
                      <w:szCs w:val="21"/>
                      <w:u w:val="none" w:color="auto"/>
                      <w:lang w:val="en-US" w:eastAsia="zh-CN" w:bidi="ar"/>
                    </w:rPr>
                    <w:t>S</w:t>
                  </w:r>
                  <w:r>
                    <w:rPr>
                      <w:rStyle w:val="79"/>
                      <w:rFonts w:hint="default" w:ascii="Times New Roman" w:hAnsi="Times New Roman" w:eastAsia="宋体" w:cs="Times New Roman"/>
                      <w:b/>
                      <w:bCs/>
                      <w:color w:val="auto"/>
                      <w:sz w:val="21"/>
                      <w:szCs w:val="21"/>
                      <w:u w:val="none" w:color="auto"/>
                      <w:lang w:val="en-US" w:eastAsia="zh-CN" w:bidi="ar"/>
                    </w:rPr>
                    <w:t>/m</w:t>
                  </w:r>
                  <w:r>
                    <w:rPr>
                      <w:rStyle w:val="80"/>
                      <w:rFonts w:hint="default" w:ascii="Times New Roman" w:hAnsi="Times New Roman" w:eastAsia="宋体" w:cs="Times New Roman"/>
                      <w:b/>
                      <w:bCs/>
                      <w:color w:val="auto"/>
                      <w:sz w:val="21"/>
                      <w:szCs w:val="21"/>
                      <w:u w:val="none" w:color="auto"/>
                      <w:lang w:val="en-US" w:eastAsia="zh-CN" w:bidi="ar"/>
                    </w:rPr>
                    <w:t>2</w:t>
                  </w:r>
                </w:p>
              </w:tc>
              <w:tc>
                <w:tcPr>
                  <w:tcW w:w="5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吸声系数</w:t>
                  </w:r>
                  <w:r>
                    <w:rPr>
                      <w:rStyle w:val="81"/>
                      <w:rFonts w:hint="default" w:ascii="Times New Roman" w:hAnsi="Times New Roman" w:cs="Times New Roman"/>
                      <w:color w:val="auto"/>
                      <w:sz w:val="21"/>
                      <w:szCs w:val="21"/>
                      <w:u w:val="none" w:color="auto"/>
                      <w:lang w:val="en-US" w:eastAsia="zh-CN" w:bidi="ar"/>
                    </w:rPr>
                    <w:t>α</w:t>
                  </w:r>
                </w:p>
              </w:tc>
              <w:tc>
                <w:tcPr>
                  <w:tcW w:w="5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房间常数</w:t>
                  </w:r>
                  <w:r>
                    <w:rPr>
                      <w:rStyle w:val="82"/>
                      <w:rFonts w:hint="default" w:ascii="Times New Roman" w:hAnsi="Times New Roman" w:eastAsia="宋体" w:cs="Times New Roman"/>
                      <w:color w:val="auto"/>
                      <w:sz w:val="21"/>
                      <w:szCs w:val="21"/>
                      <w:u w:val="none" w:color="auto"/>
                      <w:lang w:val="en-US" w:eastAsia="zh-CN" w:bidi="ar"/>
                    </w:rPr>
                    <w:t>R</w:t>
                  </w:r>
                </w:p>
              </w:tc>
              <w:tc>
                <w:tcPr>
                  <w:tcW w:w="6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color="auto"/>
                      <w:lang w:val="en-US" w:eastAsia="zh-CN" w:bidi="ar"/>
                    </w:rPr>
                  </w:pPr>
                  <w:r>
                    <w:rPr>
                      <w:rFonts w:hint="default" w:ascii="Times New Roman" w:hAnsi="Times New Roman" w:eastAsia="宋体" w:cs="Times New Roman"/>
                      <w:b/>
                      <w:bCs/>
                      <w:i w:val="0"/>
                      <w:iCs w:val="0"/>
                      <w:color w:val="auto"/>
                      <w:kern w:val="0"/>
                      <w:sz w:val="21"/>
                      <w:szCs w:val="21"/>
                      <w:u w:val="none" w:color="auto"/>
                      <w:lang w:val="en-US" w:eastAsia="zh-CN" w:bidi="ar"/>
                    </w:rPr>
                    <w:t>指向性因数Q</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35"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1</w:t>
                  </w:r>
                </w:p>
              </w:tc>
              <w:tc>
                <w:tcPr>
                  <w:tcW w:w="762" w:type="pct"/>
                  <w:tcBorders>
                    <w:right w:val="single" w:color="auto" w:sz="4" w:space="0"/>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3#储煤棚</w:t>
                  </w:r>
                </w:p>
              </w:tc>
              <w:tc>
                <w:tcPr>
                  <w:tcW w:w="546" w:type="pct"/>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430</w:t>
                  </w:r>
                </w:p>
              </w:tc>
              <w:tc>
                <w:tcPr>
                  <w:tcW w:w="515" w:type="pct"/>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110</w:t>
                  </w:r>
                </w:p>
              </w:tc>
              <w:tc>
                <w:tcPr>
                  <w:tcW w:w="505" w:type="pct"/>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45.6</w:t>
                  </w:r>
                </w:p>
              </w:tc>
              <w:tc>
                <w:tcPr>
                  <w:tcW w:w="897" w:type="dxa"/>
                  <w:tcBorders>
                    <w:tl2br w:val="nil"/>
                    <w:tr2bl w:val="nil"/>
                  </w:tcBorders>
                  <w:shd w:val="clear" w:color="auto" w:fill="auto"/>
                  <w:noWrap w:val="0"/>
                  <w:vAlign w:val="center"/>
                </w:tcPr>
                <w:p>
                  <w:pPr>
                    <w:keepNext w:val="0"/>
                    <w:keepLines w:val="0"/>
                    <w:widowControl/>
                    <w:suppressLineNumbers w:val="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143848</w:t>
                  </w:r>
                </w:p>
              </w:tc>
              <w:tc>
                <w:tcPr>
                  <w:tcW w:w="946" w:type="dxa"/>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0.1</w:t>
                  </w:r>
                </w:p>
              </w:tc>
              <w:tc>
                <w:tcPr>
                  <w:tcW w:w="845" w:type="dxa"/>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15983.11 </w:t>
                  </w:r>
                </w:p>
              </w:tc>
              <w:tc>
                <w:tcPr>
                  <w:tcW w:w="1010" w:type="dxa"/>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35"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2</w:t>
                  </w:r>
                </w:p>
              </w:tc>
              <w:tc>
                <w:tcPr>
                  <w:tcW w:w="762" w:type="pct"/>
                  <w:tcBorders>
                    <w:right w:val="single" w:color="auto" w:sz="4" w:space="0"/>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4#储煤棚</w:t>
                  </w:r>
                </w:p>
              </w:tc>
              <w:tc>
                <w:tcPr>
                  <w:tcW w:w="546" w:type="pct"/>
                  <w:tcBorders>
                    <w:tl2br w:val="nil"/>
                    <w:tr2bl w:val="nil"/>
                  </w:tcBorders>
                  <w:shd w:val="clear" w:color="auto" w:fill="auto"/>
                  <w:noWrap w:val="0"/>
                  <w:vAlign w:val="center"/>
                </w:tcPr>
                <w:p>
                  <w:pPr>
                    <w:keepNext w:val="0"/>
                    <w:keepLines w:val="0"/>
                    <w:widowControl/>
                    <w:suppressLineNumbers w:val="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430</w:t>
                  </w:r>
                </w:p>
              </w:tc>
              <w:tc>
                <w:tcPr>
                  <w:tcW w:w="515" w:type="pct"/>
                  <w:tcBorders>
                    <w:tl2br w:val="nil"/>
                    <w:tr2bl w:val="nil"/>
                  </w:tcBorders>
                  <w:shd w:val="clear" w:color="auto" w:fill="auto"/>
                  <w:noWrap w:val="0"/>
                  <w:vAlign w:val="center"/>
                </w:tcPr>
                <w:p>
                  <w:pPr>
                    <w:keepNext w:val="0"/>
                    <w:keepLines w:val="0"/>
                    <w:widowControl/>
                    <w:suppressLineNumbers w:val="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110</w:t>
                  </w:r>
                </w:p>
              </w:tc>
              <w:tc>
                <w:tcPr>
                  <w:tcW w:w="505" w:type="pct"/>
                  <w:tcBorders>
                    <w:tl2br w:val="nil"/>
                    <w:tr2bl w:val="nil"/>
                  </w:tcBorders>
                  <w:shd w:val="clear" w:color="auto" w:fill="auto"/>
                  <w:noWrap w:val="0"/>
                  <w:vAlign w:val="center"/>
                </w:tcPr>
                <w:p>
                  <w:pPr>
                    <w:keepNext w:val="0"/>
                    <w:keepLines w:val="0"/>
                    <w:widowControl/>
                    <w:suppressLineNumbers w:val="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45.6</w:t>
                  </w:r>
                </w:p>
              </w:tc>
              <w:tc>
                <w:tcPr>
                  <w:tcW w:w="897" w:type="dxa"/>
                  <w:tcBorders>
                    <w:tl2br w:val="nil"/>
                    <w:tr2bl w:val="nil"/>
                  </w:tcBorders>
                  <w:shd w:val="clear" w:color="auto" w:fill="auto"/>
                  <w:noWrap w:val="0"/>
                  <w:vAlign w:val="center"/>
                </w:tcPr>
                <w:p>
                  <w:pPr>
                    <w:keepNext w:val="0"/>
                    <w:keepLines w:val="0"/>
                    <w:widowControl/>
                    <w:suppressLineNumbers w:val="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143848</w:t>
                  </w:r>
                </w:p>
              </w:tc>
              <w:tc>
                <w:tcPr>
                  <w:tcW w:w="946" w:type="dxa"/>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0.1</w:t>
                  </w:r>
                </w:p>
              </w:tc>
              <w:tc>
                <w:tcPr>
                  <w:tcW w:w="845" w:type="dxa"/>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15983.11 </w:t>
                  </w:r>
                </w:p>
              </w:tc>
              <w:tc>
                <w:tcPr>
                  <w:tcW w:w="1010" w:type="dxa"/>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35"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3</w:t>
                  </w:r>
                </w:p>
              </w:tc>
              <w:tc>
                <w:tcPr>
                  <w:tcW w:w="762" w:type="pct"/>
                  <w:tcBorders>
                    <w:right w:val="single" w:color="auto" w:sz="4" w:space="0"/>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T13转载点</w:t>
                  </w:r>
                </w:p>
              </w:tc>
              <w:tc>
                <w:tcPr>
                  <w:tcW w:w="546" w:type="pct"/>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15.5</w:t>
                  </w:r>
                </w:p>
              </w:tc>
              <w:tc>
                <w:tcPr>
                  <w:tcW w:w="515" w:type="pct"/>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12</w:t>
                  </w:r>
                </w:p>
              </w:tc>
              <w:tc>
                <w:tcPr>
                  <w:tcW w:w="505" w:type="pct"/>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13</w:t>
                  </w:r>
                </w:p>
              </w:tc>
              <w:tc>
                <w:tcPr>
                  <w:tcW w:w="897" w:type="dxa"/>
                  <w:tcBorders>
                    <w:tl2br w:val="nil"/>
                    <w:tr2bl w:val="nil"/>
                  </w:tcBorders>
                  <w:shd w:val="clear" w:color="auto" w:fill="auto"/>
                  <w:noWrap w:val="0"/>
                  <w:vAlign w:val="center"/>
                </w:tcPr>
                <w:p>
                  <w:pPr>
                    <w:keepNext w:val="0"/>
                    <w:keepLines w:val="0"/>
                    <w:widowControl/>
                    <w:suppressLineNumbers w:val="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1087</w:t>
                  </w:r>
                </w:p>
              </w:tc>
              <w:tc>
                <w:tcPr>
                  <w:tcW w:w="946" w:type="dxa"/>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0.1</w:t>
                  </w:r>
                </w:p>
              </w:tc>
              <w:tc>
                <w:tcPr>
                  <w:tcW w:w="845" w:type="dxa"/>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120.78 </w:t>
                  </w:r>
                </w:p>
              </w:tc>
              <w:tc>
                <w:tcPr>
                  <w:tcW w:w="1010" w:type="dxa"/>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4</w:t>
                  </w:r>
                </w:p>
              </w:tc>
              <w:tc>
                <w:tcPr>
                  <w:tcW w:w="762" w:type="pct"/>
                  <w:tcBorders>
                    <w:right w:val="single" w:color="auto" w:sz="4" w:space="0"/>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T14转载点</w:t>
                  </w:r>
                </w:p>
              </w:tc>
              <w:tc>
                <w:tcPr>
                  <w:tcW w:w="546" w:type="pct"/>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15.5</w:t>
                  </w:r>
                </w:p>
              </w:tc>
              <w:tc>
                <w:tcPr>
                  <w:tcW w:w="515" w:type="pct"/>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12</w:t>
                  </w:r>
                </w:p>
              </w:tc>
              <w:tc>
                <w:tcPr>
                  <w:tcW w:w="505" w:type="pct"/>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18</w:t>
                  </w:r>
                </w:p>
              </w:tc>
              <w:tc>
                <w:tcPr>
                  <w:tcW w:w="897" w:type="dxa"/>
                  <w:tcBorders>
                    <w:tl2br w:val="nil"/>
                    <w:tr2bl w:val="nil"/>
                  </w:tcBorders>
                  <w:noWrap w:val="0"/>
                  <w:vAlign w:val="center"/>
                </w:tcPr>
                <w:p>
                  <w:pPr>
                    <w:keepNext w:val="0"/>
                    <w:keepLines w:val="0"/>
                    <w:widowControl/>
                    <w:suppressLineNumbers w:val="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1362</w:t>
                  </w:r>
                </w:p>
              </w:tc>
              <w:tc>
                <w:tcPr>
                  <w:tcW w:w="946" w:type="dxa"/>
                  <w:tcBorders>
                    <w:tl2br w:val="nil"/>
                    <w:tr2bl w:val="nil"/>
                  </w:tcBorders>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0.1</w:t>
                  </w:r>
                </w:p>
              </w:tc>
              <w:tc>
                <w:tcPr>
                  <w:tcW w:w="845" w:type="dxa"/>
                  <w:tcBorders>
                    <w:tl2br w:val="nil"/>
                    <w:tr2bl w:val="nil"/>
                  </w:tcBorders>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151.33 </w:t>
                  </w:r>
                </w:p>
              </w:tc>
              <w:tc>
                <w:tcPr>
                  <w:tcW w:w="1010" w:type="dxa"/>
                  <w:tcBorders>
                    <w:tl2br w:val="nil"/>
                    <w:tr2bl w:val="nil"/>
                  </w:tcBorders>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5</w:t>
                  </w:r>
                </w:p>
              </w:tc>
              <w:tc>
                <w:tcPr>
                  <w:tcW w:w="762" w:type="pct"/>
                  <w:tcBorders>
                    <w:right w:val="single" w:color="auto" w:sz="4" w:space="0"/>
                    <w:tl2br w:val="nil"/>
                    <w:tr2bl w:val="nil"/>
                  </w:tcBorders>
                  <w:shd w:val="clear" w:color="auto" w:fill="auto"/>
                  <w:noWrap w:val="0"/>
                  <w:vAlign w:val="center"/>
                </w:tcPr>
                <w:p>
                  <w:pPr>
                    <w:spacing w:line="360" w:lineRule="exact"/>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color="auto"/>
                      <w:lang w:val="en-US" w:eastAsia="zh-CN" w:bidi="ar"/>
                    </w:rPr>
                    <w:t>T16转载点</w:t>
                  </w:r>
                </w:p>
              </w:tc>
              <w:tc>
                <w:tcPr>
                  <w:tcW w:w="546" w:type="pct"/>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12</w:t>
                  </w:r>
                </w:p>
              </w:tc>
              <w:tc>
                <w:tcPr>
                  <w:tcW w:w="515" w:type="pct"/>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12</w:t>
                  </w:r>
                </w:p>
              </w:tc>
              <w:tc>
                <w:tcPr>
                  <w:tcW w:w="505" w:type="pct"/>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19.5</w:t>
                  </w:r>
                </w:p>
              </w:tc>
              <w:tc>
                <w:tcPr>
                  <w:tcW w:w="897" w:type="dxa"/>
                  <w:tcBorders>
                    <w:tl2br w:val="nil"/>
                    <w:tr2bl w:val="nil"/>
                  </w:tcBorders>
                  <w:noWrap w:val="0"/>
                  <w:vAlign w:val="center"/>
                </w:tcPr>
                <w:p>
                  <w:pPr>
                    <w:keepNext w:val="0"/>
                    <w:keepLines w:val="0"/>
                    <w:widowControl/>
                    <w:suppressLineNumbers w:val="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1224</w:t>
                  </w:r>
                </w:p>
              </w:tc>
              <w:tc>
                <w:tcPr>
                  <w:tcW w:w="946" w:type="dxa"/>
                  <w:tcBorders>
                    <w:tl2br w:val="nil"/>
                    <w:tr2bl w:val="nil"/>
                  </w:tcBorders>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0.1</w:t>
                  </w:r>
                </w:p>
              </w:tc>
              <w:tc>
                <w:tcPr>
                  <w:tcW w:w="845" w:type="dxa"/>
                  <w:tcBorders>
                    <w:tl2br w:val="nil"/>
                    <w:tr2bl w:val="nil"/>
                  </w:tcBorders>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136.00 </w:t>
                  </w:r>
                </w:p>
              </w:tc>
              <w:tc>
                <w:tcPr>
                  <w:tcW w:w="1010" w:type="dxa"/>
                  <w:tcBorders>
                    <w:tl2br w:val="nil"/>
                    <w:tr2bl w:val="nil"/>
                  </w:tcBorders>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35" w:type="pct"/>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6</w:t>
                  </w:r>
                </w:p>
              </w:tc>
              <w:tc>
                <w:tcPr>
                  <w:tcW w:w="762" w:type="pct"/>
                  <w:tcBorders>
                    <w:right w:val="single" w:color="auto" w:sz="4" w:space="0"/>
                    <w:tl2br w:val="nil"/>
                    <w:tr2bl w:val="nil"/>
                  </w:tcBorders>
                  <w:shd w:val="clear" w:color="auto" w:fill="auto"/>
                  <w:noWrap w:val="0"/>
                  <w:vAlign w:val="center"/>
                </w:tcPr>
                <w:p>
                  <w:pPr>
                    <w:spacing w:line="360" w:lineRule="exact"/>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color="auto"/>
                      <w:lang w:val="en-US" w:eastAsia="zh-CN" w:bidi="ar"/>
                    </w:rPr>
                    <w:t>T17转载点</w:t>
                  </w:r>
                </w:p>
              </w:tc>
              <w:tc>
                <w:tcPr>
                  <w:tcW w:w="546" w:type="pct"/>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12</w:t>
                  </w:r>
                </w:p>
              </w:tc>
              <w:tc>
                <w:tcPr>
                  <w:tcW w:w="515" w:type="pct"/>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12</w:t>
                  </w:r>
                </w:p>
              </w:tc>
              <w:tc>
                <w:tcPr>
                  <w:tcW w:w="505" w:type="pct"/>
                  <w:tcBorders>
                    <w:tl2br w:val="nil"/>
                    <w:tr2bl w:val="nil"/>
                  </w:tcBorders>
                  <w:shd w:val="clear" w:color="auto" w:fill="auto"/>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19.5</w:t>
                  </w:r>
                </w:p>
              </w:tc>
              <w:tc>
                <w:tcPr>
                  <w:tcW w:w="897" w:type="dxa"/>
                  <w:tcBorders>
                    <w:tl2br w:val="nil"/>
                    <w:tr2bl w:val="nil"/>
                  </w:tcBorders>
                  <w:noWrap w:val="0"/>
                  <w:vAlign w:val="center"/>
                </w:tcPr>
                <w:p>
                  <w:pPr>
                    <w:keepNext w:val="0"/>
                    <w:keepLines w:val="0"/>
                    <w:widowControl/>
                    <w:suppressLineNumbers w:val="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1224</w:t>
                  </w:r>
                </w:p>
              </w:tc>
              <w:tc>
                <w:tcPr>
                  <w:tcW w:w="946" w:type="dxa"/>
                  <w:tcBorders>
                    <w:tl2br w:val="nil"/>
                    <w:tr2bl w:val="nil"/>
                  </w:tcBorders>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0.1</w:t>
                  </w:r>
                </w:p>
              </w:tc>
              <w:tc>
                <w:tcPr>
                  <w:tcW w:w="845" w:type="dxa"/>
                  <w:tcBorders>
                    <w:tl2br w:val="nil"/>
                    <w:tr2bl w:val="nil"/>
                  </w:tcBorders>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136.00 </w:t>
                  </w:r>
                </w:p>
              </w:tc>
              <w:tc>
                <w:tcPr>
                  <w:tcW w:w="1010" w:type="dxa"/>
                  <w:tcBorders>
                    <w:tl2br w:val="nil"/>
                    <w:tr2bl w:val="nil"/>
                  </w:tcBorders>
                  <w:noWrap w:val="0"/>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5000" w:type="pct"/>
                  <w:gridSpan w:val="9"/>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color="auto"/>
                      <w:lang w:val="en-US" w:eastAsia="zh-CN"/>
                    </w:rPr>
                  </w:pPr>
                  <w:r>
                    <w:rPr>
                      <w:rFonts w:hint="eastAsia"/>
                      <w:lang w:val="en-US" w:eastAsia="zh-CN"/>
                    </w:rPr>
                    <w:t>注：参照《噪声控制与建筑声学设备和材料选用手册》，吸声系数取0.1。</w:t>
                  </w:r>
                </w:p>
              </w:tc>
            </w:tr>
          </w:tbl>
          <w:p>
            <w:pPr>
              <w:spacing w:line="240" w:lineRule="auto"/>
              <w:jc w:val="center"/>
              <w:rPr>
                <w:rFonts w:hint="eastAsia" w:ascii="Times New Roman" w:hAnsi="Times New Roman"/>
                <w:b/>
                <w:bCs/>
                <w:color w:val="0000FF"/>
                <w:szCs w:val="21"/>
                <w:u w:val="none" w:color="auto"/>
              </w:rPr>
            </w:pPr>
          </w:p>
          <w:p>
            <w:pPr>
              <w:spacing w:line="240" w:lineRule="auto"/>
              <w:jc w:val="center"/>
              <w:rPr>
                <w:rFonts w:hint="eastAsia" w:ascii="Times New Roman" w:hAnsi="Times New Roman"/>
                <w:b/>
                <w:bCs/>
                <w:color w:val="0000FF"/>
                <w:szCs w:val="21"/>
                <w:u w:val="none" w:color="auto"/>
              </w:rPr>
            </w:pPr>
          </w:p>
          <w:p>
            <w:pPr>
              <w:adjustRightInd w:val="0"/>
              <w:snapToGrid w:val="0"/>
              <w:rPr>
                <w:rFonts w:ascii="宋体" w:hAnsi="宋体" w:cs="宋体"/>
                <w:bCs/>
                <w:color w:val="0000FF"/>
                <w:spacing w:val="-10"/>
                <w:szCs w:val="21"/>
                <w:u w:val="none" w:color="auto"/>
              </w:rPr>
            </w:pPr>
          </w:p>
        </w:tc>
      </w:tr>
    </w:tbl>
    <w:p>
      <w:pPr>
        <w:adjustRightInd w:val="0"/>
        <w:snapToGrid w:val="0"/>
        <w:spacing w:line="360" w:lineRule="auto"/>
        <w:rPr>
          <w:rFonts w:hint="eastAsia" w:ascii="宋体" w:cs="宋体"/>
          <w:b/>
          <w:color w:val="0000FF"/>
          <w:kern w:val="0"/>
          <w:sz w:val="28"/>
          <w:szCs w:val="28"/>
          <w:u w:val="none" w:color="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9"/>
        <w:spacing w:before="0" w:after="0" w:line="240" w:lineRule="auto"/>
        <w:ind w:firstLine="0" w:firstLineChars="0"/>
        <w:jc w:val="center"/>
        <w:rPr>
          <w:rFonts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b/>
          <w:bCs/>
          <w:color w:val="auto"/>
          <w:u w:val="none" w:color="auto"/>
          <w:lang w:val="en-US" w:eastAsia="zh-CN"/>
        </w:rPr>
        <w:t>表</w:t>
      </w:r>
      <w:r>
        <w:rPr>
          <w:rFonts w:hint="eastAsia" w:ascii="Times New Roman" w:hAnsi="Times New Roman" w:cs="Times New Roman"/>
          <w:b/>
          <w:bCs/>
          <w:color w:val="auto"/>
          <w:u w:val="none" w:color="auto"/>
          <w:lang w:val="en-US" w:eastAsia="zh-CN"/>
        </w:rPr>
        <w:t>4-11</w:t>
      </w:r>
      <w:r>
        <w:rPr>
          <w:rFonts w:ascii="Times New Roman" w:hAnsi="Times New Roman" w:eastAsia="宋体" w:cs="Times New Roman"/>
          <w:b/>
          <w:bCs/>
          <w:color w:val="auto"/>
          <w:u w:val="none" w:color="auto"/>
          <w:lang w:eastAsia="zh-CN"/>
        </w:rPr>
        <w:t>工业企业噪声源强调查清单（室</w:t>
      </w:r>
      <w:r>
        <w:rPr>
          <w:rFonts w:hint="eastAsia" w:ascii="Times New Roman" w:hAnsi="Times New Roman" w:eastAsia="宋体" w:cs="Times New Roman"/>
          <w:b/>
          <w:bCs/>
          <w:color w:val="auto"/>
          <w:u w:val="none" w:color="auto"/>
          <w:lang w:val="en-US" w:eastAsia="zh-CN"/>
        </w:rPr>
        <w:t>内</w:t>
      </w:r>
      <w:r>
        <w:rPr>
          <w:rFonts w:ascii="Times New Roman" w:hAnsi="Times New Roman" w:eastAsia="宋体" w:cs="Times New Roman"/>
          <w:b/>
          <w:bCs/>
          <w:color w:val="auto"/>
          <w:u w:val="none" w:color="auto"/>
          <w:lang w:eastAsia="zh-CN"/>
        </w:rPr>
        <w:t>声源）</w:t>
      </w:r>
    </w:p>
    <w:tbl>
      <w:tblPr>
        <w:tblStyle w:val="31"/>
        <w:tblW w:w="54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43"/>
        <w:gridCol w:w="720"/>
        <w:gridCol w:w="1589"/>
        <w:gridCol w:w="975"/>
        <w:gridCol w:w="694"/>
        <w:gridCol w:w="417"/>
        <w:gridCol w:w="578"/>
        <w:gridCol w:w="368"/>
        <w:gridCol w:w="461"/>
        <w:gridCol w:w="387"/>
        <w:gridCol w:w="497"/>
        <w:gridCol w:w="469"/>
        <w:gridCol w:w="641"/>
        <w:gridCol w:w="673"/>
        <w:gridCol w:w="641"/>
        <w:gridCol w:w="661"/>
        <w:gridCol w:w="417"/>
        <w:gridCol w:w="818"/>
        <w:gridCol w:w="657"/>
        <w:gridCol w:w="562"/>
        <w:gridCol w:w="544"/>
        <w:gridCol w:w="544"/>
        <w:gridCol w:w="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bookmarkStart w:id="11" w:name="PT_6"/>
            <w:r>
              <w:rPr>
                <w:rFonts w:hint="default" w:ascii="Times New Roman" w:hAnsi="Times New Roman" w:eastAsia="宋体" w:cs="Times New Roman"/>
                <w:b/>
                <w:bCs/>
                <w:i w:val="0"/>
                <w:iCs w:val="0"/>
                <w:color w:val="auto"/>
                <w:kern w:val="0"/>
                <w:sz w:val="21"/>
                <w:szCs w:val="21"/>
                <w:u w:val="none" w:color="auto"/>
                <w:lang w:val="en-US" w:eastAsia="zh-CN" w:bidi="ar"/>
              </w:rPr>
              <w:t>序号</w:t>
            </w:r>
          </w:p>
        </w:tc>
        <w:tc>
          <w:tcPr>
            <w:tcW w:w="251" w:type="pct"/>
            <w:vMerge w:val="restart"/>
            <w:noWrap w:val="0"/>
            <w:vAlign w:val="center"/>
          </w:tcPr>
          <w:p>
            <w:pPr>
              <w:pStyle w:val="71"/>
              <w:spacing w:line="240" w:lineRule="auto"/>
              <w:ind w:firstLine="0" w:firstLineChars="0"/>
              <w:jc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color w:val="auto"/>
                <w:kern w:val="0"/>
                <w:sz w:val="21"/>
                <w:szCs w:val="21"/>
                <w:highlight w:val="none"/>
                <w:u w:val="none" w:color="auto"/>
                <w:lang w:val="en-US" w:eastAsia="zh-CN" w:bidi="ar-SA"/>
              </w:rPr>
              <w:t>建筑物</w:t>
            </w:r>
            <w:r>
              <w:rPr>
                <w:rFonts w:hint="default" w:ascii="Times New Roman" w:hAnsi="Times New Roman" w:eastAsia="宋体" w:cs="Times New Roman"/>
                <w:b/>
                <w:bCs/>
                <w:i w:val="0"/>
                <w:iCs w:val="0"/>
                <w:color w:val="auto"/>
                <w:kern w:val="0"/>
                <w:sz w:val="21"/>
                <w:szCs w:val="21"/>
                <w:u w:val="none" w:color="auto"/>
                <w:lang w:val="en-US" w:eastAsia="zh-CN" w:bidi="ar"/>
              </w:rPr>
              <w:t>名称</w:t>
            </w:r>
          </w:p>
        </w:tc>
        <w:tc>
          <w:tcPr>
            <w:tcW w:w="555" w:type="pct"/>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声源名称</w:t>
            </w:r>
          </w:p>
        </w:tc>
        <w:tc>
          <w:tcPr>
            <w:tcW w:w="340"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声源源强</w:t>
            </w:r>
          </w:p>
        </w:tc>
        <w:tc>
          <w:tcPr>
            <w:tcW w:w="242" w:type="pct"/>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声源控制措施</w:t>
            </w:r>
          </w:p>
        </w:tc>
        <w:tc>
          <w:tcPr>
            <w:tcW w:w="476" w:type="pct"/>
            <w:gridSpan w:val="3"/>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空间相对位置/m</w:t>
            </w:r>
          </w:p>
        </w:tc>
        <w:tc>
          <w:tcPr>
            <w:tcW w:w="634" w:type="pct"/>
            <w:gridSpan w:val="4"/>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color="auto"/>
                <w:lang w:val="en-US" w:eastAsia="zh-CN" w:bidi="ar"/>
              </w:rPr>
            </w:pPr>
            <w:r>
              <w:rPr>
                <w:rFonts w:hint="default" w:ascii="Times New Roman" w:hAnsi="Times New Roman" w:eastAsia="宋体" w:cs="Times New Roman"/>
                <w:b/>
                <w:bCs/>
                <w:i w:val="0"/>
                <w:iCs w:val="0"/>
                <w:color w:val="auto"/>
                <w:kern w:val="0"/>
                <w:sz w:val="21"/>
                <w:szCs w:val="21"/>
                <w:u w:val="none" w:color="auto"/>
                <w:lang w:val="en-US" w:eastAsia="zh-CN" w:bidi="ar"/>
              </w:rPr>
              <w:t>距室内边界距离/m</w:t>
            </w:r>
          </w:p>
        </w:tc>
        <w:tc>
          <w:tcPr>
            <w:tcW w:w="914" w:type="pct"/>
            <w:gridSpan w:val="4"/>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color="auto"/>
                <w:lang w:val="en-US" w:eastAsia="zh-CN" w:bidi="ar"/>
              </w:rPr>
            </w:pPr>
            <w:r>
              <w:rPr>
                <w:rFonts w:hint="default" w:ascii="Times New Roman" w:hAnsi="Times New Roman" w:eastAsia="宋体" w:cs="Times New Roman"/>
                <w:b/>
                <w:bCs/>
                <w:i w:val="0"/>
                <w:iCs w:val="0"/>
                <w:color w:val="auto"/>
                <w:kern w:val="0"/>
                <w:sz w:val="21"/>
                <w:szCs w:val="21"/>
                <w:u w:val="none" w:color="auto"/>
                <w:lang w:val="en-US" w:eastAsia="zh-CN" w:bidi="ar"/>
              </w:rPr>
              <w:t>室内边界声级/dB(A)</w:t>
            </w:r>
          </w:p>
        </w:tc>
        <w:tc>
          <w:tcPr>
            <w:tcW w:w="145" w:type="pct"/>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运行时段</w:t>
            </w:r>
          </w:p>
        </w:tc>
        <w:tc>
          <w:tcPr>
            <w:tcW w:w="286" w:type="pct"/>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建筑物插入损失/dB(A)</w:t>
            </w:r>
          </w:p>
        </w:tc>
        <w:tc>
          <w:tcPr>
            <w:tcW w:w="996" w:type="pct"/>
            <w:gridSpan w:val="5"/>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vMerge w:val="continue"/>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p>
        </w:tc>
        <w:tc>
          <w:tcPr>
            <w:tcW w:w="251" w:type="pct"/>
            <w:vMerge w:val="continue"/>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p>
        </w:tc>
        <w:tc>
          <w:tcPr>
            <w:tcW w:w="555" w:type="pct"/>
            <w:vMerge w:val="continue"/>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p>
        </w:tc>
        <w:tc>
          <w:tcPr>
            <w:tcW w:w="340"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声功率级/dB(A)</w:t>
            </w:r>
          </w:p>
        </w:tc>
        <w:tc>
          <w:tcPr>
            <w:tcW w:w="242" w:type="pct"/>
            <w:vMerge w:val="continue"/>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p>
        </w:tc>
        <w:tc>
          <w:tcPr>
            <w:tcW w:w="145"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X</w:t>
            </w:r>
          </w:p>
        </w:tc>
        <w:tc>
          <w:tcPr>
            <w:tcW w:w="202"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Y</w:t>
            </w:r>
          </w:p>
        </w:tc>
        <w:tc>
          <w:tcPr>
            <w:tcW w:w="128"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Z</w:t>
            </w:r>
          </w:p>
        </w:tc>
        <w:tc>
          <w:tcPr>
            <w:tcW w:w="161" w:type="pct"/>
            <w:vMerge w:val="restart"/>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lang w:eastAsia="zh-CN"/>
              </w:rPr>
            </w:pPr>
            <w:r>
              <w:rPr>
                <w:rFonts w:hint="default" w:ascii="Times New Roman" w:hAnsi="Times New Roman" w:eastAsia="宋体" w:cs="Times New Roman"/>
                <w:b/>
                <w:bCs/>
                <w:i w:val="0"/>
                <w:iCs w:val="0"/>
                <w:color w:val="auto"/>
                <w:sz w:val="21"/>
                <w:szCs w:val="21"/>
                <w:u w:val="none" w:color="auto"/>
                <w:lang w:eastAsia="zh-CN"/>
              </w:rPr>
              <w:t>东</w:t>
            </w:r>
          </w:p>
        </w:tc>
        <w:tc>
          <w:tcPr>
            <w:tcW w:w="135" w:type="pct"/>
            <w:vMerge w:val="restart"/>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lang w:eastAsia="zh-CN"/>
              </w:rPr>
            </w:pPr>
            <w:r>
              <w:rPr>
                <w:rFonts w:hint="default" w:ascii="Times New Roman" w:hAnsi="Times New Roman" w:eastAsia="宋体" w:cs="Times New Roman"/>
                <w:b/>
                <w:bCs/>
                <w:i w:val="0"/>
                <w:iCs w:val="0"/>
                <w:color w:val="auto"/>
                <w:sz w:val="21"/>
                <w:szCs w:val="21"/>
                <w:u w:val="none" w:color="auto"/>
                <w:lang w:eastAsia="zh-CN"/>
              </w:rPr>
              <w:t>南</w:t>
            </w:r>
          </w:p>
        </w:tc>
        <w:tc>
          <w:tcPr>
            <w:tcW w:w="173" w:type="pct"/>
            <w:vMerge w:val="restart"/>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lang w:eastAsia="zh-CN"/>
              </w:rPr>
            </w:pPr>
            <w:r>
              <w:rPr>
                <w:rFonts w:hint="default" w:ascii="Times New Roman" w:hAnsi="Times New Roman" w:eastAsia="宋体" w:cs="Times New Roman"/>
                <w:b/>
                <w:bCs/>
                <w:i w:val="0"/>
                <w:iCs w:val="0"/>
                <w:color w:val="auto"/>
                <w:sz w:val="21"/>
                <w:szCs w:val="21"/>
                <w:u w:val="none" w:color="auto"/>
                <w:lang w:eastAsia="zh-CN"/>
              </w:rPr>
              <w:t>西</w:t>
            </w:r>
          </w:p>
        </w:tc>
        <w:tc>
          <w:tcPr>
            <w:tcW w:w="163" w:type="pct"/>
            <w:vMerge w:val="restart"/>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lang w:eastAsia="zh-CN"/>
              </w:rPr>
            </w:pPr>
            <w:r>
              <w:rPr>
                <w:rFonts w:hint="default" w:ascii="Times New Roman" w:hAnsi="Times New Roman" w:eastAsia="宋体" w:cs="Times New Roman"/>
                <w:b/>
                <w:bCs/>
                <w:i w:val="0"/>
                <w:iCs w:val="0"/>
                <w:color w:val="auto"/>
                <w:sz w:val="21"/>
                <w:szCs w:val="21"/>
                <w:u w:val="none" w:color="auto"/>
                <w:lang w:eastAsia="zh-CN"/>
              </w:rPr>
              <w:t>北</w:t>
            </w:r>
          </w:p>
        </w:tc>
        <w:tc>
          <w:tcPr>
            <w:tcW w:w="224" w:type="pct"/>
            <w:vMerge w:val="restart"/>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sz w:val="21"/>
                <w:szCs w:val="21"/>
                <w:u w:val="none" w:color="auto"/>
                <w:lang w:eastAsia="zh-CN"/>
              </w:rPr>
              <w:t>东</w:t>
            </w:r>
          </w:p>
        </w:tc>
        <w:tc>
          <w:tcPr>
            <w:tcW w:w="235" w:type="pct"/>
            <w:vMerge w:val="restart"/>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sz w:val="21"/>
                <w:szCs w:val="21"/>
                <w:u w:val="none" w:color="auto"/>
                <w:lang w:eastAsia="zh-CN"/>
              </w:rPr>
              <w:t>南</w:t>
            </w:r>
          </w:p>
        </w:tc>
        <w:tc>
          <w:tcPr>
            <w:tcW w:w="224" w:type="pct"/>
            <w:vMerge w:val="restart"/>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sz w:val="21"/>
                <w:szCs w:val="21"/>
                <w:u w:val="none" w:color="auto"/>
                <w:lang w:eastAsia="zh-CN"/>
              </w:rPr>
              <w:t>西</w:t>
            </w:r>
          </w:p>
        </w:tc>
        <w:tc>
          <w:tcPr>
            <w:tcW w:w="231" w:type="pct"/>
            <w:vMerge w:val="restart"/>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sz w:val="21"/>
                <w:szCs w:val="21"/>
                <w:u w:val="none" w:color="auto"/>
                <w:lang w:eastAsia="zh-CN"/>
              </w:rPr>
              <w:t>北</w:t>
            </w:r>
          </w:p>
        </w:tc>
        <w:tc>
          <w:tcPr>
            <w:tcW w:w="145" w:type="pct"/>
            <w:vMerge w:val="continue"/>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p>
        </w:tc>
        <w:tc>
          <w:tcPr>
            <w:tcW w:w="286" w:type="pct"/>
            <w:vMerge w:val="continue"/>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p>
        </w:tc>
        <w:tc>
          <w:tcPr>
            <w:tcW w:w="806" w:type="pct"/>
            <w:gridSpan w:val="4"/>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color="auto"/>
                <w:lang w:val="en-US" w:eastAsia="zh-CN" w:bidi="ar"/>
              </w:rPr>
            </w:pPr>
            <w:r>
              <w:rPr>
                <w:rFonts w:hint="default" w:ascii="Times New Roman" w:hAnsi="Times New Roman" w:eastAsia="宋体" w:cs="Times New Roman"/>
                <w:b/>
                <w:bCs/>
                <w:i w:val="0"/>
                <w:iCs w:val="0"/>
                <w:color w:val="auto"/>
                <w:kern w:val="0"/>
                <w:sz w:val="21"/>
                <w:szCs w:val="21"/>
                <w:u w:val="none" w:color="auto"/>
                <w:lang w:val="en-US" w:eastAsia="zh-CN" w:bidi="ar"/>
              </w:rPr>
              <w:t>声压级/dB(A)</w:t>
            </w:r>
          </w:p>
        </w:tc>
        <w:tc>
          <w:tcPr>
            <w:tcW w:w="189"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251"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555"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34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242"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20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128"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161"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135"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173"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163"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224"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235"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224"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231"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145"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286"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c>
          <w:tcPr>
            <w:tcW w:w="229"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i w:val="0"/>
                <w:iCs w:val="0"/>
                <w:color w:val="auto"/>
                <w:sz w:val="21"/>
                <w:szCs w:val="21"/>
                <w:u w:val="none" w:color="auto"/>
                <w:lang w:eastAsia="zh-CN"/>
              </w:rPr>
              <w:t>东</w:t>
            </w:r>
          </w:p>
        </w:tc>
        <w:tc>
          <w:tcPr>
            <w:tcW w:w="196"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i w:val="0"/>
                <w:iCs w:val="0"/>
                <w:color w:val="auto"/>
                <w:sz w:val="21"/>
                <w:szCs w:val="21"/>
                <w:u w:val="none" w:color="auto"/>
                <w:lang w:eastAsia="zh-CN"/>
              </w:rPr>
              <w:t>南</w:t>
            </w:r>
          </w:p>
        </w:tc>
        <w:tc>
          <w:tcPr>
            <w:tcW w:w="19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i w:val="0"/>
                <w:iCs w:val="0"/>
                <w:color w:val="auto"/>
                <w:sz w:val="21"/>
                <w:szCs w:val="21"/>
                <w:u w:val="none" w:color="auto"/>
                <w:lang w:eastAsia="zh-CN"/>
              </w:rPr>
              <w:t>西</w:t>
            </w:r>
          </w:p>
        </w:tc>
        <w:tc>
          <w:tcPr>
            <w:tcW w:w="19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i w:val="0"/>
                <w:iCs w:val="0"/>
                <w:color w:val="auto"/>
                <w:sz w:val="21"/>
                <w:szCs w:val="21"/>
                <w:u w:val="none" w:color="auto"/>
                <w:lang w:eastAsia="zh-CN"/>
              </w:rPr>
              <w:t>北</w:t>
            </w: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restart"/>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highlight w:val="none"/>
                <w:u w:val="none" w:color="auto"/>
                <w:lang w:eastAsia="zh-CN"/>
              </w:rPr>
              <w:t>3</w:t>
            </w:r>
            <w:r>
              <w:rPr>
                <w:rFonts w:hint="default" w:ascii="Times New Roman" w:hAnsi="Times New Roman" w:eastAsia="宋体" w:cs="Times New Roman"/>
                <w:i w:val="0"/>
                <w:iCs w:val="0"/>
                <w:color w:val="auto"/>
                <w:sz w:val="21"/>
                <w:szCs w:val="21"/>
                <w:highlight w:val="none"/>
                <w:u w:val="none" w:color="auto"/>
                <w:lang w:val="en-US" w:eastAsia="zh-CN"/>
              </w:rPr>
              <w:t>#储煤棚</w:t>
            </w:r>
          </w:p>
        </w:tc>
        <w:tc>
          <w:tcPr>
            <w:tcW w:w="555" w:type="pct"/>
            <w:shd w:val="clear" w:color="auto" w:fill="auto"/>
            <w:noWrap w:val="0"/>
            <w:vAlign w:val="center"/>
          </w:tcPr>
          <w:p>
            <w:pPr>
              <w:pStyle w:val="71"/>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斗轮堆取料机1#</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85</w:t>
            </w:r>
          </w:p>
        </w:tc>
        <w:tc>
          <w:tcPr>
            <w:tcW w:w="242"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color w:val="auto"/>
                <w:kern w:val="0"/>
                <w:sz w:val="21"/>
                <w:szCs w:val="21"/>
                <w:u w:val="none" w:color="auto"/>
                <w:lang w:val="en-US" w:eastAsia="zh-CN" w:bidi="ar"/>
              </w:rPr>
              <w:t>选用低噪声设备、设备基础减震、厂房及建筑材料隔声、吸声等措施</w:t>
            </w: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150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180</w:t>
            </w:r>
          </w:p>
        </w:tc>
        <w:tc>
          <w:tcPr>
            <w:tcW w:w="128"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10</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280</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150</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49.00</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49.04</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49.42</w:t>
            </w:r>
          </w:p>
        </w:tc>
        <w:tc>
          <w:tcPr>
            <w:tcW w:w="145"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昼间、夜间</w:t>
            </w:r>
          </w:p>
        </w:tc>
        <w:tc>
          <w:tcPr>
            <w:tcW w:w="286"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20</w:t>
            </w:r>
          </w:p>
        </w:tc>
        <w:tc>
          <w:tcPr>
            <w:tcW w:w="229"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35.95</w:t>
            </w:r>
          </w:p>
        </w:tc>
        <w:tc>
          <w:tcPr>
            <w:tcW w:w="196"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33.24</w:t>
            </w:r>
          </w:p>
        </w:tc>
        <w:tc>
          <w:tcPr>
            <w:tcW w:w="190"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35.97</w:t>
            </w:r>
          </w:p>
        </w:tc>
        <w:tc>
          <w:tcPr>
            <w:tcW w:w="190"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33.22</w:t>
            </w:r>
          </w:p>
        </w:tc>
        <w:tc>
          <w:tcPr>
            <w:tcW w:w="189"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eastAsia="zh-CN"/>
              </w:rPr>
            </w:pPr>
          </w:p>
        </w:tc>
        <w:tc>
          <w:tcPr>
            <w:tcW w:w="555" w:type="pct"/>
            <w:shd w:val="clear" w:color="auto" w:fill="auto"/>
            <w:noWrap w:val="0"/>
            <w:vAlign w:val="center"/>
          </w:tcPr>
          <w:p>
            <w:pPr>
              <w:pStyle w:val="71"/>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斗轮堆取料机2#</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85</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lang w:val="en-US" w:eastAsia="zh-CN" w:bidi="ar"/>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300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180</w:t>
            </w:r>
          </w:p>
        </w:tc>
        <w:tc>
          <w:tcPr>
            <w:tcW w:w="128"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10</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130</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300</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49.06</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49.00</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49.42</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p>
        </w:tc>
        <w:tc>
          <w:tcPr>
            <w:tcW w:w="555" w:type="pct"/>
            <w:shd w:val="clear" w:color="auto" w:fill="auto"/>
            <w:noWrap w:val="0"/>
            <w:vAlign w:val="center"/>
          </w:tcPr>
          <w:p>
            <w:pPr>
              <w:spacing w:line="240" w:lineRule="auto"/>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除铁器1#</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lang w:val="en-US" w:eastAsia="zh-CN" w:bidi="ar"/>
              </w:rPr>
              <w:t>80</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180</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400</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30</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43.99</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45.30</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44.42</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p>
        </w:tc>
        <w:tc>
          <w:tcPr>
            <w:tcW w:w="555" w:type="pct"/>
            <w:shd w:val="clear" w:color="auto" w:fill="auto"/>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除铁器2#</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lang w:val="en-US" w:eastAsia="zh-CN" w:bidi="ar"/>
              </w:rPr>
              <w:t>80</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400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180</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30</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30</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400</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45.30</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45.30</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43.99</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p>
        </w:tc>
        <w:tc>
          <w:tcPr>
            <w:tcW w:w="555" w:type="pct"/>
            <w:shd w:val="clear" w:color="auto" w:fill="auto"/>
            <w:noWrap w:val="0"/>
            <w:vAlign w:val="center"/>
          </w:tcPr>
          <w:p>
            <w:pPr>
              <w:spacing w:line="240" w:lineRule="auto"/>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装载机1#</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lang w:val="en-US" w:eastAsia="zh-CN" w:bidi="ar"/>
              </w:rPr>
              <w:t>80</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215</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180</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215</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215</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44.01</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44.01</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44.42</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p>
        </w:tc>
        <w:tc>
          <w:tcPr>
            <w:tcW w:w="555" w:type="pct"/>
            <w:shd w:val="clear" w:color="auto" w:fill="auto"/>
            <w:noWrap w:val="0"/>
            <w:vAlign w:val="center"/>
          </w:tcPr>
          <w:p>
            <w:pPr>
              <w:spacing w:line="240" w:lineRule="auto"/>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推煤机2#</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lang w:val="en-US" w:eastAsia="zh-CN" w:bidi="ar"/>
              </w:rPr>
              <w:t>80</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215</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180</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215</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215</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44.01</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44.01</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44.42</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p>
        </w:tc>
        <w:tc>
          <w:tcPr>
            <w:tcW w:w="555" w:type="pct"/>
            <w:shd w:val="clear" w:color="auto" w:fill="auto"/>
            <w:noWrap w:val="0"/>
            <w:vAlign w:val="center"/>
          </w:tcPr>
          <w:p>
            <w:pPr>
              <w:spacing w:line="240" w:lineRule="auto"/>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射雾器1#</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lang w:val="en-US" w:eastAsia="zh-CN" w:bidi="ar"/>
              </w:rPr>
              <w:t>90</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180</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420</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10</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53.99</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54.42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60.20</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54.42</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p>
        </w:tc>
        <w:tc>
          <w:tcPr>
            <w:tcW w:w="555" w:type="pct"/>
            <w:shd w:val="clear" w:color="auto" w:fill="FFFFFF"/>
            <w:noWrap w:val="0"/>
            <w:vAlign w:val="center"/>
          </w:tcPr>
          <w:p>
            <w:pPr>
              <w:pStyle w:val="71"/>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bidi="ar"/>
              </w:rPr>
            </w:pPr>
            <w:r>
              <w:rPr>
                <w:rFonts w:hint="default" w:ascii="Times New Roman" w:hAnsi="Times New Roman" w:eastAsia="宋体" w:cs="Times New Roman"/>
                <w:color w:val="auto"/>
                <w:kern w:val="0"/>
                <w:sz w:val="21"/>
                <w:szCs w:val="21"/>
                <w:highlight w:val="none"/>
                <w:u w:val="none" w:color="auto"/>
                <w:lang w:val="en-US" w:eastAsia="zh-CN" w:bidi="ar-SA"/>
              </w:rPr>
              <w:t>射雾器2#</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lang w:val="en-US" w:eastAsia="zh-CN" w:bidi="ar"/>
              </w:rPr>
              <w:t>90</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420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180</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10</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420</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60.20</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54.42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53.99</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54.42</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restart"/>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highlight w:val="none"/>
                <w:u w:val="none" w:color="auto"/>
                <w:lang w:val="en-US" w:eastAsia="zh-CN"/>
              </w:rPr>
              <w:t>4#储煤棚</w:t>
            </w:r>
          </w:p>
        </w:tc>
        <w:tc>
          <w:tcPr>
            <w:tcW w:w="555" w:type="pct"/>
            <w:shd w:val="clear" w:color="auto" w:fill="auto"/>
            <w:noWrap w:val="0"/>
            <w:vAlign w:val="center"/>
          </w:tcPr>
          <w:p>
            <w:pPr>
              <w:pStyle w:val="71"/>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斗轮堆取料机3#</w:t>
            </w:r>
          </w:p>
        </w:tc>
        <w:tc>
          <w:tcPr>
            <w:tcW w:w="340" w:type="pct"/>
            <w:shd w:val="clear" w:color="auto" w:fill="FFFFFF"/>
            <w:noWrap w:val="0"/>
            <w:vAlign w:val="center"/>
          </w:tcPr>
          <w:p>
            <w:pPr>
              <w:pStyle w:val="71"/>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85</w:t>
            </w:r>
          </w:p>
        </w:tc>
        <w:tc>
          <w:tcPr>
            <w:tcW w:w="242" w:type="pct"/>
            <w:vMerge w:val="continue"/>
            <w:shd w:val="clear" w:color="auto" w:fill="FFFFFF"/>
            <w:noWrap w:val="0"/>
            <w:vAlign w:val="center"/>
          </w:tcPr>
          <w:p>
            <w:pPr>
              <w:pStyle w:val="71"/>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150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280</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150</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49.00</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49.04</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49.42</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20</w:t>
            </w:r>
          </w:p>
        </w:tc>
        <w:tc>
          <w:tcPr>
            <w:tcW w:w="229"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35.85</w:t>
            </w:r>
          </w:p>
        </w:tc>
        <w:tc>
          <w:tcPr>
            <w:tcW w:w="196"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33.09</w:t>
            </w:r>
          </w:p>
        </w:tc>
        <w:tc>
          <w:tcPr>
            <w:tcW w:w="190"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35.85</w:t>
            </w:r>
          </w:p>
        </w:tc>
        <w:tc>
          <w:tcPr>
            <w:tcW w:w="190"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33.09</w:t>
            </w:r>
          </w:p>
        </w:tc>
        <w:tc>
          <w:tcPr>
            <w:tcW w:w="189"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sz w:val="21"/>
                <w:szCs w:val="21"/>
                <w:u w:val="none" w:color="auto"/>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p>
        </w:tc>
        <w:tc>
          <w:tcPr>
            <w:tcW w:w="555" w:type="pct"/>
            <w:shd w:val="clear" w:color="auto" w:fill="auto"/>
            <w:noWrap w:val="0"/>
            <w:vAlign w:val="center"/>
          </w:tcPr>
          <w:p>
            <w:pPr>
              <w:pStyle w:val="71"/>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斗轮堆取料机4#</w:t>
            </w:r>
          </w:p>
        </w:tc>
        <w:tc>
          <w:tcPr>
            <w:tcW w:w="340" w:type="pct"/>
            <w:shd w:val="clear" w:color="auto" w:fill="FFFFFF"/>
            <w:noWrap w:val="0"/>
            <w:vAlign w:val="center"/>
          </w:tcPr>
          <w:p>
            <w:pPr>
              <w:pStyle w:val="71"/>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85</w:t>
            </w:r>
          </w:p>
        </w:tc>
        <w:tc>
          <w:tcPr>
            <w:tcW w:w="242" w:type="pct"/>
            <w:vMerge w:val="continue"/>
            <w:shd w:val="clear" w:color="auto" w:fill="FFFFFF"/>
            <w:noWrap w:val="0"/>
            <w:vAlign w:val="center"/>
          </w:tcPr>
          <w:p>
            <w:pPr>
              <w:pStyle w:val="71"/>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300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28"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10</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130</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300</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49.06</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49.00</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49.42</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p>
        </w:tc>
        <w:tc>
          <w:tcPr>
            <w:tcW w:w="555" w:type="pct"/>
            <w:shd w:val="clear" w:color="auto" w:fill="auto"/>
            <w:noWrap w:val="0"/>
            <w:vAlign w:val="center"/>
          </w:tcPr>
          <w:p>
            <w:pPr>
              <w:pStyle w:val="71"/>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除铁器3#</w:t>
            </w:r>
          </w:p>
        </w:tc>
        <w:tc>
          <w:tcPr>
            <w:tcW w:w="340" w:type="pct"/>
            <w:shd w:val="clear" w:color="auto" w:fill="FFFFFF"/>
            <w:noWrap w:val="0"/>
            <w:vAlign w:val="center"/>
          </w:tcPr>
          <w:p>
            <w:pPr>
              <w:pStyle w:val="71"/>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
              </w:rPr>
              <w:t>80</w:t>
            </w:r>
          </w:p>
        </w:tc>
        <w:tc>
          <w:tcPr>
            <w:tcW w:w="242" w:type="pct"/>
            <w:vMerge w:val="continue"/>
            <w:shd w:val="clear" w:color="auto" w:fill="FFFFFF"/>
            <w:noWrap w:val="0"/>
            <w:vAlign w:val="center"/>
          </w:tcPr>
          <w:p>
            <w:pPr>
              <w:pStyle w:val="71"/>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215</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215</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215</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44.01</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44.01</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44.42</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p>
        </w:tc>
        <w:tc>
          <w:tcPr>
            <w:tcW w:w="555" w:type="pct"/>
            <w:shd w:val="clear" w:color="auto" w:fill="auto"/>
            <w:noWrap w:val="0"/>
            <w:vAlign w:val="center"/>
          </w:tcPr>
          <w:p>
            <w:pPr>
              <w:pStyle w:val="71"/>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装载机2#</w:t>
            </w:r>
          </w:p>
        </w:tc>
        <w:tc>
          <w:tcPr>
            <w:tcW w:w="340" w:type="pct"/>
            <w:shd w:val="clear" w:color="auto" w:fill="FFFFFF"/>
            <w:noWrap w:val="0"/>
            <w:vAlign w:val="center"/>
          </w:tcPr>
          <w:p>
            <w:pPr>
              <w:pStyle w:val="71"/>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
              </w:rPr>
              <w:t>80</w:t>
            </w:r>
          </w:p>
        </w:tc>
        <w:tc>
          <w:tcPr>
            <w:tcW w:w="242" w:type="pct"/>
            <w:vMerge w:val="continue"/>
            <w:shd w:val="clear" w:color="auto" w:fill="FFFFFF"/>
            <w:noWrap w:val="0"/>
            <w:vAlign w:val="center"/>
          </w:tcPr>
          <w:p>
            <w:pPr>
              <w:pStyle w:val="71"/>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215</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215</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215</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44.01</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44.01</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44.42</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p>
        </w:tc>
        <w:tc>
          <w:tcPr>
            <w:tcW w:w="555" w:type="pct"/>
            <w:shd w:val="clear" w:color="auto" w:fill="auto"/>
            <w:noWrap w:val="0"/>
            <w:vAlign w:val="center"/>
          </w:tcPr>
          <w:p>
            <w:pPr>
              <w:spacing w:line="240" w:lineRule="auto"/>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推煤机2#</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lang w:val="en-US" w:eastAsia="zh-CN" w:bidi="ar"/>
              </w:rPr>
              <w:t>80</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215</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215</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215</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44.01</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44.01</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44.42</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p>
        </w:tc>
        <w:tc>
          <w:tcPr>
            <w:tcW w:w="555" w:type="pct"/>
            <w:shd w:val="clear" w:color="auto" w:fill="auto"/>
            <w:noWrap w:val="0"/>
            <w:vAlign w:val="center"/>
          </w:tcPr>
          <w:p>
            <w:pPr>
              <w:spacing w:line="240" w:lineRule="auto"/>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射雾器3#</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lang w:val="en-US" w:eastAsia="zh-CN" w:bidi="ar"/>
              </w:rPr>
              <w:t>90</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420</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10</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53.99</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54.42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60.20</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54.42</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p>
        </w:tc>
        <w:tc>
          <w:tcPr>
            <w:tcW w:w="555" w:type="pct"/>
            <w:shd w:val="clear" w:color="auto" w:fill="FFFFFF"/>
            <w:noWrap w:val="0"/>
            <w:vAlign w:val="center"/>
          </w:tcPr>
          <w:p>
            <w:pPr>
              <w:pStyle w:val="71"/>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SA"/>
              </w:rPr>
              <w:t>射雾器4#</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lang w:val="en-US" w:eastAsia="zh-CN" w:bidi="ar"/>
              </w:rPr>
              <w:t>90</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420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10</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420</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60.20</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54.42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53.99</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54.42</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restar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T13转载点</w:t>
            </w:r>
          </w:p>
        </w:tc>
        <w:tc>
          <w:tcPr>
            <w:tcW w:w="555"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u w:val="none" w:color="auto"/>
                <w:lang w:eastAsia="zh-CN"/>
              </w:rPr>
              <w:t>带式输送机</w:t>
            </w:r>
            <w:r>
              <w:rPr>
                <w:rFonts w:hint="default" w:ascii="Times New Roman" w:hAnsi="Times New Roman" w:eastAsia="宋体" w:cs="Times New Roman"/>
                <w:color w:val="auto"/>
                <w:sz w:val="21"/>
                <w:szCs w:val="21"/>
                <w:u w:val="none" w:color="auto"/>
                <w:lang w:val="en-US" w:eastAsia="zh-CN"/>
              </w:rPr>
              <w:t>1#</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85</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180</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9</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70.33</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70.36</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71.23</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70.38</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20</w:t>
            </w:r>
          </w:p>
        </w:tc>
        <w:tc>
          <w:tcPr>
            <w:tcW w:w="229"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52.35</w:t>
            </w:r>
          </w:p>
        </w:tc>
        <w:tc>
          <w:tcPr>
            <w:tcW w:w="196"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52.26</w:t>
            </w:r>
          </w:p>
        </w:tc>
        <w:tc>
          <w:tcPr>
            <w:tcW w:w="190"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52.51</w:t>
            </w:r>
          </w:p>
        </w:tc>
        <w:tc>
          <w:tcPr>
            <w:tcW w:w="190"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52.28</w:t>
            </w:r>
          </w:p>
        </w:tc>
        <w:tc>
          <w:tcPr>
            <w:tcW w:w="189"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sz w:val="21"/>
                <w:szCs w:val="21"/>
                <w:u w:val="none" w:color="auto"/>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p>
        </w:tc>
        <w:tc>
          <w:tcPr>
            <w:tcW w:w="555"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u w:val="none" w:color="auto"/>
                <w:lang w:eastAsia="zh-CN"/>
              </w:rPr>
              <w:t>带式输送机</w:t>
            </w:r>
            <w:r>
              <w:rPr>
                <w:rFonts w:hint="default" w:ascii="Times New Roman" w:hAnsi="Times New Roman" w:eastAsia="宋体" w:cs="Times New Roman"/>
                <w:color w:val="auto"/>
                <w:sz w:val="21"/>
                <w:szCs w:val="21"/>
                <w:u w:val="none" w:color="auto"/>
                <w:lang w:val="en-US" w:eastAsia="zh-CN"/>
              </w:rPr>
              <w:t>2#</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85</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180</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70.48</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70.36</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70.48</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70.38</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p>
        </w:tc>
        <w:tc>
          <w:tcPr>
            <w:tcW w:w="555"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u w:val="none" w:color="auto"/>
                <w:lang w:eastAsia="zh-CN"/>
              </w:rPr>
              <w:t>带式输送机</w:t>
            </w:r>
            <w:r>
              <w:rPr>
                <w:rFonts w:hint="default" w:ascii="Times New Roman" w:hAnsi="Times New Roman" w:eastAsia="宋体" w:cs="Times New Roman"/>
                <w:color w:val="auto"/>
                <w:sz w:val="21"/>
                <w:szCs w:val="21"/>
                <w:u w:val="none" w:color="auto"/>
                <w:lang w:val="en-US" w:eastAsia="zh-CN"/>
              </w:rPr>
              <w:t>3#</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85</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180</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70.48</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70.36</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70.48</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70.38</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p>
        </w:tc>
        <w:tc>
          <w:tcPr>
            <w:tcW w:w="555"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bidi="ar-SA"/>
              </w:rPr>
              <w:t>干雾抑尘装置1#</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lang w:val="en-US" w:eastAsia="zh-CN" w:bidi="ar"/>
              </w:rPr>
              <w:t>90</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180</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6</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8</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6</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7.5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75.48</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75.36</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75.48</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75.38</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restar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T14转载点</w:t>
            </w:r>
          </w:p>
        </w:tc>
        <w:tc>
          <w:tcPr>
            <w:tcW w:w="555"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bidi="ar"/>
              </w:rPr>
            </w:pPr>
            <w:r>
              <w:rPr>
                <w:rFonts w:hint="default" w:ascii="Times New Roman" w:hAnsi="Times New Roman" w:eastAsia="宋体" w:cs="Times New Roman"/>
                <w:color w:val="auto"/>
                <w:sz w:val="21"/>
                <w:szCs w:val="21"/>
                <w:u w:val="none" w:color="auto"/>
                <w:lang w:eastAsia="zh-CN"/>
              </w:rPr>
              <w:t>带式输送机</w:t>
            </w:r>
            <w:r>
              <w:rPr>
                <w:rFonts w:hint="default" w:ascii="Times New Roman" w:hAnsi="Times New Roman" w:eastAsia="宋体" w:cs="Times New Roman"/>
                <w:color w:val="auto"/>
                <w:sz w:val="21"/>
                <w:szCs w:val="21"/>
                <w:u w:val="none" w:color="auto"/>
                <w:lang w:val="en-US" w:eastAsia="zh-CN"/>
              </w:rPr>
              <w:t>4#</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85</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-20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9</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70.48</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69.42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69.38</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69.45</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20</w:t>
            </w:r>
          </w:p>
        </w:tc>
        <w:tc>
          <w:tcPr>
            <w:tcW w:w="229"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48.66</w:t>
            </w:r>
          </w:p>
        </w:tc>
        <w:tc>
          <w:tcPr>
            <w:tcW w:w="196"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48.19</w:t>
            </w:r>
          </w:p>
        </w:tc>
        <w:tc>
          <w:tcPr>
            <w:tcW w:w="190"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48.28</w:t>
            </w:r>
          </w:p>
        </w:tc>
        <w:tc>
          <w:tcPr>
            <w:tcW w:w="190"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48.22</w:t>
            </w:r>
          </w:p>
        </w:tc>
        <w:tc>
          <w:tcPr>
            <w:tcW w:w="189"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sz w:val="21"/>
                <w:szCs w:val="21"/>
                <w:u w:val="none" w:color="auto"/>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p>
        </w:tc>
        <w:tc>
          <w:tcPr>
            <w:tcW w:w="555"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bidi="ar"/>
              </w:rPr>
            </w:pPr>
            <w:r>
              <w:rPr>
                <w:rFonts w:hint="default" w:ascii="Times New Roman" w:hAnsi="Times New Roman" w:eastAsia="宋体" w:cs="Times New Roman"/>
                <w:color w:val="auto"/>
                <w:sz w:val="21"/>
                <w:szCs w:val="21"/>
                <w:u w:val="none" w:color="auto"/>
                <w:lang w:eastAsia="zh-CN"/>
              </w:rPr>
              <w:t>带式输送机</w:t>
            </w:r>
            <w:r>
              <w:rPr>
                <w:rFonts w:hint="default" w:ascii="Times New Roman" w:hAnsi="Times New Roman" w:eastAsia="宋体" w:cs="Times New Roman"/>
                <w:color w:val="auto"/>
                <w:sz w:val="21"/>
                <w:szCs w:val="21"/>
                <w:u w:val="none" w:color="auto"/>
                <w:lang w:val="en-US" w:eastAsia="zh-CN"/>
              </w:rPr>
              <w:t>5#</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85</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69.57</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69.42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69.57</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69.45</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p>
        </w:tc>
        <w:tc>
          <w:tcPr>
            <w:tcW w:w="555"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bidi="ar"/>
              </w:rPr>
            </w:pPr>
            <w:r>
              <w:rPr>
                <w:rFonts w:hint="default" w:ascii="Times New Roman" w:hAnsi="Times New Roman" w:eastAsia="宋体" w:cs="Times New Roman"/>
                <w:color w:val="auto"/>
                <w:sz w:val="21"/>
                <w:szCs w:val="21"/>
                <w:u w:val="none" w:color="auto"/>
                <w:lang w:eastAsia="zh-CN"/>
              </w:rPr>
              <w:t>带式输送机</w:t>
            </w:r>
            <w:r>
              <w:rPr>
                <w:rFonts w:hint="default" w:ascii="Times New Roman" w:hAnsi="Times New Roman" w:eastAsia="宋体" w:cs="Times New Roman"/>
                <w:color w:val="auto"/>
                <w:sz w:val="21"/>
                <w:szCs w:val="21"/>
                <w:u w:val="none" w:color="auto"/>
                <w:lang w:val="en-US" w:eastAsia="zh-CN"/>
              </w:rPr>
              <w:t>6#</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85</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69.57</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69.42</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69.57</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69.45</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restar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T16转载点</w:t>
            </w:r>
          </w:p>
        </w:tc>
        <w:tc>
          <w:tcPr>
            <w:tcW w:w="555"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bidi="ar"/>
              </w:rPr>
            </w:pPr>
            <w:r>
              <w:rPr>
                <w:rFonts w:hint="default" w:ascii="Times New Roman" w:hAnsi="Times New Roman" w:eastAsia="宋体" w:cs="Times New Roman"/>
                <w:color w:val="auto"/>
                <w:sz w:val="21"/>
                <w:szCs w:val="21"/>
                <w:u w:val="none" w:color="auto"/>
                <w:lang w:eastAsia="zh-CN"/>
              </w:rPr>
              <w:t>带式输送机</w:t>
            </w:r>
            <w:r>
              <w:rPr>
                <w:rFonts w:hint="default" w:ascii="Times New Roman" w:hAnsi="Times New Roman" w:eastAsia="宋体" w:cs="Times New Roman"/>
                <w:color w:val="auto"/>
                <w:sz w:val="21"/>
                <w:szCs w:val="21"/>
                <w:u w:val="none" w:color="auto"/>
                <w:lang w:val="en-US" w:eastAsia="zh-CN"/>
              </w:rPr>
              <w:t>7#</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85</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450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180</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9</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69.83</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70.00</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70.83</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70.00</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20</w:t>
            </w:r>
          </w:p>
        </w:tc>
        <w:tc>
          <w:tcPr>
            <w:tcW w:w="229"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52.02</w:t>
            </w:r>
          </w:p>
        </w:tc>
        <w:tc>
          <w:tcPr>
            <w:tcW w:w="196"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51.90</w:t>
            </w:r>
          </w:p>
        </w:tc>
        <w:tc>
          <w:tcPr>
            <w:tcW w:w="190"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52.02</w:t>
            </w:r>
          </w:p>
        </w:tc>
        <w:tc>
          <w:tcPr>
            <w:tcW w:w="190"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51.90</w:t>
            </w:r>
          </w:p>
        </w:tc>
        <w:tc>
          <w:tcPr>
            <w:tcW w:w="189"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sz w:val="21"/>
                <w:szCs w:val="21"/>
                <w:u w:val="none" w:color="auto"/>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p>
        </w:tc>
        <w:tc>
          <w:tcPr>
            <w:tcW w:w="555"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bidi="ar"/>
              </w:rPr>
            </w:pPr>
            <w:r>
              <w:rPr>
                <w:rFonts w:hint="default" w:ascii="Times New Roman" w:hAnsi="Times New Roman" w:eastAsia="宋体" w:cs="Times New Roman"/>
                <w:color w:val="auto"/>
                <w:sz w:val="21"/>
                <w:szCs w:val="21"/>
                <w:u w:val="none" w:color="auto"/>
                <w:lang w:eastAsia="zh-CN"/>
              </w:rPr>
              <w:t>带式输送机</w:t>
            </w:r>
            <w:r>
              <w:rPr>
                <w:rFonts w:hint="default" w:ascii="Times New Roman" w:hAnsi="Times New Roman" w:eastAsia="宋体" w:cs="Times New Roman"/>
                <w:color w:val="auto"/>
                <w:sz w:val="21"/>
                <w:szCs w:val="21"/>
                <w:u w:val="none" w:color="auto"/>
                <w:lang w:val="en-US" w:eastAsia="zh-CN"/>
              </w:rPr>
              <w:t>8#</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85</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450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180</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9</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70.83</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70.00</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69.83</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70.00</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p>
        </w:tc>
        <w:tc>
          <w:tcPr>
            <w:tcW w:w="555"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bidi="ar"/>
              </w:rPr>
            </w:pPr>
            <w:r>
              <w:rPr>
                <w:rFonts w:hint="default" w:ascii="Times New Roman" w:hAnsi="Times New Roman" w:eastAsia="宋体" w:cs="Times New Roman"/>
                <w:color w:val="auto"/>
                <w:sz w:val="21"/>
                <w:szCs w:val="21"/>
                <w:u w:val="none" w:color="auto"/>
                <w:lang w:eastAsia="zh-CN"/>
              </w:rPr>
              <w:t>带式输送机</w:t>
            </w:r>
            <w:r>
              <w:rPr>
                <w:rFonts w:hint="default" w:ascii="Times New Roman" w:hAnsi="Times New Roman" w:eastAsia="宋体" w:cs="Times New Roman"/>
                <w:color w:val="auto"/>
                <w:sz w:val="21"/>
                <w:szCs w:val="21"/>
                <w:u w:val="none" w:color="auto"/>
                <w:lang w:val="en-US" w:eastAsia="zh-CN"/>
              </w:rPr>
              <w:t>9#</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85</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450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180</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70.00</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70.00</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70.00</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70.00</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p>
        </w:tc>
        <w:tc>
          <w:tcPr>
            <w:tcW w:w="555"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kern w:val="0"/>
                <w:sz w:val="21"/>
                <w:szCs w:val="21"/>
                <w:highlight w:val="none"/>
                <w:u w:val="none" w:color="auto"/>
                <w:lang w:val="en-US" w:eastAsia="zh-CN" w:bidi="ar-SA"/>
              </w:rPr>
              <w:t>干雾抑尘装置2#</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lang w:val="en-US" w:eastAsia="zh-CN" w:bidi="ar"/>
              </w:rPr>
              <w:t>90</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450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sz w:val="21"/>
                <w:szCs w:val="21"/>
                <w:u w:val="none" w:color="auto"/>
                <w:lang w:val="en-US" w:eastAsia="zh-CN"/>
              </w:rPr>
              <w:t>55</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75.00</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75.00</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75.00</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75.00</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restar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T17转载点</w:t>
            </w:r>
          </w:p>
        </w:tc>
        <w:tc>
          <w:tcPr>
            <w:tcW w:w="555"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bidi="ar"/>
              </w:rPr>
            </w:pPr>
            <w:r>
              <w:rPr>
                <w:rFonts w:hint="default" w:ascii="Times New Roman" w:hAnsi="Times New Roman" w:eastAsia="宋体" w:cs="Times New Roman"/>
                <w:color w:val="auto"/>
                <w:sz w:val="21"/>
                <w:szCs w:val="21"/>
                <w:u w:val="none" w:color="auto"/>
                <w:lang w:eastAsia="zh-CN"/>
              </w:rPr>
              <w:t>带式输送机</w:t>
            </w:r>
            <w:r>
              <w:rPr>
                <w:rFonts w:hint="default" w:ascii="Times New Roman" w:hAnsi="Times New Roman" w:eastAsia="宋体" w:cs="Times New Roman"/>
                <w:color w:val="auto"/>
                <w:sz w:val="21"/>
                <w:szCs w:val="21"/>
                <w:u w:val="none" w:color="auto"/>
                <w:lang w:val="en-US" w:eastAsia="zh-CN"/>
              </w:rPr>
              <w:t>10#</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85</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450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9</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69.83</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70.00</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70.83</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70.00</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20</w:t>
            </w:r>
          </w:p>
        </w:tc>
        <w:tc>
          <w:tcPr>
            <w:tcW w:w="229"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46.93</w:t>
            </w:r>
          </w:p>
        </w:tc>
        <w:tc>
          <w:tcPr>
            <w:tcW w:w="196"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47.01</w:t>
            </w:r>
          </w:p>
        </w:tc>
        <w:tc>
          <w:tcPr>
            <w:tcW w:w="190"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47.44</w:t>
            </w:r>
          </w:p>
        </w:tc>
        <w:tc>
          <w:tcPr>
            <w:tcW w:w="190" w:type="pct"/>
            <w:vMerge w:val="restart"/>
            <w:shd w:val="clear" w:color="auto" w:fill="FFFFFF"/>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47.01</w:t>
            </w:r>
          </w:p>
        </w:tc>
        <w:tc>
          <w:tcPr>
            <w:tcW w:w="189"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sz w:val="21"/>
                <w:szCs w:val="21"/>
                <w:u w:val="none" w:color="auto"/>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4" w:type="pct"/>
            <w:shd w:val="clear" w:color="auto" w:fill="FFFFFF"/>
            <w:noWrap w:val="0"/>
            <w:vAlign w:val="center"/>
          </w:tcPr>
          <w:p>
            <w:pPr>
              <w:keepNext w:val="0"/>
              <w:keepLines w:val="0"/>
              <w:widowControl/>
              <w:numPr>
                <w:ilvl w:val="0"/>
                <w:numId w:val="13"/>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251" w:type="pct"/>
            <w:vMerge w:val="continue"/>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p>
        </w:tc>
        <w:tc>
          <w:tcPr>
            <w:tcW w:w="555"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bidi="ar"/>
              </w:rPr>
            </w:pPr>
            <w:r>
              <w:rPr>
                <w:rFonts w:hint="default" w:ascii="Times New Roman" w:hAnsi="Times New Roman" w:eastAsia="宋体" w:cs="Times New Roman"/>
                <w:color w:val="auto"/>
                <w:sz w:val="21"/>
                <w:szCs w:val="21"/>
                <w:u w:val="none" w:color="auto"/>
                <w:lang w:eastAsia="zh-CN"/>
              </w:rPr>
              <w:t>带式输送机</w:t>
            </w:r>
            <w:r>
              <w:rPr>
                <w:rFonts w:hint="default" w:ascii="Times New Roman" w:hAnsi="Times New Roman" w:eastAsia="宋体" w:cs="Times New Roman"/>
                <w:color w:val="auto"/>
                <w:sz w:val="21"/>
                <w:szCs w:val="21"/>
                <w:u w:val="none" w:color="auto"/>
                <w:lang w:val="en-US" w:eastAsia="zh-CN"/>
              </w:rPr>
              <w:t>11#</w:t>
            </w:r>
          </w:p>
        </w:tc>
        <w:tc>
          <w:tcPr>
            <w:tcW w:w="340"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85</w:t>
            </w:r>
          </w:p>
        </w:tc>
        <w:tc>
          <w:tcPr>
            <w:tcW w:w="242"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14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450</w:t>
            </w:r>
          </w:p>
        </w:tc>
        <w:tc>
          <w:tcPr>
            <w:tcW w:w="202"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55</w:t>
            </w:r>
          </w:p>
        </w:tc>
        <w:tc>
          <w:tcPr>
            <w:tcW w:w="128" w:type="pct"/>
            <w:shd w:val="clear" w:color="auto" w:fill="FFFFFF"/>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w:t>
            </w:r>
          </w:p>
        </w:tc>
        <w:tc>
          <w:tcPr>
            <w:tcW w:w="16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7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6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70.00</w:t>
            </w:r>
          </w:p>
        </w:tc>
        <w:tc>
          <w:tcPr>
            <w:tcW w:w="23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70.00</w:t>
            </w:r>
          </w:p>
        </w:tc>
        <w:tc>
          <w:tcPr>
            <w:tcW w:w="22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70.00</w:t>
            </w:r>
          </w:p>
        </w:tc>
        <w:tc>
          <w:tcPr>
            <w:tcW w:w="231"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70.00</w:t>
            </w:r>
          </w:p>
        </w:tc>
        <w:tc>
          <w:tcPr>
            <w:tcW w:w="145"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8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6"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90"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23"/>
            <w:shd w:val="clear" w:color="auto" w:fill="FFFFFF"/>
            <w:noWrap w:val="0"/>
            <w:vAlign w:val="center"/>
          </w:tcPr>
          <w:p>
            <w:pPr>
              <w:spacing w:line="240" w:lineRule="auto"/>
              <w:jc w:val="both"/>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注：①以4#储煤场西南角为原点坐标，正北为Y轴，正东为X轴，地面为Z轴起点；②根据《噪声控制与建筑声学设备和材料选用手册》（吕玉恒等 化学工业出版社）可知，普通钢质门隔声量在 20~25dB 左右，本项目取隔声量为20dB。</w:t>
            </w:r>
          </w:p>
        </w:tc>
      </w:tr>
      <w:bookmarkEnd w:id="11"/>
    </w:tbl>
    <w:p>
      <w:pPr>
        <w:pStyle w:val="9"/>
        <w:spacing w:before="0" w:after="0" w:line="240" w:lineRule="auto"/>
        <w:ind w:firstLine="0" w:firstLineChars="0"/>
        <w:jc w:val="center"/>
        <w:rPr>
          <w:rFonts w:hint="default" w:ascii="Times New Roman" w:hAnsi="Times New Roman" w:eastAsia="宋体" w:cs="Times New Roman"/>
          <w:b/>
          <w:bCs/>
          <w:color w:val="0000FF"/>
          <w:u w:val="none" w:color="auto"/>
          <w:lang w:val="en-US" w:eastAsia="zh-CN"/>
        </w:rPr>
      </w:pPr>
    </w:p>
    <w:p>
      <w:pPr>
        <w:pStyle w:val="52"/>
        <w:tabs>
          <w:tab w:val="left" w:pos="315"/>
          <w:tab w:val="left" w:pos="360"/>
        </w:tabs>
        <w:rPr>
          <w:rFonts w:hint="eastAsia"/>
          <w:color w:val="0000FF"/>
          <w:u w:val="none" w:color="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noWrap w:val="0"/>
            <w:vAlign w:val="top"/>
          </w:tcPr>
          <w:p>
            <w:pPr>
              <w:rPr>
                <w:rFonts w:hint="default" w:ascii="Times New Roman" w:hAnsi="Times New Roman" w:cs="Times New Roman"/>
                <w:color w:val="0000FF"/>
                <w:u w:val="none" w:color="auto"/>
                <w:vertAlign w:val="baseline"/>
              </w:rPr>
            </w:pPr>
          </w:p>
        </w:tc>
        <w:tc>
          <w:tcPr>
            <w:tcW w:w="8296" w:type="dxa"/>
            <w:noWrap w:val="0"/>
            <w:vAlign w:val="top"/>
          </w:tcPr>
          <w:p>
            <w:pPr>
              <w:spacing w:line="360" w:lineRule="auto"/>
              <w:ind w:firstLine="422" w:firstLineChars="200"/>
              <w:jc w:val="both"/>
              <w:rPr>
                <w:rFonts w:hint="default" w:ascii="Times New Roman" w:hAnsi="Times New Roman" w:eastAsia="宋体" w:cs="Times New Roman"/>
                <w:b/>
                <w:bCs w:val="0"/>
                <w:color w:val="auto"/>
                <w:spacing w:val="0"/>
                <w:kern w:val="0"/>
                <w:sz w:val="21"/>
                <w:szCs w:val="21"/>
                <w:u w:val="none" w:color="auto"/>
                <w:lang w:val="en-US" w:eastAsia="zh-CN"/>
              </w:rPr>
            </w:pPr>
            <w:r>
              <w:rPr>
                <w:rFonts w:hint="default" w:ascii="Times New Roman" w:hAnsi="Times New Roman" w:eastAsia="宋体" w:cs="Times New Roman"/>
                <w:b/>
                <w:bCs w:val="0"/>
                <w:color w:val="auto"/>
                <w:spacing w:val="0"/>
                <w:kern w:val="0"/>
                <w:sz w:val="21"/>
                <w:szCs w:val="21"/>
                <w:u w:val="none" w:color="auto"/>
                <w:lang w:val="en-US" w:eastAsia="zh-CN"/>
              </w:rPr>
              <w:t>（</w:t>
            </w:r>
            <w:r>
              <w:rPr>
                <w:rFonts w:hint="eastAsia" w:ascii="Times New Roman" w:hAnsi="Times New Roman" w:eastAsia="宋体" w:cs="Times New Roman"/>
                <w:b/>
                <w:bCs w:val="0"/>
                <w:color w:val="auto"/>
                <w:spacing w:val="0"/>
                <w:kern w:val="0"/>
                <w:sz w:val="21"/>
                <w:szCs w:val="21"/>
                <w:u w:val="none" w:color="auto"/>
                <w:lang w:val="en-US" w:eastAsia="zh-CN"/>
              </w:rPr>
              <w:t>3</w:t>
            </w:r>
            <w:r>
              <w:rPr>
                <w:rFonts w:hint="default" w:ascii="Times New Roman" w:hAnsi="Times New Roman" w:eastAsia="宋体" w:cs="Times New Roman"/>
                <w:b/>
                <w:bCs w:val="0"/>
                <w:color w:val="auto"/>
                <w:spacing w:val="0"/>
                <w:kern w:val="0"/>
                <w:sz w:val="21"/>
                <w:szCs w:val="21"/>
                <w:u w:val="none" w:color="auto"/>
                <w:lang w:val="en-US" w:eastAsia="zh-CN"/>
              </w:rPr>
              <w:t>）噪声达标分析</w:t>
            </w:r>
          </w:p>
          <w:p>
            <w:pPr>
              <w:pStyle w:val="28"/>
              <w:spacing w:before="0" w:beforeAutospacing="0" w:after="0" w:afterAutospacing="0" w:line="360" w:lineRule="auto"/>
              <w:ind w:firstLine="482"/>
              <w:jc w:val="both"/>
              <w:rPr>
                <w:rFonts w:hint="default" w:ascii="Times New Roman" w:hAnsi="Times New Roman" w:eastAsia="宋体" w:cs="Times New Roman"/>
                <w:color w:val="auto"/>
                <w:spacing w:val="0"/>
                <w:kern w:val="0"/>
                <w:sz w:val="21"/>
                <w:szCs w:val="21"/>
                <w:u w:val="none" w:color="auto"/>
                <w:lang w:val="en-US" w:eastAsia="zh-CN"/>
              </w:rPr>
            </w:pPr>
            <w:r>
              <w:rPr>
                <w:rFonts w:hint="default" w:ascii="Times New Roman" w:hAnsi="Times New Roman" w:eastAsia="宋体" w:cs="Times New Roman"/>
                <w:color w:val="auto"/>
                <w:spacing w:val="0"/>
                <w:kern w:val="0"/>
                <w:sz w:val="21"/>
                <w:szCs w:val="21"/>
                <w:u w:val="none" w:color="auto"/>
                <w:lang w:val="en-US" w:eastAsia="zh-CN"/>
              </w:rPr>
              <w:t>本项目为新建项目，根据《环境影响评价技术导则声环境》（HJ2.4-2021），厂界噪声预测值以贡献值表征。本项目噪声设备均设置在密闭建构筑物中，噪声经厂房隔声、几何衰减及围墙隔声后，厂界预测噪声贡献值见表4-</w:t>
            </w:r>
            <w:r>
              <w:rPr>
                <w:rFonts w:hint="eastAsia" w:ascii="Times New Roman" w:hAnsi="Times New Roman" w:eastAsia="宋体" w:cs="Times New Roman"/>
                <w:color w:val="auto"/>
                <w:spacing w:val="0"/>
                <w:kern w:val="0"/>
                <w:sz w:val="21"/>
                <w:szCs w:val="21"/>
                <w:u w:val="none" w:color="auto"/>
                <w:lang w:val="en-US" w:eastAsia="zh-CN"/>
              </w:rPr>
              <w:t>12</w:t>
            </w:r>
            <w:r>
              <w:rPr>
                <w:rFonts w:hint="default" w:ascii="Times New Roman" w:hAnsi="Times New Roman" w:eastAsia="宋体" w:cs="Times New Roman"/>
                <w:color w:val="auto"/>
                <w:spacing w:val="0"/>
                <w:kern w:val="0"/>
                <w:sz w:val="21"/>
                <w:szCs w:val="21"/>
                <w:u w:val="none" w:color="auto"/>
                <w:lang w:val="en-US" w:eastAsia="zh-CN"/>
              </w:rPr>
              <w:t>。</w:t>
            </w:r>
          </w:p>
          <w:p>
            <w:pPr>
              <w:pStyle w:val="28"/>
              <w:spacing w:before="0" w:beforeAutospacing="0" w:after="0" w:afterAutospacing="0"/>
              <w:ind w:firstLine="482"/>
              <w:jc w:val="center"/>
              <w:rPr>
                <w:rFonts w:hint="default" w:ascii="Times New Roman" w:hAnsi="Times New Roman" w:eastAsia="宋体" w:cs="Times New Roman"/>
                <w:b/>
                <w:color w:val="auto"/>
                <w:kern w:val="2"/>
                <w:sz w:val="21"/>
                <w:szCs w:val="21"/>
                <w:highlight w:val="none"/>
                <w:u w:val="none" w:color="auto"/>
                <w:lang w:val="en-US" w:eastAsia="zh-CN"/>
              </w:rPr>
            </w:pPr>
            <w:r>
              <w:rPr>
                <w:rFonts w:hint="default" w:ascii="Times New Roman" w:hAnsi="Times New Roman" w:eastAsia="宋体" w:cs="Times New Roman"/>
                <w:b/>
                <w:color w:val="auto"/>
                <w:kern w:val="2"/>
                <w:sz w:val="21"/>
                <w:szCs w:val="21"/>
                <w:highlight w:val="none"/>
                <w:u w:val="none" w:color="auto"/>
                <w:lang w:val="en-US" w:eastAsia="zh-CN" w:bidi="ar"/>
              </w:rPr>
              <w:t>表4</w:t>
            </w:r>
            <w:r>
              <w:rPr>
                <w:rFonts w:hint="eastAsia" w:ascii="Times New Roman" w:hAnsi="Times New Roman" w:eastAsia="宋体" w:cs="Times New Roman"/>
                <w:b/>
                <w:color w:val="auto"/>
                <w:kern w:val="2"/>
                <w:sz w:val="21"/>
                <w:szCs w:val="21"/>
                <w:highlight w:val="none"/>
                <w:u w:val="none" w:color="auto"/>
                <w:lang w:val="en-US" w:eastAsia="zh-CN" w:bidi="ar"/>
              </w:rPr>
              <w:t>-12</w:t>
            </w:r>
            <w:r>
              <w:rPr>
                <w:rFonts w:hint="default" w:ascii="Times New Roman" w:hAnsi="Times New Roman" w:eastAsia="宋体" w:cs="Times New Roman"/>
                <w:b/>
                <w:color w:val="auto"/>
                <w:kern w:val="2"/>
                <w:sz w:val="21"/>
                <w:szCs w:val="21"/>
                <w:highlight w:val="none"/>
                <w:u w:val="none" w:color="auto"/>
                <w:lang w:val="en-US" w:eastAsia="zh-CN" w:bidi="ar"/>
              </w:rPr>
              <w:t>厂界噪声预测结果一览表（单位：dB(A)）</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032"/>
              <w:gridCol w:w="1534"/>
              <w:gridCol w:w="1516"/>
              <w:gridCol w:w="1718"/>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32" w:type="dxa"/>
                  <w:vMerge w:val="restart"/>
                  <w:noWrap w:val="0"/>
                  <w:vAlign w:val="center"/>
                </w:tcPr>
                <w:p>
                  <w:pPr>
                    <w:pStyle w:val="28"/>
                    <w:widowControl w:val="0"/>
                    <w:wordWrap w:val="0"/>
                    <w:adjustRightInd w:val="0"/>
                    <w:snapToGrid w:val="0"/>
                    <w:spacing w:before="0" w:beforeAutospacing="0" w:after="0" w:afterAutospacing="0" w:line="240" w:lineRule="auto"/>
                    <w:jc w:val="center"/>
                    <w:textAlignment w:val="baseline"/>
                    <w:rPr>
                      <w:rFonts w:hint="default" w:ascii="Times New Roman" w:hAnsi="Times New Roman" w:eastAsia="宋体" w:cs="Times New Roman"/>
                      <w:b/>
                      <w:strike w:val="0"/>
                      <w:dstrike w:val="0"/>
                      <w:color w:val="auto"/>
                      <w:sz w:val="21"/>
                      <w:szCs w:val="21"/>
                      <w:highlight w:val="none"/>
                      <w:u w:val="none" w:color="auto"/>
                      <w:lang w:val="en-US" w:eastAsia="zh-CN" w:bidi="ar"/>
                    </w:rPr>
                  </w:pPr>
                  <w:r>
                    <w:rPr>
                      <w:rFonts w:hint="default" w:ascii="Times New Roman" w:hAnsi="Times New Roman" w:eastAsia="宋体" w:cs="Times New Roman"/>
                      <w:b/>
                      <w:strike w:val="0"/>
                      <w:dstrike w:val="0"/>
                      <w:color w:val="auto"/>
                      <w:sz w:val="21"/>
                      <w:szCs w:val="21"/>
                      <w:highlight w:val="none"/>
                      <w:u w:val="none" w:color="auto"/>
                      <w:lang w:val="en-US" w:eastAsia="zh-CN" w:bidi="ar"/>
                    </w:rPr>
                    <w:t>预测点位</w:t>
                  </w:r>
                </w:p>
              </w:tc>
              <w:tc>
                <w:tcPr>
                  <w:tcW w:w="1534" w:type="dxa"/>
                  <w:vMerge w:val="restart"/>
                  <w:noWrap w:val="0"/>
                  <w:vAlign w:val="center"/>
                </w:tcPr>
                <w:p>
                  <w:pPr>
                    <w:pStyle w:val="28"/>
                    <w:widowControl w:val="0"/>
                    <w:wordWrap w:val="0"/>
                    <w:adjustRightInd w:val="0"/>
                    <w:snapToGrid w:val="0"/>
                    <w:spacing w:before="0" w:beforeAutospacing="0" w:after="0" w:afterAutospacing="0" w:line="240" w:lineRule="auto"/>
                    <w:jc w:val="center"/>
                    <w:textAlignment w:val="baseline"/>
                    <w:rPr>
                      <w:rFonts w:hint="default" w:ascii="Times New Roman" w:hAnsi="Times New Roman" w:eastAsia="宋体" w:cs="Times New Roman"/>
                      <w:b/>
                      <w:strike w:val="0"/>
                      <w:dstrike w:val="0"/>
                      <w:color w:val="auto"/>
                      <w:sz w:val="21"/>
                      <w:szCs w:val="21"/>
                      <w:highlight w:val="none"/>
                      <w:u w:val="none" w:color="auto"/>
                      <w:lang w:val="en-US" w:eastAsia="zh-CN" w:bidi="ar"/>
                    </w:rPr>
                  </w:pPr>
                  <w:r>
                    <w:rPr>
                      <w:rFonts w:hint="default" w:ascii="Times New Roman" w:hAnsi="Times New Roman" w:eastAsia="宋体" w:cs="Times New Roman"/>
                      <w:b/>
                      <w:strike w:val="0"/>
                      <w:dstrike w:val="0"/>
                      <w:color w:val="auto"/>
                      <w:sz w:val="21"/>
                      <w:szCs w:val="21"/>
                      <w:highlight w:val="none"/>
                      <w:u w:val="none" w:color="auto"/>
                      <w:lang w:val="en-US" w:eastAsia="zh-CN" w:bidi="ar"/>
                    </w:rPr>
                    <w:t>贡献值</w:t>
                  </w:r>
                </w:p>
              </w:tc>
              <w:tc>
                <w:tcPr>
                  <w:tcW w:w="3234" w:type="dxa"/>
                  <w:gridSpan w:val="2"/>
                  <w:noWrap w:val="0"/>
                  <w:vAlign w:val="center"/>
                </w:tcPr>
                <w:p>
                  <w:pPr>
                    <w:pStyle w:val="28"/>
                    <w:widowControl w:val="0"/>
                    <w:wordWrap w:val="0"/>
                    <w:adjustRightInd w:val="0"/>
                    <w:snapToGrid w:val="0"/>
                    <w:spacing w:before="0" w:beforeAutospacing="0" w:after="0" w:afterAutospacing="0" w:line="240" w:lineRule="auto"/>
                    <w:jc w:val="center"/>
                    <w:textAlignment w:val="baseline"/>
                    <w:rPr>
                      <w:rFonts w:hint="default" w:ascii="Times New Roman" w:hAnsi="Times New Roman" w:eastAsia="宋体" w:cs="Times New Roman"/>
                      <w:b/>
                      <w:strike w:val="0"/>
                      <w:dstrike w:val="0"/>
                      <w:color w:val="auto"/>
                      <w:sz w:val="21"/>
                      <w:szCs w:val="21"/>
                      <w:highlight w:val="none"/>
                      <w:u w:val="none" w:color="auto"/>
                      <w:lang w:val="en-US" w:eastAsia="zh-CN" w:bidi="ar"/>
                    </w:rPr>
                  </w:pPr>
                  <w:r>
                    <w:rPr>
                      <w:rFonts w:hint="default" w:ascii="Times New Roman" w:hAnsi="Times New Roman" w:eastAsia="宋体" w:cs="Times New Roman"/>
                      <w:b/>
                      <w:strike w:val="0"/>
                      <w:dstrike w:val="0"/>
                      <w:color w:val="auto"/>
                      <w:sz w:val="21"/>
                      <w:szCs w:val="21"/>
                      <w:highlight w:val="none"/>
                      <w:u w:val="none" w:color="auto"/>
                      <w:lang w:val="en-US" w:eastAsia="zh-CN" w:bidi="ar"/>
                    </w:rPr>
                    <w:t>标准值</w:t>
                  </w:r>
                </w:p>
              </w:tc>
              <w:tc>
                <w:tcPr>
                  <w:tcW w:w="1270" w:type="dxa"/>
                  <w:vMerge w:val="restart"/>
                  <w:noWrap w:val="0"/>
                  <w:vAlign w:val="center"/>
                </w:tcPr>
                <w:p>
                  <w:pPr>
                    <w:pStyle w:val="28"/>
                    <w:widowControl w:val="0"/>
                    <w:wordWrap w:val="0"/>
                    <w:adjustRightInd w:val="0"/>
                    <w:snapToGrid w:val="0"/>
                    <w:spacing w:before="0" w:beforeAutospacing="0" w:after="0" w:afterAutospacing="0" w:line="240" w:lineRule="auto"/>
                    <w:jc w:val="center"/>
                    <w:textAlignment w:val="baseline"/>
                    <w:rPr>
                      <w:rFonts w:hint="default" w:ascii="Times New Roman" w:hAnsi="Times New Roman" w:eastAsia="宋体" w:cs="Times New Roman"/>
                      <w:b/>
                      <w:strike w:val="0"/>
                      <w:dstrike w:val="0"/>
                      <w:color w:val="auto"/>
                      <w:sz w:val="21"/>
                      <w:szCs w:val="21"/>
                      <w:highlight w:val="none"/>
                      <w:u w:val="none" w:color="auto"/>
                      <w:lang w:val="en-US" w:eastAsia="zh-CN" w:bidi="ar"/>
                    </w:rPr>
                  </w:pPr>
                  <w:r>
                    <w:rPr>
                      <w:rFonts w:hint="default" w:ascii="Times New Roman" w:hAnsi="Times New Roman" w:eastAsia="宋体" w:cs="Times New Roman"/>
                      <w:b/>
                      <w:strike w:val="0"/>
                      <w:dstrike w:val="0"/>
                      <w:color w:val="auto"/>
                      <w:sz w:val="21"/>
                      <w:szCs w:val="21"/>
                      <w:highlight w:val="none"/>
                      <w:u w:val="none" w:color="auto"/>
                      <w:lang w:val="en-US" w:eastAsia="zh-CN"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32" w:type="dxa"/>
                  <w:vMerge w:val="continue"/>
                  <w:noWrap w:val="0"/>
                  <w:vAlign w:val="center"/>
                </w:tcPr>
                <w:p>
                  <w:pPr>
                    <w:pStyle w:val="28"/>
                    <w:widowControl w:val="0"/>
                    <w:wordWrap w:val="0"/>
                    <w:adjustRightInd w:val="0"/>
                    <w:snapToGrid w:val="0"/>
                    <w:spacing w:before="0" w:beforeAutospacing="0" w:after="0" w:afterAutospacing="0" w:line="240" w:lineRule="auto"/>
                    <w:jc w:val="center"/>
                    <w:textAlignment w:val="baseline"/>
                    <w:rPr>
                      <w:rFonts w:hint="default" w:ascii="Times New Roman" w:hAnsi="Times New Roman" w:eastAsia="宋体" w:cs="Times New Roman"/>
                      <w:b/>
                      <w:strike w:val="0"/>
                      <w:dstrike w:val="0"/>
                      <w:color w:val="auto"/>
                      <w:sz w:val="21"/>
                      <w:szCs w:val="21"/>
                      <w:highlight w:val="none"/>
                      <w:u w:val="none" w:color="auto"/>
                      <w:lang w:val="en-US" w:eastAsia="zh-CN" w:bidi="ar"/>
                    </w:rPr>
                  </w:pPr>
                </w:p>
              </w:tc>
              <w:tc>
                <w:tcPr>
                  <w:tcW w:w="1534" w:type="dxa"/>
                  <w:vMerge w:val="continue"/>
                  <w:noWrap w:val="0"/>
                  <w:vAlign w:val="center"/>
                </w:tcPr>
                <w:p>
                  <w:pPr>
                    <w:pStyle w:val="28"/>
                    <w:widowControl w:val="0"/>
                    <w:wordWrap w:val="0"/>
                    <w:adjustRightInd w:val="0"/>
                    <w:snapToGrid w:val="0"/>
                    <w:spacing w:before="0" w:beforeAutospacing="0" w:after="0" w:afterAutospacing="0" w:line="240" w:lineRule="auto"/>
                    <w:jc w:val="center"/>
                    <w:textAlignment w:val="baseline"/>
                    <w:rPr>
                      <w:rFonts w:hint="default" w:ascii="Times New Roman" w:hAnsi="Times New Roman" w:eastAsia="宋体" w:cs="Times New Roman"/>
                      <w:b/>
                      <w:strike w:val="0"/>
                      <w:dstrike w:val="0"/>
                      <w:color w:val="auto"/>
                      <w:sz w:val="21"/>
                      <w:szCs w:val="21"/>
                      <w:highlight w:val="none"/>
                      <w:u w:val="none" w:color="auto"/>
                      <w:lang w:val="en-US" w:eastAsia="zh-CN" w:bidi="ar"/>
                    </w:rPr>
                  </w:pPr>
                </w:p>
              </w:tc>
              <w:tc>
                <w:tcPr>
                  <w:tcW w:w="1516" w:type="dxa"/>
                  <w:noWrap w:val="0"/>
                  <w:vAlign w:val="center"/>
                </w:tcPr>
                <w:p>
                  <w:pPr>
                    <w:pStyle w:val="28"/>
                    <w:widowControl w:val="0"/>
                    <w:wordWrap w:val="0"/>
                    <w:adjustRightInd w:val="0"/>
                    <w:snapToGrid w:val="0"/>
                    <w:spacing w:before="0" w:beforeAutospacing="0" w:after="0" w:afterAutospacing="0" w:line="240" w:lineRule="auto"/>
                    <w:jc w:val="center"/>
                    <w:textAlignment w:val="baseline"/>
                    <w:rPr>
                      <w:rFonts w:hint="default" w:ascii="Times New Roman" w:hAnsi="Times New Roman" w:eastAsia="宋体" w:cs="Times New Roman"/>
                      <w:b/>
                      <w:strike w:val="0"/>
                      <w:dstrike w:val="0"/>
                      <w:color w:val="auto"/>
                      <w:sz w:val="21"/>
                      <w:szCs w:val="21"/>
                      <w:highlight w:val="none"/>
                      <w:u w:val="none" w:color="auto"/>
                      <w:lang w:val="en-US" w:eastAsia="zh-CN" w:bidi="ar"/>
                    </w:rPr>
                  </w:pPr>
                  <w:r>
                    <w:rPr>
                      <w:rFonts w:hint="default" w:ascii="Times New Roman" w:hAnsi="Times New Roman" w:eastAsia="宋体" w:cs="Times New Roman"/>
                      <w:b/>
                      <w:strike w:val="0"/>
                      <w:dstrike w:val="0"/>
                      <w:color w:val="auto"/>
                      <w:sz w:val="21"/>
                      <w:szCs w:val="21"/>
                      <w:highlight w:val="none"/>
                      <w:u w:val="none" w:color="auto"/>
                      <w:lang w:val="en-US" w:eastAsia="zh-CN" w:bidi="ar"/>
                    </w:rPr>
                    <w:t>昼间</w:t>
                  </w:r>
                </w:p>
              </w:tc>
              <w:tc>
                <w:tcPr>
                  <w:tcW w:w="1718" w:type="dxa"/>
                  <w:noWrap w:val="0"/>
                  <w:vAlign w:val="center"/>
                </w:tcPr>
                <w:p>
                  <w:pPr>
                    <w:pStyle w:val="28"/>
                    <w:widowControl w:val="0"/>
                    <w:wordWrap w:val="0"/>
                    <w:adjustRightInd w:val="0"/>
                    <w:snapToGrid w:val="0"/>
                    <w:spacing w:before="0" w:beforeAutospacing="0" w:after="0" w:afterAutospacing="0" w:line="240" w:lineRule="auto"/>
                    <w:jc w:val="center"/>
                    <w:textAlignment w:val="baseline"/>
                    <w:rPr>
                      <w:rFonts w:hint="default" w:ascii="Times New Roman" w:hAnsi="Times New Roman" w:eastAsia="宋体" w:cs="Times New Roman"/>
                      <w:b/>
                      <w:strike w:val="0"/>
                      <w:dstrike w:val="0"/>
                      <w:color w:val="auto"/>
                      <w:sz w:val="21"/>
                      <w:szCs w:val="21"/>
                      <w:highlight w:val="none"/>
                      <w:u w:val="none" w:color="auto"/>
                      <w:lang w:val="en-US" w:eastAsia="zh-CN" w:bidi="ar"/>
                    </w:rPr>
                  </w:pPr>
                  <w:r>
                    <w:rPr>
                      <w:rFonts w:hint="default" w:ascii="Times New Roman" w:hAnsi="Times New Roman" w:eastAsia="宋体" w:cs="Times New Roman"/>
                      <w:b/>
                      <w:strike w:val="0"/>
                      <w:dstrike w:val="0"/>
                      <w:color w:val="auto"/>
                      <w:sz w:val="21"/>
                      <w:szCs w:val="21"/>
                      <w:highlight w:val="none"/>
                      <w:u w:val="none" w:color="auto"/>
                      <w:lang w:val="en-US" w:eastAsia="zh-CN" w:bidi="ar"/>
                    </w:rPr>
                    <w:t>夜间</w:t>
                  </w:r>
                </w:p>
              </w:tc>
              <w:tc>
                <w:tcPr>
                  <w:tcW w:w="1270" w:type="dxa"/>
                  <w:vMerge w:val="continue"/>
                  <w:noWrap w:val="0"/>
                  <w:vAlign w:val="center"/>
                </w:tcPr>
                <w:p>
                  <w:pPr>
                    <w:pStyle w:val="28"/>
                    <w:widowControl w:val="0"/>
                    <w:wordWrap w:val="0"/>
                    <w:adjustRightInd w:val="0"/>
                    <w:snapToGrid w:val="0"/>
                    <w:spacing w:before="0" w:beforeAutospacing="0" w:after="0" w:afterAutospacing="0" w:line="240" w:lineRule="auto"/>
                    <w:jc w:val="center"/>
                    <w:textAlignment w:val="baseline"/>
                    <w:rPr>
                      <w:rFonts w:hint="default" w:ascii="Times New Roman" w:hAnsi="Times New Roman" w:eastAsia="宋体" w:cs="Times New Roman"/>
                      <w:b/>
                      <w:strike w:val="0"/>
                      <w:dstrike w:val="0"/>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32" w:type="dxa"/>
                  <w:noWrap w:val="0"/>
                  <w:vAlign w:val="center"/>
                </w:tcPr>
                <w:p>
                  <w:pPr>
                    <w:pStyle w:val="28"/>
                    <w:widowControl w:val="0"/>
                    <w:wordWrap w:val="0"/>
                    <w:adjustRightInd w:val="0"/>
                    <w:snapToGrid w:val="0"/>
                    <w:spacing w:before="0" w:beforeAutospacing="0" w:after="0" w:afterAutospacing="0" w:line="240" w:lineRule="auto"/>
                    <w:jc w:val="center"/>
                    <w:textAlignment w:val="baseline"/>
                    <w:rPr>
                      <w:rFonts w:hint="default" w:ascii="Times New Roman" w:hAnsi="Times New Roman" w:eastAsia="宋体" w:cs="Times New Roman"/>
                      <w:strike w:val="0"/>
                      <w:dstrike w:val="0"/>
                      <w:color w:val="auto"/>
                      <w:sz w:val="21"/>
                      <w:szCs w:val="21"/>
                      <w:highlight w:val="none"/>
                      <w:u w:val="none" w:color="auto"/>
                      <w:lang w:val="en-US" w:eastAsia="zh-CN"/>
                    </w:rPr>
                  </w:pPr>
                  <w:bookmarkStart w:id="12" w:name="OLE_LINK1" w:colFirst="2" w:colLast="2"/>
                  <w:r>
                    <w:rPr>
                      <w:rFonts w:hint="default" w:ascii="Times New Roman" w:hAnsi="Times New Roman" w:eastAsia="宋体" w:cs="Times New Roman"/>
                      <w:strike w:val="0"/>
                      <w:dstrike w:val="0"/>
                      <w:color w:val="auto"/>
                      <w:sz w:val="21"/>
                      <w:szCs w:val="21"/>
                      <w:highlight w:val="none"/>
                      <w:u w:val="none" w:color="auto"/>
                      <w:lang w:val="en-US" w:eastAsia="zh-CN" w:bidi="ar"/>
                    </w:rPr>
                    <w:t>N1东厂界</w:t>
                  </w:r>
                </w:p>
              </w:tc>
              <w:tc>
                <w:tcPr>
                  <w:tcW w:w="1534" w:type="dxa"/>
                  <w:noWrap w:val="0"/>
                  <w:vAlign w:val="center"/>
                </w:tcPr>
                <w:p>
                  <w:pPr>
                    <w:spacing w:line="240" w:lineRule="auto"/>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30.62</w:t>
                  </w:r>
                </w:p>
              </w:tc>
              <w:tc>
                <w:tcPr>
                  <w:tcW w:w="1516" w:type="dxa"/>
                  <w:noWrap w:val="0"/>
                  <w:vAlign w:val="center"/>
                </w:tcPr>
                <w:p>
                  <w:pPr>
                    <w:spacing w:line="240" w:lineRule="auto"/>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65</w:t>
                  </w:r>
                </w:p>
              </w:tc>
              <w:tc>
                <w:tcPr>
                  <w:tcW w:w="1718" w:type="dxa"/>
                  <w:noWrap w:val="0"/>
                  <w:vAlign w:val="center"/>
                </w:tcPr>
                <w:p>
                  <w:pPr>
                    <w:spacing w:line="240" w:lineRule="auto"/>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55</w:t>
                  </w:r>
                </w:p>
              </w:tc>
              <w:tc>
                <w:tcPr>
                  <w:tcW w:w="1270" w:type="dxa"/>
                  <w:noWrap w:val="0"/>
                  <w:vAlign w:val="center"/>
                </w:tcPr>
                <w:p>
                  <w:pPr>
                    <w:pStyle w:val="71"/>
                    <w:spacing w:line="240" w:lineRule="auto"/>
                    <w:ind w:firstLine="0" w:firstLineChars="0"/>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32" w:type="dxa"/>
                  <w:noWrap w:val="0"/>
                  <w:vAlign w:val="center"/>
                </w:tcPr>
                <w:p>
                  <w:pPr>
                    <w:pStyle w:val="28"/>
                    <w:widowControl w:val="0"/>
                    <w:wordWrap w:val="0"/>
                    <w:adjustRightInd w:val="0"/>
                    <w:snapToGrid w:val="0"/>
                    <w:spacing w:before="0" w:beforeAutospacing="0" w:after="0" w:afterAutospacing="0" w:line="240" w:lineRule="auto"/>
                    <w:jc w:val="center"/>
                    <w:textAlignment w:val="baseline"/>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bidi="ar"/>
                    </w:rPr>
                    <w:t>N2南厂界</w:t>
                  </w:r>
                </w:p>
              </w:tc>
              <w:tc>
                <w:tcPr>
                  <w:tcW w:w="1534" w:type="dxa"/>
                  <w:noWrap w:val="0"/>
                  <w:vAlign w:val="center"/>
                </w:tcPr>
                <w:p>
                  <w:pPr>
                    <w:spacing w:line="240" w:lineRule="auto"/>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42.49</w:t>
                  </w:r>
                </w:p>
              </w:tc>
              <w:tc>
                <w:tcPr>
                  <w:tcW w:w="1516" w:type="dxa"/>
                  <w:noWrap w:val="0"/>
                  <w:vAlign w:val="center"/>
                </w:tcPr>
                <w:p>
                  <w:pPr>
                    <w:spacing w:line="240" w:lineRule="auto"/>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65</w:t>
                  </w:r>
                </w:p>
              </w:tc>
              <w:tc>
                <w:tcPr>
                  <w:tcW w:w="1718" w:type="dxa"/>
                  <w:noWrap w:val="0"/>
                  <w:vAlign w:val="center"/>
                </w:tcPr>
                <w:p>
                  <w:pPr>
                    <w:spacing w:line="240" w:lineRule="auto"/>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55</w:t>
                  </w:r>
                </w:p>
              </w:tc>
              <w:tc>
                <w:tcPr>
                  <w:tcW w:w="1270" w:type="dxa"/>
                  <w:noWrap w:val="0"/>
                  <w:vAlign w:val="center"/>
                </w:tcPr>
                <w:p>
                  <w:pPr>
                    <w:spacing w:line="240" w:lineRule="auto"/>
                    <w:ind w:firstLine="0" w:firstLineChars="0"/>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32" w:type="dxa"/>
                  <w:noWrap w:val="0"/>
                  <w:vAlign w:val="center"/>
                </w:tcPr>
                <w:p>
                  <w:pPr>
                    <w:pStyle w:val="28"/>
                    <w:widowControl w:val="0"/>
                    <w:wordWrap w:val="0"/>
                    <w:adjustRightInd w:val="0"/>
                    <w:snapToGrid w:val="0"/>
                    <w:spacing w:before="0" w:beforeAutospacing="0" w:after="0" w:afterAutospacing="0" w:line="240" w:lineRule="auto"/>
                    <w:jc w:val="center"/>
                    <w:textAlignment w:val="baseline"/>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bidi="ar"/>
                    </w:rPr>
                    <w:t>N3西厂界</w:t>
                  </w:r>
                </w:p>
              </w:tc>
              <w:tc>
                <w:tcPr>
                  <w:tcW w:w="1534" w:type="dxa"/>
                  <w:noWrap w:val="0"/>
                  <w:vAlign w:val="center"/>
                </w:tcPr>
                <w:p>
                  <w:pPr>
                    <w:spacing w:line="240" w:lineRule="auto"/>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21.14</w:t>
                  </w:r>
                </w:p>
              </w:tc>
              <w:tc>
                <w:tcPr>
                  <w:tcW w:w="1516" w:type="dxa"/>
                  <w:noWrap w:val="0"/>
                  <w:vAlign w:val="center"/>
                </w:tcPr>
                <w:p>
                  <w:pPr>
                    <w:spacing w:line="240" w:lineRule="auto"/>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65</w:t>
                  </w:r>
                </w:p>
              </w:tc>
              <w:tc>
                <w:tcPr>
                  <w:tcW w:w="1718" w:type="dxa"/>
                  <w:noWrap w:val="0"/>
                  <w:vAlign w:val="center"/>
                </w:tcPr>
                <w:p>
                  <w:pPr>
                    <w:spacing w:line="240" w:lineRule="auto"/>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55</w:t>
                  </w:r>
                </w:p>
              </w:tc>
              <w:tc>
                <w:tcPr>
                  <w:tcW w:w="1270" w:type="dxa"/>
                  <w:noWrap w:val="0"/>
                  <w:vAlign w:val="center"/>
                </w:tcPr>
                <w:p>
                  <w:pPr>
                    <w:spacing w:line="240" w:lineRule="auto"/>
                    <w:ind w:firstLine="0" w:firstLineChars="0"/>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32" w:type="dxa"/>
                  <w:noWrap w:val="0"/>
                  <w:vAlign w:val="center"/>
                </w:tcPr>
                <w:p>
                  <w:pPr>
                    <w:widowControl/>
                    <w:spacing w:line="240" w:lineRule="auto"/>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kern w:val="0"/>
                      <w:sz w:val="21"/>
                      <w:szCs w:val="21"/>
                      <w:highlight w:val="none"/>
                      <w:u w:val="none" w:color="auto"/>
                      <w:lang w:bidi="ar"/>
                    </w:rPr>
                    <w:t>N4北厂界</w:t>
                  </w:r>
                </w:p>
              </w:tc>
              <w:tc>
                <w:tcPr>
                  <w:tcW w:w="1534" w:type="dxa"/>
                  <w:noWrap w:val="0"/>
                  <w:vAlign w:val="center"/>
                </w:tcPr>
                <w:p>
                  <w:pPr>
                    <w:spacing w:line="240" w:lineRule="auto"/>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42.50</w:t>
                  </w:r>
                </w:p>
              </w:tc>
              <w:tc>
                <w:tcPr>
                  <w:tcW w:w="1516" w:type="dxa"/>
                  <w:noWrap w:val="0"/>
                  <w:vAlign w:val="center"/>
                </w:tcPr>
                <w:p>
                  <w:pPr>
                    <w:spacing w:line="240" w:lineRule="auto"/>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65</w:t>
                  </w:r>
                </w:p>
              </w:tc>
              <w:tc>
                <w:tcPr>
                  <w:tcW w:w="1718" w:type="dxa"/>
                  <w:noWrap w:val="0"/>
                  <w:vAlign w:val="center"/>
                </w:tcPr>
                <w:p>
                  <w:pPr>
                    <w:spacing w:line="240" w:lineRule="auto"/>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55</w:t>
                  </w:r>
                </w:p>
              </w:tc>
              <w:tc>
                <w:tcPr>
                  <w:tcW w:w="1270" w:type="dxa"/>
                  <w:noWrap w:val="0"/>
                  <w:vAlign w:val="center"/>
                </w:tcPr>
                <w:p>
                  <w:pPr>
                    <w:spacing w:line="240" w:lineRule="auto"/>
                    <w:ind w:firstLine="0" w:firstLineChars="0"/>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default" w:ascii="Times New Roman" w:hAnsi="Times New Roman" w:eastAsia="宋体" w:cs="Times New Roman"/>
                      <w:strike w:val="0"/>
                      <w:dstrike w:val="0"/>
                      <w:color w:val="auto"/>
                      <w:sz w:val="21"/>
                      <w:szCs w:val="21"/>
                      <w:highlight w:val="none"/>
                      <w:u w:val="none" w:color="auto"/>
                      <w:lang w:val="en-US" w:eastAsia="zh-CN"/>
                    </w:rPr>
                    <w:t>达标</w:t>
                  </w:r>
                </w:p>
              </w:tc>
            </w:tr>
            <w:bookmarkEnd w:id="12"/>
          </w:tbl>
          <w:p>
            <w:pPr>
              <w:spacing w:line="360" w:lineRule="auto"/>
              <w:ind w:firstLine="420" w:firstLineChars="200"/>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预测结果表明，本项目设备在采取厂房隔声、减振、围墙隔声等措施后，项目厂界昼间、夜间噪声可满足《工业企业厂界环境噪声排放标准》（GB12348-2008）中的3类标准。</w:t>
            </w:r>
          </w:p>
          <w:p>
            <w:pPr>
              <w:spacing w:line="360" w:lineRule="auto"/>
              <w:ind w:firstLine="420" w:firstLineChars="200"/>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本评价对项目噪声治理提出以下要求和措施：</w:t>
            </w:r>
          </w:p>
          <w:p>
            <w:pPr>
              <w:spacing w:line="360" w:lineRule="auto"/>
              <w:ind w:firstLine="420" w:firstLineChars="200"/>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①合理布置噪声源，优化总图布置，将主要的噪声源布置于生产车间中部，</w:t>
            </w:r>
          </w:p>
          <w:p>
            <w:pPr>
              <w:spacing w:line="360" w:lineRule="auto"/>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尽可能远离厂界，以减轻对厂界外的声环境影响。</w:t>
            </w:r>
          </w:p>
          <w:p>
            <w:pPr>
              <w:spacing w:line="360" w:lineRule="auto"/>
              <w:ind w:firstLine="420" w:firstLineChars="200"/>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②设备选型上使用国内先进的低噪声设备，对大功率设备及高噪声设备采用减振、隔声等降噪措施，如设备安装时采取基座减振、橡胶减振接头及减振垫等措施。</w:t>
            </w:r>
          </w:p>
          <w:p>
            <w:pPr>
              <w:spacing w:line="360" w:lineRule="auto"/>
              <w:ind w:firstLine="420" w:firstLineChars="200"/>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③排风系统主排风管和进风管安装消声器，管道进出口和连接处加柔性软接。</w:t>
            </w:r>
          </w:p>
          <w:p>
            <w:pPr>
              <w:spacing w:line="360" w:lineRule="auto"/>
              <w:ind w:firstLine="420" w:firstLineChars="200"/>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④建设单位加强管理、严格控制生产制度，对运行设备做到勤检修、多维护，保持设备最佳工况下运行，防止生产噪声扰民。</w:t>
            </w:r>
          </w:p>
          <w:p>
            <w:pPr>
              <w:widowControl/>
              <w:spacing w:before="0" w:beforeAutospacing="0" w:after="0" w:afterAutospacing="0" w:line="360" w:lineRule="auto"/>
              <w:ind w:firstLine="482"/>
              <w:jc w:val="left"/>
              <w:rPr>
                <w:rFonts w:hint="default" w:ascii="Times New Roman" w:hAnsi="Times New Roman" w:eastAsia="宋体" w:cs="Times New Roman"/>
                <w:bCs/>
                <w:color w:val="auto"/>
                <w:kern w:val="2"/>
                <w:sz w:val="21"/>
                <w:szCs w:val="21"/>
                <w:u w:val="none" w:color="auto"/>
                <w:lang w:val="en-US" w:eastAsia="zh-CN" w:bidi="ar"/>
              </w:rPr>
            </w:pPr>
            <w:r>
              <w:rPr>
                <w:rFonts w:hint="default" w:ascii="Times New Roman" w:hAnsi="Times New Roman" w:eastAsia="宋体" w:cs="Times New Roman"/>
                <w:b/>
                <w:color w:val="auto"/>
                <w:kern w:val="2"/>
                <w:sz w:val="21"/>
                <w:szCs w:val="21"/>
                <w:u w:val="none" w:color="auto"/>
                <w:lang w:val="en-US" w:eastAsia="zh-CN" w:bidi="ar"/>
              </w:rPr>
              <w:t>（</w:t>
            </w:r>
            <w:r>
              <w:rPr>
                <w:rFonts w:hint="eastAsia" w:ascii="Times New Roman" w:hAnsi="Times New Roman" w:eastAsia="宋体" w:cs="Times New Roman"/>
                <w:b/>
                <w:color w:val="auto"/>
                <w:kern w:val="2"/>
                <w:sz w:val="21"/>
                <w:szCs w:val="21"/>
                <w:u w:val="none" w:color="auto"/>
                <w:lang w:val="en-US" w:eastAsia="zh-CN" w:bidi="ar"/>
              </w:rPr>
              <w:t>4</w:t>
            </w:r>
            <w:r>
              <w:rPr>
                <w:rFonts w:hint="default" w:ascii="Times New Roman" w:hAnsi="Times New Roman" w:eastAsia="宋体" w:cs="Times New Roman"/>
                <w:b/>
                <w:color w:val="auto"/>
                <w:kern w:val="2"/>
                <w:sz w:val="21"/>
                <w:szCs w:val="21"/>
                <w:u w:val="none" w:color="auto"/>
                <w:lang w:val="en-US" w:eastAsia="zh-CN" w:bidi="ar"/>
              </w:rPr>
              <w:t>）监测要求</w:t>
            </w:r>
          </w:p>
          <w:p>
            <w:pPr>
              <w:widowControl/>
              <w:spacing w:before="0" w:beforeAutospacing="0" w:after="0" w:afterAutospacing="0" w:line="360" w:lineRule="auto"/>
              <w:ind w:firstLine="482"/>
              <w:jc w:val="left"/>
              <w:rPr>
                <w:rFonts w:hint="default" w:ascii="Times New Roman" w:hAnsi="Times New Roman" w:eastAsia="宋体" w:cs="Times New Roman"/>
                <w:bCs/>
                <w:color w:val="auto"/>
                <w:kern w:val="2"/>
                <w:sz w:val="21"/>
                <w:szCs w:val="21"/>
                <w:u w:val="none" w:color="auto"/>
                <w:lang w:val="en-US" w:eastAsia="zh-CN" w:bidi="ar"/>
              </w:rPr>
            </w:pPr>
            <w:r>
              <w:rPr>
                <w:rFonts w:hint="default" w:ascii="Times New Roman" w:hAnsi="Times New Roman" w:eastAsia="宋体" w:cs="Times New Roman"/>
                <w:bCs/>
                <w:color w:val="auto"/>
                <w:kern w:val="2"/>
                <w:sz w:val="21"/>
                <w:szCs w:val="21"/>
                <w:u w:val="none" w:color="auto"/>
                <w:lang w:val="en-US" w:eastAsia="zh-CN" w:bidi="ar"/>
              </w:rPr>
              <w:t>根据《排污单位自行监测技术指南 总则》（HJ819-2017），本项目噪声监测要求见表4-1</w:t>
            </w:r>
            <w:r>
              <w:rPr>
                <w:rFonts w:hint="eastAsia" w:ascii="Times New Roman" w:hAnsi="Times New Roman" w:eastAsia="宋体" w:cs="Times New Roman"/>
                <w:bCs/>
                <w:color w:val="auto"/>
                <w:kern w:val="2"/>
                <w:sz w:val="21"/>
                <w:szCs w:val="21"/>
                <w:u w:val="none" w:color="auto"/>
                <w:lang w:val="en-US" w:eastAsia="zh-CN" w:bidi="ar"/>
              </w:rPr>
              <w:t>3</w:t>
            </w:r>
            <w:r>
              <w:rPr>
                <w:rFonts w:hint="default" w:ascii="Times New Roman" w:hAnsi="Times New Roman" w:eastAsia="宋体" w:cs="Times New Roman"/>
                <w:bCs/>
                <w:color w:val="auto"/>
                <w:kern w:val="2"/>
                <w:sz w:val="21"/>
                <w:szCs w:val="21"/>
                <w:u w:val="none" w:color="auto"/>
                <w:lang w:val="en-US" w:eastAsia="zh-CN" w:bidi="ar"/>
              </w:rPr>
              <w:t>。</w:t>
            </w:r>
          </w:p>
          <w:p>
            <w:pPr>
              <w:spacing w:line="276" w:lineRule="auto"/>
              <w:jc w:val="center"/>
              <w:rPr>
                <w:rFonts w:hint="default" w:ascii="Times New Roman" w:hAnsi="Times New Roman" w:eastAsia="宋体" w:cs="Times New Roman"/>
                <w:b/>
                <w:bCs/>
                <w:color w:val="auto"/>
                <w:szCs w:val="21"/>
                <w:u w:val="none" w:color="auto"/>
              </w:rPr>
            </w:pPr>
            <w:r>
              <w:rPr>
                <w:rFonts w:hint="default" w:ascii="Times New Roman" w:hAnsi="Times New Roman" w:eastAsia="宋体" w:cs="Times New Roman"/>
                <w:b/>
                <w:bCs/>
                <w:color w:val="auto"/>
                <w:szCs w:val="21"/>
                <w:u w:val="none" w:color="auto"/>
              </w:rPr>
              <w:t>表</w:t>
            </w:r>
            <w:r>
              <w:rPr>
                <w:rFonts w:hint="default" w:ascii="Times New Roman" w:hAnsi="Times New Roman" w:eastAsia="宋体" w:cs="Times New Roman"/>
                <w:b/>
                <w:bCs/>
                <w:color w:val="auto"/>
                <w:szCs w:val="21"/>
                <w:u w:val="none" w:color="auto"/>
                <w:lang w:val="en-US" w:eastAsia="zh-CN"/>
              </w:rPr>
              <w:t>4-1</w:t>
            </w:r>
            <w:r>
              <w:rPr>
                <w:rFonts w:hint="eastAsia" w:cs="Times New Roman"/>
                <w:b/>
                <w:bCs/>
                <w:color w:val="auto"/>
                <w:szCs w:val="21"/>
                <w:u w:val="none" w:color="auto"/>
                <w:lang w:val="en-US" w:eastAsia="zh-CN"/>
              </w:rPr>
              <w:t>3</w:t>
            </w:r>
            <w:r>
              <w:rPr>
                <w:rFonts w:hint="default" w:ascii="Times New Roman" w:hAnsi="Times New Roman" w:eastAsia="宋体" w:cs="Times New Roman"/>
                <w:b/>
                <w:bCs/>
                <w:color w:val="auto"/>
                <w:szCs w:val="21"/>
                <w:u w:val="none" w:color="auto"/>
              </w:rPr>
              <w:t>噪声监测计划表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1237"/>
              <w:gridCol w:w="1406"/>
              <w:gridCol w:w="1113"/>
              <w:gridCol w:w="2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8" w:type="dxa"/>
                  <w:noWrap w:val="0"/>
                  <w:vAlign w:val="center"/>
                </w:tcPr>
                <w:p>
                  <w:pPr>
                    <w:jc w:val="center"/>
                    <w:rPr>
                      <w:rFonts w:hint="default" w:ascii="Times New Roman" w:hAnsi="Times New Roman" w:eastAsia="宋体" w:cs="Times New Roman"/>
                      <w:b/>
                      <w:color w:val="auto"/>
                      <w:szCs w:val="21"/>
                      <w:u w:val="none" w:color="auto"/>
                    </w:rPr>
                  </w:pPr>
                  <w:r>
                    <w:rPr>
                      <w:rFonts w:hint="default" w:ascii="Times New Roman" w:hAnsi="Times New Roman" w:eastAsia="宋体" w:cs="Times New Roman"/>
                      <w:b/>
                      <w:color w:val="auto"/>
                      <w:szCs w:val="21"/>
                      <w:u w:val="none" w:color="auto"/>
                    </w:rPr>
                    <w:t>污染源名称</w:t>
                  </w:r>
                </w:p>
              </w:tc>
              <w:tc>
                <w:tcPr>
                  <w:tcW w:w="1282" w:type="dxa"/>
                  <w:noWrap w:val="0"/>
                  <w:vAlign w:val="center"/>
                </w:tcPr>
                <w:p>
                  <w:pPr>
                    <w:jc w:val="center"/>
                    <w:rPr>
                      <w:rFonts w:hint="default" w:ascii="Times New Roman" w:hAnsi="Times New Roman" w:eastAsia="宋体" w:cs="Times New Roman"/>
                      <w:b/>
                      <w:color w:val="auto"/>
                      <w:szCs w:val="21"/>
                      <w:u w:val="none" w:color="auto"/>
                    </w:rPr>
                  </w:pPr>
                  <w:r>
                    <w:rPr>
                      <w:rFonts w:hint="default" w:ascii="Times New Roman" w:hAnsi="Times New Roman" w:eastAsia="宋体" w:cs="Times New Roman"/>
                      <w:b/>
                      <w:color w:val="auto"/>
                      <w:szCs w:val="21"/>
                      <w:u w:val="none" w:color="auto"/>
                    </w:rPr>
                    <w:t>监测点位</w:t>
                  </w:r>
                </w:p>
              </w:tc>
              <w:tc>
                <w:tcPr>
                  <w:tcW w:w="1447" w:type="dxa"/>
                  <w:noWrap w:val="0"/>
                  <w:vAlign w:val="center"/>
                </w:tcPr>
                <w:p>
                  <w:pPr>
                    <w:jc w:val="center"/>
                    <w:rPr>
                      <w:rFonts w:hint="default" w:ascii="Times New Roman" w:hAnsi="Times New Roman" w:eastAsia="宋体" w:cs="Times New Roman"/>
                      <w:b/>
                      <w:color w:val="auto"/>
                      <w:szCs w:val="21"/>
                      <w:u w:val="none" w:color="auto"/>
                    </w:rPr>
                  </w:pPr>
                  <w:r>
                    <w:rPr>
                      <w:rFonts w:hint="default" w:ascii="Times New Roman" w:hAnsi="Times New Roman" w:eastAsia="宋体" w:cs="Times New Roman"/>
                      <w:b/>
                      <w:color w:val="auto"/>
                      <w:szCs w:val="21"/>
                      <w:u w:val="none" w:color="auto"/>
                    </w:rPr>
                    <w:t>监测指标</w:t>
                  </w:r>
                </w:p>
              </w:tc>
              <w:tc>
                <w:tcPr>
                  <w:tcW w:w="1151" w:type="dxa"/>
                  <w:noWrap w:val="0"/>
                  <w:vAlign w:val="center"/>
                </w:tcPr>
                <w:p>
                  <w:pPr>
                    <w:jc w:val="center"/>
                    <w:rPr>
                      <w:rFonts w:hint="default" w:ascii="Times New Roman" w:hAnsi="Times New Roman" w:eastAsia="宋体" w:cs="Times New Roman"/>
                      <w:b/>
                      <w:color w:val="auto"/>
                      <w:szCs w:val="21"/>
                      <w:u w:val="none" w:color="auto"/>
                    </w:rPr>
                  </w:pPr>
                  <w:r>
                    <w:rPr>
                      <w:rFonts w:hint="default" w:ascii="Times New Roman" w:hAnsi="Times New Roman" w:eastAsia="宋体" w:cs="Times New Roman"/>
                      <w:b/>
                      <w:color w:val="auto"/>
                      <w:szCs w:val="21"/>
                      <w:u w:val="none" w:color="auto"/>
                    </w:rPr>
                    <w:t>监测频次</w:t>
                  </w:r>
                </w:p>
              </w:tc>
              <w:tc>
                <w:tcPr>
                  <w:tcW w:w="2993" w:type="dxa"/>
                  <w:noWrap w:val="0"/>
                  <w:vAlign w:val="center"/>
                </w:tcPr>
                <w:p>
                  <w:pPr>
                    <w:jc w:val="center"/>
                    <w:rPr>
                      <w:rFonts w:hint="default" w:ascii="Times New Roman" w:hAnsi="Times New Roman" w:eastAsia="宋体" w:cs="Times New Roman"/>
                      <w:b/>
                      <w:color w:val="auto"/>
                      <w:szCs w:val="21"/>
                      <w:u w:val="none" w:color="auto"/>
                    </w:rPr>
                  </w:pPr>
                  <w:r>
                    <w:rPr>
                      <w:rFonts w:hint="default" w:ascii="Times New Roman" w:hAnsi="Times New Roman" w:eastAsia="宋体" w:cs="Times New Roman"/>
                      <w:b/>
                      <w:color w:val="auto"/>
                      <w:szCs w:val="21"/>
                      <w:u w:val="none" w:color="auto"/>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8" w:type="dxa"/>
                  <w:noWrap w:val="0"/>
                  <w:vAlign w:val="center"/>
                </w:tcPr>
                <w:p>
                  <w:pPr>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噪声</w:t>
                  </w:r>
                </w:p>
              </w:tc>
              <w:tc>
                <w:tcPr>
                  <w:tcW w:w="1282" w:type="dxa"/>
                  <w:noWrap w:val="0"/>
                  <w:vAlign w:val="center"/>
                </w:tcPr>
                <w:p>
                  <w:pPr>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厂界外1米处</w:t>
                  </w:r>
                </w:p>
              </w:tc>
              <w:tc>
                <w:tcPr>
                  <w:tcW w:w="1447" w:type="dxa"/>
                  <w:noWrap w:val="0"/>
                  <w:vAlign w:val="center"/>
                </w:tcPr>
                <w:p>
                  <w:pPr>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昼间等效声级Ld、Ln</w:t>
                  </w:r>
                </w:p>
              </w:tc>
              <w:tc>
                <w:tcPr>
                  <w:tcW w:w="1151" w:type="dxa"/>
                  <w:noWrap w:val="0"/>
                  <w:vAlign w:val="center"/>
                </w:tcPr>
                <w:p>
                  <w:pPr>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1次/季度</w:t>
                  </w:r>
                </w:p>
              </w:tc>
              <w:tc>
                <w:tcPr>
                  <w:tcW w:w="2993" w:type="dxa"/>
                  <w:noWrap w:val="0"/>
                  <w:vAlign w:val="center"/>
                </w:tcPr>
                <w:p>
                  <w:pPr>
                    <w:widowControl/>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《工业企业厂界环境噪声排放标准》（GB12348-2008）</w:t>
                  </w:r>
                  <w:r>
                    <w:rPr>
                      <w:rFonts w:hint="eastAsia" w:ascii="Times New Roman" w:hAnsi="Times New Roman" w:eastAsia="宋体" w:cs="Times New Roman"/>
                      <w:color w:val="auto"/>
                      <w:szCs w:val="21"/>
                      <w:u w:val="none" w:color="auto"/>
                      <w:lang w:val="en-US" w:eastAsia="zh-CN"/>
                    </w:rPr>
                    <w:t>3</w:t>
                  </w:r>
                  <w:r>
                    <w:rPr>
                      <w:rFonts w:hint="default" w:ascii="Times New Roman" w:hAnsi="Times New Roman" w:eastAsia="宋体" w:cs="Times New Roman"/>
                      <w:color w:val="auto"/>
                      <w:szCs w:val="21"/>
                      <w:u w:val="none" w:color="auto"/>
                    </w:rPr>
                    <w:t>类标准</w:t>
                  </w:r>
                </w:p>
              </w:tc>
            </w:tr>
          </w:tbl>
          <w:p>
            <w:pPr>
              <w:pStyle w:val="64"/>
              <w:bidi w:val="0"/>
              <w:ind w:firstLine="422" w:firstLineChars="200"/>
              <w:rPr>
                <w:rFonts w:hint="default" w:ascii="Times New Roman" w:hAnsi="Times New Roman" w:cs="Times New Roman"/>
                <w:color w:val="auto"/>
                <w:u w:val="none" w:color="auto"/>
              </w:rPr>
            </w:pPr>
            <w:r>
              <w:rPr>
                <w:rFonts w:hint="eastAsia" w:cs="Times New Roman"/>
                <w:color w:val="auto"/>
                <w:u w:val="none" w:color="auto"/>
                <w:lang w:val="en-US" w:eastAsia="zh-CN"/>
              </w:rPr>
              <w:t>4、</w:t>
            </w:r>
            <w:r>
              <w:rPr>
                <w:rFonts w:hint="default" w:ascii="Times New Roman" w:hAnsi="Times New Roman" w:cs="Times New Roman"/>
                <w:color w:val="auto"/>
                <w:u w:val="none" w:color="auto"/>
              </w:rPr>
              <w:t>固体废物</w:t>
            </w:r>
          </w:p>
          <w:p>
            <w:pPr>
              <w:pStyle w:val="65"/>
              <w:bidi w:val="0"/>
              <w:spacing w:line="360" w:lineRule="auto"/>
              <w:outlineLvl w:val="9"/>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本项目固体废物主要</w:t>
            </w:r>
            <w:r>
              <w:rPr>
                <w:rFonts w:hint="eastAsia" w:ascii="Times New Roman" w:hAnsi="Times New Roman" w:eastAsia="宋体" w:cs="Times New Roman"/>
                <w:color w:val="auto"/>
                <w:u w:val="none" w:color="auto"/>
                <w:lang w:val="en-US" w:eastAsia="zh-CN"/>
              </w:rPr>
              <w:t>为</w:t>
            </w:r>
            <w:r>
              <w:rPr>
                <w:rFonts w:hint="eastAsia" w:cs="Times New Roman"/>
                <w:color w:val="auto"/>
                <w:u w:val="none" w:color="auto"/>
                <w:lang w:val="en-US" w:eastAsia="zh-CN"/>
              </w:rPr>
              <w:t>沉淀池煤泥、生活垃圾、检修废润滑油</w:t>
            </w:r>
            <w:r>
              <w:rPr>
                <w:rFonts w:hint="default" w:ascii="Times New Roman" w:hAnsi="Times New Roman" w:eastAsia="宋体" w:cs="Times New Roman"/>
                <w:color w:val="auto"/>
                <w:u w:val="none" w:color="auto"/>
                <w:lang w:val="en-US" w:eastAsia="zh-CN"/>
              </w:rPr>
              <w:t>。</w:t>
            </w:r>
          </w:p>
          <w:p>
            <w:pPr>
              <w:pStyle w:val="65"/>
              <w:numPr>
                <w:ilvl w:val="0"/>
                <w:numId w:val="14"/>
              </w:numPr>
              <w:bidi w:val="0"/>
              <w:spacing w:line="360" w:lineRule="auto"/>
              <w:outlineLvl w:val="9"/>
              <w:rPr>
                <w:rFonts w:hint="eastAsia" w:cs="Times New Roman"/>
                <w:color w:val="auto"/>
                <w:u w:val="none" w:color="auto"/>
                <w:lang w:val="en-US" w:eastAsia="zh-CN"/>
              </w:rPr>
            </w:pPr>
            <w:r>
              <w:rPr>
                <w:rFonts w:hint="eastAsia" w:cs="Times New Roman"/>
                <w:color w:val="auto"/>
                <w:u w:val="none" w:color="auto"/>
                <w:lang w:val="en-US" w:eastAsia="zh-CN"/>
              </w:rPr>
              <w:t>沉淀池煤泥</w:t>
            </w:r>
          </w:p>
          <w:p>
            <w:pPr>
              <w:pStyle w:val="65"/>
              <w:numPr>
                <w:ilvl w:val="0"/>
                <w:numId w:val="0"/>
              </w:numPr>
              <w:bidi w:val="0"/>
              <w:spacing w:line="360" w:lineRule="auto"/>
              <w:ind w:firstLine="630" w:firstLineChars="300"/>
              <w:outlineLvl w:val="9"/>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项目初期雨水</w:t>
            </w:r>
            <w:r>
              <w:rPr>
                <w:rFonts w:hint="eastAsia" w:cs="Times New Roman"/>
                <w:color w:val="auto"/>
                <w:u w:val="none" w:color="auto"/>
                <w:lang w:val="en-US" w:eastAsia="zh-CN"/>
              </w:rPr>
              <w:t>沉淀池在雨水</w:t>
            </w:r>
            <w:r>
              <w:rPr>
                <w:rFonts w:hint="default" w:ascii="Times New Roman" w:hAnsi="Times New Roman" w:eastAsia="宋体" w:cs="Times New Roman"/>
                <w:color w:val="auto"/>
                <w:u w:val="none" w:color="auto"/>
                <w:lang w:val="en-US" w:eastAsia="zh-CN"/>
              </w:rPr>
              <w:t>沉淀过程中会产生沉淀渣，产生量约</w:t>
            </w:r>
            <w:r>
              <w:rPr>
                <w:rFonts w:hint="eastAsia" w:cs="Times New Roman"/>
                <w:color w:val="auto"/>
                <w:u w:val="none" w:color="auto"/>
                <w:lang w:val="en-US" w:eastAsia="zh-CN"/>
              </w:rPr>
              <w:t>6</w:t>
            </w:r>
            <w:r>
              <w:rPr>
                <w:rFonts w:hint="default" w:ascii="Times New Roman" w:hAnsi="Times New Roman" w:eastAsia="宋体" w:cs="Times New Roman"/>
                <w:color w:val="auto"/>
                <w:u w:val="none" w:color="auto"/>
                <w:lang w:val="en-US" w:eastAsia="zh-CN"/>
              </w:rPr>
              <w:t>t/a，属于一般固废，</w:t>
            </w:r>
            <w:r>
              <w:rPr>
                <w:rFonts w:hint="eastAsia" w:cs="Times New Roman"/>
                <w:color w:val="auto"/>
                <w:u w:val="none" w:color="auto"/>
                <w:lang w:val="en-US" w:eastAsia="zh-CN"/>
              </w:rPr>
              <w:t>主要成分为</w:t>
            </w:r>
            <w:r>
              <w:rPr>
                <w:rFonts w:hint="default" w:ascii="Times New Roman" w:hAnsi="Times New Roman" w:eastAsia="宋体" w:cs="Times New Roman"/>
                <w:color w:val="auto"/>
                <w:u w:val="none" w:color="auto"/>
                <w:lang w:val="en-US" w:eastAsia="zh-CN"/>
              </w:rPr>
              <w:t>煤泥，收集</w:t>
            </w:r>
            <w:r>
              <w:rPr>
                <w:rFonts w:hint="eastAsia" w:cs="Times New Roman"/>
                <w:color w:val="auto"/>
                <w:u w:val="none" w:color="auto"/>
                <w:lang w:val="en-US" w:eastAsia="zh-CN"/>
              </w:rPr>
              <w:t>进入煤棚，掺入原煤外售。</w:t>
            </w:r>
          </w:p>
          <w:p>
            <w:pPr>
              <w:pStyle w:val="65"/>
              <w:bidi w:val="0"/>
              <w:spacing w:line="360" w:lineRule="auto"/>
              <w:outlineLvl w:val="9"/>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（2）生活垃圾</w:t>
            </w:r>
          </w:p>
          <w:p>
            <w:pPr>
              <w:pStyle w:val="65"/>
              <w:bidi w:val="0"/>
              <w:spacing w:line="360" w:lineRule="auto"/>
              <w:outlineLvl w:val="9"/>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本项目营运期</w:t>
            </w:r>
            <w:r>
              <w:rPr>
                <w:rFonts w:hint="eastAsia" w:cs="Times New Roman"/>
                <w:color w:val="auto"/>
                <w:u w:val="none" w:color="auto"/>
                <w:lang w:val="en-US" w:eastAsia="zh-CN"/>
              </w:rPr>
              <w:t>员工20</w:t>
            </w:r>
            <w:r>
              <w:rPr>
                <w:rFonts w:hint="default" w:ascii="Times New Roman" w:hAnsi="Times New Roman" w:eastAsia="宋体" w:cs="Times New Roman"/>
                <w:color w:val="auto"/>
                <w:u w:val="none" w:color="auto"/>
                <w:lang w:val="en-US" w:eastAsia="zh-CN"/>
              </w:rPr>
              <w:t>人，年工作日</w:t>
            </w:r>
            <w:r>
              <w:rPr>
                <w:rFonts w:hint="eastAsia" w:cs="Times New Roman"/>
                <w:color w:val="auto"/>
                <w:u w:val="none" w:color="auto"/>
                <w:lang w:val="en-US" w:eastAsia="zh-CN"/>
              </w:rPr>
              <w:t>365</w:t>
            </w:r>
            <w:r>
              <w:rPr>
                <w:rFonts w:hint="default" w:ascii="Times New Roman" w:hAnsi="Times New Roman" w:eastAsia="宋体" w:cs="Times New Roman"/>
                <w:color w:val="auto"/>
                <w:u w:val="none" w:color="auto"/>
                <w:lang w:val="en-US" w:eastAsia="zh-CN"/>
              </w:rPr>
              <w:t>天，生活垃圾产生量按0.5kg/人·d 计算，则生活垃圾产生量为</w:t>
            </w:r>
            <w:r>
              <w:rPr>
                <w:rFonts w:hint="eastAsia" w:cs="Times New Roman"/>
                <w:color w:val="auto"/>
                <w:u w:val="none" w:color="auto"/>
                <w:lang w:val="en-US" w:eastAsia="zh-CN"/>
              </w:rPr>
              <w:t>3.65</w:t>
            </w:r>
            <w:r>
              <w:rPr>
                <w:rFonts w:hint="default" w:ascii="Times New Roman" w:hAnsi="Times New Roman" w:eastAsia="宋体" w:cs="Times New Roman"/>
                <w:color w:val="auto"/>
                <w:u w:val="none" w:color="auto"/>
                <w:lang w:val="en-US" w:eastAsia="zh-CN"/>
              </w:rPr>
              <w:t>t/a，经收集后交环卫部门统一收集处理。</w:t>
            </w:r>
          </w:p>
          <w:p>
            <w:pPr>
              <w:pStyle w:val="65"/>
              <w:bidi w:val="0"/>
              <w:spacing w:line="360" w:lineRule="auto"/>
              <w:outlineLvl w:val="9"/>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（3）含油废手套、抹布</w:t>
            </w:r>
          </w:p>
          <w:p>
            <w:pPr>
              <w:pStyle w:val="65"/>
              <w:bidi w:val="0"/>
              <w:spacing w:line="360" w:lineRule="auto"/>
              <w:outlineLvl w:val="9"/>
              <w:rPr>
                <w:rFonts w:hint="eastAsia" w:ascii="Times New Roman" w:hAnsi="Times New Roman" w:eastAsia="宋体" w:cs="Times New Roman"/>
                <w:color w:val="auto"/>
                <w:lang w:val="en-US" w:eastAsia="zh-CN"/>
              </w:rPr>
            </w:pPr>
            <w:r>
              <w:rPr>
                <w:rFonts w:hint="eastAsia" w:cs="Times New Roman"/>
                <w:color w:val="auto"/>
                <w:u w:val="none" w:color="auto"/>
                <w:lang w:val="en-US" w:eastAsia="zh-CN"/>
              </w:rPr>
              <w:t>项目</w:t>
            </w:r>
            <w:r>
              <w:rPr>
                <w:rFonts w:hint="default" w:ascii="Times New Roman" w:hAnsi="Times New Roman" w:eastAsia="宋体" w:cs="Times New Roman"/>
                <w:color w:val="auto"/>
                <w:u w:val="none" w:color="auto"/>
                <w:lang w:val="en-US" w:eastAsia="zh-CN"/>
              </w:rPr>
              <w:t>机电设备检修时</w:t>
            </w:r>
            <w:r>
              <w:rPr>
                <w:rFonts w:hint="eastAsia" w:cs="Times New Roman"/>
                <w:color w:val="auto"/>
                <w:u w:val="none" w:color="auto"/>
                <w:lang w:val="en-US" w:eastAsia="zh-CN"/>
              </w:rPr>
              <w:t>会</w:t>
            </w:r>
            <w:r>
              <w:rPr>
                <w:rFonts w:hint="default" w:ascii="Times New Roman" w:hAnsi="Times New Roman" w:eastAsia="宋体" w:cs="Times New Roman"/>
                <w:color w:val="auto"/>
                <w:u w:val="none" w:color="auto"/>
                <w:lang w:val="en-US" w:eastAsia="zh-CN"/>
              </w:rPr>
              <w:t>产生</w:t>
            </w:r>
            <w:r>
              <w:rPr>
                <w:rFonts w:hint="eastAsia" w:cs="Times New Roman"/>
                <w:color w:val="auto"/>
                <w:u w:val="none" w:color="auto"/>
                <w:lang w:val="en-US" w:eastAsia="zh-CN"/>
              </w:rPr>
              <w:t>含油废</w:t>
            </w:r>
            <w:r>
              <w:rPr>
                <w:rFonts w:hint="eastAsia" w:ascii="Times New Roman" w:hAnsi="Times New Roman" w:eastAsia="宋体" w:cs="Times New Roman"/>
                <w:color w:val="auto"/>
                <w:lang w:val="en-US" w:eastAsia="zh-CN"/>
              </w:rPr>
              <w:t>手套、抹布等易损劳保用品约0.05t/a，属于《国家危险废物名录（2025年版）》中危险废物HW49 900-041-49。</w:t>
            </w:r>
            <w:r>
              <w:rPr>
                <w:rFonts w:hint="eastAsia" w:cs="Times New Roman"/>
                <w:color w:val="auto"/>
                <w:u w:val="none" w:color="auto"/>
                <w:lang w:val="en-US" w:eastAsia="zh-CN"/>
              </w:rPr>
              <w:t>依托虞公港</w:t>
            </w:r>
            <w:r>
              <w:rPr>
                <w:rFonts w:hint="default" w:ascii="Times New Roman" w:hAnsi="Times New Roman" w:eastAsia="宋体" w:cs="Times New Roman"/>
                <w:color w:val="auto"/>
                <w:u w:val="none" w:color="auto"/>
                <w:lang w:val="en-US" w:eastAsia="zh-CN"/>
              </w:rPr>
              <w:t>危险废物</w:t>
            </w:r>
            <w:r>
              <w:rPr>
                <w:rFonts w:hint="eastAsia" w:cs="Times New Roman"/>
                <w:color w:val="auto"/>
                <w:u w:val="none" w:color="auto"/>
                <w:lang w:val="en-US" w:eastAsia="zh-CN"/>
              </w:rPr>
              <w:t>暂存间</w:t>
            </w:r>
            <w:r>
              <w:rPr>
                <w:rFonts w:hint="default" w:ascii="Times New Roman" w:hAnsi="Times New Roman" w:eastAsia="宋体" w:cs="Times New Roman"/>
                <w:color w:val="auto"/>
                <w:u w:val="none" w:color="auto"/>
                <w:lang w:val="en-US" w:eastAsia="zh-CN"/>
              </w:rPr>
              <w:t>暂存</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并委托</w:t>
            </w:r>
            <w:r>
              <w:rPr>
                <w:rFonts w:hint="eastAsia" w:cs="Times New Roman"/>
                <w:color w:val="auto"/>
                <w:u w:val="none" w:color="auto"/>
                <w:lang w:val="en-US" w:eastAsia="zh-CN"/>
              </w:rPr>
              <w:t>相关资质单位进行处置。</w:t>
            </w:r>
          </w:p>
          <w:p>
            <w:pPr>
              <w:pStyle w:val="65"/>
              <w:numPr>
                <w:ilvl w:val="0"/>
                <w:numId w:val="0"/>
              </w:numPr>
              <w:bidi w:val="0"/>
              <w:spacing w:line="360" w:lineRule="auto"/>
              <w:ind w:left="420" w:leftChars="0"/>
              <w:outlineLvl w:val="9"/>
              <w:rPr>
                <w:rFonts w:hint="eastAsia" w:cs="Times New Roman"/>
                <w:color w:val="auto"/>
                <w:u w:val="none" w:color="auto"/>
                <w:lang w:val="en-US" w:eastAsia="zh-CN"/>
              </w:rPr>
            </w:pPr>
            <w:r>
              <w:rPr>
                <w:rFonts w:hint="eastAsia" w:cs="Times New Roman"/>
                <w:color w:val="auto"/>
                <w:u w:val="none" w:color="auto"/>
                <w:lang w:val="en-US" w:eastAsia="zh-CN"/>
              </w:rPr>
              <w:t>（4）废润滑油</w:t>
            </w:r>
          </w:p>
          <w:p>
            <w:pPr>
              <w:pStyle w:val="65"/>
              <w:numPr>
                <w:ilvl w:val="0"/>
                <w:numId w:val="0"/>
              </w:numPr>
              <w:bidi w:val="0"/>
              <w:spacing w:line="360" w:lineRule="auto"/>
              <w:ind w:firstLine="420" w:firstLineChars="200"/>
              <w:outlineLvl w:val="9"/>
              <w:rPr>
                <w:rFonts w:hint="eastAsia" w:cs="Times New Roman"/>
                <w:color w:val="auto"/>
                <w:u w:val="none" w:color="auto"/>
                <w:lang w:val="en-US" w:eastAsia="zh-CN"/>
              </w:rPr>
            </w:pPr>
            <w:r>
              <w:rPr>
                <w:rFonts w:hint="eastAsia" w:ascii="Times New Roman" w:hAnsi="Times New Roman" w:eastAsia="宋体" w:cs="Times New Roman"/>
                <w:color w:val="auto"/>
                <w:lang w:val="en-US" w:eastAsia="zh-CN"/>
              </w:rPr>
              <w:t>机修工程还会</w:t>
            </w:r>
            <w:r>
              <w:rPr>
                <w:rFonts w:hint="eastAsia" w:cs="Times New Roman"/>
                <w:color w:val="auto"/>
                <w:u w:val="none" w:color="auto"/>
                <w:lang w:val="en-US" w:eastAsia="zh-CN"/>
              </w:rPr>
              <w:t>产生废</w:t>
            </w:r>
            <w:r>
              <w:rPr>
                <w:rFonts w:hint="default" w:ascii="Times New Roman" w:hAnsi="Times New Roman" w:eastAsia="宋体" w:cs="Times New Roman"/>
                <w:color w:val="auto"/>
                <w:u w:val="none" w:color="auto"/>
                <w:lang w:val="en-US" w:eastAsia="zh-CN"/>
              </w:rPr>
              <w:t>润滑</w:t>
            </w:r>
            <w:r>
              <w:rPr>
                <w:rFonts w:hint="eastAsia" w:cs="Times New Roman"/>
                <w:color w:val="auto"/>
                <w:u w:val="none" w:color="auto"/>
                <w:lang w:val="en-US" w:eastAsia="zh-CN"/>
              </w:rPr>
              <w:t>机油等约0.1t/a，</w:t>
            </w:r>
            <w:r>
              <w:rPr>
                <w:rFonts w:hint="eastAsia" w:ascii="Times New Roman" w:hAnsi="Times New Roman" w:eastAsia="宋体" w:cs="Times New Roman"/>
                <w:color w:val="auto"/>
                <w:lang w:val="en-US" w:eastAsia="zh-CN"/>
              </w:rPr>
              <w:t>属于《国家危险废物名录（2025年版）》中危险废物HW08 900-214-08</w:t>
            </w:r>
            <w:r>
              <w:rPr>
                <w:rFonts w:hint="eastAsia"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本项目</w:t>
            </w:r>
            <w:r>
              <w:rPr>
                <w:rFonts w:hint="eastAsia" w:cs="Times New Roman"/>
                <w:color w:val="auto"/>
                <w:u w:val="none" w:color="auto"/>
                <w:lang w:val="en-US" w:eastAsia="zh-CN"/>
              </w:rPr>
              <w:t>依托虞公港</w:t>
            </w:r>
            <w:r>
              <w:rPr>
                <w:rFonts w:hint="default" w:ascii="Times New Roman" w:hAnsi="Times New Roman" w:eastAsia="宋体" w:cs="Times New Roman"/>
                <w:color w:val="auto"/>
                <w:u w:val="none" w:color="auto"/>
                <w:lang w:val="en-US" w:eastAsia="zh-CN"/>
              </w:rPr>
              <w:t>危险废物</w:t>
            </w:r>
            <w:r>
              <w:rPr>
                <w:rFonts w:hint="eastAsia" w:cs="Times New Roman"/>
                <w:color w:val="auto"/>
                <w:u w:val="none" w:color="auto"/>
                <w:lang w:val="en-US" w:eastAsia="zh-CN"/>
              </w:rPr>
              <w:t>暂存间</w:t>
            </w:r>
            <w:r>
              <w:rPr>
                <w:rFonts w:hint="default" w:ascii="Times New Roman" w:hAnsi="Times New Roman" w:eastAsia="宋体" w:cs="Times New Roman"/>
                <w:color w:val="auto"/>
                <w:u w:val="none" w:color="auto"/>
                <w:lang w:val="en-US" w:eastAsia="zh-CN"/>
              </w:rPr>
              <w:t>暂存，并委托</w:t>
            </w:r>
            <w:r>
              <w:rPr>
                <w:rFonts w:hint="eastAsia" w:cs="Times New Roman"/>
                <w:color w:val="auto"/>
                <w:u w:val="none" w:color="auto"/>
                <w:lang w:val="en-US" w:eastAsia="zh-CN"/>
              </w:rPr>
              <w:t>相关资质单位进行处置。</w:t>
            </w:r>
          </w:p>
          <w:p>
            <w:pPr>
              <w:pStyle w:val="65"/>
              <w:bidi w:val="0"/>
              <w:spacing w:line="360" w:lineRule="auto"/>
              <w:outlineLvl w:val="9"/>
              <w:rPr>
                <w:rFonts w:hint="default" w:ascii="Times New Roman" w:hAnsi="Times New Roman" w:cs="Times New Roman"/>
                <w:color w:val="auto"/>
                <w:kern w:val="0"/>
                <w:szCs w:val="21"/>
                <w:u w:val="none"/>
              </w:rPr>
            </w:pPr>
            <w:r>
              <w:rPr>
                <w:rFonts w:hint="eastAsia" w:ascii="Times New Roman" w:hAnsi="Times New Roman" w:cs="Times New Roman"/>
                <w:color w:val="auto"/>
                <w:kern w:val="0"/>
                <w:szCs w:val="21"/>
                <w:u w:val="none"/>
                <w:lang w:eastAsia="zh-CN"/>
              </w:rPr>
              <w:t>项目</w:t>
            </w:r>
            <w:r>
              <w:rPr>
                <w:rFonts w:hint="default" w:ascii="Times New Roman" w:hAnsi="Times New Roman" w:cs="Times New Roman"/>
                <w:color w:val="auto"/>
                <w:kern w:val="0"/>
                <w:szCs w:val="21"/>
                <w:u w:val="none"/>
              </w:rPr>
              <w:t>固体废物产生</w:t>
            </w:r>
            <w:r>
              <w:rPr>
                <w:rFonts w:hint="default" w:ascii="Times New Roman" w:hAnsi="Times New Roman" w:cs="Times New Roman"/>
                <w:color w:val="auto"/>
                <w:kern w:val="0"/>
                <w:szCs w:val="21"/>
                <w:u w:val="none"/>
                <w:lang w:eastAsia="zh-CN"/>
              </w:rPr>
              <w:t>量</w:t>
            </w:r>
            <w:r>
              <w:rPr>
                <w:rFonts w:hint="default" w:ascii="Times New Roman" w:hAnsi="Times New Roman" w:cs="Times New Roman"/>
                <w:color w:val="auto"/>
                <w:kern w:val="0"/>
                <w:szCs w:val="21"/>
                <w:u w:val="none"/>
              </w:rPr>
              <w:t>及处置要求如下。</w:t>
            </w:r>
          </w:p>
          <w:p>
            <w:pPr>
              <w:pStyle w:val="65"/>
              <w:bidi w:val="0"/>
              <w:spacing w:line="360" w:lineRule="auto"/>
              <w:jc w:val="center"/>
              <w:outlineLvl w:val="9"/>
              <w:rPr>
                <w:rFonts w:hint="default" w:ascii="Times New Roman" w:hAnsi="Times New Roman" w:cs="Times New Roman"/>
                <w:b/>
                <w:color w:val="auto"/>
                <w:kern w:val="0"/>
                <w:szCs w:val="21"/>
                <w:u w:val="none"/>
              </w:rPr>
            </w:pPr>
            <w:r>
              <w:rPr>
                <w:rFonts w:hint="default" w:ascii="Times New Roman" w:hAnsi="Times New Roman" w:cs="Times New Roman"/>
                <w:b/>
                <w:color w:val="auto"/>
                <w:kern w:val="0"/>
                <w:szCs w:val="21"/>
                <w:u w:val="none"/>
              </w:rPr>
              <w:t>表4-1</w:t>
            </w:r>
            <w:r>
              <w:rPr>
                <w:rFonts w:hint="eastAsia" w:cs="Times New Roman"/>
                <w:b/>
                <w:color w:val="auto"/>
                <w:kern w:val="0"/>
                <w:szCs w:val="21"/>
                <w:u w:val="none"/>
                <w:lang w:val="en-US" w:eastAsia="zh-CN"/>
              </w:rPr>
              <w:t>4</w:t>
            </w:r>
            <w:r>
              <w:rPr>
                <w:rFonts w:hint="default" w:ascii="Times New Roman" w:hAnsi="Times New Roman" w:cs="Times New Roman"/>
                <w:b/>
                <w:color w:val="auto"/>
                <w:kern w:val="0"/>
                <w:szCs w:val="21"/>
                <w:u w:val="none"/>
              </w:rPr>
              <w:t xml:space="preserve"> </w:t>
            </w:r>
            <w:r>
              <w:rPr>
                <w:rFonts w:hint="eastAsia" w:ascii="Times New Roman" w:hAnsi="Times New Roman" w:cs="Times New Roman"/>
                <w:b/>
                <w:color w:val="auto"/>
                <w:kern w:val="0"/>
                <w:szCs w:val="21"/>
                <w:u w:val="none"/>
                <w:lang w:eastAsia="zh-CN"/>
              </w:rPr>
              <w:t>项目</w:t>
            </w:r>
            <w:r>
              <w:rPr>
                <w:rFonts w:hint="default" w:ascii="Times New Roman" w:hAnsi="Times New Roman" w:cs="Times New Roman"/>
                <w:b/>
                <w:color w:val="auto"/>
                <w:kern w:val="0"/>
                <w:szCs w:val="21"/>
                <w:u w:val="none"/>
              </w:rPr>
              <w:t>固体废物产生</w:t>
            </w:r>
            <w:r>
              <w:rPr>
                <w:rFonts w:hint="default" w:ascii="Times New Roman" w:hAnsi="Times New Roman" w:cs="Times New Roman"/>
                <w:b/>
                <w:color w:val="auto"/>
                <w:kern w:val="0"/>
                <w:szCs w:val="21"/>
                <w:u w:val="none"/>
                <w:lang w:eastAsia="zh-CN"/>
              </w:rPr>
              <w:t>量</w:t>
            </w:r>
            <w:r>
              <w:rPr>
                <w:rFonts w:hint="default" w:ascii="Times New Roman" w:hAnsi="Times New Roman" w:cs="Times New Roman"/>
                <w:b/>
                <w:color w:val="auto"/>
                <w:kern w:val="0"/>
                <w:szCs w:val="21"/>
                <w:u w:val="none"/>
              </w:rPr>
              <w:t>及处置要求</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07"/>
              <w:gridCol w:w="1544"/>
              <w:gridCol w:w="838"/>
              <w:gridCol w:w="1541"/>
              <w:gridCol w:w="883"/>
              <w:gridCol w:w="1093"/>
              <w:gridCol w:w="16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4" w:type="pct"/>
                  <w:noWrap w:val="0"/>
                  <w:vAlign w:val="center"/>
                </w:tcPr>
                <w:p>
                  <w:pPr>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序号</w:t>
                  </w:r>
                </w:p>
              </w:tc>
              <w:tc>
                <w:tcPr>
                  <w:tcW w:w="956" w:type="pct"/>
                  <w:noWrap w:val="0"/>
                  <w:vAlign w:val="center"/>
                </w:tcPr>
                <w:p>
                  <w:pPr>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污染物名称</w:t>
                  </w:r>
                </w:p>
              </w:tc>
              <w:tc>
                <w:tcPr>
                  <w:tcW w:w="519" w:type="pct"/>
                  <w:noWrap w:val="0"/>
                  <w:vAlign w:val="center"/>
                </w:tcPr>
                <w:p>
                  <w:pPr>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产生环节</w:t>
                  </w:r>
                </w:p>
              </w:tc>
              <w:tc>
                <w:tcPr>
                  <w:tcW w:w="954" w:type="pct"/>
                  <w:noWrap w:val="0"/>
                  <w:vAlign w:val="center"/>
                </w:tcPr>
                <w:p>
                  <w:pPr>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性质（代码）</w:t>
                  </w:r>
                </w:p>
              </w:tc>
              <w:tc>
                <w:tcPr>
                  <w:tcW w:w="547" w:type="pct"/>
                  <w:noWrap w:val="0"/>
                  <w:vAlign w:val="center"/>
                </w:tcPr>
                <w:p>
                  <w:pPr>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主要成分</w:t>
                  </w:r>
                </w:p>
              </w:tc>
              <w:tc>
                <w:tcPr>
                  <w:tcW w:w="677" w:type="pct"/>
                  <w:noWrap w:val="0"/>
                  <w:vAlign w:val="center"/>
                </w:tcPr>
                <w:p>
                  <w:pPr>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产生量（t/a）</w:t>
                  </w:r>
                </w:p>
              </w:tc>
              <w:tc>
                <w:tcPr>
                  <w:tcW w:w="1030" w:type="pct"/>
                  <w:noWrap w:val="0"/>
                  <w:vAlign w:val="center"/>
                </w:tcPr>
                <w:p>
                  <w:pPr>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处理措施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14" w:type="pct"/>
                  <w:noWrap w:val="0"/>
                  <w:vAlign w:val="center"/>
                </w:tcPr>
                <w:p>
                  <w:pPr>
                    <w:jc w:val="center"/>
                    <w:rPr>
                      <w:rFonts w:hint="eastAsia"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1</w:t>
                  </w:r>
                </w:p>
              </w:tc>
              <w:tc>
                <w:tcPr>
                  <w:tcW w:w="956" w:type="pct"/>
                  <w:shd w:val="clear" w:color="auto" w:fill="auto"/>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沉淀池</w:t>
                  </w:r>
                  <w:r>
                    <w:rPr>
                      <w:rFonts w:hint="eastAsia" w:cs="Times New Roman"/>
                      <w:color w:val="auto"/>
                      <w:highlight w:val="none"/>
                      <w:u w:val="none" w:color="auto"/>
                      <w:lang w:val="en-US" w:eastAsia="zh-CN"/>
                    </w:rPr>
                    <w:t>煤泥</w:t>
                  </w:r>
                </w:p>
              </w:tc>
              <w:tc>
                <w:tcPr>
                  <w:tcW w:w="519" w:type="pct"/>
                  <w:shd w:val="clear" w:color="auto" w:fill="auto"/>
                  <w:noWrap w:val="0"/>
                  <w:vAlign w:val="center"/>
                </w:tcPr>
                <w:p>
                  <w:pPr>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Cs w:val="21"/>
                      <w:highlight w:val="none"/>
                      <w:u w:val="none"/>
                      <w:lang w:val="en-US" w:eastAsia="zh-CN"/>
                    </w:rPr>
                    <w:t>沉淀</w:t>
                  </w:r>
                </w:p>
              </w:tc>
              <w:tc>
                <w:tcPr>
                  <w:tcW w:w="954" w:type="pct"/>
                  <w:shd w:val="clear" w:color="auto" w:fill="auto"/>
                  <w:noWrap w:val="0"/>
                  <w:vAlign w:val="center"/>
                </w:tcPr>
                <w:p>
                  <w:pPr>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Cs w:val="21"/>
                      <w:highlight w:val="none"/>
                      <w:u w:val="none"/>
                      <w:lang w:val="en-US" w:eastAsia="zh-CN"/>
                    </w:rPr>
                    <w:t>SW07 900-099-S07</w:t>
                  </w:r>
                </w:p>
              </w:tc>
              <w:tc>
                <w:tcPr>
                  <w:tcW w:w="547" w:type="pct"/>
                  <w:shd w:val="clear" w:color="auto" w:fill="auto"/>
                  <w:noWrap w:val="0"/>
                  <w:vAlign w:val="center"/>
                </w:tcPr>
                <w:p>
                  <w:pPr>
                    <w:jc w:val="center"/>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highlight w:val="none"/>
                      <w:u w:val="none" w:color="auto"/>
                      <w:lang w:val="en-US" w:eastAsia="zh-CN"/>
                    </w:rPr>
                    <w:t>煤泥</w:t>
                  </w:r>
                </w:p>
              </w:tc>
              <w:tc>
                <w:tcPr>
                  <w:tcW w:w="677" w:type="pct"/>
                  <w:shd w:val="clear" w:color="auto" w:fill="auto"/>
                  <w:noWrap w:val="0"/>
                  <w:vAlign w:val="center"/>
                </w:tcPr>
                <w:p>
                  <w:pPr>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Cs w:val="21"/>
                      <w:highlight w:val="none"/>
                      <w:u w:val="none"/>
                      <w:lang w:val="en-US" w:eastAsia="zh-CN"/>
                    </w:rPr>
                    <w:t>6</w:t>
                  </w:r>
                </w:p>
              </w:tc>
              <w:tc>
                <w:tcPr>
                  <w:tcW w:w="1030" w:type="pct"/>
                  <w:noWrap w:val="0"/>
                  <w:vAlign w:val="center"/>
                </w:tcPr>
                <w:p>
                  <w:pPr>
                    <w:jc w:val="center"/>
                    <w:rPr>
                      <w:rFonts w:hint="eastAsia" w:ascii="Times New Roman" w:hAnsi="Times New Roman" w:eastAsia="宋体" w:cs="Times New Roman"/>
                      <w:color w:val="auto"/>
                      <w:szCs w:val="21"/>
                      <w:highlight w:val="none"/>
                      <w:u w:val="none"/>
                      <w:lang w:val="en-US" w:eastAsia="zh-CN"/>
                    </w:rPr>
                  </w:pPr>
                  <w:r>
                    <w:rPr>
                      <w:rFonts w:hint="default" w:ascii="Times New Roman" w:hAnsi="Times New Roman" w:eastAsia="宋体" w:cs="Times New Roman"/>
                      <w:color w:val="auto"/>
                      <w:highlight w:val="none"/>
                      <w:u w:val="none" w:color="auto"/>
                      <w:lang w:val="en-US" w:eastAsia="zh-CN"/>
                    </w:rPr>
                    <w:t>收集</w:t>
                  </w:r>
                  <w:r>
                    <w:rPr>
                      <w:rFonts w:hint="eastAsia" w:cs="Times New Roman"/>
                      <w:color w:val="auto"/>
                      <w:highlight w:val="none"/>
                      <w:u w:val="none" w:color="auto"/>
                      <w:lang w:val="en-US" w:eastAsia="zh-CN"/>
                    </w:rPr>
                    <w:t>进入煤棚，掺入原煤外售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314" w:type="pct"/>
                  <w:noWrap w:val="0"/>
                  <w:vAlign w:val="center"/>
                </w:tcPr>
                <w:p>
                  <w:pPr>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2</w:t>
                  </w:r>
                </w:p>
              </w:tc>
              <w:tc>
                <w:tcPr>
                  <w:tcW w:w="956" w:type="pct"/>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含油废手套、抹布等劳保用品</w:t>
                  </w:r>
                </w:p>
              </w:tc>
              <w:tc>
                <w:tcPr>
                  <w:tcW w:w="519" w:type="pct"/>
                  <w:noWrap w:val="0"/>
                  <w:vAlign w:val="center"/>
                </w:tcPr>
                <w:p>
                  <w:pPr>
                    <w:jc w:val="center"/>
                    <w:rPr>
                      <w:rFonts w:hint="eastAsia"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机修过程</w:t>
                  </w:r>
                </w:p>
              </w:tc>
              <w:tc>
                <w:tcPr>
                  <w:tcW w:w="954" w:type="pct"/>
                  <w:noWrap w:val="0"/>
                  <w:vAlign w:val="center"/>
                </w:tcPr>
                <w:p>
                  <w:pPr>
                    <w:pStyle w:val="28"/>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r>
                    <w:rPr>
                      <w:rFonts w:hint="eastAsia" w:ascii="Times New Roman" w:hAnsi="Times New Roman"/>
                      <w:color w:val="auto"/>
                      <w:sz w:val="21"/>
                      <w:szCs w:val="21"/>
                      <w:highlight w:val="none"/>
                      <w:u w:val="none" w:color="auto"/>
                      <w:lang w:val="en-US" w:eastAsia="zh-CN" w:bidi="ar"/>
                    </w:rPr>
                    <w:t>HW49</w:t>
                  </w:r>
                </w:p>
                <w:p>
                  <w:pPr>
                    <w:jc w:val="center"/>
                    <w:rPr>
                      <w:rFonts w:hint="default" w:ascii="Times New Roman" w:hAnsi="Times New Roman" w:eastAsia="宋体" w:cs="Times New Roman"/>
                      <w:color w:val="auto"/>
                      <w:szCs w:val="21"/>
                      <w:u w:val="none"/>
                      <w:lang w:val="en-US" w:eastAsia="zh-CN"/>
                    </w:rPr>
                  </w:pPr>
                  <w:r>
                    <w:rPr>
                      <w:rFonts w:hint="eastAsia" w:ascii="Times New Roman" w:hAnsi="Times New Roman"/>
                      <w:color w:val="auto"/>
                      <w:sz w:val="21"/>
                      <w:szCs w:val="21"/>
                      <w:highlight w:val="none"/>
                      <w:u w:val="none" w:color="auto"/>
                      <w:lang w:val="en-US" w:eastAsia="zh-CN" w:bidi="ar"/>
                    </w:rPr>
                    <w:t>900-041-49</w:t>
                  </w:r>
                </w:p>
              </w:tc>
              <w:tc>
                <w:tcPr>
                  <w:tcW w:w="547" w:type="pct"/>
                  <w:noWrap w:val="0"/>
                  <w:vAlign w:val="center"/>
                </w:tcPr>
                <w:p>
                  <w:pPr>
                    <w:jc w:val="center"/>
                    <w:rPr>
                      <w:rFonts w:hint="eastAsia"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手套、抹布</w:t>
                  </w:r>
                </w:p>
              </w:tc>
              <w:tc>
                <w:tcPr>
                  <w:tcW w:w="677" w:type="pct"/>
                  <w:noWrap w:val="0"/>
                  <w:vAlign w:val="center"/>
                </w:tcPr>
                <w:p>
                  <w:pPr>
                    <w:jc w:val="center"/>
                    <w:rPr>
                      <w:rFonts w:hint="eastAsia"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0.05</w:t>
                  </w:r>
                </w:p>
              </w:tc>
              <w:tc>
                <w:tcPr>
                  <w:tcW w:w="1030" w:type="pct"/>
                  <w:vMerge w:val="restart"/>
                  <w:noWrap w:val="0"/>
                  <w:vAlign w:val="center"/>
                </w:tcPr>
                <w:p>
                  <w:pPr>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经收集后交由危废单位处置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314" w:type="pct"/>
                  <w:noWrap w:val="0"/>
                  <w:vAlign w:val="center"/>
                </w:tcPr>
                <w:p>
                  <w:pPr>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3</w:t>
                  </w:r>
                </w:p>
              </w:tc>
              <w:tc>
                <w:tcPr>
                  <w:tcW w:w="956" w:type="pct"/>
                  <w:noWrap w:val="0"/>
                  <w:vAlign w:val="center"/>
                </w:tcPr>
                <w:p>
                  <w:pPr>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lang w:val="en-US" w:eastAsia="zh-CN"/>
                    </w:rPr>
                    <w:t>机修废物</w:t>
                  </w:r>
                </w:p>
              </w:tc>
              <w:tc>
                <w:tcPr>
                  <w:tcW w:w="519" w:type="pct"/>
                  <w:noWrap w:val="0"/>
                  <w:vAlign w:val="center"/>
                </w:tcPr>
                <w:p>
                  <w:pPr>
                    <w:jc w:val="center"/>
                    <w:rPr>
                      <w:rFonts w:hint="eastAsia"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机修过程</w:t>
                  </w:r>
                </w:p>
              </w:tc>
              <w:tc>
                <w:tcPr>
                  <w:tcW w:w="954" w:type="pct"/>
                  <w:noWrap w:val="0"/>
                  <w:vAlign w:val="center"/>
                </w:tcPr>
                <w:p>
                  <w:pPr>
                    <w:jc w:val="center"/>
                    <w:rPr>
                      <w:rFonts w:hint="eastAsia"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HW08</w:t>
                  </w:r>
                </w:p>
                <w:p>
                  <w:pPr>
                    <w:jc w:val="center"/>
                    <w:rPr>
                      <w:rFonts w:hint="default" w:ascii="Times New Roman" w:hAnsi="Times New Roman" w:eastAsia="宋体" w:cs="Times New Roman"/>
                      <w:color w:val="auto"/>
                      <w:szCs w:val="21"/>
                      <w:u w:val="none"/>
                      <w:lang w:val="en-US" w:eastAsia="zh-CN"/>
                    </w:rPr>
                  </w:pPr>
                  <w:r>
                    <w:rPr>
                      <w:rFonts w:hint="default" w:ascii="Times New Roman" w:hAnsi="Times New Roman" w:cs="Times New Roman"/>
                      <w:color w:val="auto"/>
                      <w:sz w:val="21"/>
                      <w:szCs w:val="21"/>
                      <w:highlight w:val="none"/>
                      <w:u w:val="none" w:color="auto"/>
                    </w:rPr>
                    <w:t>900-2</w:t>
                  </w:r>
                  <w:r>
                    <w:rPr>
                      <w:rFonts w:hint="eastAsia" w:cs="Times New Roman"/>
                      <w:color w:val="auto"/>
                      <w:sz w:val="21"/>
                      <w:szCs w:val="21"/>
                      <w:highlight w:val="none"/>
                      <w:u w:val="none" w:color="auto"/>
                      <w:lang w:val="en-US" w:eastAsia="zh-CN"/>
                    </w:rPr>
                    <w:t>14-</w:t>
                  </w:r>
                  <w:r>
                    <w:rPr>
                      <w:rFonts w:hint="default" w:ascii="Times New Roman" w:hAnsi="Times New Roman" w:cs="Times New Roman"/>
                      <w:color w:val="auto"/>
                      <w:sz w:val="21"/>
                      <w:szCs w:val="21"/>
                      <w:highlight w:val="none"/>
                      <w:u w:val="none" w:color="auto"/>
                    </w:rPr>
                    <w:t>08</w:t>
                  </w:r>
                </w:p>
              </w:tc>
              <w:tc>
                <w:tcPr>
                  <w:tcW w:w="547" w:type="pct"/>
                  <w:noWrap w:val="0"/>
                  <w:vAlign w:val="center"/>
                </w:tcPr>
                <w:p>
                  <w:pPr>
                    <w:jc w:val="center"/>
                    <w:rPr>
                      <w:rFonts w:hint="eastAsia"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润滑油</w:t>
                  </w:r>
                </w:p>
              </w:tc>
              <w:tc>
                <w:tcPr>
                  <w:tcW w:w="677" w:type="pct"/>
                  <w:noWrap w:val="0"/>
                  <w:vAlign w:val="center"/>
                </w:tcPr>
                <w:p>
                  <w:pPr>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0.1</w:t>
                  </w:r>
                </w:p>
              </w:tc>
              <w:tc>
                <w:tcPr>
                  <w:tcW w:w="1030" w:type="pct"/>
                  <w:vMerge w:val="continue"/>
                  <w:noWrap w:val="0"/>
                  <w:vAlign w:val="center"/>
                </w:tcPr>
                <w:p>
                  <w:pPr>
                    <w:jc w:val="center"/>
                    <w:rPr>
                      <w:rFonts w:hint="default"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314" w:type="pct"/>
                  <w:noWrap w:val="0"/>
                  <w:vAlign w:val="center"/>
                </w:tcPr>
                <w:p>
                  <w:pPr>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4</w:t>
                  </w:r>
                </w:p>
              </w:tc>
              <w:tc>
                <w:tcPr>
                  <w:tcW w:w="956" w:type="pct"/>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生活垃圾</w:t>
                  </w:r>
                </w:p>
              </w:tc>
              <w:tc>
                <w:tcPr>
                  <w:tcW w:w="519" w:type="pct"/>
                  <w:noWrap w:val="0"/>
                  <w:vAlign w:val="center"/>
                </w:tcPr>
                <w:p>
                  <w:pPr>
                    <w:jc w:val="center"/>
                    <w:rPr>
                      <w:rFonts w:hint="eastAsia"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办公</w:t>
                  </w:r>
                </w:p>
              </w:tc>
              <w:tc>
                <w:tcPr>
                  <w:tcW w:w="954" w:type="pct"/>
                  <w:noWrap w:val="0"/>
                  <w:vAlign w:val="center"/>
                </w:tcPr>
                <w:p>
                  <w:pPr>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w:t>
                  </w:r>
                </w:p>
              </w:tc>
              <w:tc>
                <w:tcPr>
                  <w:tcW w:w="547" w:type="pct"/>
                  <w:noWrap w:val="0"/>
                  <w:vAlign w:val="center"/>
                </w:tcPr>
                <w:p>
                  <w:pPr>
                    <w:jc w:val="center"/>
                    <w:rPr>
                      <w:rFonts w:hint="eastAsia"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废纸、塑料</w:t>
                  </w:r>
                </w:p>
              </w:tc>
              <w:tc>
                <w:tcPr>
                  <w:tcW w:w="677" w:type="pct"/>
                  <w:noWrap w:val="0"/>
                  <w:vAlign w:val="center"/>
                </w:tcPr>
                <w:p>
                  <w:pPr>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3.65</w:t>
                  </w:r>
                </w:p>
              </w:tc>
              <w:tc>
                <w:tcPr>
                  <w:tcW w:w="1030" w:type="pct"/>
                  <w:noWrap w:val="0"/>
                  <w:vAlign w:val="center"/>
                </w:tcPr>
                <w:p>
                  <w:pPr>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收集后交由环卫部门处置</w:t>
                  </w:r>
                </w:p>
              </w:tc>
            </w:tr>
          </w:tbl>
          <w:p>
            <w:pPr>
              <w:spacing w:line="360" w:lineRule="auto"/>
              <w:ind w:firstLine="420" w:firstLineChars="200"/>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本项目依托虞公港危险废物</w:t>
            </w:r>
            <w:r>
              <w:rPr>
                <w:rFonts w:hint="eastAsia" w:cs="Times New Roman"/>
                <w:color w:val="auto"/>
                <w:highlight w:val="none"/>
                <w:u w:val="none" w:color="auto"/>
                <w:lang w:val="en-US" w:eastAsia="zh-CN"/>
              </w:rPr>
              <w:t>暂存间</w:t>
            </w:r>
            <w:r>
              <w:rPr>
                <w:rFonts w:hint="eastAsia" w:ascii="Times New Roman" w:hAnsi="Times New Roman" w:eastAsia="宋体" w:cs="Times New Roman"/>
                <w:color w:val="auto"/>
                <w:highlight w:val="none"/>
                <w:u w:val="none" w:color="auto"/>
                <w:lang w:val="en-US" w:eastAsia="zh-CN"/>
              </w:rPr>
              <w:t>暂存含油抹布、手套、废润滑油，并委托相关资质单位进行处置。</w:t>
            </w:r>
            <w:r>
              <w:rPr>
                <w:rFonts w:hint="eastAsia" w:cs="Times New Roman"/>
                <w:color w:val="auto"/>
                <w:highlight w:val="none"/>
                <w:u w:val="none" w:color="auto"/>
                <w:lang w:val="en-US" w:eastAsia="zh-CN"/>
              </w:rPr>
              <w:t>虞公港码头</w:t>
            </w:r>
            <w:r>
              <w:rPr>
                <w:rFonts w:hint="eastAsia" w:ascii="Times New Roman" w:hAnsi="Times New Roman" w:eastAsia="宋体" w:cs="Times New Roman"/>
                <w:color w:val="auto"/>
                <w:highlight w:val="none"/>
                <w:u w:val="none" w:color="auto"/>
                <w:lang w:val="en-US" w:eastAsia="zh-CN"/>
              </w:rPr>
              <w:t>危废</w:t>
            </w:r>
            <w:r>
              <w:rPr>
                <w:rFonts w:hint="eastAsia" w:cs="Times New Roman"/>
                <w:color w:val="auto"/>
                <w:highlight w:val="none"/>
                <w:u w:val="none" w:color="auto"/>
                <w:lang w:val="en-US" w:eastAsia="zh-CN"/>
              </w:rPr>
              <w:t>暂存</w:t>
            </w:r>
            <w:r>
              <w:rPr>
                <w:rFonts w:hint="eastAsia" w:ascii="Times New Roman" w:hAnsi="Times New Roman" w:eastAsia="宋体" w:cs="Times New Roman"/>
                <w:color w:val="auto"/>
                <w:highlight w:val="none"/>
                <w:u w:val="none" w:color="auto"/>
                <w:lang w:val="en-US" w:eastAsia="zh-CN"/>
              </w:rPr>
              <w:t>间</w:t>
            </w:r>
            <w:r>
              <w:rPr>
                <w:rFonts w:hint="eastAsia"/>
                <w:highlight w:val="none"/>
                <w:lang w:eastAsia="zh-CN"/>
              </w:rPr>
              <w:t>位于工程西侧配电间北侧旁</w:t>
            </w:r>
            <w:r>
              <w:rPr>
                <w:rFonts w:hint="eastAsia" w:ascii="Times New Roman" w:hAnsi="Times New Roman" w:eastAsia="宋体" w:cs="Times New Roman"/>
                <w:color w:val="auto"/>
                <w:highlight w:val="none"/>
                <w:u w:val="none" w:color="auto"/>
                <w:lang w:val="en-US" w:eastAsia="zh-CN"/>
              </w:rPr>
              <w:t>，占地面积约</w:t>
            </w:r>
            <w:r>
              <w:rPr>
                <w:rFonts w:hint="eastAsia" w:cs="Times New Roman"/>
                <w:color w:val="auto"/>
                <w:highlight w:val="none"/>
                <w:u w:val="none" w:color="auto"/>
                <w:lang w:val="en-US" w:eastAsia="zh-CN"/>
              </w:rPr>
              <w:t>18</w:t>
            </w:r>
            <w:r>
              <w:rPr>
                <w:rFonts w:hint="eastAsia" w:ascii="Times New Roman" w:hAnsi="Times New Roman" w:eastAsia="宋体" w:cs="Times New Roman"/>
                <w:color w:val="auto"/>
                <w:highlight w:val="none"/>
                <w:u w:val="none" w:color="auto"/>
                <w:lang w:val="en-US" w:eastAsia="zh-CN"/>
              </w:rPr>
              <w:t>m</w:t>
            </w:r>
            <w:r>
              <w:rPr>
                <w:rFonts w:hint="eastAsia" w:ascii="Times New Roman" w:hAnsi="Times New Roman" w:eastAsia="宋体" w:cs="Times New Roman"/>
                <w:color w:val="auto"/>
                <w:highlight w:val="none"/>
                <w:u w:val="none" w:color="auto"/>
                <w:vertAlign w:val="superscript"/>
                <w:lang w:val="en-US" w:eastAsia="zh-CN"/>
              </w:rPr>
              <w:t>2</w:t>
            </w:r>
            <w:r>
              <w:rPr>
                <w:rFonts w:hint="eastAsia" w:ascii="Times New Roman" w:hAnsi="Times New Roman" w:eastAsia="宋体" w:cs="Times New Roman"/>
                <w:color w:val="auto"/>
                <w:highlight w:val="none"/>
                <w:u w:val="none" w:color="auto"/>
                <w:lang w:val="en-US" w:eastAsia="zh-CN"/>
              </w:rPr>
              <w:t>，</w:t>
            </w:r>
            <w:r>
              <w:rPr>
                <w:rFonts w:hint="eastAsia" w:cs="Times New Roman"/>
                <w:color w:val="auto"/>
                <w:highlight w:val="none"/>
                <w:u w:val="none" w:color="auto"/>
                <w:lang w:val="en-US" w:eastAsia="zh-CN"/>
              </w:rPr>
              <w:t>仅贮存少量机修废润滑油等，</w:t>
            </w:r>
            <w:r>
              <w:rPr>
                <w:rFonts w:hint="eastAsia" w:ascii="Times New Roman" w:hAnsi="Times New Roman" w:eastAsia="宋体" w:cs="Times New Roman"/>
                <w:color w:val="auto"/>
                <w:highlight w:val="none"/>
                <w:u w:val="none" w:color="auto"/>
                <w:lang w:val="en-US" w:eastAsia="zh-CN"/>
              </w:rPr>
              <w:t>可容纳本项目产生的</w:t>
            </w:r>
            <w:r>
              <w:rPr>
                <w:rFonts w:hint="eastAsia" w:cs="Times New Roman"/>
                <w:color w:val="auto"/>
                <w:highlight w:val="none"/>
                <w:u w:val="none" w:color="auto"/>
                <w:lang w:val="en-US" w:eastAsia="zh-CN"/>
              </w:rPr>
              <w:t>危险</w:t>
            </w:r>
            <w:r>
              <w:rPr>
                <w:rFonts w:hint="eastAsia" w:ascii="Times New Roman" w:hAnsi="Times New Roman" w:eastAsia="宋体" w:cs="Times New Roman"/>
                <w:color w:val="auto"/>
                <w:highlight w:val="none"/>
                <w:u w:val="none" w:color="auto"/>
                <w:lang w:val="en-US" w:eastAsia="zh-CN"/>
              </w:rPr>
              <w:t>废物</w:t>
            </w:r>
            <w:r>
              <w:rPr>
                <w:rFonts w:hint="eastAsia" w:cs="Times New Roman"/>
                <w:color w:val="auto"/>
                <w:highlight w:val="none"/>
                <w:u w:val="none" w:color="auto"/>
                <w:lang w:val="en-US" w:eastAsia="zh-CN"/>
              </w:rPr>
              <w:t>（</w:t>
            </w:r>
            <w:r>
              <w:rPr>
                <w:rFonts w:hint="eastAsia" w:hAnsi="宋体" w:eastAsia="宋体"/>
                <w:lang w:eastAsia="zh-CN"/>
              </w:rPr>
              <w:t>修废润滑油、</w:t>
            </w:r>
            <w:r>
              <w:rPr>
                <w:rFonts w:hint="eastAsia" w:ascii="Times New Roman" w:hAnsi="Times New Roman" w:eastAsia="宋体" w:cs="Times New Roman"/>
                <w:color w:val="auto"/>
                <w:lang w:val="en-US" w:eastAsia="zh-CN"/>
              </w:rPr>
              <w:t>含油废手套、抹布等</w:t>
            </w:r>
            <w:r>
              <w:rPr>
                <w:rFonts w:hint="eastAsia" w:cs="Times New Roman"/>
                <w:color w:val="auto"/>
                <w:lang w:val="en-US" w:eastAsia="zh-CN"/>
              </w:rPr>
              <w:t>年产生量仅0.15t/a</w:t>
            </w:r>
            <w:r>
              <w:rPr>
                <w:rFonts w:hint="eastAsia" w:cs="Times New Roman"/>
                <w:color w:val="auto"/>
                <w:highlight w:val="none"/>
                <w:u w:val="none" w:color="auto"/>
                <w:lang w:val="en-US" w:eastAsia="zh-CN"/>
              </w:rPr>
              <w:t>）</w:t>
            </w:r>
            <w:r>
              <w:rPr>
                <w:rFonts w:hint="eastAsia" w:ascii="Times New Roman" w:hAnsi="Times New Roman" w:eastAsia="宋体" w:cs="Times New Roman"/>
                <w:color w:val="auto"/>
                <w:highlight w:val="none"/>
                <w:u w:val="none" w:color="auto"/>
                <w:lang w:val="en-US" w:eastAsia="zh-CN"/>
              </w:rPr>
              <w:t>，</w:t>
            </w:r>
            <w:r>
              <w:rPr>
                <w:rFonts w:hint="eastAsia" w:cs="Times New Roman"/>
                <w:color w:val="auto"/>
                <w:highlight w:val="none"/>
                <w:u w:val="none" w:color="auto"/>
                <w:lang w:val="en-US" w:eastAsia="zh-CN"/>
              </w:rPr>
              <w:t>依托可行</w:t>
            </w:r>
            <w:r>
              <w:rPr>
                <w:rFonts w:hint="eastAsia" w:ascii="Times New Roman" w:hAnsi="Times New Roman" w:eastAsia="宋体" w:cs="Times New Roman"/>
                <w:color w:val="auto"/>
                <w:highlight w:val="none"/>
                <w:u w:val="none" w:color="auto"/>
                <w:lang w:val="en-US" w:eastAsia="zh-CN"/>
              </w:rPr>
              <w:t>。</w:t>
            </w:r>
          </w:p>
          <w:p>
            <w:pPr>
              <w:spacing w:line="360" w:lineRule="auto"/>
              <w:ind w:firstLine="420" w:firstLineChars="200"/>
              <w:rPr>
                <w:rFonts w:hint="eastAsia" w:ascii="Times New Roman" w:hAnsi="Times New Roman" w:eastAsia="宋体" w:cs="Times New Roman"/>
                <w:color w:val="000000"/>
                <w:highlight w:val="none"/>
                <w:u w:val="none" w:color="auto"/>
                <w:lang w:val="en-US" w:eastAsia="zh-CN"/>
              </w:rPr>
            </w:pPr>
            <w:r>
              <w:rPr>
                <w:rFonts w:hint="eastAsia" w:ascii="Times New Roman" w:hAnsi="Times New Roman" w:eastAsia="宋体" w:cs="Times New Roman"/>
                <w:color w:val="000000"/>
                <w:highlight w:val="none"/>
                <w:u w:val="none" w:color="auto"/>
                <w:lang w:val="en-US" w:eastAsia="zh-CN"/>
              </w:rPr>
              <w:t>危险废物处置措施：</w:t>
            </w:r>
          </w:p>
          <w:p>
            <w:pPr>
              <w:spacing w:line="360" w:lineRule="auto"/>
              <w:ind w:firstLine="420" w:firstLineChars="200"/>
              <w:rPr>
                <w:rFonts w:hint="eastAsia"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危废暂存间需满足《危险废物贮存污染控制标准》(GB18597-2023）相关要求，未擅自倾倒、堆放，按照危险废物的特性分类收集、贮存、运输、处置，并与非危险废物分开贮存。建设单位对自身产生的危险废物进行全过程的管理，严格按照相关要求执行。主要措施如下：</w:t>
            </w:r>
          </w:p>
          <w:p>
            <w:pPr>
              <w:spacing w:line="360" w:lineRule="auto"/>
              <w:ind w:firstLine="420" w:firstLineChars="200"/>
              <w:rPr>
                <w:rFonts w:hint="eastAsia"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①严格执行《危险废物转移管理办法》和《危险废物经营许可证管理办法》等，对进厂、使用、出厂的危险废物量进行统计，并定期向环境保护管理部门报送；</w:t>
            </w:r>
          </w:p>
          <w:p>
            <w:pPr>
              <w:spacing w:line="360" w:lineRule="auto"/>
              <w:ind w:firstLine="420" w:firstLineChars="200"/>
              <w:rPr>
                <w:rFonts w:hint="eastAsia"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②危险废物临时贮存库地面与裙角要用坚固、防渗的材料建造，建筑材料必须与危险废物相容；</w:t>
            </w:r>
          </w:p>
          <w:p>
            <w:pPr>
              <w:spacing w:line="360" w:lineRule="auto"/>
              <w:ind w:firstLine="420" w:firstLineChars="200"/>
              <w:rPr>
                <w:rFonts w:hint="eastAsia"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③危险废物临时贮存库必须有防腐蚀的硬化地面，且表面无裂隙；</w:t>
            </w:r>
          </w:p>
          <w:p>
            <w:pPr>
              <w:spacing w:line="360" w:lineRule="auto"/>
              <w:ind w:firstLine="420" w:firstLineChars="200"/>
              <w:rPr>
                <w:rFonts w:hint="eastAsia"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④危险废物堆放基础防渗，防渗层为至少2毫米厚高密度聚乙烯，渗透系数≤10</w:t>
            </w:r>
            <w:r>
              <w:rPr>
                <w:rFonts w:hint="eastAsia" w:ascii="Times New Roman" w:hAnsi="Times New Roman" w:eastAsia="宋体" w:cs="Times New Roman"/>
                <w:color w:val="000000"/>
                <w:u w:val="none" w:color="auto"/>
                <w:vertAlign w:val="superscript"/>
                <w:lang w:val="en-US" w:eastAsia="zh-CN"/>
              </w:rPr>
              <w:t>-10</w:t>
            </w:r>
            <w:r>
              <w:rPr>
                <w:rFonts w:hint="eastAsia" w:ascii="Times New Roman" w:hAnsi="Times New Roman" w:eastAsia="宋体" w:cs="Times New Roman"/>
                <w:color w:val="000000"/>
                <w:u w:val="none" w:color="auto"/>
                <w:lang w:val="en-US" w:eastAsia="zh-CN"/>
              </w:rPr>
              <w:t>厘米/秒；</w:t>
            </w:r>
          </w:p>
          <w:p>
            <w:pPr>
              <w:spacing w:line="360" w:lineRule="auto"/>
              <w:ind w:firstLine="420" w:firstLineChars="200"/>
              <w:rPr>
                <w:rFonts w:hint="eastAsia"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⑤设施内要有安全照明和观察窗口；</w:t>
            </w:r>
          </w:p>
          <w:p>
            <w:pPr>
              <w:pStyle w:val="65"/>
              <w:bidi w:val="0"/>
              <w:spacing w:line="360" w:lineRule="auto"/>
              <w:outlineLvl w:val="9"/>
              <w:rPr>
                <w:rFonts w:hint="eastAsia" w:cs="Times New Roman"/>
                <w:color w:val="auto"/>
                <w:u w:val="none" w:color="auto"/>
                <w:lang w:val="en-US" w:eastAsia="zh-CN"/>
              </w:rPr>
            </w:pPr>
            <w:r>
              <w:rPr>
                <w:rFonts w:hint="eastAsia" w:ascii="Times New Roman" w:hAnsi="Times New Roman" w:eastAsia="宋体" w:cs="Times New Roman"/>
                <w:color w:val="000000"/>
                <w:u w:val="none" w:color="auto"/>
                <w:lang w:val="en-US" w:eastAsia="zh-CN"/>
              </w:rPr>
              <w:t>⑥危险废物临时贮存场要防风、防雨、防晒；同时，建设单位应按《中华人民共和国固体废物污染环境防治法》的规定向上级固体废物管理中心如实申报本项目固体废物产生量、拟采取的处置措施及去向，并按该中心的要求对本项目产生的固体废物特别是危险废物进行全过程严格管理和安全处置。</w:t>
            </w:r>
          </w:p>
          <w:p>
            <w:pPr>
              <w:pStyle w:val="64"/>
              <w:bidi w:val="0"/>
              <w:ind w:firstLine="422" w:firstLineChars="20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5、</w:t>
            </w:r>
            <w:r>
              <w:rPr>
                <w:rFonts w:hint="default" w:ascii="Times New Roman" w:hAnsi="Times New Roman" w:eastAsia="宋体" w:cs="Times New Roman"/>
                <w:color w:val="auto"/>
                <w:u w:val="none" w:color="auto"/>
                <w:lang w:val="en-US" w:eastAsia="zh-CN"/>
              </w:rPr>
              <w:t>地下水、土壤</w:t>
            </w:r>
            <w:r>
              <w:rPr>
                <w:rFonts w:hint="eastAsia" w:ascii="Times New Roman" w:hAnsi="Times New Roman" w:eastAsia="宋体" w:cs="Times New Roman"/>
                <w:color w:val="auto"/>
                <w:u w:val="none" w:color="auto"/>
                <w:lang w:val="en-US" w:eastAsia="zh-CN"/>
              </w:rPr>
              <w:t>污染防治措施</w:t>
            </w:r>
          </w:p>
          <w:p>
            <w:pPr>
              <w:spacing w:line="360" w:lineRule="auto"/>
              <w:ind w:firstLine="420" w:firstLineChars="200"/>
              <w:rPr>
                <w:rFonts w:hint="default" w:ascii="Times New Roman" w:hAnsi="Times New Roman" w:eastAsia="宋体" w:cs="Times New Roman"/>
                <w:color w:val="000000"/>
                <w:u w:val="none" w:color="auto"/>
                <w:lang w:val="en-US" w:eastAsia="zh-CN"/>
              </w:rPr>
            </w:pPr>
            <w:r>
              <w:rPr>
                <w:rFonts w:hint="default" w:ascii="Times New Roman" w:hAnsi="Times New Roman" w:eastAsia="宋体" w:cs="Times New Roman"/>
                <w:color w:val="000000"/>
                <w:u w:val="none" w:color="auto"/>
                <w:lang w:val="en-US" w:eastAsia="zh-CN"/>
              </w:rPr>
              <w:t>（1）源头控制</w:t>
            </w:r>
          </w:p>
          <w:p>
            <w:pPr>
              <w:spacing w:line="360" w:lineRule="auto"/>
              <w:ind w:firstLine="420" w:firstLineChars="200"/>
              <w:rPr>
                <w:rFonts w:hint="default" w:ascii="Times New Roman" w:hAnsi="Times New Roman" w:eastAsia="宋体" w:cs="Times New Roman"/>
                <w:color w:val="000000"/>
                <w:u w:val="none" w:color="auto"/>
                <w:lang w:val="en-US" w:eastAsia="zh-CN"/>
              </w:rPr>
            </w:pPr>
            <w:r>
              <w:rPr>
                <w:rFonts w:hint="default" w:ascii="Times New Roman" w:hAnsi="Times New Roman" w:eastAsia="宋体" w:cs="Times New Roman"/>
                <w:color w:val="000000"/>
                <w:u w:val="none" w:color="auto"/>
                <w:lang w:val="en-US" w:eastAsia="zh-CN"/>
              </w:rPr>
              <w:t>主要包括在工艺、管道、设备、污水产生及储存构筑物采取相应措施，防止和降低污染物跑、冒、滴、漏，将污染物泄漏的环境风险事故降到最低程度；管线敷设尽量采用“可视化”原则，即管道尽可能地上敷设，做到污染物“早发现、早处理”，减少由于埋地管道泄漏而造成的土壤污染。</w:t>
            </w:r>
          </w:p>
          <w:p>
            <w:pPr>
              <w:spacing w:line="360" w:lineRule="auto"/>
              <w:ind w:firstLine="420" w:firstLineChars="200"/>
              <w:rPr>
                <w:rFonts w:hint="default"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（2）</w:t>
            </w:r>
            <w:r>
              <w:rPr>
                <w:rFonts w:hint="default" w:ascii="Times New Roman" w:hAnsi="Times New Roman" w:eastAsia="宋体" w:cs="Times New Roman"/>
                <w:color w:val="000000"/>
                <w:u w:val="none" w:color="auto"/>
                <w:lang w:val="en-US" w:eastAsia="zh-CN"/>
              </w:rPr>
              <w:t>过程防控</w:t>
            </w:r>
          </w:p>
          <w:p>
            <w:pPr>
              <w:spacing w:line="360" w:lineRule="auto"/>
              <w:ind w:firstLine="420" w:firstLineChars="200"/>
              <w:rPr>
                <w:rFonts w:hint="default" w:ascii="Times New Roman" w:hAnsi="Times New Roman" w:eastAsia="宋体" w:cs="Times New Roman"/>
                <w:color w:val="000000"/>
                <w:u w:val="none" w:color="auto"/>
                <w:lang w:val="en-US" w:eastAsia="zh-CN"/>
              </w:rPr>
            </w:pPr>
            <w:r>
              <w:rPr>
                <w:rFonts w:hint="default" w:ascii="Times New Roman" w:hAnsi="Times New Roman" w:eastAsia="宋体" w:cs="Times New Roman"/>
                <w:color w:val="000000"/>
                <w:u w:val="none" w:color="auto"/>
                <w:lang w:val="en-US" w:eastAsia="zh-CN"/>
              </w:rPr>
              <w:t>项目污染物质可以通过多种途径进入土壤，主要类型有以下三种：</w:t>
            </w:r>
          </w:p>
          <w:p>
            <w:pPr>
              <w:spacing w:line="360" w:lineRule="auto"/>
              <w:ind w:firstLine="420" w:firstLineChars="200"/>
              <w:rPr>
                <w:rFonts w:hint="default" w:ascii="Times New Roman" w:hAnsi="Times New Roman" w:eastAsia="宋体" w:cs="Times New Roman"/>
                <w:color w:val="000000"/>
                <w:u w:val="none" w:color="auto"/>
                <w:lang w:val="en-US" w:eastAsia="zh-CN"/>
              </w:rPr>
            </w:pPr>
            <w:r>
              <w:rPr>
                <w:rFonts w:hint="default" w:ascii="Times New Roman" w:hAnsi="Times New Roman" w:eastAsia="宋体" w:cs="Times New Roman"/>
                <w:color w:val="000000"/>
                <w:u w:val="none" w:color="auto"/>
                <w:lang w:val="en-US" w:eastAsia="zh-CN"/>
              </w:rPr>
              <w:t>①大气污染型：污染物质来源于被污染的大气，污染物质主要集中在土壤表层，项目主要污染物是大气中的颗粒物等，它们降落到地表可破坏土壤肥力与生态系统的平衡；各种大气飘尘等降落地面，会造成土壤的多种污染。</w:t>
            </w:r>
          </w:p>
          <w:p>
            <w:pPr>
              <w:spacing w:line="360" w:lineRule="auto"/>
              <w:ind w:firstLine="420" w:firstLineChars="200"/>
              <w:rPr>
                <w:rFonts w:hint="default" w:ascii="Times New Roman" w:hAnsi="Times New Roman" w:eastAsia="宋体" w:cs="Times New Roman"/>
                <w:color w:val="000000"/>
                <w:u w:val="none" w:color="auto"/>
                <w:lang w:val="en-US" w:eastAsia="zh-CN"/>
              </w:rPr>
            </w:pPr>
            <w:r>
              <w:rPr>
                <w:rFonts w:hint="default" w:ascii="Times New Roman" w:hAnsi="Times New Roman" w:eastAsia="宋体" w:cs="Times New Roman"/>
                <w:color w:val="000000"/>
                <w:u w:val="none" w:color="auto"/>
                <w:lang w:val="en-US" w:eastAsia="zh-CN"/>
              </w:rPr>
              <w:t>②水污染型：项目废水事故状态下未经处理直接排放，或发生泄漏，致使土壤受到污染。</w:t>
            </w:r>
          </w:p>
          <w:p>
            <w:pPr>
              <w:spacing w:line="360" w:lineRule="auto"/>
              <w:ind w:firstLine="420" w:firstLineChars="200"/>
              <w:rPr>
                <w:rFonts w:hint="default" w:ascii="Times New Roman" w:hAnsi="Times New Roman" w:eastAsia="宋体" w:cs="Times New Roman"/>
                <w:color w:val="000000"/>
                <w:u w:val="none" w:color="auto"/>
                <w:lang w:val="en-US" w:eastAsia="zh-CN"/>
              </w:rPr>
            </w:pPr>
            <w:r>
              <w:rPr>
                <w:rFonts w:hint="default" w:ascii="Times New Roman" w:hAnsi="Times New Roman" w:eastAsia="宋体" w:cs="Times New Roman"/>
                <w:color w:val="000000"/>
                <w:u w:val="none" w:color="auto"/>
                <w:lang w:val="en-US" w:eastAsia="zh-CN"/>
              </w:rPr>
              <w:t>③固体废物污染型：项目产生的生活垃圾、沉淀池沉渣</w:t>
            </w:r>
            <w:r>
              <w:rPr>
                <w:rFonts w:hint="eastAsia" w:ascii="Times New Roman" w:hAnsi="Times New Roman" w:eastAsia="宋体" w:cs="Times New Roman"/>
                <w:color w:val="000000"/>
                <w:u w:val="none" w:color="auto"/>
                <w:lang w:val="en-US" w:eastAsia="zh-CN"/>
              </w:rPr>
              <w:t>、废矿物油等</w:t>
            </w:r>
            <w:r>
              <w:rPr>
                <w:rFonts w:hint="default" w:ascii="Times New Roman" w:hAnsi="Times New Roman" w:eastAsia="宋体" w:cs="Times New Roman"/>
                <w:color w:val="000000"/>
                <w:u w:val="none" w:color="auto"/>
                <w:lang w:val="en-US" w:eastAsia="zh-CN"/>
              </w:rPr>
              <w:t>在运输、贮存或堆放过程中通过扩散、降水淋洗等直接或间接地影响土壤。</w:t>
            </w:r>
          </w:p>
          <w:p>
            <w:pPr>
              <w:spacing w:line="360" w:lineRule="auto"/>
              <w:ind w:firstLine="420" w:firstLineChars="200"/>
              <w:rPr>
                <w:rFonts w:hint="default" w:ascii="Times New Roman" w:hAnsi="Times New Roman" w:eastAsia="宋体" w:cs="Times New Roman"/>
                <w:color w:val="000000"/>
                <w:u w:val="none" w:color="auto"/>
                <w:lang w:val="en-US" w:eastAsia="zh-CN"/>
              </w:rPr>
            </w:pPr>
            <w:r>
              <w:rPr>
                <w:rFonts w:hint="default" w:ascii="Times New Roman" w:hAnsi="Times New Roman" w:eastAsia="宋体" w:cs="Times New Roman"/>
                <w:color w:val="000000"/>
                <w:u w:val="none" w:color="auto"/>
                <w:lang w:val="en-US" w:eastAsia="zh-CN"/>
              </w:rPr>
              <w:t>针对污染物大气沉降途径造成的污染，建设项目应在厂界周边采取绿化措施，以种植具有较强吸附能力的植物为主；针对污染物通过废水地面漫流、固体废物淋溶液入渗等途径可能造成的污染，建设单位对沉淀池、初期雨水池等进行防渗、硬化，以防止土壤环境污染。</w:t>
            </w:r>
          </w:p>
          <w:p>
            <w:pPr>
              <w:spacing w:line="360" w:lineRule="auto"/>
              <w:ind w:firstLine="420" w:firstLineChars="200"/>
              <w:rPr>
                <w:rFonts w:hint="default" w:ascii="Times New Roman" w:hAnsi="Times New Roman" w:eastAsia="宋体" w:cs="Times New Roman"/>
                <w:color w:val="000000"/>
                <w:u w:val="none" w:color="auto"/>
                <w:lang w:val="en-US" w:eastAsia="zh-CN"/>
              </w:rPr>
            </w:pPr>
            <w:r>
              <w:rPr>
                <w:rFonts w:hint="default" w:ascii="Times New Roman" w:hAnsi="Times New Roman" w:eastAsia="宋体" w:cs="Times New Roman"/>
                <w:color w:val="000000"/>
                <w:u w:val="none" w:color="auto"/>
                <w:lang w:val="en-US" w:eastAsia="zh-CN"/>
              </w:rPr>
              <w:t>本项目为煤炭储存、集运行业，项目不属于重点行业，项目排放的大气污染物主要为颗粒物，</w:t>
            </w:r>
            <w:r>
              <w:rPr>
                <w:rFonts w:hint="eastAsia" w:cs="Times New Roman"/>
                <w:color w:val="auto"/>
                <w:highlight w:val="none"/>
                <w:u w:val="none" w:color="auto"/>
                <w:lang w:val="en-US" w:eastAsia="zh-CN"/>
              </w:rPr>
              <w:t>储煤场、带式输送机、装载点全封闭</w:t>
            </w:r>
            <w:r>
              <w:rPr>
                <w:rFonts w:hint="eastAsia" w:cs="Times New Roman"/>
                <w:color w:val="000000"/>
                <w:u w:val="none" w:color="auto"/>
                <w:lang w:val="en-US" w:eastAsia="zh-CN"/>
              </w:rPr>
              <w:t>，采用</w:t>
            </w:r>
            <w:r>
              <w:rPr>
                <w:rFonts w:hint="eastAsia" w:cs="Times New Roman"/>
                <w:color w:val="auto"/>
                <w:highlight w:val="none"/>
                <w:u w:val="none" w:color="auto"/>
                <w:lang w:val="en-US" w:eastAsia="zh-CN"/>
              </w:rPr>
              <w:t>射雾器、干雾除尘装置降尘，废气</w:t>
            </w:r>
            <w:r>
              <w:rPr>
                <w:rFonts w:hint="default" w:ascii="Times New Roman" w:hAnsi="Times New Roman" w:eastAsia="宋体" w:cs="Times New Roman"/>
                <w:color w:val="000000"/>
                <w:u w:val="none" w:color="auto"/>
                <w:lang w:val="en-US" w:eastAsia="zh-CN"/>
              </w:rPr>
              <w:t>经治理后均可实现达标排放；项目废水主要为转载点场地冲洗废水、职工生活污水</w:t>
            </w:r>
            <w:r>
              <w:rPr>
                <w:rFonts w:hint="eastAsia" w:ascii="Times New Roman" w:hAnsi="Times New Roman" w:eastAsia="宋体" w:cs="Times New Roman"/>
                <w:color w:val="000000"/>
                <w:u w:val="none" w:color="auto"/>
                <w:lang w:val="en-US" w:eastAsia="zh-CN"/>
              </w:rPr>
              <w:t>等</w:t>
            </w:r>
            <w:r>
              <w:rPr>
                <w:rFonts w:hint="default" w:ascii="Times New Roman" w:hAnsi="Times New Roman" w:eastAsia="宋体" w:cs="Times New Roman"/>
                <w:color w:val="000000"/>
                <w:u w:val="none" w:color="auto"/>
                <w:lang w:val="en-US" w:eastAsia="zh-CN"/>
              </w:rPr>
              <w:t>，主要污染物为 COD、SS 等，不含重金属废水；生活污水</w:t>
            </w:r>
            <w:r>
              <w:rPr>
                <w:rFonts w:hint="eastAsia" w:ascii="Times New Roman" w:hAnsi="Times New Roman" w:eastAsia="宋体" w:cs="Times New Roman"/>
                <w:color w:val="000000"/>
                <w:u w:val="none" w:color="auto"/>
                <w:lang w:val="en-US" w:eastAsia="zh-CN"/>
              </w:rPr>
              <w:t>、生产废水均经处理后回用，不外排。</w:t>
            </w:r>
            <w:r>
              <w:rPr>
                <w:rFonts w:hint="default" w:ascii="Times New Roman" w:hAnsi="Times New Roman" w:eastAsia="宋体" w:cs="Times New Roman"/>
                <w:color w:val="000000"/>
                <w:u w:val="none" w:color="auto"/>
                <w:lang w:val="en-US" w:eastAsia="zh-CN"/>
              </w:rPr>
              <w:t>沉淀池泥渣，收集后送至</w:t>
            </w:r>
            <w:r>
              <w:rPr>
                <w:rFonts w:hint="eastAsia" w:ascii="Times New Roman" w:hAnsi="Times New Roman" w:eastAsia="宋体" w:cs="Times New Roman"/>
                <w:color w:val="000000"/>
                <w:u w:val="none" w:color="auto"/>
                <w:lang w:val="en-US" w:eastAsia="zh-CN"/>
              </w:rPr>
              <w:t>煤棚，危废暂存危废间，交由资质单位处置，</w:t>
            </w:r>
            <w:r>
              <w:rPr>
                <w:rFonts w:hint="default" w:ascii="Times New Roman" w:hAnsi="Times New Roman" w:eastAsia="宋体" w:cs="Times New Roman"/>
                <w:color w:val="000000"/>
                <w:u w:val="none" w:color="auto"/>
                <w:lang w:val="en-US" w:eastAsia="zh-CN"/>
              </w:rPr>
              <w:t>生活垃圾由环卫部门统一清运处置</w:t>
            </w:r>
            <w:r>
              <w:rPr>
                <w:rFonts w:hint="eastAsia" w:ascii="Times New Roman" w:hAnsi="Times New Roman" w:eastAsia="宋体" w:cs="Times New Roman"/>
                <w:color w:val="000000"/>
                <w:u w:val="none" w:color="auto"/>
                <w:lang w:val="en-US" w:eastAsia="zh-CN"/>
              </w:rPr>
              <w:t>。</w:t>
            </w:r>
            <w:r>
              <w:rPr>
                <w:rFonts w:hint="default" w:ascii="Times New Roman" w:hAnsi="Times New Roman" w:eastAsia="宋体" w:cs="Times New Roman"/>
                <w:color w:val="000000"/>
                <w:u w:val="none" w:color="auto"/>
                <w:lang w:val="en-US" w:eastAsia="zh-CN"/>
              </w:rPr>
              <w:t>项目初期雨水池</w:t>
            </w:r>
            <w:r>
              <w:rPr>
                <w:rFonts w:hint="eastAsia" w:ascii="Times New Roman" w:hAnsi="Times New Roman" w:eastAsia="宋体" w:cs="Times New Roman"/>
                <w:color w:val="000000"/>
                <w:u w:val="none" w:color="auto"/>
                <w:lang w:val="en-US" w:eastAsia="zh-CN"/>
              </w:rPr>
              <w:t>、化粪池、生活污水处理站</w:t>
            </w:r>
            <w:r>
              <w:rPr>
                <w:rFonts w:hint="default" w:ascii="Times New Roman" w:hAnsi="Times New Roman" w:eastAsia="宋体" w:cs="Times New Roman"/>
                <w:color w:val="000000"/>
                <w:u w:val="none" w:color="auto"/>
                <w:lang w:val="en-US" w:eastAsia="zh-CN"/>
              </w:rPr>
              <w:t>等均按重点防渗区要求进行建设防渗层，对周边</w:t>
            </w:r>
            <w:r>
              <w:rPr>
                <w:rFonts w:hint="eastAsia" w:ascii="Times New Roman" w:hAnsi="Times New Roman" w:eastAsia="宋体" w:cs="Times New Roman"/>
                <w:color w:val="000000"/>
                <w:u w:val="none" w:color="auto"/>
                <w:lang w:val="en-US" w:eastAsia="zh-CN"/>
              </w:rPr>
              <w:t>地下水、</w:t>
            </w:r>
            <w:r>
              <w:rPr>
                <w:rFonts w:hint="default" w:ascii="Times New Roman" w:hAnsi="Times New Roman" w:eastAsia="宋体" w:cs="Times New Roman"/>
                <w:color w:val="000000"/>
                <w:u w:val="none" w:color="auto"/>
                <w:lang w:val="en-US" w:eastAsia="zh-CN"/>
              </w:rPr>
              <w:t>土壤环境影响不大。</w:t>
            </w:r>
          </w:p>
          <w:p>
            <w:pPr>
              <w:spacing w:line="360" w:lineRule="auto"/>
              <w:ind w:firstLine="420" w:firstLineChars="200"/>
              <w:rPr>
                <w:rFonts w:hint="default" w:ascii="Times New Roman" w:hAnsi="Times New Roman" w:eastAsia="宋体" w:cs="Times New Roman"/>
                <w:color w:val="000000"/>
                <w:u w:val="none" w:color="auto"/>
                <w:lang w:val="en-US" w:eastAsia="zh-CN"/>
              </w:rPr>
            </w:pPr>
            <w:r>
              <w:rPr>
                <w:rFonts w:hint="default" w:ascii="Times New Roman" w:hAnsi="Times New Roman" w:eastAsia="宋体" w:cs="Times New Roman"/>
                <w:color w:val="000000"/>
                <w:u w:val="none" w:color="auto"/>
                <w:lang w:val="en-US" w:eastAsia="zh-CN"/>
              </w:rPr>
              <w:t>（3）治理措施</w:t>
            </w:r>
          </w:p>
          <w:p>
            <w:pPr>
              <w:spacing w:line="360" w:lineRule="auto"/>
              <w:ind w:firstLine="420" w:firstLineChars="200"/>
              <w:rPr>
                <w:rFonts w:hint="eastAsia" w:ascii="Times New Roman" w:hAnsi="Times New Roman" w:eastAsia="宋体" w:cs="Times New Roman"/>
                <w:color w:val="000000"/>
                <w:u w:val="none" w:color="auto"/>
                <w:lang w:val="en-US" w:eastAsia="zh-CN"/>
              </w:rPr>
            </w:pPr>
            <w:r>
              <w:rPr>
                <w:rFonts w:hint="default" w:ascii="Times New Roman" w:hAnsi="Times New Roman" w:eastAsia="宋体" w:cs="Times New Roman"/>
                <w:color w:val="000000"/>
                <w:u w:val="none" w:color="auto"/>
                <w:lang w:val="en-US" w:eastAsia="zh-CN"/>
              </w:rPr>
              <w:t>本项目地下水环境污染途径主要是池体的破损引起的含煤泥废水下渗污染地下水。本项目</w:t>
            </w:r>
            <w:r>
              <w:rPr>
                <w:rFonts w:hint="eastAsia" w:ascii="Times New Roman" w:hAnsi="Times New Roman" w:eastAsia="宋体" w:cs="Times New Roman"/>
                <w:color w:val="000000"/>
                <w:u w:val="none" w:color="auto"/>
                <w:lang w:val="en-US" w:eastAsia="zh-CN"/>
              </w:rPr>
              <w:t>地下水</w:t>
            </w:r>
            <w:r>
              <w:rPr>
                <w:rFonts w:hint="default" w:ascii="Times New Roman" w:hAnsi="Times New Roman" w:eastAsia="宋体" w:cs="Times New Roman"/>
                <w:color w:val="000000"/>
                <w:u w:val="none" w:color="auto"/>
                <w:lang w:val="en-US" w:eastAsia="zh-CN"/>
              </w:rPr>
              <w:t>防渗分区见下表</w:t>
            </w:r>
            <w:r>
              <w:rPr>
                <w:rFonts w:hint="eastAsia" w:ascii="Times New Roman" w:hAnsi="Times New Roman" w:eastAsia="宋体" w:cs="Times New Roman"/>
                <w:color w:val="000000"/>
                <w:u w:val="none" w:color="auto"/>
                <w:lang w:val="en-US" w:eastAsia="zh-CN"/>
              </w:rPr>
              <w:t>。</w:t>
            </w:r>
          </w:p>
          <w:p>
            <w:pPr>
              <w:pStyle w:val="65"/>
              <w:bidi w:val="0"/>
              <w:spacing w:line="360" w:lineRule="auto"/>
              <w:jc w:val="center"/>
              <w:outlineLvl w:val="9"/>
              <w:rPr>
                <w:rFonts w:hint="eastAsia" w:ascii="Times New Roman" w:hAnsi="Times New Roman" w:eastAsia="宋体" w:cs="Times New Roman"/>
                <w:b/>
                <w:color w:val="auto"/>
                <w:kern w:val="0"/>
                <w:szCs w:val="21"/>
                <w:u w:val="none"/>
                <w:lang w:eastAsia="zh-CN"/>
              </w:rPr>
            </w:pPr>
            <w:r>
              <w:rPr>
                <w:rFonts w:hint="default" w:ascii="Times New Roman" w:hAnsi="Times New Roman" w:cs="Times New Roman"/>
                <w:b/>
                <w:color w:val="auto"/>
                <w:kern w:val="0"/>
                <w:szCs w:val="21"/>
                <w:u w:val="none"/>
              </w:rPr>
              <w:t>表4-1</w:t>
            </w:r>
            <w:r>
              <w:rPr>
                <w:rFonts w:hint="eastAsia" w:cs="Times New Roman"/>
                <w:b/>
                <w:color w:val="auto"/>
                <w:kern w:val="0"/>
                <w:szCs w:val="21"/>
                <w:u w:val="none"/>
                <w:lang w:val="en-US" w:eastAsia="zh-CN"/>
              </w:rPr>
              <w:t>5</w:t>
            </w:r>
            <w:r>
              <w:rPr>
                <w:rFonts w:hint="default" w:ascii="Times New Roman" w:hAnsi="Times New Roman" w:cs="Times New Roman"/>
                <w:b/>
                <w:color w:val="auto"/>
                <w:kern w:val="0"/>
                <w:szCs w:val="21"/>
                <w:u w:val="none"/>
              </w:rPr>
              <w:t xml:space="preserve"> </w:t>
            </w:r>
            <w:r>
              <w:rPr>
                <w:rFonts w:hint="eastAsia" w:ascii="Times New Roman" w:hAnsi="Times New Roman" w:cs="Times New Roman"/>
                <w:b/>
                <w:color w:val="auto"/>
                <w:kern w:val="0"/>
                <w:szCs w:val="21"/>
                <w:u w:val="none"/>
                <w:lang w:eastAsia="zh-CN"/>
              </w:rPr>
              <w:t>项目防渗分区表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52"/>
              <w:gridCol w:w="2417"/>
              <w:gridCol w:w="410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2" w:type="pct"/>
                  <w:noWrap w:val="0"/>
                  <w:vAlign w:val="center"/>
                </w:tcPr>
                <w:p>
                  <w:pPr>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防渗分区</w:t>
                  </w:r>
                </w:p>
              </w:tc>
              <w:tc>
                <w:tcPr>
                  <w:tcW w:w="1497" w:type="pct"/>
                  <w:noWrap w:val="0"/>
                  <w:vAlign w:val="center"/>
                </w:tcPr>
                <w:p>
                  <w:pPr>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防渗位置</w:t>
                  </w:r>
                </w:p>
              </w:tc>
              <w:tc>
                <w:tcPr>
                  <w:tcW w:w="2540" w:type="pct"/>
                  <w:noWrap w:val="0"/>
                  <w:vAlign w:val="center"/>
                </w:tcPr>
                <w:p>
                  <w:pPr>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防渗技术要求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2" w:type="pct"/>
                  <w:shd w:val="clear" w:color="auto" w:fill="auto"/>
                  <w:noWrap w:val="0"/>
                  <w:vAlign w:val="center"/>
                </w:tcPr>
                <w:p>
                  <w:pPr>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重点防渗区</w:t>
                  </w:r>
                </w:p>
              </w:tc>
              <w:tc>
                <w:tcPr>
                  <w:tcW w:w="1497" w:type="pct"/>
                  <w:shd w:val="clear" w:color="auto" w:fill="auto"/>
                  <w:noWrap w:val="0"/>
                  <w:vAlign w:val="center"/>
                </w:tcPr>
                <w:p>
                  <w:pPr>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初期雨水收集池、冲洗废水收集管道、化粪池、生活污水处理站</w:t>
                  </w:r>
                </w:p>
              </w:tc>
              <w:tc>
                <w:tcPr>
                  <w:tcW w:w="2540" w:type="pct"/>
                  <w:shd w:val="clear" w:color="auto" w:fill="auto"/>
                  <w:noWrap w:val="0"/>
                  <w:vAlign w:val="center"/>
                </w:tcPr>
                <w:p>
                  <w:pPr>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防渗层可由单一或多种防渗材料组成，防渗性能不应低于6.0m厚渗透系数为1.0×10</w:t>
                  </w:r>
                  <w:r>
                    <w:rPr>
                      <w:rFonts w:hint="default" w:ascii="Times New Roman" w:hAnsi="Times New Roman" w:eastAsia="宋体" w:cs="Times New Roman"/>
                      <w:color w:val="auto"/>
                      <w:kern w:val="2"/>
                      <w:sz w:val="21"/>
                      <w:szCs w:val="21"/>
                      <w:highlight w:val="none"/>
                      <w:u w:val="none"/>
                      <w:vertAlign w:val="superscript"/>
                      <w:lang w:val="en-US" w:eastAsia="zh-CN" w:bidi="ar-SA"/>
                    </w:rPr>
                    <w:t>-7</w:t>
                  </w:r>
                  <w:r>
                    <w:rPr>
                      <w:rFonts w:hint="default" w:ascii="Times New Roman" w:hAnsi="Times New Roman" w:eastAsia="宋体" w:cs="Times New Roman"/>
                      <w:color w:val="auto"/>
                      <w:kern w:val="2"/>
                      <w:sz w:val="21"/>
                      <w:szCs w:val="21"/>
                      <w:highlight w:val="none"/>
                      <w:u w:val="none"/>
                      <w:lang w:val="en-US" w:eastAsia="zh-CN" w:bidi="ar-SA"/>
                    </w:rPr>
                    <w:t>cm/s 黏土层的防渗性能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2" w:type="pct"/>
                  <w:shd w:val="clear" w:color="auto" w:fill="auto"/>
                  <w:noWrap w:val="0"/>
                  <w:vAlign w:val="center"/>
                </w:tcPr>
                <w:p>
                  <w:pPr>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一般防渗区</w:t>
                  </w:r>
                </w:p>
              </w:tc>
              <w:tc>
                <w:tcPr>
                  <w:tcW w:w="1497" w:type="pct"/>
                  <w:shd w:val="clear" w:color="auto" w:fill="auto"/>
                  <w:noWrap w:val="0"/>
                  <w:vAlign w:val="center"/>
                </w:tcPr>
                <w:p>
                  <w:pPr>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储煤场、机修车间、厂内道路</w:t>
                  </w:r>
                </w:p>
              </w:tc>
              <w:tc>
                <w:tcPr>
                  <w:tcW w:w="2540" w:type="pct"/>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000000"/>
                      <w:kern w:val="0"/>
                      <w:sz w:val="21"/>
                      <w:szCs w:val="21"/>
                      <w:lang w:val="en-US" w:eastAsia="zh-CN" w:bidi="ar"/>
                    </w:rPr>
                    <w:t>混凝土结构</w:t>
                  </w:r>
                </w:p>
              </w:tc>
            </w:tr>
          </w:tbl>
          <w:p>
            <w:pPr>
              <w:pStyle w:val="6"/>
              <w:numPr>
                <w:ilvl w:val="2"/>
                <w:numId w:val="0"/>
              </w:numPr>
              <w:tabs>
                <w:tab w:val="clear" w:pos="720"/>
              </w:tabs>
              <w:spacing w:line="360" w:lineRule="auto"/>
              <w:ind w:firstLine="482" w:firstLineChars="200"/>
              <w:rPr>
                <w:rFonts w:hint="default" w:ascii="Times New Roman" w:hAnsi="Times New Roman" w:cs="Times New Roman"/>
                <w:color w:val="auto"/>
                <w:u w:val="none" w:color="auto"/>
              </w:rPr>
            </w:pPr>
            <w:r>
              <w:rPr>
                <w:rFonts w:hint="eastAsia" w:cs="Times New Roman"/>
                <w:color w:val="auto"/>
                <w:u w:val="none" w:color="auto"/>
                <w:lang w:val="en-US" w:eastAsia="zh-CN"/>
              </w:rPr>
              <w:t>6、</w:t>
            </w:r>
            <w:r>
              <w:rPr>
                <w:rFonts w:hint="default" w:ascii="Times New Roman" w:hAnsi="Times New Roman" w:cs="Times New Roman"/>
                <w:color w:val="auto"/>
                <w:u w:val="none" w:color="auto"/>
              </w:rPr>
              <w:t>环境风险分析</w:t>
            </w:r>
          </w:p>
          <w:p>
            <w:pPr>
              <w:pStyle w:val="11"/>
              <w:spacing w:after="0" w:line="360" w:lineRule="auto"/>
              <w:ind w:left="0" w:leftChars="0" w:firstLine="422" w:firstLineChars="200"/>
              <w:jc w:val="left"/>
              <w:rPr>
                <w:b/>
                <w:bCs/>
                <w:color w:val="auto"/>
                <w:sz w:val="21"/>
                <w:szCs w:val="21"/>
                <w:u w:val="none" w:color="auto"/>
              </w:rPr>
            </w:pPr>
            <w:r>
              <w:rPr>
                <w:rFonts w:hint="eastAsia"/>
                <w:b/>
                <w:bCs/>
                <w:color w:val="auto"/>
                <w:sz w:val="21"/>
                <w:szCs w:val="21"/>
                <w:u w:val="none" w:color="auto"/>
              </w:rPr>
              <w:t>（1）</w:t>
            </w:r>
            <w:r>
              <w:rPr>
                <w:b/>
                <w:bCs/>
                <w:color w:val="auto"/>
                <w:sz w:val="21"/>
                <w:szCs w:val="21"/>
                <w:u w:val="none" w:color="auto"/>
              </w:rPr>
              <w:t>主要危险物质及风险源分布情况</w:t>
            </w:r>
          </w:p>
          <w:p>
            <w:pPr>
              <w:spacing w:line="360" w:lineRule="auto"/>
              <w:ind w:firstLine="420" w:firstLineChars="200"/>
              <w:rPr>
                <w:color w:val="auto"/>
                <w:u w:val="none" w:color="auto"/>
              </w:rPr>
            </w:pPr>
            <w:r>
              <w:rPr>
                <w:rFonts w:hint="eastAsia"/>
                <w:color w:val="auto"/>
                <w:u w:val="none" w:color="auto"/>
              </w:rPr>
              <w:t>根据</w:t>
            </w:r>
            <w:r>
              <w:rPr>
                <w:color w:val="auto"/>
                <w:u w:val="none" w:color="auto"/>
              </w:rPr>
              <w:t>《建设项目环境风险评价技术导则》（HJ169-2018）</w:t>
            </w:r>
            <w:r>
              <w:rPr>
                <w:rFonts w:hint="eastAsia"/>
                <w:color w:val="auto"/>
                <w:u w:val="none" w:color="auto"/>
              </w:rPr>
              <w:t>以及《危险化学品重大危险源辨识》（GB18218-2018），</w:t>
            </w:r>
            <w:r>
              <w:rPr>
                <w:rFonts w:hint="eastAsia"/>
                <w:color w:val="auto"/>
                <w:highlight w:val="none"/>
                <w:u w:val="none" w:color="auto"/>
              </w:rPr>
              <w:t>本项目</w:t>
            </w:r>
            <w:r>
              <w:rPr>
                <w:color w:val="auto"/>
                <w:highlight w:val="none"/>
                <w:u w:val="none" w:color="auto"/>
              </w:rPr>
              <w:t>风险物质</w:t>
            </w:r>
            <w:r>
              <w:rPr>
                <w:rFonts w:hint="eastAsia"/>
                <w:color w:val="auto"/>
                <w:highlight w:val="none"/>
                <w:u w:val="none" w:color="auto"/>
                <w:lang w:eastAsia="zh-CN"/>
              </w:rPr>
              <w:t>主要为柴油、润滑油、废润滑</w:t>
            </w:r>
            <w:r>
              <w:rPr>
                <w:rFonts w:hint="eastAsia"/>
                <w:color w:val="auto"/>
                <w:u w:val="none" w:color="auto"/>
                <w:lang w:eastAsia="zh-CN"/>
              </w:rPr>
              <w:t>油等</w:t>
            </w:r>
            <w:r>
              <w:rPr>
                <w:rFonts w:hint="eastAsia"/>
                <w:color w:val="auto"/>
                <w:u w:val="none" w:color="auto"/>
              </w:rPr>
              <w:t>。</w:t>
            </w:r>
          </w:p>
          <w:p>
            <w:pPr>
              <w:pStyle w:val="11"/>
              <w:spacing w:after="0" w:line="360" w:lineRule="auto"/>
              <w:ind w:left="0" w:leftChars="0" w:firstLine="422" w:firstLineChars="200"/>
              <w:jc w:val="left"/>
              <w:rPr>
                <w:b/>
                <w:bCs/>
                <w:color w:val="auto"/>
                <w:sz w:val="21"/>
                <w:szCs w:val="21"/>
                <w:u w:val="none" w:color="auto"/>
              </w:rPr>
            </w:pPr>
            <w:r>
              <w:rPr>
                <w:rFonts w:hint="eastAsia"/>
                <w:b/>
                <w:bCs/>
                <w:color w:val="auto"/>
                <w:sz w:val="21"/>
                <w:szCs w:val="21"/>
                <w:u w:val="none" w:color="auto"/>
              </w:rPr>
              <w:t>（2）</w:t>
            </w:r>
            <w:r>
              <w:rPr>
                <w:b/>
                <w:bCs/>
                <w:color w:val="auto"/>
                <w:sz w:val="21"/>
                <w:szCs w:val="21"/>
                <w:u w:val="none" w:color="auto"/>
              </w:rPr>
              <w:t>风险潜势初判</w:t>
            </w:r>
          </w:p>
          <w:p>
            <w:pPr>
              <w:spacing w:line="360" w:lineRule="auto"/>
              <w:ind w:firstLine="420" w:firstLineChars="200"/>
              <w:rPr>
                <w:color w:val="auto"/>
                <w:u w:val="none" w:color="auto"/>
              </w:rPr>
            </w:pPr>
            <w:r>
              <w:rPr>
                <w:color w:val="auto"/>
                <w:u w:val="none" w:color="auto"/>
              </w:rPr>
              <w:t>根据《建设项目环境风险评价导则》</w:t>
            </w:r>
            <w:r>
              <w:rPr>
                <w:rFonts w:hint="eastAsia"/>
                <w:color w:val="auto"/>
                <w:u w:val="none" w:color="auto"/>
              </w:rPr>
              <w:t>（</w:t>
            </w:r>
            <w:r>
              <w:rPr>
                <w:color w:val="auto"/>
                <w:u w:val="none" w:color="auto"/>
              </w:rPr>
              <w:t>HJ169-2018</w:t>
            </w:r>
            <w:r>
              <w:rPr>
                <w:rFonts w:hint="eastAsia"/>
                <w:color w:val="auto"/>
                <w:u w:val="none" w:color="auto"/>
              </w:rPr>
              <w:t>）</w:t>
            </w:r>
            <w:r>
              <w:rPr>
                <w:color w:val="auto"/>
                <w:u w:val="none" w:color="auto"/>
              </w:rPr>
              <w:t>附录C，计算</w:t>
            </w:r>
            <w:r>
              <w:rPr>
                <w:rFonts w:hint="eastAsia"/>
                <w:color w:val="auto"/>
                <w:u w:val="none" w:color="auto"/>
              </w:rPr>
              <w:t>本项目</w:t>
            </w:r>
            <w:r>
              <w:rPr>
                <w:color w:val="auto"/>
                <w:u w:val="none" w:color="auto"/>
              </w:rPr>
              <w:t>所涉及的每种危险物质在厂界内的最大存在总量与其在附录B中对应临界量的比值Q。</w:t>
            </w:r>
          </w:p>
          <w:p>
            <w:pPr>
              <w:spacing w:line="360" w:lineRule="auto"/>
              <w:ind w:firstLine="420" w:firstLineChars="200"/>
              <w:rPr>
                <w:color w:val="auto"/>
                <w:u w:val="none" w:color="auto"/>
              </w:rPr>
            </w:pPr>
            <w:r>
              <w:rPr>
                <w:color w:val="auto"/>
                <w:u w:val="none" w:color="auto"/>
              </w:rPr>
              <w:t>当只涉及一种危险物质时，计算该物质的总量与其临界量比值，即为Q；</w:t>
            </w:r>
          </w:p>
          <w:p>
            <w:pPr>
              <w:spacing w:line="360" w:lineRule="auto"/>
              <w:ind w:firstLine="420" w:firstLineChars="200"/>
              <w:rPr>
                <w:color w:val="auto"/>
                <w:u w:val="none" w:color="auto"/>
              </w:rPr>
            </w:pPr>
            <w:r>
              <w:rPr>
                <w:color w:val="auto"/>
                <w:u w:val="none" w:color="auto"/>
              </w:rPr>
              <w:t>当存在多种危险物质时，则下式计算物质总量与其临界量比值(Q)：</w:t>
            </w:r>
          </w:p>
          <w:p>
            <w:pPr>
              <w:spacing w:line="360" w:lineRule="auto"/>
              <w:jc w:val="center"/>
              <w:rPr>
                <w:color w:val="auto"/>
                <w:u w:val="none" w:color="auto"/>
              </w:rPr>
            </w:pPr>
            <w:r>
              <w:rPr>
                <w:color w:val="auto"/>
                <w:u w:val="none" w:color="auto"/>
              </w:rPr>
              <w:drawing>
                <wp:inline distT="0" distB="0" distL="114300" distR="114300">
                  <wp:extent cx="1753870" cy="468630"/>
                  <wp:effectExtent l="0" t="0" r="17780" b="7620"/>
                  <wp:docPr id="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3"/>
                          <pic:cNvPicPr>
                            <a:picLocks noChangeAspect="1"/>
                          </pic:cNvPicPr>
                        </pic:nvPicPr>
                        <pic:blipFill>
                          <a:blip r:embed="rId21"/>
                          <a:stretch>
                            <a:fillRect/>
                          </a:stretch>
                        </pic:blipFill>
                        <pic:spPr>
                          <a:xfrm>
                            <a:off x="0" y="0"/>
                            <a:ext cx="1753870" cy="468630"/>
                          </a:xfrm>
                          <a:prstGeom prst="rect">
                            <a:avLst/>
                          </a:prstGeom>
                          <a:noFill/>
                          <a:ln>
                            <a:noFill/>
                          </a:ln>
                        </pic:spPr>
                      </pic:pic>
                    </a:graphicData>
                  </a:graphic>
                </wp:inline>
              </w:drawing>
            </w:r>
          </w:p>
          <w:p>
            <w:pPr>
              <w:spacing w:line="360" w:lineRule="auto"/>
              <w:ind w:firstLine="420" w:firstLineChars="200"/>
              <w:rPr>
                <w:color w:val="auto"/>
                <w:u w:val="none" w:color="auto"/>
              </w:rPr>
            </w:pPr>
            <w:r>
              <w:rPr>
                <w:color w:val="auto"/>
                <w:u w:val="none" w:color="auto"/>
              </w:rPr>
              <w:t>式中：q</w:t>
            </w:r>
            <w:r>
              <w:rPr>
                <w:color w:val="auto"/>
                <w:u w:val="none" w:color="auto"/>
                <w:vertAlign w:val="subscript"/>
              </w:rPr>
              <w:t>1</w:t>
            </w:r>
            <w:r>
              <w:rPr>
                <w:color w:val="auto"/>
                <w:u w:val="none" w:color="auto"/>
              </w:rPr>
              <w:t>，q</w:t>
            </w:r>
            <w:r>
              <w:rPr>
                <w:color w:val="auto"/>
                <w:u w:val="none" w:color="auto"/>
                <w:vertAlign w:val="subscript"/>
              </w:rPr>
              <w:t>2</w:t>
            </w:r>
            <w:r>
              <w:rPr>
                <w:color w:val="auto"/>
                <w:u w:val="none" w:color="auto"/>
              </w:rPr>
              <w:t>，...，q</w:t>
            </w:r>
            <w:r>
              <w:rPr>
                <w:color w:val="auto"/>
                <w:u w:val="none" w:color="auto"/>
                <w:vertAlign w:val="subscript"/>
              </w:rPr>
              <w:t>n</w:t>
            </w:r>
            <w:r>
              <w:rPr>
                <w:color w:val="auto"/>
                <w:u w:val="none" w:color="auto"/>
              </w:rPr>
              <w:t>——每种危险物质的最大存在总量，t；</w:t>
            </w:r>
          </w:p>
          <w:p>
            <w:pPr>
              <w:spacing w:line="360" w:lineRule="auto"/>
              <w:ind w:firstLine="1050" w:firstLineChars="500"/>
              <w:rPr>
                <w:color w:val="auto"/>
                <w:u w:val="none" w:color="auto"/>
              </w:rPr>
            </w:pPr>
            <w:r>
              <w:rPr>
                <w:color w:val="auto"/>
                <w:u w:val="none" w:color="auto"/>
              </w:rPr>
              <w:t>Q</w:t>
            </w:r>
            <w:r>
              <w:rPr>
                <w:color w:val="auto"/>
                <w:u w:val="none" w:color="auto"/>
                <w:vertAlign w:val="subscript"/>
              </w:rPr>
              <w:t>1</w:t>
            </w:r>
            <w:r>
              <w:rPr>
                <w:color w:val="auto"/>
                <w:u w:val="none" w:color="auto"/>
              </w:rPr>
              <w:t>，Q</w:t>
            </w:r>
            <w:r>
              <w:rPr>
                <w:color w:val="auto"/>
                <w:u w:val="none" w:color="auto"/>
                <w:vertAlign w:val="subscript"/>
              </w:rPr>
              <w:t>2</w:t>
            </w:r>
            <w:r>
              <w:rPr>
                <w:color w:val="auto"/>
                <w:u w:val="none" w:color="auto"/>
              </w:rPr>
              <w:t>，...，Q</w:t>
            </w:r>
            <w:r>
              <w:rPr>
                <w:color w:val="auto"/>
                <w:u w:val="none" w:color="auto"/>
                <w:vertAlign w:val="subscript"/>
              </w:rPr>
              <w:t>n</w:t>
            </w:r>
            <w:r>
              <w:rPr>
                <w:color w:val="auto"/>
                <w:u w:val="none" w:color="auto"/>
              </w:rPr>
              <w:t>——每种危险物质的临界量，t。</w:t>
            </w:r>
          </w:p>
          <w:p>
            <w:pPr>
              <w:spacing w:line="360" w:lineRule="auto"/>
              <w:ind w:firstLine="1050" w:firstLineChars="500"/>
              <w:rPr>
                <w:color w:val="auto"/>
                <w:u w:val="none" w:color="auto"/>
              </w:rPr>
            </w:pPr>
            <w:r>
              <w:rPr>
                <w:color w:val="auto"/>
                <w:u w:val="none" w:color="auto"/>
              </w:rPr>
              <w:t>当Q＜1时，该项目环境风险潜势为Ⅰ。</w:t>
            </w:r>
          </w:p>
          <w:p>
            <w:pPr>
              <w:spacing w:line="360" w:lineRule="auto"/>
              <w:ind w:firstLine="1050" w:firstLineChars="500"/>
              <w:rPr>
                <w:color w:val="auto"/>
                <w:u w:val="none" w:color="auto"/>
              </w:rPr>
            </w:pPr>
            <w:r>
              <w:rPr>
                <w:color w:val="auto"/>
                <w:u w:val="none" w:color="auto"/>
              </w:rPr>
              <w:t>当Q≥1时，将Q值划分为：(1)1≤Q＜10；(2)10≤Q＜100；(3)Q≥100。</w:t>
            </w:r>
          </w:p>
          <w:p>
            <w:pPr>
              <w:keepNext w:val="0"/>
              <w:keepLines w:val="0"/>
              <w:suppressLineNumbers w:val="0"/>
              <w:spacing w:before="0" w:beforeAutospacing="0" w:after="0" w:afterAutospacing="0" w:line="360" w:lineRule="auto"/>
              <w:ind w:left="0" w:right="0" w:firstLine="420" w:firstLineChars="200"/>
              <w:rPr>
                <w:rFonts w:hint="eastAsia" w:ascii="宋体" w:hAnsi="宋体" w:eastAsia="宋体" w:cs="宋体"/>
                <w:i w:val="0"/>
                <w:iCs w:val="0"/>
                <w:color w:val="auto"/>
                <w:sz w:val="21"/>
                <w:szCs w:val="21"/>
                <w:u w:val="none" w:color="auto"/>
                <w:lang w:bidi="ar"/>
              </w:rPr>
            </w:pPr>
            <w:r>
              <w:rPr>
                <w:rFonts w:hint="eastAsia" w:ascii="宋体" w:hAnsi="宋体" w:eastAsia="宋体" w:cs="宋体"/>
                <w:i w:val="0"/>
                <w:iCs w:val="0"/>
                <w:color w:val="auto"/>
                <w:sz w:val="21"/>
                <w:szCs w:val="21"/>
                <w:u w:val="none" w:color="auto"/>
                <w:lang w:bidi="ar"/>
              </w:rPr>
              <w:t>项目风险潜势初判风险物质为</w:t>
            </w:r>
            <w:r>
              <w:rPr>
                <w:rFonts w:hint="eastAsia"/>
                <w:color w:val="auto"/>
                <w:szCs w:val="21"/>
                <w:u w:val="none" w:color="auto"/>
                <w:lang w:eastAsia="zh-CN"/>
              </w:rPr>
              <w:t>润滑油和废润滑油</w:t>
            </w:r>
            <w:r>
              <w:rPr>
                <w:rFonts w:hint="eastAsia" w:ascii="宋体" w:hAnsi="宋体" w:eastAsia="宋体" w:cs="宋体"/>
                <w:i w:val="0"/>
                <w:iCs w:val="0"/>
                <w:color w:val="auto"/>
                <w:sz w:val="21"/>
                <w:szCs w:val="21"/>
                <w:u w:val="none" w:color="auto"/>
                <w:lang w:bidi="ar"/>
              </w:rPr>
              <w:t>。</w:t>
            </w:r>
          </w:p>
          <w:p>
            <w:pPr>
              <w:pStyle w:val="28"/>
              <w:keepNext w:val="0"/>
              <w:keepLines w:val="0"/>
              <w:widowControl w:val="0"/>
              <w:suppressLineNumbers w:val="0"/>
              <w:autoSpaceDE w:val="0"/>
              <w:spacing w:before="0" w:beforeAutospacing="0" w:after="0" w:afterAutospacing="0"/>
              <w:ind w:left="0" w:right="0" w:firstLine="480"/>
              <w:jc w:val="center"/>
              <w:rPr>
                <w:rFonts w:hint="default" w:ascii="Times New Roman" w:hAnsi="Times New Roman" w:eastAsia="宋体" w:cs="Times New Roman"/>
                <w:b/>
                <w:i w:val="0"/>
                <w:iCs w:val="0"/>
                <w:color w:val="auto"/>
                <w:kern w:val="2"/>
                <w:sz w:val="21"/>
                <w:szCs w:val="21"/>
                <w:u w:val="none" w:color="auto"/>
                <w:lang w:val="en-US" w:eastAsia="zh-CN"/>
              </w:rPr>
            </w:pPr>
            <w:r>
              <w:rPr>
                <w:rFonts w:hint="eastAsia" w:eastAsia="宋体" w:cs="Times New Roman"/>
                <w:b/>
                <w:i w:val="0"/>
                <w:iCs w:val="0"/>
                <w:color w:val="auto"/>
                <w:kern w:val="2"/>
                <w:sz w:val="21"/>
                <w:szCs w:val="21"/>
                <w:u w:val="none" w:color="auto"/>
                <w:lang w:val="en-US" w:eastAsia="zh-CN" w:bidi="ar"/>
              </w:rPr>
              <w:t>表</w:t>
            </w:r>
            <w:r>
              <w:rPr>
                <w:rFonts w:hint="eastAsia" w:ascii="Times New Roman" w:hAnsi="Times New Roman" w:eastAsia="宋体" w:cs="Times New Roman"/>
                <w:b/>
                <w:i w:val="0"/>
                <w:iCs w:val="0"/>
                <w:color w:val="auto"/>
                <w:kern w:val="2"/>
                <w:sz w:val="21"/>
                <w:szCs w:val="21"/>
                <w:u w:val="none" w:color="auto"/>
                <w:lang w:val="en-US" w:eastAsia="zh-CN" w:bidi="ar"/>
              </w:rPr>
              <w:t>4</w:t>
            </w:r>
            <w:r>
              <w:rPr>
                <w:rFonts w:hint="eastAsia" w:ascii="Times New Roman" w:hAnsi="Times New Roman" w:cs="Times New Roman"/>
                <w:b/>
                <w:i w:val="0"/>
                <w:iCs w:val="0"/>
                <w:color w:val="auto"/>
                <w:kern w:val="2"/>
                <w:sz w:val="21"/>
                <w:szCs w:val="21"/>
                <w:u w:val="none" w:color="auto"/>
                <w:lang w:val="en-US" w:eastAsia="zh-CN" w:bidi="ar"/>
              </w:rPr>
              <w:t>-16</w:t>
            </w:r>
            <w:r>
              <w:rPr>
                <w:rFonts w:hint="eastAsia" w:ascii="Times New Roman" w:hAnsi="Times New Roman" w:eastAsia="宋体" w:cs="Times New Roman"/>
                <w:b/>
                <w:i w:val="0"/>
                <w:iCs w:val="0"/>
                <w:color w:val="auto"/>
                <w:kern w:val="2"/>
                <w:sz w:val="21"/>
                <w:szCs w:val="21"/>
                <w:u w:val="none" w:color="auto"/>
                <w:lang w:val="en-US" w:eastAsia="zh-CN" w:bidi="ar"/>
              </w:rPr>
              <w:t xml:space="preserve">  </w:t>
            </w:r>
            <w:r>
              <w:rPr>
                <w:rFonts w:hint="default" w:ascii="Times New Roman" w:hAnsi="Times New Roman" w:eastAsia="宋体" w:cs="Times New Roman"/>
                <w:b/>
                <w:i w:val="0"/>
                <w:iCs w:val="0"/>
                <w:color w:val="auto"/>
                <w:kern w:val="2"/>
                <w:sz w:val="21"/>
                <w:szCs w:val="21"/>
                <w:u w:val="none" w:color="auto"/>
                <w:lang w:val="en-US" w:eastAsia="zh-CN" w:bidi="ar"/>
              </w:rPr>
              <w:t>Q</w:t>
            </w:r>
            <w:r>
              <w:rPr>
                <w:rFonts w:hint="eastAsia" w:eastAsia="宋体" w:cs="Times New Roman"/>
                <w:b/>
                <w:i w:val="0"/>
                <w:iCs w:val="0"/>
                <w:color w:val="auto"/>
                <w:kern w:val="2"/>
                <w:sz w:val="21"/>
                <w:szCs w:val="21"/>
                <w:u w:val="none" w:color="auto"/>
                <w:lang w:val="en-US" w:eastAsia="zh-CN" w:bidi="ar"/>
              </w:rPr>
              <w:t>值计算结果一览表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2071"/>
              <w:gridCol w:w="1256"/>
              <w:gridCol w:w="867"/>
              <w:gridCol w:w="862"/>
              <w:gridCol w:w="1038"/>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noWrap w:val="0"/>
                  <w:vAlign w:val="center"/>
                </w:tcPr>
                <w:p>
                  <w:pPr>
                    <w:pStyle w:val="28"/>
                    <w:keepNext w:val="0"/>
                    <w:keepLines w:val="0"/>
                    <w:widowControl w:val="0"/>
                    <w:suppressLineNumbers w:val="0"/>
                    <w:wordWrap w:val="0"/>
                    <w:autoSpaceDE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i w:val="0"/>
                      <w:iCs w:val="0"/>
                      <w:color w:val="auto"/>
                      <w:sz w:val="21"/>
                      <w:szCs w:val="21"/>
                      <w:u w:val="none" w:color="auto"/>
                      <w:lang w:val="en-US" w:eastAsia="zh-CN"/>
                    </w:rPr>
                  </w:pPr>
                  <w:r>
                    <w:rPr>
                      <w:rFonts w:hint="default" w:ascii="Times New Roman" w:hAnsi="Times New Roman" w:eastAsia="宋体" w:cs="Times New Roman"/>
                      <w:b/>
                      <w:i w:val="0"/>
                      <w:iCs w:val="0"/>
                      <w:color w:val="auto"/>
                      <w:sz w:val="21"/>
                      <w:szCs w:val="21"/>
                      <w:u w:val="none" w:color="auto"/>
                      <w:lang w:val="en-US" w:eastAsia="zh-CN" w:bidi="ar"/>
                    </w:rPr>
                    <w:t>危险物质</w:t>
                  </w:r>
                </w:p>
              </w:tc>
              <w:tc>
                <w:tcPr>
                  <w:tcW w:w="2071" w:type="dxa"/>
                  <w:noWrap w:val="0"/>
                  <w:vAlign w:val="center"/>
                </w:tcPr>
                <w:p>
                  <w:pPr>
                    <w:pStyle w:val="28"/>
                    <w:keepNext w:val="0"/>
                    <w:keepLines w:val="0"/>
                    <w:widowControl w:val="0"/>
                    <w:suppressLineNumbers w:val="0"/>
                    <w:wordWrap w:val="0"/>
                    <w:autoSpaceDE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i w:val="0"/>
                      <w:iCs w:val="0"/>
                      <w:color w:val="auto"/>
                      <w:sz w:val="21"/>
                      <w:szCs w:val="21"/>
                      <w:u w:val="none" w:color="auto"/>
                      <w:lang w:val="en-US" w:eastAsia="zh-CN"/>
                    </w:rPr>
                  </w:pPr>
                  <w:r>
                    <w:rPr>
                      <w:rFonts w:hint="default" w:ascii="Times New Roman" w:hAnsi="Times New Roman" w:eastAsia="宋体" w:cs="Times New Roman"/>
                      <w:b/>
                      <w:i w:val="0"/>
                      <w:iCs w:val="0"/>
                      <w:color w:val="auto"/>
                      <w:sz w:val="21"/>
                      <w:szCs w:val="21"/>
                      <w:u w:val="none" w:color="auto"/>
                      <w:lang w:val="en-US" w:eastAsia="zh-CN" w:bidi="ar"/>
                    </w:rPr>
                    <w:t>主要危险特性</w:t>
                  </w:r>
                </w:p>
              </w:tc>
              <w:tc>
                <w:tcPr>
                  <w:tcW w:w="1256" w:type="dxa"/>
                  <w:noWrap w:val="0"/>
                  <w:vAlign w:val="center"/>
                </w:tcPr>
                <w:p>
                  <w:pPr>
                    <w:pStyle w:val="28"/>
                    <w:keepNext w:val="0"/>
                    <w:keepLines w:val="0"/>
                    <w:widowControl w:val="0"/>
                    <w:suppressLineNumbers w:val="0"/>
                    <w:wordWrap w:val="0"/>
                    <w:autoSpaceDE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i w:val="0"/>
                      <w:iCs w:val="0"/>
                      <w:color w:val="auto"/>
                      <w:sz w:val="21"/>
                      <w:szCs w:val="21"/>
                      <w:u w:val="none" w:color="auto"/>
                      <w:lang w:val="en-US" w:eastAsia="zh-CN"/>
                    </w:rPr>
                  </w:pPr>
                  <w:r>
                    <w:rPr>
                      <w:rFonts w:hint="default" w:ascii="Times New Roman" w:hAnsi="Times New Roman" w:eastAsia="宋体" w:cs="Times New Roman"/>
                      <w:b/>
                      <w:i w:val="0"/>
                      <w:iCs w:val="0"/>
                      <w:color w:val="auto"/>
                      <w:sz w:val="21"/>
                      <w:szCs w:val="21"/>
                      <w:u w:val="none" w:color="auto"/>
                      <w:lang w:val="en-US" w:eastAsia="zh-CN" w:bidi="ar"/>
                    </w:rPr>
                    <w:t>储存地/</w:t>
                  </w:r>
                </w:p>
                <w:p>
                  <w:pPr>
                    <w:pStyle w:val="28"/>
                    <w:keepNext w:val="0"/>
                    <w:keepLines w:val="0"/>
                    <w:widowControl w:val="0"/>
                    <w:suppressLineNumbers w:val="0"/>
                    <w:wordWrap w:val="0"/>
                    <w:autoSpaceDE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i w:val="0"/>
                      <w:iCs w:val="0"/>
                      <w:color w:val="auto"/>
                      <w:sz w:val="21"/>
                      <w:szCs w:val="21"/>
                      <w:u w:val="none" w:color="auto"/>
                      <w:lang w:val="en-US" w:eastAsia="zh-CN"/>
                    </w:rPr>
                  </w:pPr>
                  <w:r>
                    <w:rPr>
                      <w:rFonts w:hint="default" w:ascii="Times New Roman" w:hAnsi="Times New Roman" w:eastAsia="宋体" w:cs="Times New Roman"/>
                      <w:b/>
                      <w:i w:val="0"/>
                      <w:iCs w:val="0"/>
                      <w:color w:val="auto"/>
                      <w:sz w:val="21"/>
                      <w:szCs w:val="21"/>
                      <w:u w:val="none" w:color="auto"/>
                      <w:lang w:val="en-US" w:eastAsia="zh-CN" w:bidi="ar"/>
                    </w:rPr>
                    <w:t>储存方式</w:t>
                  </w:r>
                </w:p>
              </w:tc>
              <w:tc>
                <w:tcPr>
                  <w:tcW w:w="867" w:type="dxa"/>
                  <w:noWrap w:val="0"/>
                  <w:vAlign w:val="center"/>
                </w:tcPr>
                <w:p>
                  <w:pPr>
                    <w:pStyle w:val="28"/>
                    <w:keepNext w:val="0"/>
                    <w:keepLines w:val="0"/>
                    <w:widowControl w:val="0"/>
                    <w:suppressLineNumbers w:val="0"/>
                    <w:wordWrap w:val="0"/>
                    <w:autoSpaceDE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b/>
                      <w:i w:val="0"/>
                      <w:iCs w:val="0"/>
                      <w:color w:val="auto"/>
                      <w:sz w:val="21"/>
                      <w:szCs w:val="21"/>
                      <w:u w:val="none" w:color="auto"/>
                      <w:lang w:val="en-US" w:eastAsia="zh-CN"/>
                    </w:rPr>
                  </w:pPr>
                  <w:r>
                    <w:rPr>
                      <w:rFonts w:hint="eastAsia" w:ascii="Times New Roman" w:hAnsi="Times New Roman" w:eastAsia="宋体" w:cs="Times New Roman"/>
                      <w:b/>
                      <w:i w:val="0"/>
                      <w:iCs w:val="0"/>
                      <w:color w:val="auto"/>
                      <w:sz w:val="21"/>
                      <w:szCs w:val="21"/>
                      <w:u w:val="none" w:color="auto"/>
                      <w:lang w:val="en-US" w:eastAsia="zh-CN" w:bidi="ar"/>
                    </w:rPr>
                    <w:t>最大</w:t>
                  </w:r>
                  <w:r>
                    <w:rPr>
                      <w:rFonts w:hint="default" w:ascii="Times New Roman" w:hAnsi="Times New Roman" w:eastAsia="宋体" w:cs="Times New Roman"/>
                      <w:b/>
                      <w:i w:val="0"/>
                      <w:iCs w:val="0"/>
                      <w:color w:val="auto"/>
                      <w:sz w:val="21"/>
                      <w:szCs w:val="21"/>
                      <w:u w:val="none" w:color="auto"/>
                      <w:lang w:val="en-US" w:eastAsia="zh-CN" w:bidi="ar"/>
                    </w:rPr>
                    <w:t>储存量</w:t>
                  </w:r>
                  <w:r>
                    <w:rPr>
                      <w:rFonts w:hint="eastAsia" w:ascii="Times New Roman" w:hAnsi="Times New Roman" w:eastAsia="宋体" w:cs="Times New Roman"/>
                      <w:b/>
                      <w:i w:val="0"/>
                      <w:iCs w:val="0"/>
                      <w:color w:val="auto"/>
                      <w:sz w:val="21"/>
                      <w:szCs w:val="21"/>
                      <w:u w:val="none" w:color="auto"/>
                      <w:lang w:val="en-US" w:eastAsia="zh-CN" w:bidi="ar"/>
                    </w:rPr>
                    <w:t>/t</w:t>
                  </w:r>
                </w:p>
              </w:tc>
              <w:tc>
                <w:tcPr>
                  <w:tcW w:w="862" w:type="dxa"/>
                  <w:noWrap w:val="0"/>
                  <w:vAlign w:val="center"/>
                </w:tcPr>
                <w:p>
                  <w:pPr>
                    <w:pStyle w:val="28"/>
                    <w:keepNext w:val="0"/>
                    <w:keepLines w:val="0"/>
                    <w:widowControl w:val="0"/>
                    <w:suppressLineNumbers w:val="0"/>
                    <w:wordWrap w:val="0"/>
                    <w:autoSpaceDE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i w:val="0"/>
                      <w:iCs w:val="0"/>
                      <w:color w:val="auto"/>
                      <w:sz w:val="21"/>
                      <w:szCs w:val="21"/>
                      <w:u w:val="none" w:color="auto"/>
                      <w:lang w:val="en-US" w:eastAsia="zh-CN" w:bidi="ar"/>
                    </w:rPr>
                  </w:pPr>
                  <w:r>
                    <w:rPr>
                      <w:rFonts w:hint="default" w:ascii="Times New Roman" w:hAnsi="Times New Roman" w:eastAsia="宋体" w:cs="Times New Roman"/>
                      <w:b/>
                      <w:i w:val="0"/>
                      <w:iCs w:val="0"/>
                      <w:color w:val="auto"/>
                      <w:sz w:val="21"/>
                      <w:szCs w:val="21"/>
                      <w:u w:val="none" w:color="auto"/>
                      <w:lang w:val="en-US" w:eastAsia="zh-CN" w:bidi="ar"/>
                    </w:rPr>
                    <w:t>临界量</w:t>
                  </w:r>
                </w:p>
                <w:p>
                  <w:pPr>
                    <w:pStyle w:val="28"/>
                    <w:keepNext w:val="0"/>
                    <w:keepLines w:val="0"/>
                    <w:widowControl w:val="0"/>
                    <w:suppressLineNumbers w:val="0"/>
                    <w:wordWrap w:val="0"/>
                    <w:autoSpaceDE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b/>
                      <w:i w:val="0"/>
                      <w:iCs w:val="0"/>
                      <w:color w:val="auto"/>
                      <w:sz w:val="21"/>
                      <w:szCs w:val="21"/>
                      <w:u w:val="none" w:color="auto"/>
                      <w:lang w:val="en-US" w:eastAsia="zh-CN"/>
                    </w:rPr>
                  </w:pPr>
                  <w:r>
                    <w:rPr>
                      <w:rFonts w:hint="eastAsia" w:ascii="Times New Roman" w:hAnsi="Times New Roman" w:eastAsia="宋体" w:cs="Times New Roman"/>
                      <w:b/>
                      <w:i w:val="0"/>
                      <w:iCs w:val="0"/>
                      <w:color w:val="auto"/>
                      <w:sz w:val="21"/>
                      <w:szCs w:val="21"/>
                      <w:u w:val="none" w:color="auto"/>
                      <w:lang w:val="en-US" w:eastAsia="zh-CN" w:bidi="ar"/>
                    </w:rPr>
                    <w:t>/t</w:t>
                  </w:r>
                </w:p>
              </w:tc>
              <w:tc>
                <w:tcPr>
                  <w:tcW w:w="1038" w:type="dxa"/>
                  <w:noWrap w:val="0"/>
                  <w:vAlign w:val="center"/>
                </w:tcPr>
                <w:p>
                  <w:pPr>
                    <w:pStyle w:val="28"/>
                    <w:keepNext w:val="0"/>
                    <w:keepLines w:val="0"/>
                    <w:widowControl w:val="0"/>
                    <w:suppressLineNumbers w:val="0"/>
                    <w:wordWrap w:val="0"/>
                    <w:autoSpaceDE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i w:val="0"/>
                      <w:iCs w:val="0"/>
                      <w:color w:val="auto"/>
                      <w:sz w:val="21"/>
                      <w:szCs w:val="21"/>
                      <w:u w:val="none" w:color="auto"/>
                      <w:lang w:val="en-US" w:eastAsia="zh-CN"/>
                    </w:rPr>
                  </w:pPr>
                  <w:r>
                    <w:rPr>
                      <w:rFonts w:hint="default" w:ascii="Times New Roman" w:hAnsi="Times New Roman" w:eastAsia="宋体" w:cs="Times New Roman"/>
                      <w:b/>
                      <w:i w:val="0"/>
                      <w:iCs w:val="0"/>
                      <w:color w:val="auto"/>
                      <w:sz w:val="21"/>
                      <w:szCs w:val="21"/>
                      <w:u w:val="none" w:color="auto"/>
                      <w:lang w:val="en-US" w:eastAsia="zh-CN" w:bidi="ar"/>
                    </w:rPr>
                    <w:t>存储量/</w:t>
                  </w:r>
                  <w:r>
                    <w:rPr>
                      <w:rFonts w:hint="eastAsia" w:eastAsia="宋体" w:cs="Times New Roman"/>
                      <w:b/>
                      <w:i w:val="0"/>
                      <w:iCs w:val="0"/>
                      <w:color w:val="auto"/>
                      <w:sz w:val="21"/>
                      <w:szCs w:val="21"/>
                      <w:u w:val="none" w:color="auto"/>
                      <w:lang w:val="en-US" w:eastAsia="zh-CN" w:bidi="ar"/>
                    </w:rPr>
                    <w:t>临界量</w:t>
                  </w:r>
                </w:p>
              </w:tc>
              <w:tc>
                <w:tcPr>
                  <w:tcW w:w="862" w:type="dxa"/>
                  <w:noWrap w:val="0"/>
                  <w:vAlign w:val="center"/>
                </w:tcPr>
                <w:p>
                  <w:pPr>
                    <w:pStyle w:val="28"/>
                    <w:keepNext w:val="0"/>
                    <w:keepLines w:val="0"/>
                    <w:widowControl w:val="0"/>
                    <w:suppressLineNumbers w:val="0"/>
                    <w:wordWrap w:val="0"/>
                    <w:autoSpaceDE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i w:val="0"/>
                      <w:iCs w:val="0"/>
                      <w:color w:val="auto"/>
                      <w:sz w:val="21"/>
                      <w:szCs w:val="21"/>
                      <w:u w:val="none" w:color="auto"/>
                      <w:lang w:val="en-US" w:eastAsia="zh-CN"/>
                    </w:rPr>
                  </w:pPr>
                  <w:r>
                    <w:rPr>
                      <w:rFonts w:hint="default" w:ascii="Times New Roman" w:hAnsi="Times New Roman" w:eastAsia="宋体" w:cs="Times New Roman"/>
                      <w:b/>
                      <w:i w:val="0"/>
                      <w:iCs w:val="0"/>
                      <w:color w:val="auto"/>
                      <w:sz w:val="21"/>
                      <w:szCs w:val="21"/>
                      <w:u w:val="none" w:color="auto"/>
                      <w:lang w:val="en-US" w:eastAsia="zh-CN" w:bidi="ar"/>
                    </w:rPr>
                    <w:t>使用</w:t>
                  </w:r>
                </w:p>
                <w:p>
                  <w:pPr>
                    <w:pStyle w:val="28"/>
                    <w:keepNext w:val="0"/>
                    <w:keepLines w:val="0"/>
                    <w:widowControl w:val="0"/>
                    <w:suppressLineNumbers w:val="0"/>
                    <w:wordWrap w:val="0"/>
                    <w:autoSpaceDE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i w:val="0"/>
                      <w:iCs w:val="0"/>
                      <w:color w:val="auto"/>
                      <w:sz w:val="21"/>
                      <w:szCs w:val="21"/>
                      <w:u w:val="none" w:color="auto"/>
                      <w:lang w:val="en-US" w:eastAsia="zh-CN"/>
                    </w:rPr>
                  </w:pPr>
                  <w:r>
                    <w:rPr>
                      <w:rFonts w:hint="default" w:ascii="Times New Roman" w:hAnsi="Times New Roman" w:eastAsia="宋体" w:cs="Times New Roman"/>
                      <w:b/>
                      <w:i w:val="0"/>
                      <w:iCs w:val="0"/>
                      <w:color w:val="auto"/>
                      <w:sz w:val="21"/>
                      <w:szCs w:val="21"/>
                      <w:u w:val="none" w:color="auto"/>
                      <w:lang w:val="en-US" w:eastAsia="zh-CN" w:bidi="ar"/>
                    </w:rPr>
                    <w:t>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14" w:type="dxa"/>
                  <w:noWrap w:val="0"/>
                  <w:vAlign w:val="center"/>
                </w:tcPr>
                <w:p>
                  <w:pPr>
                    <w:keepNext w:val="0"/>
                    <w:keepLines w:val="0"/>
                    <w:suppressLineNumbers w:val="0"/>
                    <w:autoSpaceDE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auto"/>
                      <w:szCs w:val="21"/>
                      <w:u w:val="none" w:color="auto"/>
                      <w:lang w:bidi="ar"/>
                    </w:rPr>
                  </w:pPr>
                  <w:r>
                    <w:rPr>
                      <w:rFonts w:hint="eastAsia" w:ascii="宋体" w:hAnsi="宋体" w:eastAsia="宋体" w:cs="宋体"/>
                      <w:color w:val="auto"/>
                      <w:szCs w:val="21"/>
                      <w:u w:val="none" w:color="auto"/>
                      <w:lang w:eastAsia="zh-CN" w:bidi="ar"/>
                    </w:rPr>
                    <w:t>润滑油</w:t>
                  </w:r>
                </w:p>
              </w:tc>
              <w:tc>
                <w:tcPr>
                  <w:tcW w:w="2071" w:type="dxa"/>
                  <w:vMerge w:val="restart"/>
                  <w:noWrap w:val="0"/>
                  <w:vAlign w:val="center"/>
                </w:tcPr>
                <w:p>
                  <w:pPr>
                    <w:pStyle w:val="28"/>
                    <w:keepNext w:val="0"/>
                    <w:keepLines w:val="0"/>
                    <w:widowControl w:val="0"/>
                    <w:suppressLineNumbers w:val="0"/>
                    <w:autoSpaceDE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color w:val="auto"/>
                      <w:kern w:val="2"/>
                      <w:sz w:val="21"/>
                      <w:szCs w:val="21"/>
                      <w:u w:val="none" w:color="auto"/>
                      <w:lang w:val="en-US" w:eastAsia="zh-CN" w:bidi="ar"/>
                    </w:rPr>
                    <w:t>油类物质（矿物油类，如石油、汽油、柴油等；生物柴油等）</w:t>
                  </w:r>
                </w:p>
              </w:tc>
              <w:tc>
                <w:tcPr>
                  <w:tcW w:w="1256" w:type="dxa"/>
                  <w:noWrap w:val="0"/>
                  <w:vAlign w:val="center"/>
                </w:tcPr>
                <w:p>
                  <w:pPr>
                    <w:pStyle w:val="28"/>
                    <w:keepNext w:val="0"/>
                    <w:keepLines w:val="0"/>
                    <w:widowControl w:val="0"/>
                    <w:suppressLineNumbers w:val="0"/>
                    <w:autoSpaceDE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color w:val="auto"/>
                      <w:kern w:val="2"/>
                      <w:sz w:val="21"/>
                      <w:szCs w:val="21"/>
                      <w:u w:val="none" w:color="auto"/>
                      <w:lang w:val="en-US" w:eastAsia="zh-CN" w:bidi="ar"/>
                    </w:rPr>
                    <w:t>桶装</w:t>
                  </w:r>
                </w:p>
              </w:tc>
              <w:tc>
                <w:tcPr>
                  <w:tcW w:w="867" w:type="dxa"/>
                  <w:noWrap w:val="0"/>
                  <w:vAlign w:val="center"/>
                </w:tcPr>
                <w:p>
                  <w:pPr>
                    <w:pStyle w:val="28"/>
                    <w:keepNext w:val="0"/>
                    <w:keepLines w:val="0"/>
                    <w:widowControl w:val="0"/>
                    <w:suppressLineNumbers w:val="0"/>
                    <w:wordWrap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color w:val="auto"/>
                      <w:sz w:val="21"/>
                      <w:szCs w:val="21"/>
                      <w:u w:val="none" w:color="auto"/>
                      <w:lang w:val="en-US" w:eastAsia="zh-CN" w:bidi="ar"/>
                    </w:rPr>
                    <w:t>0.2</w:t>
                  </w:r>
                </w:p>
              </w:tc>
              <w:tc>
                <w:tcPr>
                  <w:tcW w:w="862" w:type="dxa"/>
                  <w:noWrap w:val="0"/>
                  <w:vAlign w:val="center"/>
                </w:tcPr>
                <w:p>
                  <w:pPr>
                    <w:pStyle w:val="28"/>
                    <w:keepNext w:val="0"/>
                    <w:keepLines w:val="0"/>
                    <w:widowControl w:val="0"/>
                    <w:suppressLineNumbers w:val="0"/>
                    <w:wordWrap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color w:val="auto"/>
                      <w:sz w:val="21"/>
                      <w:szCs w:val="21"/>
                      <w:u w:val="none" w:color="auto"/>
                      <w:lang w:val="en-US" w:eastAsia="zh-CN" w:bidi="ar"/>
                    </w:rPr>
                    <w:t>2500</w:t>
                  </w:r>
                </w:p>
              </w:tc>
              <w:tc>
                <w:tcPr>
                  <w:tcW w:w="103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bidi="ar"/>
                    </w:rPr>
                  </w:pPr>
                  <w:r>
                    <w:rPr>
                      <w:rFonts w:hint="default" w:ascii="Times New Roman" w:hAnsi="Times New Roman" w:eastAsia="宋体" w:cs="Times New Roman"/>
                      <w:color w:val="auto"/>
                      <w:kern w:val="0"/>
                      <w:szCs w:val="21"/>
                      <w:u w:val="none" w:color="auto"/>
                      <w:lang w:bidi="ar"/>
                    </w:rPr>
                    <w:t>0.00</w:t>
                  </w:r>
                  <w:r>
                    <w:rPr>
                      <w:rFonts w:hint="eastAsia" w:ascii="Times New Roman" w:hAnsi="Times New Roman" w:eastAsia="宋体" w:cs="Times New Roman"/>
                      <w:color w:val="auto"/>
                      <w:kern w:val="0"/>
                      <w:szCs w:val="21"/>
                      <w:u w:val="none" w:color="auto"/>
                      <w:lang w:val="en-US" w:eastAsia="zh-CN" w:bidi="ar"/>
                    </w:rPr>
                    <w:t>0</w:t>
                  </w:r>
                  <w:r>
                    <w:rPr>
                      <w:rFonts w:hint="eastAsia" w:eastAsia="宋体" w:cs="Times New Roman"/>
                      <w:color w:val="auto"/>
                      <w:kern w:val="0"/>
                      <w:szCs w:val="21"/>
                      <w:u w:val="none" w:color="auto"/>
                      <w:lang w:val="en-US" w:eastAsia="zh-CN" w:bidi="ar"/>
                    </w:rPr>
                    <w:t>08</w:t>
                  </w:r>
                </w:p>
              </w:tc>
              <w:tc>
                <w:tcPr>
                  <w:tcW w:w="862" w:type="dxa"/>
                  <w:noWrap w:val="0"/>
                  <w:vAlign w:val="center"/>
                </w:tcPr>
                <w:p>
                  <w:pPr>
                    <w:pStyle w:val="28"/>
                    <w:keepNext w:val="0"/>
                    <w:keepLines w:val="0"/>
                    <w:widowControl w:val="0"/>
                    <w:suppressLineNumbers w:val="0"/>
                    <w:wordWrap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color w:val="auto"/>
                      <w:sz w:val="21"/>
                      <w:szCs w:val="21"/>
                      <w:u w:val="none" w:color="auto"/>
                      <w:lang w:val="en-US" w:eastAsia="zh-CN" w:bidi="ar"/>
                    </w:rPr>
                    <w:t>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noWrap w:val="0"/>
                  <w:vAlign w:val="center"/>
                </w:tcPr>
                <w:p>
                  <w:pPr>
                    <w:pStyle w:val="28"/>
                    <w:keepNext w:val="0"/>
                    <w:keepLines w:val="0"/>
                    <w:widowControl w:val="0"/>
                    <w:suppressLineNumbers w:val="0"/>
                    <w:wordWrap w:val="0"/>
                    <w:adjustRightInd w:val="0"/>
                    <w:snapToGrid w:val="0"/>
                    <w:spacing w:before="0" w:beforeAutospacing="0" w:after="0" w:afterAutospacing="0"/>
                    <w:ind w:left="0" w:right="0"/>
                    <w:jc w:val="center"/>
                    <w:textAlignment w:val="baseline"/>
                    <w:rPr>
                      <w:rFonts w:hint="eastAsia" w:eastAsia="宋体" w:cs="Times New Roman"/>
                      <w:color w:val="auto"/>
                      <w:kern w:val="2"/>
                      <w:sz w:val="21"/>
                      <w:szCs w:val="21"/>
                      <w:u w:val="none" w:color="auto"/>
                      <w:lang w:val="en-US" w:eastAsia="zh-CN" w:bidi="ar"/>
                    </w:rPr>
                  </w:pPr>
                  <w:r>
                    <w:rPr>
                      <w:rFonts w:hint="eastAsia" w:ascii="Times New Roman" w:hAnsi="Times New Roman" w:eastAsia="宋体" w:cs="Times New Roman"/>
                      <w:color w:val="auto"/>
                      <w:sz w:val="21"/>
                      <w:szCs w:val="21"/>
                      <w:u w:val="none" w:color="auto"/>
                      <w:lang w:val="en-US" w:eastAsia="zh-CN" w:bidi="ar"/>
                    </w:rPr>
                    <w:t>废润滑油</w:t>
                  </w:r>
                </w:p>
              </w:tc>
              <w:tc>
                <w:tcPr>
                  <w:tcW w:w="2071" w:type="dxa"/>
                  <w:vMerge w:val="continue"/>
                  <w:noWrap w:val="0"/>
                  <w:vAlign w:val="center"/>
                </w:tcPr>
                <w:p>
                  <w:pPr>
                    <w:pStyle w:val="28"/>
                    <w:keepNext w:val="0"/>
                    <w:keepLines w:val="0"/>
                    <w:widowControl w:val="0"/>
                    <w:suppressLineNumbers w:val="0"/>
                    <w:autoSpaceDE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u w:val="none" w:color="auto"/>
                      <w:lang w:val="en-US" w:eastAsia="zh-CN" w:bidi="ar"/>
                    </w:rPr>
                  </w:pPr>
                </w:p>
              </w:tc>
              <w:tc>
                <w:tcPr>
                  <w:tcW w:w="1256" w:type="dxa"/>
                  <w:noWrap w:val="0"/>
                  <w:vAlign w:val="center"/>
                </w:tcPr>
                <w:p>
                  <w:pPr>
                    <w:pStyle w:val="28"/>
                    <w:keepNext w:val="0"/>
                    <w:keepLines w:val="0"/>
                    <w:widowControl w:val="0"/>
                    <w:suppressLineNumbers w:val="0"/>
                    <w:autoSpaceDE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color w:val="auto"/>
                      <w:kern w:val="2"/>
                      <w:sz w:val="21"/>
                      <w:szCs w:val="21"/>
                      <w:u w:val="none" w:color="auto"/>
                      <w:lang w:val="en-US" w:eastAsia="zh-CN" w:bidi="ar"/>
                    </w:rPr>
                    <w:t>桶装</w:t>
                  </w:r>
                </w:p>
              </w:tc>
              <w:tc>
                <w:tcPr>
                  <w:tcW w:w="867" w:type="dxa"/>
                  <w:noWrap w:val="0"/>
                  <w:vAlign w:val="center"/>
                </w:tcPr>
                <w:p>
                  <w:pPr>
                    <w:pStyle w:val="28"/>
                    <w:keepNext w:val="0"/>
                    <w:keepLines w:val="0"/>
                    <w:widowControl w:val="0"/>
                    <w:suppressLineNumbers w:val="0"/>
                    <w:wordWrap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color w:val="auto"/>
                      <w:sz w:val="21"/>
                      <w:szCs w:val="21"/>
                      <w:u w:val="none" w:color="auto"/>
                      <w:lang w:val="en-US" w:eastAsia="zh-CN" w:bidi="ar"/>
                    </w:rPr>
                    <w:t>0.01</w:t>
                  </w:r>
                </w:p>
              </w:tc>
              <w:tc>
                <w:tcPr>
                  <w:tcW w:w="862" w:type="dxa"/>
                  <w:noWrap w:val="0"/>
                  <w:vAlign w:val="center"/>
                </w:tcPr>
                <w:p>
                  <w:pPr>
                    <w:pStyle w:val="28"/>
                    <w:keepNext w:val="0"/>
                    <w:keepLines w:val="0"/>
                    <w:widowControl w:val="0"/>
                    <w:suppressLineNumbers w:val="0"/>
                    <w:wordWrap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u w:val="none" w:color="auto"/>
                      <w:lang w:val="en-US" w:eastAsia="zh-CN" w:bidi="ar"/>
                    </w:rPr>
                  </w:pPr>
                  <w:r>
                    <w:rPr>
                      <w:rFonts w:hint="eastAsia" w:ascii="Times New Roman" w:hAnsi="Times New Roman" w:cs="Times New Roman"/>
                      <w:color w:val="auto"/>
                      <w:sz w:val="21"/>
                      <w:szCs w:val="21"/>
                      <w:u w:val="none" w:color="auto"/>
                      <w:lang w:val="en-US" w:eastAsia="zh-CN" w:bidi="ar"/>
                    </w:rPr>
                    <w:t>50</w:t>
                  </w:r>
                </w:p>
              </w:tc>
              <w:tc>
                <w:tcPr>
                  <w:tcW w:w="1038"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u w:val="none" w:color="auto"/>
                      <w:lang w:eastAsia="zh-CN" w:bidi="ar"/>
                    </w:rPr>
                  </w:pPr>
                  <w:r>
                    <w:rPr>
                      <w:rFonts w:hint="default" w:ascii="Times New Roman" w:hAnsi="Times New Roman" w:eastAsia="宋体" w:cs="Times New Roman"/>
                      <w:color w:val="auto"/>
                      <w:kern w:val="0"/>
                      <w:szCs w:val="21"/>
                      <w:u w:val="none" w:color="auto"/>
                      <w:lang w:bidi="ar"/>
                    </w:rPr>
                    <w:t>0.000</w:t>
                  </w:r>
                  <w:r>
                    <w:rPr>
                      <w:rFonts w:hint="eastAsia" w:cs="Times New Roman"/>
                      <w:color w:val="auto"/>
                      <w:kern w:val="0"/>
                      <w:szCs w:val="21"/>
                      <w:u w:val="none" w:color="auto"/>
                      <w:lang w:val="en-US" w:eastAsia="zh-CN" w:bidi="ar"/>
                    </w:rPr>
                    <w:t>2</w:t>
                  </w:r>
                </w:p>
              </w:tc>
              <w:tc>
                <w:tcPr>
                  <w:tcW w:w="862" w:type="dxa"/>
                  <w:noWrap w:val="0"/>
                  <w:vAlign w:val="center"/>
                </w:tcPr>
                <w:p>
                  <w:pPr>
                    <w:pStyle w:val="28"/>
                    <w:keepNext w:val="0"/>
                    <w:keepLines w:val="0"/>
                    <w:widowControl w:val="0"/>
                    <w:suppressLineNumbers w:val="0"/>
                    <w:wordWrap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u w:val="none" w:color="auto"/>
                      <w:lang w:val="en-US" w:eastAsia="zh-CN" w:bidi="ar"/>
                    </w:rPr>
                  </w:pPr>
                  <w:r>
                    <w:rPr>
                      <w:rFonts w:hint="default" w:ascii="Times New Roman" w:hAnsi="Times New Roman" w:eastAsia="宋体" w:cs="Times New Roman"/>
                      <w:color w:val="auto"/>
                      <w:sz w:val="21"/>
                      <w:szCs w:val="21"/>
                      <w:u w:val="none" w:color="auto"/>
                      <w:lang w:val="en-US" w:eastAsia="zh-CN" w:bidi="ar"/>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noWrap w:val="0"/>
                  <w:vAlign w:val="center"/>
                </w:tcPr>
                <w:p>
                  <w:pPr>
                    <w:pStyle w:val="28"/>
                    <w:keepNext w:val="0"/>
                    <w:keepLines w:val="0"/>
                    <w:widowControl w:val="0"/>
                    <w:suppressLineNumbers w:val="0"/>
                    <w:wordWrap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cs="Times New Roman"/>
                      <w:color w:val="auto"/>
                      <w:sz w:val="21"/>
                      <w:szCs w:val="21"/>
                      <w:u w:val="none" w:color="auto"/>
                      <w:lang w:val="en-US" w:eastAsia="zh-CN" w:bidi="ar"/>
                    </w:rPr>
                    <w:t>柴油</w:t>
                  </w:r>
                </w:p>
              </w:tc>
              <w:tc>
                <w:tcPr>
                  <w:tcW w:w="2071" w:type="dxa"/>
                  <w:vMerge w:val="continue"/>
                  <w:noWrap w:val="0"/>
                  <w:vAlign w:val="center"/>
                </w:tcPr>
                <w:p>
                  <w:pPr>
                    <w:pStyle w:val="28"/>
                    <w:keepNext w:val="0"/>
                    <w:keepLines w:val="0"/>
                    <w:widowControl w:val="0"/>
                    <w:suppressLineNumbers w:val="0"/>
                    <w:autoSpaceDE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u w:val="none" w:color="auto"/>
                      <w:lang w:val="en-US" w:eastAsia="zh-CN" w:bidi="ar"/>
                    </w:rPr>
                  </w:pPr>
                </w:p>
              </w:tc>
              <w:tc>
                <w:tcPr>
                  <w:tcW w:w="1256" w:type="dxa"/>
                  <w:noWrap w:val="0"/>
                  <w:vAlign w:val="center"/>
                </w:tcPr>
                <w:p>
                  <w:pPr>
                    <w:pStyle w:val="28"/>
                    <w:keepNext w:val="0"/>
                    <w:keepLines w:val="0"/>
                    <w:widowControl w:val="0"/>
                    <w:suppressLineNumbers w:val="0"/>
                    <w:autoSpaceDE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cs="Times New Roman"/>
                      <w:color w:val="auto"/>
                      <w:kern w:val="2"/>
                      <w:sz w:val="21"/>
                      <w:szCs w:val="21"/>
                      <w:u w:val="none" w:color="auto"/>
                      <w:lang w:val="en-US" w:eastAsia="zh-CN" w:bidi="ar"/>
                    </w:rPr>
                    <w:t>不储存，仅机械设备柴油在线量</w:t>
                  </w:r>
                </w:p>
              </w:tc>
              <w:tc>
                <w:tcPr>
                  <w:tcW w:w="867" w:type="dxa"/>
                  <w:noWrap w:val="0"/>
                  <w:vAlign w:val="center"/>
                </w:tcPr>
                <w:p>
                  <w:pPr>
                    <w:pStyle w:val="28"/>
                    <w:keepNext w:val="0"/>
                    <w:keepLines w:val="0"/>
                    <w:widowControl w:val="0"/>
                    <w:suppressLineNumbers w:val="0"/>
                    <w:wordWrap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u w:val="none" w:color="auto"/>
                      <w:lang w:val="en-US" w:eastAsia="zh-CN" w:bidi="ar"/>
                    </w:rPr>
                  </w:pPr>
                  <w:r>
                    <w:rPr>
                      <w:rFonts w:hint="eastAsia" w:ascii="Times New Roman" w:hAnsi="Times New Roman" w:cs="Times New Roman"/>
                      <w:color w:val="auto"/>
                      <w:sz w:val="21"/>
                      <w:szCs w:val="21"/>
                      <w:u w:val="none" w:color="auto"/>
                      <w:lang w:val="en-US" w:eastAsia="zh-CN" w:bidi="ar"/>
                    </w:rPr>
                    <w:t>4</w:t>
                  </w:r>
                </w:p>
              </w:tc>
              <w:tc>
                <w:tcPr>
                  <w:tcW w:w="862" w:type="dxa"/>
                  <w:noWrap w:val="0"/>
                  <w:vAlign w:val="center"/>
                </w:tcPr>
                <w:p>
                  <w:pPr>
                    <w:pStyle w:val="28"/>
                    <w:keepNext w:val="0"/>
                    <w:keepLines w:val="0"/>
                    <w:widowControl w:val="0"/>
                    <w:suppressLineNumbers w:val="0"/>
                    <w:wordWrap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u w:val="none" w:color="auto"/>
                      <w:lang w:val="en-US" w:eastAsia="zh-CN" w:bidi="ar"/>
                    </w:rPr>
                  </w:pPr>
                  <w:r>
                    <w:rPr>
                      <w:rFonts w:hint="eastAsia" w:ascii="Times New Roman" w:hAnsi="Times New Roman" w:cs="Times New Roman"/>
                      <w:color w:val="auto"/>
                      <w:sz w:val="21"/>
                      <w:szCs w:val="21"/>
                      <w:u w:val="none" w:color="auto"/>
                      <w:lang w:val="en-US" w:eastAsia="zh-CN" w:bidi="ar"/>
                    </w:rPr>
                    <w:t>2500</w:t>
                  </w:r>
                </w:p>
              </w:tc>
              <w:tc>
                <w:tcPr>
                  <w:tcW w:w="103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u w:val="none" w:color="auto"/>
                      <w:lang w:val="en-US" w:eastAsia="zh-CN" w:bidi="ar"/>
                    </w:rPr>
                  </w:pPr>
                  <w:r>
                    <w:rPr>
                      <w:rFonts w:hint="eastAsia" w:cs="Times New Roman"/>
                      <w:color w:val="auto"/>
                      <w:kern w:val="0"/>
                      <w:szCs w:val="21"/>
                      <w:u w:val="none" w:color="auto"/>
                      <w:lang w:val="en-US" w:eastAsia="zh-CN" w:bidi="ar"/>
                    </w:rPr>
                    <w:t>0.0016</w:t>
                  </w:r>
                </w:p>
              </w:tc>
              <w:tc>
                <w:tcPr>
                  <w:tcW w:w="862" w:type="dxa"/>
                  <w:noWrap w:val="0"/>
                  <w:vAlign w:val="center"/>
                </w:tcPr>
                <w:p>
                  <w:pPr>
                    <w:pStyle w:val="28"/>
                    <w:keepNext w:val="0"/>
                    <w:keepLines w:val="0"/>
                    <w:widowControl w:val="0"/>
                    <w:suppressLineNumbers w:val="0"/>
                    <w:wordWrap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0" w:type="dxa"/>
                  <w:gridSpan w:val="5"/>
                  <w:noWrap w:val="0"/>
                  <w:vAlign w:val="center"/>
                </w:tcPr>
                <w:p>
                  <w:pPr>
                    <w:pStyle w:val="28"/>
                    <w:keepNext w:val="0"/>
                    <w:keepLines w:val="0"/>
                    <w:widowControl w:val="0"/>
                    <w:suppressLineNumbers w:val="0"/>
                    <w:wordWrap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 w:val="21"/>
                      <w:szCs w:val="21"/>
                      <w:u w:val="none" w:color="auto"/>
                      <w:lang w:val="en-US" w:eastAsia="zh-CN" w:bidi="ar"/>
                    </w:rPr>
                  </w:pPr>
                  <w:r>
                    <w:rPr>
                      <w:rFonts w:hint="default" w:ascii="Times New Roman" w:hAnsi="Times New Roman" w:eastAsia="宋体" w:cs="Times New Roman"/>
                      <w:color w:val="auto"/>
                      <w:sz w:val="21"/>
                      <w:szCs w:val="21"/>
                      <w:u w:val="none" w:color="auto"/>
                      <w:lang w:val="en-US" w:eastAsia="zh-CN" w:bidi="ar"/>
                    </w:rPr>
                    <w:t>Q</w:t>
                  </w:r>
                </w:p>
              </w:tc>
              <w:tc>
                <w:tcPr>
                  <w:tcW w:w="103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u w:val="none" w:color="auto"/>
                      <w:lang w:val="en-US" w:eastAsia="zh-CN" w:bidi="ar"/>
                    </w:rPr>
                  </w:pPr>
                  <w:r>
                    <w:rPr>
                      <w:rFonts w:hint="default" w:ascii="Times New Roman" w:hAnsi="Times New Roman" w:eastAsia="宋体" w:cs="Times New Roman"/>
                      <w:color w:val="auto"/>
                      <w:kern w:val="0"/>
                      <w:szCs w:val="21"/>
                      <w:u w:val="none" w:color="auto"/>
                      <w:lang w:bidi="ar"/>
                    </w:rPr>
                    <w:t>0.00</w:t>
                  </w:r>
                  <w:r>
                    <w:rPr>
                      <w:rFonts w:hint="eastAsia" w:cs="Times New Roman"/>
                      <w:color w:val="auto"/>
                      <w:kern w:val="0"/>
                      <w:szCs w:val="21"/>
                      <w:u w:val="none" w:color="auto"/>
                      <w:lang w:val="en-US" w:eastAsia="zh-CN" w:bidi="ar"/>
                    </w:rPr>
                    <w:t>188</w:t>
                  </w:r>
                </w:p>
              </w:tc>
              <w:tc>
                <w:tcPr>
                  <w:tcW w:w="862" w:type="dxa"/>
                  <w:noWrap w:val="0"/>
                  <w:vAlign w:val="center"/>
                </w:tcPr>
                <w:p>
                  <w:pPr>
                    <w:pStyle w:val="28"/>
                    <w:keepNext w:val="0"/>
                    <w:keepLines w:val="0"/>
                    <w:widowControl w:val="0"/>
                    <w:suppressLineNumbers w:val="0"/>
                    <w:wordWrap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color w:val="auto"/>
                      <w:sz w:val="21"/>
                      <w:szCs w:val="21"/>
                      <w:u w:val="none" w:color="auto"/>
                      <w:lang w:val="en-US" w:eastAsia="zh-CN" w:bidi="ar"/>
                    </w:rPr>
                    <w:t>/</w:t>
                  </w:r>
                </w:p>
              </w:tc>
            </w:tr>
          </w:tbl>
          <w:p>
            <w:pPr>
              <w:spacing w:line="360" w:lineRule="auto"/>
              <w:ind w:firstLine="422" w:firstLineChars="200"/>
              <w:rPr>
                <w:b/>
                <w:bCs/>
                <w:color w:val="auto"/>
                <w:u w:val="none" w:color="auto"/>
              </w:rPr>
            </w:pPr>
            <w:r>
              <w:rPr>
                <w:rFonts w:hint="eastAsia"/>
                <w:b/>
                <w:bCs/>
                <w:color w:val="auto"/>
                <w:u w:val="none" w:color="auto"/>
              </w:rPr>
              <w:t>（3）可能影响环境的途径</w:t>
            </w:r>
          </w:p>
          <w:p>
            <w:pPr>
              <w:spacing w:line="360" w:lineRule="auto"/>
              <w:ind w:firstLine="420" w:firstLineChars="200"/>
              <w:rPr>
                <w:rFonts w:hint="default"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项目主要环境风险事故为火灾、废气事故排放、废水事故排放以及危废泄漏等事件。</w:t>
            </w:r>
          </w:p>
          <w:p>
            <w:pPr>
              <w:spacing w:line="360" w:lineRule="auto"/>
              <w:ind w:firstLine="420" w:firstLineChars="200"/>
              <w:rPr>
                <w:rFonts w:hint="eastAsia"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①火灾环境风险分析</w:t>
            </w:r>
          </w:p>
          <w:p>
            <w:pPr>
              <w:spacing w:line="360" w:lineRule="auto"/>
              <w:ind w:firstLine="420" w:firstLineChars="200"/>
              <w:rPr>
                <w:rFonts w:hint="eastAsia"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本项目煤炭堆存自燃，</w:t>
            </w:r>
            <w:r>
              <w:rPr>
                <w:rFonts w:hint="eastAsia" w:cs="Times New Roman"/>
                <w:color w:val="000000"/>
                <w:u w:val="none" w:color="auto"/>
                <w:lang w:val="en-US" w:eastAsia="zh-CN"/>
              </w:rPr>
              <w:t>润滑油、废润滑油、柴油</w:t>
            </w:r>
            <w:r>
              <w:rPr>
                <w:rFonts w:hint="eastAsia" w:ascii="Times New Roman" w:hAnsi="Times New Roman" w:eastAsia="宋体" w:cs="Times New Roman"/>
                <w:color w:val="000000"/>
                <w:u w:val="none" w:color="auto"/>
                <w:lang w:val="en-US" w:eastAsia="zh-CN"/>
              </w:rPr>
              <w:t>遇到明火等火源产生火灾事故引发环境风险，发生火灾的事故时，煤炭燃烧会产生烟尘、二氧化硫、氮氧化物、CO 等废气，对大气环境产生一定的影响。火灾消防废水可能通过清净下水（雨水）系统从雨水排口进入外部水体，污染地表水体。</w:t>
            </w:r>
          </w:p>
          <w:p>
            <w:pPr>
              <w:spacing w:line="360" w:lineRule="auto"/>
              <w:ind w:firstLine="420" w:firstLineChars="200"/>
              <w:rPr>
                <w:rFonts w:hint="eastAsia"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②废气事故排放环境风险分析</w:t>
            </w:r>
          </w:p>
          <w:p>
            <w:pPr>
              <w:spacing w:line="360" w:lineRule="auto"/>
              <w:ind w:firstLine="420" w:firstLineChars="200"/>
              <w:rPr>
                <w:rFonts w:hint="eastAsia"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因设备老化或人为操作原因导致废气处理设施故障污染大气环境。</w:t>
            </w:r>
          </w:p>
          <w:p>
            <w:pPr>
              <w:spacing w:line="360" w:lineRule="auto"/>
              <w:ind w:firstLine="420" w:firstLineChars="200"/>
              <w:rPr>
                <w:rFonts w:hint="eastAsia"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③废水事故排放环境风险分析</w:t>
            </w:r>
          </w:p>
          <w:p>
            <w:pPr>
              <w:spacing w:line="360" w:lineRule="auto"/>
              <w:ind w:firstLine="420" w:firstLineChars="200"/>
              <w:rPr>
                <w:rFonts w:hint="eastAsia"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本项目初期雨水收集池、生活污水处理站等发生泄漏，可能区域地下水、周边地表水产生影响。</w:t>
            </w:r>
          </w:p>
          <w:p>
            <w:pPr>
              <w:spacing w:line="360" w:lineRule="auto"/>
              <w:ind w:firstLine="420" w:firstLineChars="200"/>
              <w:rPr>
                <w:rFonts w:hint="eastAsia"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④危废泄漏环境风险分析</w:t>
            </w:r>
          </w:p>
          <w:p>
            <w:pPr>
              <w:spacing w:line="360" w:lineRule="auto"/>
              <w:ind w:firstLine="420" w:firstLineChars="200"/>
              <w:rPr>
                <w:rFonts w:hint="eastAsia" w:ascii="Times New Roman" w:hAnsi="Times New Roman" w:eastAsia="宋体" w:cs="Times New Roman"/>
                <w:color w:val="000000"/>
                <w:u w:val="none" w:color="auto"/>
                <w:lang w:val="en-US" w:eastAsia="zh-CN"/>
              </w:rPr>
            </w:pPr>
            <w:r>
              <w:rPr>
                <w:rFonts w:hint="default" w:ascii="Times New Roman" w:hAnsi="Times New Roman" w:eastAsia="宋体" w:cs="Times New Roman"/>
                <w:color w:val="000000"/>
                <w:u w:val="none" w:color="auto"/>
                <w:lang w:val="en-US" w:eastAsia="zh-CN"/>
              </w:rPr>
              <w:t>本项目化学品</w:t>
            </w:r>
            <w:r>
              <w:rPr>
                <w:rFonts w:hint="eastAsia" w:ascii="Times New Roman" w:hAnsi="Times New Roman" w:eastAsia="宋体" w:cs="Times New Roman"/>
                <w:color w:val="000000"/>
                <w:u w:val="none" w:color="auto"/>
                <w:lang w:val="en-US" w:eastAsia="zh-CN"/>
              </w:rPr>
              <w:t>（</w:t>
            </w:r>
            <w:r>
              <w:rPr>
                <w:rFonts w:hint="default" w:ascii="Times New Roman" w:hAnsi="Times New Roman" w:eastAsia="宋体" w:cs="Times New Roman"/>
                <w:color w:val="000000"/>
                <w:u w:val="none" w:color="auto"/>
                <w:lang w:val="en-US" w:eastAsia="zh-CN"/>
              </w:rPr>
              <w:t>润滑油</w:t>
            </w:r>
            <w:r>
              <w:rPr>
                <w:rFonts w:hint="eastAsia" w:ascii="Times New Roman" w:hAnsi="Times New Roman" w:eastAsia="宋体" w:cs="Times New Roman"/>
                <w:color w:val="000000"/>
                <w:u w:val="none" w:color="auto"/>
                <w:lang w:val="en-US" w:eastAsia="zh-CN"/>
              </w:rPr>
              <w:t>）</w:t>
            </w:r>
            <w:r>
              <w:rPr>
                <w:rFonts w:hint="default" w:ascii="Times New Roman" w:hAnsi="Times New Roman" w:eastAsia="宋体" w:cs="Times New Roman"/>
                <w:color w:val="000000"/>
                <w:u w:val="none" w:color="auto"/>
                <w:lang w:val="en-US" w:eastAsia="zh-CN"/>
              </w:rPr>
              <w:t>、危废</w:t>
            </w:r>
            <w:r>
              <w:rPr>
                <w:rFonts w:hint="eastAsia" w:ascii="Times New Roman" w:hAnsi="Times New Roman" w:eastAsia="宋体" w:cs="Times New Roman"/>
                <w:color w:val="000000"/>
                <w:u w:val="none" w:color="auto"/>
                <w:lang w:val="en-US" w:eastAsia="zh-CN"/>
              </w:rPr>
              <w:t>（</w:t>
            </w:r>
            <w:r>
              <w:rPr>
                <w:rFonts w:hint="default" w:ascii="Times New Roman" w:hAnsi="Times New Roman" w:eastAsia="宋体" w:cs="Times New Roman"/>
                <w:color w:val="000000"/>
                <w:u w:val="none" w:color="auto"/>
                <w:lang w:val="en-US" w:eastAsia="zh-CN"/>
              </w:rPr>
              <w:t>主要为废润滑油</w:t>
            </w:r>
            <w:r>
              <w:rPr>
                <w:rFonts w:hint="eastAsia" w:ascii="Times New Roman" w:hAnsi="Times New Roman" w:eastAsia="宋体" w:cs="Times New Roman"/>
                <w:color w:val="000000"/>
                <w:u w:val="none" w:color="auto"/>
                <w:lang w:val="en-US" w:eastAsia="zh-CN"/>
              </w:rPr>
              <w:t>）</w:t>
            </w:r>
            <w:r>
              <w:rPr>
                <w:rFonts w:hint="default" w:ascii="Times New Roman" w:hAnsi="Times New Roman" w:eastAsia="宋体" w:cs="Times New Roman"/>
                <w:color w:val="000000"/>
                <w:u w:val="none" w:color="auto"/>
                <w:lang w:val="en-US" w:eastAsia="zh-CN"/>
              </w:rPr>
              <w:t>在暂存点若管理不善可能发生泄漏，化学品在使用过程若操作不但亦会导致泄漏，该类物料泄漏可能引起地下水、地表水、土壤污染事故，对周边环境和居民会产生不利影响。</w:t>
            </w:r>
          </w:p>
          <w:p>
            <w:pPr>
              <w:spacing w:line="360" w:lineRule="auto"/>
              <w:ind w:firstLine="422" w:firstLineChars="200"/>
              <w:rPr>
                <w:b/>
                <w:bCs/>
                <w:color w:val="auto"/>
                <w:u w:val="none" w:color="auto"/>
              </w:rPr>
            </w:pPr>
            <w:r>
              <w:rPr>
                <w:rFonts w:hint="eastAsia"/>
                <w:b/>
                <w:bCs/>
                <w:color w:val="auto"/>
                <w:u w:val="none" w:color="auto"/>
              </w:rPr>
              <w:t>（4）</w:t>
            </w:r>
            <w:r>
              <w:rPr>
                <w:b/>
                <w:bCs/>
                <w:color w:val="auto"/>
                <w:u w:val="none" w:color="auto"/>
              </w:rPr>
              <w:t>风险</w:t>
            </w:r>
            <w:r>
              <w:rPr>
                <w:rFonts w:hint="eastAsia"/>
                <w:b/>
                <w:bCs/>
                <w:color w:val="auto"/>
                <w:u w:val="none" w:color="auto"/>
              </w:rPr>
              <w:t>防范、应急措施</w:t>
            </w:r>
          </w:p>
          <w:p>
            <w:pPr>
              <w:spacing w:line="360" w:lineRule="auto"/>
              <w:ind w:firstLine="420" w:firstLineChars="200"/>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①制订正常、异常或紧急状态下的操作手册和维修手册，并对操作、维修人员进行培训，提高职工的安全意识，识别事故发生前的异常状态，并采取相应的措施，避免因严重操作失误而造成的事故；加强职工安全环保教育，防止和减少因人为因素造成的事故，同时加强防火安全教育。</w:t>
            </w:r>
          </w:p>
          <w:p>
            <w:pPr>
              <w:spacing w:line="360" w:lineRule="auto"/>
              <w:ind w:firstLine="420" w:firstLineChars="200"/>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②加强管理，对操作人员进行岗位操作培训，明确工作岗位流程和职责。</w:t>
            </w:r>
          </w:p>
          <w:p>
            <w:pPr>
              <w:spacing w:line="360" w:lineRule="auto"/>
              <w:ind w:firstLine="420" w:firstLineChars="200"/>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③储煤场设置机械排风装置和监测监控探头，防止</w:t>
            </w:r>
            <w:r>
              <w:rPr>
                <w:rFonts w:hint="eastAsia" w:ascii="Times New Roman" w:hAnsi="Times New Roman" w:eastAsia="宋体" w:cs="Times New Roman"/>
                <w:bCs/>
                <w:color w:val="auto"/>
                <w:kern w:val="2"/>
                <w:sz w:val="21"/>
                <w:szCs w:val="21"/>
                <w:highlight w:val="none"/>
                <w:u w:val="none" w:color="auto"/>
                <w:lang w:val="en-US" w:eastAsia="zh-CN" w:bidi="ar-SA"/>
              </w:rPr>
              <w:t>煤粉</w:t>
            </w:r>
            <w:r>
              <w:rPr>
                <w:rFonts w:hint="default" w:ascii="Times New Roman" w:hAnsi="Times New Roman" w:eastAsia="宋体" w:cs="Times New Roman"/>
                <w:bCs/>
                <w:color w:val="auto"/>
                <w:kern w:val="2"/>
                <w:sz w:val="21"/>
                <w:szCs w:val="21"/>
                <w:highlight w:val="none"/>
                <w:u w:val="none" w:color="auto"/>
                <w:lang w:val="en-US" w:eastAsia="zh-CN" w:bidi="ar-SA"/>
              </w:rPr>
              <w:t>积聚。</w:t>
            </w:r>
          </w:p>
          <w:p>
            <w:pPr>
              <w:spacing w:line="360" w:lineRule="auto"/>
              <w:ind w:firstLine="420" w:firstLineChars="200"/>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④储煤场内严禁烟火，发生火灾时迅速撤离相关人员至安全区，并进行隔离，限制出入，切断火源。</w:t>
            </w:r>
          </w:p>
          <w:p>
            <w:pPr>
              <w:spacing w:line="360" w:lineRule="auto"/>
              <w:ind w:firstLine="420" w:firstLineChars="200"/>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⑤严格按照相关的防火设计要求进行设计和施工，并配置相关的防护设施和用具，落实安全管理责任。</w:t>
            </w:r>
          </w:p>
          <w:p>
            <w:pPr>
              <w:spacing w:line="360" w:lineRule="auto"/>
              <w:ind w:firstLine="420" w:firstLineChars="200"/>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⑥严禁携带火种进入储煤场，严禁在储煤场内吸烟、玩火、纵火等行为。</w:t>
            </w:r>
          </w:p>
          <w:p>
            <w:pPr>
              <w:spacing w:line="360" w:lineRule="auto"/>
              <w:ind w:firstLine="420" w:firstLineChars="200"/>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⑦相应池体应做好防渗措施，按照正规设计，结合《环境影响评价技术导则</w:t>
            </w:r>
            <w:r>
              <w:rPr>
                <w:rFonts w:hint="eastAsia" w:ascii="Times New Roman" w:hAnsi="Times New Roman" w:eastAsia="宋体" w:cs="Times New Roman"/>
                <w:bCs/>
                <w:color w:val="auto"/>
                <w:kern w:val="2"/>
                <w:sz w:val="21"/>
                <w:szCs w:val="21"/>
                <w:highlight w:val="none"/>
                <w:u w:val="none" w:color="auto"/>
                <w:lang w:val="en-US" w:eastAsia="zh-CN" w:bidi="ar-SA"/>
              </w:rPr>
              <w:t xml:space="preserve"> </w:t>
            </w:r>
            <w:r>
              <w:rPr>
                <w:rFonts w:hint="default" w:ascii="Times New Roman" w:hAnsi="Times New Roman" w:eastAsia="宋体" w:cs="Times New Roman"/>
                <w:bCs/>
                <w:color w:val="auto"/>
                <w:kern w:val="2"/>
                <w:sz w:val="21"/>
                <w:szCs w:val="21"/>
                <w:highlight w:val="none"/>
                <w:u w:val="none" w:color="auto"/>
                <w:lang w:val="en-US" w:eastAsia="zh-CN" w:bidi="ar-SA"/>
              </w:rPr>
              <w:t>地下水环境》（HJ610-2016）中防渗技术要求进行建设；</w:t>
            </w:r>
          </w:p>
          <w:p>
            <w:pPr>
              <w:spacing w:line="360" w:lineRule="auto"/>
              <w:ind w:firstLine="420" w:firstLineChars="200"/>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⑧废水</w:t>
            </w:r>
            <w:r>
              <w:rPr>
                <w:rFonts w:hint="eastAsia" w:ascii="Times New Roman" w:hAnsi="Times New Roman" w:eastAsia="宋体" w:cs="Times New Roman"/>
                <w:bCs/>
                <w:color w:val="auto"/>
                <w:kern w:val="2"/>
                <w:sz w:val="21"/>
                <w:szCs w:val="21"/>
                <w:highlight w:val="none"/>
                <w:u w:val="none" w:color="auto"/>
                <w:lang w:val="en-US" w:eastAsia="zh-CN" w:bidi="ar-SA"/>
              </w:rPr>
              <w:t>、废气</w:t>
            </w:r>
            <w:r>
              <w:rPr>
                <w:rFonts w:hint="default" w:ascii="Times New Roman" w:hAnsi="Times New Roman" w:eastAsia="宋体" w:cs="Times New Roman"/>
                <w:bCs/>
                <w:color w:val="auto"/>
                <w:kern w:val="2"/>
                <w:sz w:val="21"/>
                <w:szCs w:val="21"/>
                <w:highlight w:val="none"/>
                <w:u w:val="none" w:color="auto"/>
                <w:lang w:val="en-US" w:eastAsia="zh-CN" w:bidi="ar-SA"/>
              </w:rPr>
              <w:t>处理设施配备专门人员管理，定期巡查，严格按照运行维护操作说明进行操作，定期对各机器进行维修和保养，防止事故。</w:t>
            </w:r>
          </w:p>
          <w:p>
            <w:pPr>
              <w:spacing w:line="360" w:lineRule="auto"/>
              <w:ind w:firstLine="420" w:firstLineChars="200"/>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通过以上措施，可有效地</w:t>
            </w:r>
            <w:r>
              <w:rPr>
                <w:rFonts w:hint="eastAsia" w:ascii="Times New Roman" w:hAnsi="Times New Roman" w:eastAsia="宋体" w:cs="Times New Roman"/>
                <w:bCs/>
                <w:color w:val="auto"/>
                <w:kern w:val="2"/>
                <w:sz w:val="21"/>
                <w:szCs w:val="21"/>
                <w:highlight w:val="none"/>
                <w:u w:val="none" w:color="auto"/>
                <w:lang w:val="en-US" w:eastAsia="zh-CN" w:bidi="ar-SA"/>
              </w:rPr>
              <w:t>防止</w:t>
            </w:r>
            <w:r>
              <w:rPr>
                <w:rFonts w:hint="default" w:ascii="Times New Roman" w:hAnsi="Times New Roman" w:eastAsia="宋体" w:cs="Times New Roman"/>
                <w:bCs/>
                <w:color w:val="auto"/>
                <w:kern w:val="2"/>
                <w:sz w:val="21"/>
                <w:szCs w:val="21"/>
                <w:highlight w:val="none"/>
                <w:u w:val="none" w:color="auto"/>
                <w:lang w:val="en-US" w:eastAsia="zh-CN" w:bidi="ar-SA"/>
              </w:rPr>
              <w:t>建设项目风险事故，确保</w:t>
            </w:r>
            <w:r>
              <w:rPr>
                <w:rFonts w:hint="eastAsia" w:ascii="Times New Roman" w:hAnsi="Times New Roman" w:eastAsia="宋体" w:cs="Times New Roman"/>
                <w:bCs/>
                <w:color w:val="auto"/>
                <w:kern w:val="2"/>
                <w:sz w:val="21"/>
                <w:szCs w:val="21"/>
                <w:highlight w:val="none"/>
                <w:u w:val="none" w:color="auto"/>
                <w:lang w:val="en-US" w:eastAsia="zh-CN" w:bidi="ar-SA"/>
              </w:rPr>
              <w:t>正常</w:t>
            </w:r>
            <w:r>
              <w:rPr>
                <w:rFonts w:hint="default" w:ascii="Times New Roman" w:hAnsi="Times New Roman" w:eastAsia="宋体" w:cs="Times New Roman"/>
                <w:bCs/>
                <w:color w:val="auto"/>
                <w:kern w:val="2"/>
                <w:sz w:val="21"/>
                <w:szCs w:val="21"/>
                <w:highlight w:val="none"/>
                <w:u w:val="none" w:color="auto"/>
                <w:lang w:val="en-US" w:eastAsia="zh-CN" w:bidi="ar-SA"/>
              </w:rPr>
              <w:t>运营。</w:t>
            </w:r>
          </w:p>
          <w:p>
            <w:pPr>
              <w:widowControl w:val="0"/>
              <w:adjustRightInd w:val="0"/>
              <w:snapToGrid w:val="0"/>
              <w:spacing w:beforeLines="10" w:afterLines="10" w:line="360" w:lineRule="auto"/>
              <w:ind w:firstLine="0" w:firstLineChars="0"/>
              <w:jc w:val="center"/>
              <w:rPr>
                <w:rFonts w:hint="default" w:ascii="Times New Roman" w:hAnsi="Times New Roman" w:eastAsia="宋体" w:cs="Times New Roman"/>
                <w:b/>
                <w:color w:val="auto"/>
                <w:kern w:val="0"/>
                <w:sz w:val="21"/>
                <w:szCs w:val="21"/>
                <w:u w:val="none" w:color="auto"/>
                <w:lang w:val="en-US" w:eastAsia="zh-CN" w:bidi="ar-SA"/>
              </w:rPr>
            </w:pPr>
            <w:r>
              <w:rPr>
                <w:rFonts w:hint="default" w:ascii="Times New Roman" w:hAnsi="Times New Roman" w:eastAsia="宋体" w:cs="Times New Roman"/>
                <w:b/>
                <w:color w:val="auto"/>
                <w:kern w:val="0"/>
                <w:sz w:val="21"/>
                <w:szCs w:val="21"/>
                <w:u w:val="none" w:color="auto"/>
                <w:lang w:val="en-US" w:eastAsia="zh-CN" w:bidi="ar-SA"/>
              </w:rPr>
              <w:t>表4-</w:t>
            </w:r>
            <w:r>
              <w:rPr>
                <w:rFonts w:hint="eastAsia" w:cs="Times New Roman"/>
                <w:b/>
                <w:color w:val="auto"/>
                <w:kern w:val="0"/>
                <w:sz w:val="21"/>
                <w:szCs w:val="21"/>
                <w:u w:val="none" w:color="auto"/>
                <w:lang w:val="en-US" w:eastAsia="zh-CN" w:bidi="ar-SA"/>
              </w:rPr>
              <w:t>17</w:t>
            </w:r>
            <w:r>
              <w:rPr>
                <w:rFonts w:hint="default" w:ascii="Times New Roman" w:hAnsi="Times New Roman" w:eastAsia="宋体" w:cs="Times New Roman"/>
                <w:b/>
                <w:color w:val="auto"/>
                <w:kern w:val="0"/>
                <w:sz w:val="21"/>
                <w:szCs w:val="21"/>
                <w:u w:val="none" w:color="auto"/>
                <w:lang w:val="en-US" w:eastAsia="zh-CN" w:bidi="ar-SA"/>
              </w:rPr>
              <w:t xml:space="preserve">  建设项目环境风险简单分析内容表</w:t>
            </w:r>
          </w:p>
          <w:tbl>
            <w:tblPr>
              <w:tblStyle w:val="31"/>
              <w:tblW w:w="8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9"/>
              <w:gridCol w:w="6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57" w:type="pct"/>
                  <w:noWrap w:val="0"/>
                  <w:vAlign w:val="center"/>
                </w:tcPr>
                <w:p>
                  <w:pPr>
                    <w:widowControl w:val="0"/>
                    <w:adjustRightInd w:val="0"/>
                    <w:snapToGrid w:val="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建设项目名称</w:t>
                  </w:r>
                </w:p>
              </w:tc>
              <w:tc>
                <w:tcPr>
                  <w:tcW w:w="3742" w:type="pct"/>
                  <w:noWrap w:val="0"/>
                  <w:vAlign w:val="center"/>
                </w:tcPr>
                <w:p>
                  <w:pPr>
                    <w:widowControl w:val="0"/>
                    <w:adjustRightInd w:val="0"/>
                    <w:snapToGrid w:val="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中央政府煤炭储备湖南港航水利集团湘阴项目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57" w:type="pct"/>
                  <w:noWrap w:val="0"/>
                  <w:vAlign w:val="center"/>
                </w:tcPr>
                <w:p>
                  <w:pPr>
                    <w:widowControl w:val="0"/>
                    <w:adjustRightInd w:val="0"/>
                    <w:snapToGrid w:val="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建设地点</w:t>
                  </w:r>
                </w:p>
              </w:tc>
              <w:tc>
                <w:tcPr>
                  <w:tcW w:w="3742" w:type="pct"/>
                  <w:noWrap w:val="0"/>
                  <w:vAlign w:val="center"/>
                </w:tcPr>
                <w:p>
                  <w:pPr>
                    <w:adjustRightInd w:val="0"/>
                    <w:snapToGrid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湖南省岳阳市湘阴县</w:t>
                  </w:r>
                  <w:r>
                    <w:rPr>
                      <w:rFonts w:hint="eastAsia" w:cs="Times New Roman"/>
                      <w:color w:val="auto"/>
                      <w:sz w:val="21"/>
                      <w:szCs w:val="21"/>
                      <w:u w:val="none" w:color="auto"/>
                      <w:lang w:eastAsia="zh-CN"/>
                    </w:rPr>
                    <w:t>三塘镇</w:t>
                  </w:r>
                  <w:r>
                    <w:rPr>
                      <w:rFonts w:hint="default" w:ascii="Times New Roman" w:hAnsi="Times New Roman" w:eastAsia="宋体" w:cs="Times New Roman"/>
                      <w:color w:val="auto"/>
                      <w:sz w:val="21"/>
                      <w:szCs w:val="21"/>
                      <w:u w:val="none" w:color="auto"/>
                    </w:rPr>
                    <w:t>虞公港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57" w:type="pct"/>
                  <w:noWrap w:val="0"/>
                  <w:vAlign w:val="center"/>
                </w:tcPr>
                <w:p>
                  <w:pPr>
                    <w:widowControl w:val="0"/>
                    <w:adjustRightInd w:val="0"/>
                    <w:snapToGrid w:val="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地理坐标</w:t>
                  </w:r>
                </w:p>
              </w:tc>
              <w:tc>
                <w:tcPr>
                  <w:tcW w:w="3742" w:type="pct"/>
                  <w:noWrap w:val="0"/>
                  <w:vAlign w:val="center"/>
                </w:tcPr>
                <w:p>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东经</w:t>
                  </w:r>
                  <w:r>
                    <w:rPr>
                      <w:rFonts w:hint="default" w:ascii="Times New Roman" w:hAnsi="Times New Roman" w:eastAsia="宋体" w:cs="Times New Roman"/>
                      <w:color w:val="auto"/>
                      <w:sz w:val="21"/>
                      <w:szCs w:val="21"/>
                      <w:u w:val="none" w:color="auto"/>
                      <w:lang w:val="en-US" w:eastAsia="zh-CN"/>
                    </w:rPr>
                    <w:t>112°53′23.15543″，北纬28°48′19.89615″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57" w:type="pct"/>
                  <w:noWrap w:val="0"/>
                  <w:vAlign w:val="center"/>
                </w:tcPr>
                <w:p>
                  <w:pPr>
                    <w:widowControl w:val="0"/>
                    <w:adjustRightInd w:val="0"/>
                    <w:snapToGrid w:val="0"/>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主要风险物质</w:t>
                  </w:r>
                </w:p>
                <w:p>
                  <w:pPr>
                    <w:widowControl w:val="0"/>
                    <w:adjustRightInd w:val="0"/>
                    <w:snapToGrid w:val="0"/>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及分布</w:t>
                  </w:r>
                </w:p>
              </w:tc>
              <w:tc>
                <w:tcPr>
                  <w:tcW w:w="3742" w:type="pct"/>
                  <w:noWrap w:val="0"/>
                  <w:vAlign w:val="center"/>
                </w:tcPr>
                <w:p>
                  <w:pPr>
                    <w:widowControl w:val="0"/>
                    <w:adjustRightInd w:val="0"/>
                    <w:snapToGrid w:val="0"/>
                    <w:jc w:val="center"/>
                    <w:rPr>
                      <w:rFonts w:hint="default" w:ascii="Times New Roman" w:hAnsi="Times New Roman" w:eastAsia="宋体" w:cs="Times New Roman"/>
                      <w:bCs/>
                      <w:color w:val="auto"/>
                      <w:kern w:val="2"/>
                      <w:sz w:val="21"/>
                      <w:szCs w:val="21"/>
                      <w:highlight w:val="yellow"/>
                      <w:u w:val="none" w:color="auto"/>
                      <w:lang w:val="en-US" w:eastAsia="zh-CN" w:bidi="ar-SA"/>
                    </w:rPr>
                  </w:pPr>
                  <w:r>
                    <w:rPr>
                      <w:rFonts w:hint="eastAsia" w:cs="Times New Roman"/>
                      <w:bCs/>
                      <w:color w:val="auto"/>
                      <w:kern w:val="2"/>
                      <w:sz w:val="21"/>
                      <w:szCs w:val="21"/>
                      <w:highlight w:val="none"/>
                      <w:u w:val="none" w:color="auto"/>
                      <w:lang w:val="en-US" w:eastAsia="zh-CN" w:bidi="ar-SA"/>
                    </w:rPr>
                    <w:t>柴油、危废</w:t>
                  </w:r>
                  <w:r>
                    <w:rPr>
                      <w:rFonts w:hint="eastAsia" w:ascii="Times New Roman" w:hAnsi="Times New Roman" w:eastAsia="宋体" w:cs="Times New Roman"/>
                      <w:bCs/>
                      <w:color w:val="auto"/>
                      <w:kern w:val="2"/>
                      <w:sz w:val="21"/>
                      <w:szCs w:val="21"/>
                      <w:highlight w:val="none"/>
                      <w:u w:val="none" w:color="auto"/>
                      <w:lang w:val="en-US" w:eastAsia="zh-CN" w:bidi="ar-SA"/>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57" w:type="pct"/>
                  <w:noWrap w:val="0"/>
                  <w:vAlign w:val="center"/>
                </w:tcPr>
                <w:p>
                  <w:pPr>
                    <w:widowControl w:val="0"/>
                    <w:adjustRightInd w:val="0"/>
                    <w:snapToGrid w:val="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环境影响途径及危害后果（大气、地表水、地下水等）</w:t>
                  </w:r>
                </w:p>
              </w:tc>
              <w:tc>
                <w:tcPr>
                  <w:tcW w:w="3742" w:type="pct"/>
                  <w:noWrap w:val="0"/>
                  <w:vAlign w:val="center"/>
                </w:tcPr>
                <w:p>
                  <w:pPr>
                    <w:widowControl w:val="0"/>
                    <w:adjustRightInd w:val="0"/>
                    <w:snapToGrid w:val="0"/>
                    <w:jc w:val="both"/>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color w:val="auto"/>
                      <w:u w:val="none" w:color="auto"/>
                      <w:lang w:val="en-US" w:eastAsia="zh-CN"/>
                    </w:rPr>
                    <w:t>①煤炭、煤粉、柴油易燃，引起火灾事故；②废气、废水处理设施故障，影响周边大气、地表水、地下水环境；③危废泄漏；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57" w:type="pct"/>
                  <w:noWrap w:val="0"/>
                  <w:vAlign w:val="center"/>
                </w:tcPr>
                <w:p>
                  <w:pPr>
                    <w:widowControl w:val="0"/>
                    <w:adjustRightInd w:val="0"/>
                    <w:snapToGrid w:val="0"/>
                    <w:jc w:val="both"/>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风险防范措施要求</w:t>
                  </w:r>
                </w:p>
              </w:tc>
              <w:tc>
                <w:tcPr>
                  <w:tcW w:w="3742" w:type="pct"/>
                  <w:noWrap w:val="0"/>
                  <w:vAlign w:val="center"/>
                </w:tcPr>
                <w:p>
                  <w:pPr>
                    <w:widowControl w:val="0"/>
                    <w:adjustRightInd w:val="0"/>
                    <w:snapToGrid w:val="0"/>
                    <w:jc w:val="both"/>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kern w:val="2"/>
                      <w:sz w:val="21"/>
                      <w:szCs w:val="21"/>
                      <w:highlight w:val="none"/>
                      <w:u w:val="none" w:color="auto"/>
                      <w:lang w:val="en-US" w:eastAsia="zh-CN" w:bidi="ar-SA"/>
                    </w:rPr>
                    <w:t>①</w:t>
                  </w:r>
                  <w:r>
                    <w:rPr>
                      <w:rFonts w:hint="default" w:ascii="Times New Roman" w:hAnsi="Times New Roman" w:eastAsia="宋体" w:cs="Times New Roman"/>
                      <w:bCs/>
                      <w:color w:val="auto"/>
                      <w:kern w:val="2"/>
                      <w:sz w:val="21"/>
                      <w:szCs w:val="21"/>
                      <w:highlight w:val="none"/>
                      <w:u w:val="none" w:color="auto"/>
                      <w:lang w:val="en-US" w:eastAsia="zh-CN" w:bidi="ar-SA"/>
                    </w:rPr>
                    <w:t>加强管理</w:t>
                  </w:r>
                  <w:r>
                    <w:rPr>
                      <w:rFonts w:hint="eastAsia" w:ascii="Times New Roman" w:hAnsi="Times New Roman" w:eastAsia="宋体" w:cs="Times New Roman"/>
                      <w:bCs/>
                      <w:color w:val="auto"/>
                      <w:kern w:val="2"/>
                      <w:sz w:val="21"/>
                      <w:szCs w:val="21"/>
                      <w:highlight w:val="none"/>
                      <w:u w:val="none" w:color="auto"/>
                      <w:lang w:val="en-US" w:eastAsia="zh-CN" w:bidi="ar-SA"/>
                    </w:rPr>
                    <w:t>和</w:t>
                  </w:r>
                  <w:r>
                    <w:rPr>
                      <w:rFonts w:hint="default" w:ascii="Times New Roman" w:hAnsi="Times New Roman" w:eastAsia="宋体" w:cs="Times New Roman"/>
                      <w:bCs/>
                      <w:color w:val="auto"/>
                      <w:kern w:val="2"/>
                      <w:sz w:val="21"/>
                      <w:szCs w:val="21"/>
                      <w:highlight w:val="none"/>
                      <w:u w:val="none" w:color="auto"/>
                      <w:lang w:val="en-US" w:eastAsia="zh-CN" w:bidi="ar-SA"/>
                    </w:rPr>
                    <w:t>人员培训。</w:t>
                  </w:r>
                </w:p>
                <w:p>
                  <w:pPr>
                    <w:widowControl w:val="0"/>
                    <w:adjustRightInd w:val="0"/>
                    <w:snapToGrid w:val="0"/>
                    <w:jc w:val="both"/>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kern w:val="2"/>
                      <w:sz w:val="21"/>
                      <w:szCs w:val="21"/>
                      <w:highlight w:val="none"/>
                      <w:u w:val="none" w:color="auto"/>
                      <w:lang w:val="en-US" w:eastAsia="zh-CN" w:bidi="ar-SA"/>
                    </w:rPr>
                    <w:t>②</w:t>
                  </w:r>
                  <w:r>
                    <w:rPr>
                      <w:rFonts w:hint="default" w:ascii="Times New Roman" w:hAnsi="Times New Roman" w:eastAsia="宋体" w:cs="Times New Roman"/>
                      <w:bCs/>
                      <w:color w:val="auto"/>
                      <w:kern w:val="2"/>
                      <w:sz w:val="21"/>
                      <w:szCs w:val="21"/>
                      <w:highlight w:val="none"/>
                      <w:u w:val="none" w:color="auto"/>
                      <w:lang w:val="en-US" w:eastAsia="zh-CN" w:bidi="ar-SA"/>
                    </w:rPr>
                    <w:t>设置机械排风装置和监测监控。</w:t>
                  </w:r>
                </w:p>
                <w:p>
                  <w:pPr>
                    <w:widowControl w:val="0"/>
                    <w:adjustRightInd w:val="0"/>
                    <w:snapToGrid w:val="0"/>
                    <w:jc w:val="both"/>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kern w:val="2"/>
                      <w:sz w:val="21"/>
                      <w:szCs w:val="21"/>
                      <w:highlight w:val="none"/>
                      <w:u w:val="none" w:color="auto"/>
                      <w:lang w:val="en-US" w:eastAsia="zh-CN" w:bidi="ar-SA"/>
                    </w:rPr>
                    <w:t>③</w:t>
                  </w:r>
                  <w:r>
                    <w:rPr>
                      <w:rFonts w:hint="default" w:ascii="Times New Roman" w:hAnsi="Times New Roman" w:eastAsia="宋体" w:cs="Times New Roman"/>
                      <w:bCs/>
                      <w:color w:val="auto"/>
                      <w:kern w:val="2"/>
                      <w:sz w:val="21"/>
                      <w:szCs w:val="21"/>
                      <w:highlight w:val="none"/>
                      <w:u w:val="none" w:color="auto"/>
                      <w:lang w:val="en-US" w:eastAsia="zh-CN" w:bidi="ar-SA"/>
                    </w:rPr>
                    <w:t>储煤场内严禁烟火。</w:t>
                  </w:r>
                </w:p>
                <w:p>
                  <w:pPr>
                    <w:widowControl w:val="0"/>
                    <w:adjustRightInd w:val="0"/>
                    <w:snapToGrid w:val="0"/>
                    <w:jc w:val="both"/>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kern w:val="2"/>
                      <w:sz w:val="21"/>
                      <w:szCs w:val="21"/>
                      <w:highlight w:val="none"/>
                      <w:u w:val="none" w:color="auto"/>
                      <w:lang w:val="en-US" w:eastAsia="zh-CN" w:bidi="ar-SA"/>
                    </w:rPr>
                    <w:t>④</w:t>
                  </w:r>
                  <w:r>
                    <w:rPr>
                      <w:rFonts w:hint="default" w:ascii="Times New Roman" w:hAnsi="Times New Roman" w:eastAsia="宋体" w:cs="Times New Roman"/>
                      <w:bCs/>
                      <w:color w:val="auto"/>
                      <w:kern w:val="2"/>
                      <w:sz w:val="21"/>
                      <w:szCs w:val="21"/>
                      <w:highlight w:val="none"/>
                      <w:u w:val="none" w:color="auto"/>
                      <w:lang w:val="en-US" w:eastAsia="zh-CN" w:bidi="ar-SA"/>
                    </w:rPr>
                    <w:t>按防火要求进行设计和施工，并配置相关的防护设施和用具。</w:t>
                  </w:r>
                </w:p>
                <w:p>
                  <w:pPr>
                    <w:widowControl w:val="0"/>
                    <w:adjustRightInd w:val="0"/>
                    <w:snapToGrid w:val="0"/>
                    <w:jc w:val="both"/>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kern w:val="2"/>
                      <w:sz w:val="21"/>
                      <w:szCs w:val="21"/>
                      <w:highlight w:val="none"/>
                      <w:u w:val="none" w:color="auto"/>
                      <w:lang w:val="en-US" w:eastAsia="zh-CN" w:bidi="ar-SA"/>
                    </w:rPr>
                    <w:t>⑤</w:t>
                  </w:r>
                  <w:r>
                    <w:rPr>
                      <w:rFonts w:hint="default" w:ascii="Times New Roman" w:hAnsi="Times New Roman" w:eastAsia="宋体" w:cs="Times New Roman"/>
                      <w:bCs/>
                      <w:color w:val="auto"/>
                      <w:kern w:val="2"/>
                      <w:sz w:val="21"/>
                      <w:szCs w:val="21"/>
                      <w:highlight w:val="none"/>
                      <w:u w:val="none" w:color="auto"/>
                      <w:lang w:val="en-US" w:eastAsia="zh-CN" w:bidi="ar-SA"/>
                    </w:rPr>
                    <w:t>相应池体应做好防渗措施；</w:t>
                  </w:r>
                </w:p>
                <w:p>
                  <w:pPr>
                    <w:widowControl w:val="0"/>
                    <w:adjustRightInd w:val="0"/>
                    <w:snapToGrid w:val="0"/>
                    <w:jc w:val="both"/>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kern w:val="2"/>
                      <w:sz w:val="21"/>
                      <w:szCs w:val="21"/>
                      <w:highlight w:val="none"/>
                      <w:u w:val="none" w:color="auto"/>
                      <w:lang w:val="en-US" w:eastAsia="zh-CN" w:bidi="ar-SA"/>
                    </w:rPr>
                    <w:t>⑥</w:t>
                  </w:r>
                  <w:r>
                    <w:rPr>
                      <w:rFonts w:hint="default" w:ascii="Times New Roman" w:hAnsi="Times New Roman" w:eastAsia="宋体" w:cs="Times New Roman"/>
                      <w:bCs/>
                      <w:color w:val="auto"/>
                      <w:kern w:val="2"/>
                      <w:sz w:val="21"/>
                      <w:szCs w:val="21"/>
                      <w:highlight w:val="none"/>
                      <w:u w:val="none" w:color="auto"/>
                      <w:lang w:val="en-US" w:eastAsia="zh-CN" w:bidi="ar-SA"/>
                    </w:rPr>
                    <w:t>废水、废气处理设施专人管理，巡查</w:t>
                  </w:r>
                  <w:r>
                    <w:rPr>
                      <w:rFonts w:hint="eastAsia" w:ascii="Times New Roman" w:hAnsi="Times New Roman" w:eastAsia="宋体" w:cs="Times New Roman"/>
                      <w:bCs/>
                      <w:color w:val="auto"/>
                      <w:kern w:val="2"/>
                      <w:sz w:val="21"/>
                      <w:szCs w:val="21"/>
                      <w:highlight w:val="none"/>
                      <w:u w:val="none" w:color="auto"/>
                      <w:lang w:val="en-US" w:eastAsia="zh-CN" w:bidi="ar-SA"/>
                    </w:rPr>
                    <w:t>、</w:t>
                  </w:r>
                  <w:r>
                    <w:rPr>
                      <w:rFonts w:hint="default" w:ascii="Times New Roman" w:hAnsi="Times New Roman" w:eastAsia="宋体" w:cs="Times New Roman"/>
                      <w:bCs/>
                      <w:color w:val="auto"/>
                      <w:kern w:val="2"/>
                      <w:sz w:val="21"/>
                      <w:szCs w:val="21"/>
                      <w:highlight w:val="none"/>
                      <w:u w:val="none" w:color="auto"/>
                      <w:lang w:val="en-US" w:eastAsia="zh-CN" w:bidi="ar-SA"/>
                    </w:rPr>
                    <w:t>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57" w:type="pct"/>
                  <w:noWrap w:val="0"/>
                  <w:vAlign w:val="center"/>
                </w:tcPr>
                <w:p>
                  <w:pPr>
                    <w:widowControl w:val="0"/>
                    <w:adjustRightInd w:val="0"/>
                    <w:snapToGrid w:val="0"/>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填表说明（列出项目相关信息及评价说明）</w:t>
                  </w:r>
                </w:p>
              </w:tc>
              <w:tc>
                <w:tcPr>
                  <w:tcW w:w="3742" w:type="pct"/>
                  <w:noWrap w:val="0"/>
                  <w:vAlign w:val="center"/>
                </w:tcPr>
                <w:p>
                  <w:pPr>
                    <w:widowControl w:val="0"/>
                    <w:adjustRightInd w:val="0"/>
                    <w:snapToGrid w:val="0"/>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Q=</w:t>
                  </w:r>
                  <w:r>
                    <w:rPr>
                      <w:rFonts w:hint="default" w:ascii="Times New Roman" w:hAnsi="Times New Roman" w:eastAsia="宋体" w:cs="Times New Roman"/>
                      <w:color w:val="auto"/>
                      <w:kern w:val="0"/>
                      <w:szCs w:val="21"/>
                      <w:u w:val="none" w:color="auto"/>
                      <w:lang w:bidi="ar"/>
                    </w:rPr>
                    <w:t>0.00</w:t>
                  </w:r>
                  <w:r>
                    <w:rPr>
                      <w:rFonts w:hint="eastAsia" w:cs="Times New Roman"/>
                      <w:color w:val="auto"/>
                      <w:kern w:val="0"/>
                      <w:szCs w:val="21"/>
                      <w:u w:val="none" w:color="auto"/>
                      <w:lang w:val="en-US" w:eastAsia="zh-CN" w:bidi="ar"/>
                    </w:rPr>
                    <w:t>188</w:t>
                  </w:r>
                  <w:r>
                    <w:rPr>
                      <w:rFonts w:hint="default" w:ascii="Times New Roman" w:hAnsi="Times New Roman" w:eastAsia="宋体" w:cs="Times New Roman"/>
                      <w:bCs/>
                      <w:color w:val="auto"/>
                      <w:kern w:val="2"/>
                      <w:sz w:val="21"/>
                      <w:szCs w:val="21"/>
                      <w:highlight w:val="none"/>
                      <w:u w:val="none" w:color="auto"/>
                      <w:lang w:val="en-US" w:eastAsia="zh-CN" w:bidi="ar-SA"/>
                    </w:rPr>
                    <w:t>＜1，该项目环境风险潜势为Ⅰ，对环境风险做简单分析。</w:t>
                  </w:r>
                </w:p>
              </w:tc>
            </w:tr>
          </w:tbl>
          <w:p>
            <w:pPr>
              <w:spacing w:beforeLines="50" w:line="360" w:lineRule="auto"/>
              <w:ind w:firstLine="422" w:firstLineChars="200"/>
              <w:rPr>
                <w:b/>
                <w:bCs/>
                <w:color w:val="auto"/>
                <w:u w:val="none" w:color="auto"/>
              </w:rPr>
            </w:pPr>
            <w:r>
              <w:rPr>
                <w:rFonts w:hint="eastAsia"/>
                <w:b/>
                <w:bCs/>
                <w:color w:val="auto"/>
                <w:u w:val="none" w:color="auto"/>
              </w:rPr>
              <w:t>（5）</w:t>
            </w:r>
            <w:r>
              <w:rPr>
                <w:b/>
                <w:bCs/>
                <w:color w:val="auto"/>
                <w:u w:val="none" w:color="auto"/>
              </w:rPr>
              <w:t>环境风险分析结论</w:t>
            </w:r>
          </w:p>
          <w:p>
            <w:pPr>
              <w:pStyle w:val="83"/>
              <w:ind w:firstLine="420"/>
              <w:rPr>
                <w:rFonts w:hint="eastAsia"/>
                <w:color w:val="auto"/>
                <w:u w:val="none" w:color="auto"/>
              </w:rPr>
            </w:pPr>
            <w:r>
              <w:rPr>
                <w:color w:val="auto"/>
                <w:u w:val="none" w:color="auto"/>
              </w:rPr>
              <w:t>本项目</w:t>
            </w:r>
            <w:r>
              <w:rPr>
                <w:rFonts w:hint="eastAsia"/>
                <w:color w:val="auto"/>
                <w:u w:val="none" w:color="auto"/>
                <w:lang w:eastAsia="zh-CN"/>
              </w:rPr>
              <w:t>涉及的风险物质</w:t>
            </w:r>
            <w:r>
              <w:rPr>
                <w:color w:val="auto"/>
                <w:u w:val="none" w:color="auto"/>
              </w:rPr>
              <w:t>Q值为</w:t>
            </w:r>
            <w:r>
              <w:rPr>
                <w:rFonts w:hint="default" w:ascii="Times New Roman" w:hAnsi="Times New Roman" w:eastAsia="宋体" w:cs="Times New Roman"/>
                <w:color w:val="auto"/>
                <w:kern w:val="0"/>
                <w:szCs w:val="21"/>
                <w:u w:val="none" w:color="auto"/>
                <w:lang w:bidi="ar"/>
              </w:rPr>
              <w:t>0.00</w:t>
            </w:r>
            <w:r>
              <w:rPr>
                <w:rFonts w:hint="eastAsia" w:cs="Times New Roman"/>
                <w:color w:val="auto"/>
                <w:kern w:val="0"/>
                <w:szCs w:val="21"/>
                <w:u w:val="none" w:color="auto"/>
                <w:lang w:val="en-US" w:eastAsia="zh-CN" w:bidi="ar"/>
              </w:rPr>
              <w:t>188</w:t>
            </w:r>
            <w:r>
              <w:rPr>
                <w:color w:val="auto"/>
                <w:u w:val="none" w:color="auto"/>
              </w:rPr>
              <w:t>＜1。在采取</w:t>
            </w:r>
            <w:r>
              <w:rPr>
                <w:rFonts w:hint="eastAsia"/>
                <w:color w:val="auto"/>
                <w:u w:val="none" w:color="auto"/>
              </w:rPr>
              <w:t>以上</w:t>
            </w:r>
            <w:r>
              <w:rPr>
                <w:color w:val="auto"/>
                <w:u w:val="none" w:color="auto"/>
              </w:rPr>
              <w:t>相应的事故风险防范措施之后，本项目环境风险事故的发生概率较低。建设单位通过</w:t>
            </w:r>
            <w:r>
              <w:rPr>
                <w:rFonts w:hint="eastAsia"/>
                <w:color w:val="auto"/>
                <w:u w:val="none" w:color="auto"/>
                <w:lang w:eastAsia="zh-CN"/>
              </w:rPr>
              <w:t>采取相关风险防控措施，</w:t>
            </w:r>
            <w:r>
              <w:rPr>
                <w:color w:val="auto"/>
                <w:u w:val="none" w:color="auto"/>
              </w:rPr>
              <w:t>加强管理基础上，环境风险水平可以接受</w:t>
            </w:r>
            <w:r>
              <w:rPr>
                <w:rFonts w:hint="eastAsia"/>
                <w:color w:val="auto"/>
                <w:u w:val="none" w:color="auto"/>
              </w:rPr>
              <w:t>。</w:t>
            </w:r>
          </w:p>
          <w:p>
            <w:pPr>
              <w:spacing w:line="360" w:lineRule="auto"/>
              <w:ind w:firstLine="422" w:firstLineChars="200"/>
              <w:rPr>
                <w:rFonts w:hint="default" w:ascii="Times New Roman" w:hAnsi="Times New Roman" w:cs="Times New Roman"/>
                <w:b/>
                <w:bCs/>
                <w:color w:val="auto"/>
                <w:szCs w:val="21"/>
                <w:u w:val="none" w:color="auto"/>
              </w:rPr>
            </w:pPr>
            <w:r>
              <w:rPr>
                <w:rFonts w:hint="eastAsia" w:cs="Times New Roman"/>
                <w:b/>
                <w:bCs/>
                <w:color w:val="auto"/>
                <w:szCs w:val="21"/>
                <w:u w:val="none" w:color="auto"/>
                <w:lang w:val="en-US" w:eastAsia="zh-CN"/>
              </w:rPr>
              <w:t>7、</w:t>
            </w:r>
            <w:r>
              <w:rPr>
                <w:rFonts w:hint="default" w:ascii="Times New Roman" w:hAnsi="Times New Roman" w:cs="Times New Roman"/>
                <w:b/>
                <w:bCs/>
                <w:color w:val="auto"/>
                <w:szCs w:val="21"/>
                <w:u w:val="none" w:color="auto"/>
              </w:rPr>
              <w:t>环保投资</w:t>
            </w:r>
          </w:p>
          <w:p>
            <w:pPr>
              <w:spacing w:line="360" w:lineRule="auto"/>
              <w:ind w:firstLine="56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本项目总投资</w:t>
            </w:r>
            <w:r>
              <w:rPr>
                <w:rFonts w:hint="eastAsia" w:ascii="宋体" w:hAnsi="宋体" w:cs="宋体"/>
                <w:color w:val="auto"/>
                <w:sz w:val="21"/>
                <w:szCs w:val="21"/>
                <w:u w:val="none" w:color="auto"/>
                <w:lang w:val="en-US" w:eastAsia="zh-CN"/>
              </w:rPr>
              <w:t>49504.56</w:t>
            </w:r>
            <w:r>
              <w:rPr>
                <w:rFonts w:hint="default" w:ascii="Times New Roman" w:hAnsi="Times New Roman" w:cs="Times New Roman"/>
                <w:color w:val="auto"/>
                <w:u w:val="none" w:color="auto"/>
              </w:rPr>
              <w:t>万元，其中环保总投资</w:t>
            </w:r>
            <w:r>
              <w:rPr>
                <w:rFonts w:hint="eastAsia" w:cs="Times New Roman"/>
                <w:color w:val="auto"/>
                <w:szCs w:val="21"/>
                <w:highlight w:val="none"/>
                <w:u w:val="none" w:color="auto"/>
                <w:lang w:val="en-US" w:eastAsia="zh-CN"/>
              </w:rPr>
              <w:t>386.55</w:t>
            </w:r>
            <w:r>
              <w:rPr>
                <w:rFonts w:hint="default" w:ascii="Times New Roman" w:hAnsi="Times New Roman" w:cs="Times New Roman"/>
                <w:color w:val="auto"/>
                <w:u w:val="none" w:color="auto"/>
              </w:rPr>
              <w:t>万元，详见下表：</w:t>
            </w:r>
          </w:p>
          <w:p>
            <w:pPr>
              <w:jc w:val="center"/>
              <w:rPr>
                <w:rFonts w:hint="default" w:ascii="Times New Roman" w:hAnsi="Times New Roman" w:cs="Times New Roman"/>
                <w:b/>
                <w:color w:val="auto"/>
                <w:u w:val="none" w:color="auto"/>
              </w:rPr>
            </w:pPr>
            <w:r>
              <w:rPr>
                <w:rFonts w:hint="default" w:ascii="Times New Roman" w:hAnsi="Times New Roman" w:cs="Times New Roman"/>
                <w:b/>
                <w:color w:val="auto"/>
                <w:u w:val="none" w:color="auto"/>
              </w:rPr>
              <w:t>表4</w:t>
            </w:r>
            <w:r>
              <w:rPr>
                <w:rFonts w:hint="default" w:ascii="Times New Roman" w:hAnsi="Times New Roman" w:cs="Times New Roman"/>
                <w:b/>
                <w:color w:val="auto"/>
                <w:u w:val="none" w:color="auto"/>
                <w:lang w:val="en-US" w:eastAsia="zh-CN"/>
              </w:rPr>
              <w:t>-</w:t>
            </w:r>
            <w:r>
              <w:rPr>
                <w:rFonts w:hint="eastAsia" w:cs="Times New Roman"/>
                <w:b/>
                <w:color w:val="auto"/>
                <w:u w:val="none" w:color="auto"/>
                <w:lang w:val="en-US" w:eastAsia="zh-CN"/>
              </w:rPr>
              <w:t>18</w:t>
            </w:r>
            <w:r>
              <w:rPr>
                <w:rFonts w:hint="default" w:ascii="Times New Roman" w:hAnsi="Times New Roman" w:cs="Times New Roman"/>
                <w:b/>
                <w:color w:val="auto"/>
                <w:u w:val="none" w:color="auto"/>
              </w:rPr>
              <w:t>项目环保投资估算表</w:t>
            </w:r>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11"/>
              <w:gridCol w:w="2184"/>
              <w:gridCol w:w="3670"/>
              <w:gridCol w:w="16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79" w:type="pct"/>
                  <w:noWrap w:val="0"/>
                  <w:vAlign w:val="center"/>
                </w:tcPr>
                <w:p>
                  <w:pPr>
                    <w:adjustRightInd w:val="0"/>
                    <w:snapToGrid w:val="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类别</w:t>
                  </w:r>
                </w:p>
              </w:tc>
              <w:tc>
                <w:tcPr>
                  <w:tcW w:w="1353" w:type="pct"/>
                  <w:noWrap w:val="0"/>
                  <w:vAlign w:val="center"/>
                </w:tcPr>
                <w:p>
                  <w:pPr>
                    <w:adjustRightInd w:val="0"/>
                    <w:snapToGrid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污染源</w:t>
                  </w:r>
                </w:p>
              </w:tc>
              <w:tc>
                <w:tcPr>
                  <w:tcW w:w="2272" w:type="pct"/>
                  <w:noWrap w:val="0"/>
                  <w:vAlign w:val="center"/>
                </w:tcPr>
                <w:p>
                  <w:pPr>
                    <w:adjustRightInd w:val="0"/>
                    <w:snapToGrid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污染防治措施</w:t>
                  </w:r>
                </w:p>
              </w:tc>
              <w:tc>
                <w:tcPr>
                  <w:tcW w:w="994" w:type="pct"/>
                  <w:noWrap w:val="0"/>
                  <w:vAlign w:val="center"/>
                </w:tcPr>
                <w:p>
                  <w:pPr>
                    <w:adjustRightInd w:val="0"/>
                    <w:snapToGrid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投资（万元）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379" w:type="pct"/>
                  <w:vMerge w:val="restart"/>
                  <w:noWrap w:val="0"/>
                  <w:vAlign w:val="center"/>
                </w:tcPr>
                <w:p>
                  <w:pPr>
                    <w:snapToGrid w:val="0"/>
                    <w:jc w:val="center"/>
                    <w:rPr>
                      <w:rFonts w:hint="default" w:ascii="Times New Roman" w:hAnsi="Times New Roman" w:eastAsia="宋体" w:cs="Times New Roman"/>
                      <w:color w:val="auto"/>
                      <w:u w:val="none" w:color="auto"/>
                      <w:lang w:eastAsia="zh-CN"/>
                    </w:rPr>
                  </w:pPr>
                  <w:bookmarkStart w:id="13" w:name="_Hlk43644089"/>
                  <w:r>
                    <w:rPr>
                      <w:rFonts w:hint="default" w:ascii="Times New Roman" w:hAnsi="Times New Roman" w:eastAsia="宋体" w:cs="Times New Roman"/>
                      <w:color w:val="auto"/>
                      <w:u w:val="none" w:color="auto"/>
                      <w:lang w:eastAsia="zh-CN"/>
                    </w:rPr>
                    <w:t>废气</w:t>
                  </w:r>
                </w:p>
              </w:tc>
              <w:tc>
                <w:tcPr>
                  <w:tcW w:w="1353" w:type="pct"/>
                  <w:noWrap w:val="0"/>
                  <w:vAlign w:val="center"/>
                </w:tcPr>
                <w:p>
                  <w:pPr>
                    <w:keepNext w:val="0"/>
                    <w:keepLines w:val="0"/>
                    <w:widowControl/>
                    <w:suppressLineNumbers w:val="0"/>
                    <w:jc w:val="left"/>
                    <w:rPr>
                      <w:rFonts w:hint="default" w:ascii="Times New Roman" w:hAnsi="Times New Roman" w:eastAsia="宋体" w:cs="Times New Roman"/>
                      <w:bCs/>
                      <w:color w:val="auto"/>
                      <w:szCs w:val="21"/>
                      <w:u w:val="none" w:color="auto"/>
                      <w:lang w:val="en-US" w:eastAsia="zh-CN"/>
                    </w:rPr>
                  </w:pPr>
                  <w:r>
                    <w:rPr>
                      <w:rFonts w:hint="default" w:ascii="Times New Roman" w:hAnsi="Times New Roman" w:eastAsia="宋体" w:cs="Times New Roman"/>
                      <w:color w:val="auto"/>
                      <w:kern w:val="0"/>
                      <w:sz w:val="21"/>
                      <w:szCs w:val="21"/>
                      <w:lang w:val="en-US" w:eastAsia="zh-CN" w:bidi="ar"/>
                    </w:rPr>
                    <w:t>煤炭储存（粉尘）</w:t>
                  </w:r>
                </w:p>
              </w:tc>
              <w:tc>
                <w:tcPr>
                  <w:tcW w:w="2272" w:type="pct"/>
                  <w:noWrap w:val="0"/>
                  <w:vAlign w:val="center"/>
                </w:tcPr>
                <w:p>
                  <w:pPr>
                    <w:keepNext w:val="0"/>
                    <w:keepLines w:val="0"/>
                    <w:widowControl/>
                    <w:suppressLineNumbers w:val="0"/>
                    <w:jc w:val="left"/>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kern w:val="0"/>
                      <w:sz w:val="21"/>
                      <w:szCs w:val="21"/>
                      <w:lang w:val="en-US" w:eastAsia="zh-CN" w:bidi="ar"/>
                    </w:rPr>
                    <w:t>储煤场采用全封闭形式，储煤场设置4台固定式远程射雾器</w:t>
                  </w:r>
                </w:p>
              </w:tc>
              <w:tc>
                <w:tcPr>
                  <w:tcW w:w="994"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79" w:type="pct"/>
                  <w:vMerge w:val="continue"/>
                  <w:noWrap w:val="0"/>
                  <w:vAlign w:val="center"/>
                </w:tcPr>
                <w:p>
                  <w:pPr>
                    <w:snapToGrid w:val="0"/>
                    <w:jc w:val="center"/>
                    <w:rPr>
                      <w:rFonts w:hint="default" w:ascii="Times New Roman" w:hAnsi="Times New Roman" w:eastAsia="宋体" w:cs="Times New Roman"/>
                      <w:color w:val="auto"/>
                      <w:szCs w:val="21"/>
                      <w:u w:val="none" w:color="auto"/>
                      <w:lang w:val="en-US" w:eastAsia="zh-CN"/>
                    </w:rPr>
                  </w:pPr>
                </w:p>
              </w:tc>
              <w:tc>
                <w:tcPr>
                  <w:tcW w:w="1353" w:type="pct"/>
                  <w:noWrap w:val="0"/>
                  <w:vAlign w:val="center"/>
                </w:tcPr>
                <w:p>
                  <w:pPr>
                    <w:adjustRightInd w:val="0"/>
                    <w:snapToGrid w:val="0"/>
                    <w:jc w:val="center"/>
                    <w:rPr>
                      <w:rFonts w:hint="default" w:ascii="Times New Roman" w:hAnsi="Times New Roman" w:eastAsia="宋体" w:cs="Times New Roman"/>
                      <w:bCs/>
                      <w:color w:val="auto"/>
                      <w:szCs w:val="21"/>
                      <w:u w:val="none" w:color="auto"/>
                      <w:lang w:eastAsia="zh-CN"/>
                    </w:rPr>
                  </w:pPr>
                  <w:r>
                    <w:rPr>
                      <w:rFonts w:hint="default" w:ascii="Times New Roman" w:hAnsi="Times New Roman" w:eastAsia="宋体" w:cs="Times New Roman"/>
                      <w:bCs/>
                      <w:color w:val="auto"/>
                      <w:szCs w:val="21"/>
                      <w:u w:val="none" w:color="auto"/>
                      <w:lang w:eastAsia="zh-CN"/>
                    </w:rPr>
                    <w:t>转载点（粉尘）</w:t>
                  </w:r>
                </w:p>
              </w:tc>
              <w:tc>
                <w:tcPr>
                  <w:tcW w:w="2272"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全封闭式带式输送机，装载点全封闭，设置干雾抑尘装置2套</w:t>
                  </w:r>
                </w:p>
              </w:tc>
              <w:tc>
                <w:tcPr>
                  <w:tcW w:w="994"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79" w:type="pct"/>
                  <w:vMerge w:val="continue"/>
                  <w:noWrap w:val="0"/>
                  <w:vAlign w:val="center"/>
                </w:tcPr>
                <w:p>
                  <w:pPr>
                    <w:snapToGrid w:val="0"/>
                    <w:jc w:val="center"/>
                    <w:rPr>
                      <w:rFonts w:hint="default" w:ascii="Times New Roman" w:hAnsi="Times New Roman" w:eastAsia="宋体" w:cs="Times New Roman"/>
                      <w:color w:val="auto"/>
                      <w:szCs w:val="21"/>
                      <w:u w:val="none" w:color="auto"/>
                      <w:lang w:val="en-US" w:eastAsia="zh-CN"/>
                    </w:rPr>
                  </w:pPr>
                </w:p>
              </w:tc>
              <w:tc>
                <w:tcPr>
                  <w:tcW w:w="1353" w:type="pct"/>
                  <w:noWrap w:val="0"/>
                  <w:vAlign w:val="center"/>
                </w:tcPr>
                <w:p>
                  <w:pPr>
                    <w:adjustRightInd w:val="0"/>
                    <w:snapToGrid w:val="0"/>
                    <w:jc w:val="center"/>
                    <w:rPr>
                      <w:rFonts w:hint="default" w:ascii="Times New Roman" w:hAnsi="Times New Roman" w:eastAsia="宋体" w:cs="Times New Roman"/>
                      <w:bCs/>
                      <w:color w:val="auto"/>
                      <w:szCs w:val="21"/>
                      <w:u w:val="none" w:color="auto"/>
                      <w:lang w:eastAsia="zh-CN"/>
                    </w:rPr>
                  </w:pPr>
                  <w:r>
                    <w:rPr>
                      <w:rFonts w:hint="default" w:ascii="Times New Roman" w:hAnsi="Times New Roman" w:eastAsia="宋体" w:cs="Times New Roman"/>
                      <w:color w:val="auto"/>
                      <w:kern w:val="0"/>
                      <w:sz w:val="21"/>
                      <w:szCs w:val="21"/>
                      <w:u w:val="none" w:color="auto"/>
                      <w:lang w:val="en-US" w:eastAsia="zh-CN"/>
                    </w:rPr>
                    <w:t>煤炭装卸（粉尘）</w:t>
                  </w:r>
                </w:p>
              </w:tc>
              <w:tc>
                <w:tcPr>
                  <w:tcW w:w="2272"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依托虞公港码头高压自动微雾湿式抑尘系统，设返尘板，降低物料跌落高度</w:t>
                  </w:r>
                </w:p>
              </w:tc>
              <w:tc>
                <w:tcPr>
                  <w:tcW w:w="994"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0（依托工程）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79" w:type="pct"/>
                  <w:vMerge w:val="restart"/>
                  <w:noWrap w:val="0"/>
                  <w:vAlign w:val="center"/>
                </w:tcPr>
                <w:p>
                  <w:pPr>
                    <w:adjustRightInd w:val="0"/>
                    <w:snapToGrid w:val="0"/>
                    <w:jc w:val="center"/>
                    <w:rPr>
                      <w:rFonts w:hint="default" w:ascii="Times New Roman" w:hAnsi="Times New Roman" w:eastAsia="宋体" w:cs="Times New Roman"/>
                      <w:color w:val="auto"/>
                      <w:u w:val="none" w:color="auto"/>
                      <w:lang w:eastAsia="zh-CN"/>
                    </w:rPr>
                  </w:pPr>
                  <w:r>
                    <w:rPr>
                      <w:rFonts w:hint="default" w:ascii="Times New Roman" w:hAnsi="Times New Roman" w:eastAsia="宋体" w:cs="Times New Roman"/>
                      <w:color w:val="auto"/>
                      <w:u w:val="none" w:color="auto"/>
                      <w:lang w:eastAsia="zh-CN"/>
                    </w:rPr>
                    <w:t>废水</w:t>
                  </w:r>
                </w:p>
              </w:tc>
              <w:tc>
                <w:tcPr>
                  <w:tcW w:w="1353" w:type="pct"/>
                  <w:noWrap w:val="0"/>
                  <w:vAlign w:val="center"/>
                </w:tcPr>
                <w:p>
                  <w:pPr>
                    <w:keepNext w:val="0"/>
                    <w:keepLines w:val="0"/>
                    <w:widowControl/>
                    <w:suppressLineNumbers w:val="0"/>
                    <w:jc w:val="left"/>
                    <w:rPr>
                      <w:rFonts w:hint="default" w:ascii="Times New Roman" w:hAnsi="Times New Roman" w:eastAsia="宋体" w:cs="Times New Roman"/>
                      <w:color w:val="auto"/>
                      <w:szCs w:val="21"/>
                      <w:u w:val="none" w:color="auto"/>
                      <w:lang w:eastAsia="zh-CN"/>
                    </w:rPr>
                  </w:pPr>
                  <w:r>
                    <w:rPr>
                      <w:rFonts w:hint="default" w:ascii="Times New Roman" w:hAnsi="Times New Roman" w:eastAsia="宋体" w:cs="Times New Roman"/>
                      <w:color w:val="auto"/>
                      <w:kern w:val="0"/>
                      <w:sz w:val="21"/>
                      <w:szCs w:val="21"/>
                      <w:lang w:val="en-US" w:eastAsia="zh-CN" w:bidi="ar"/>
                    </w:rPr>
                    <w:t>员工生活（污水）</w:t>
                  </w:r>
                </w:p>
              </w:tc>
              <w:tc>
                <w:tcPr>
                  <w:tcW w:w="2272" w:type="pct"/>
                  <w:noWrap w:val="0"/>
                  <w:vAlign w:val="center"/>
                </w:tcPr>
                <w:p>
                  <w:pPr>
                    <w:adjustRightInd w:val="0"/>
                    <w:snapToGrid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highlight w:val="none"/>
                      <w:u w:val="none" w:color="auto"/>
                      <w:lang w:val="en-US" w:eastAsia="zh-CN"/>
                    </w:rPr>
                    <w:t>自建一体化生活污水处理站（5m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/d），处理后回用于厂区绿化</w:t>
                  </w:r>
                </w:p>
              </w:tc>
              <w:tc>
                <w:tcPr>
                  <w:tcW w:w="994"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79" w:type="pct"/>
                  <w:vMerge w:val="continue"/>
                  <w:noWrap w:val="0"/>
                  <w:vAlign w:val="center"/>
                </w:tcPr>
                <w:p>
                  <w:pPr>
                    <w:adjustRightInd w:val="0"/>
                    <w:snapToGrid w:val="0"/>
                    <w:jc w:val="center"/>
                    <w:rPr>
                      <w:rFonts w:hint="default" w:ascii="Times New Roman" w:hAnsi="Times New Roman" w:eastAsia="宋体" w:cs="Times New Roman"/>
                      <w:color w:val="auto"/>
                      <w:u w:val="none" w:color="auto"/>
                    </w:rPr>
                  </w:pPr>
                </w:p>
              </w:tc>
              <w:tc>
                <w:tcPr>
                  <w:tcW w:w="1353" w:type="pct"/>
                  <w:noWrap w:val="0"/>
                  <w:vAlign w:val="center"/>
                </w:tcPr>
                <w:p>
                  <w:pPr>
                    <w:adjustRightInd w:val="0"/>
                    <w:snapToGrid w:val="0"/>
                    <w:jc w:val="center"/>
                    <w:rPr>
                      <w:rFonts w:hint="default" w:ascii="Times New Roman" w:hAnsi="Times New Roman" w:eastAsia="宋体" w:cs="Times New Roman"/>
                      <w:color w:val="auto"/>
                      <w:szCs w:val="21"/>
                      <w:u w:val="none" w:color="auto"/>
                      <w:lang w:eastAsia="zh-CN"/>
                    </w:rPr>
                  </w:pPr>
                  <w:r>
                    <w:rPr>
                      <w:rFonts w:hint="default" w:ascii="Times New Roman" w:hAnsi="Times New Roman" w:eastAsia="宋体" w:cs="Times New Roman"/>
                      <w:color w:val="auto"/>
                      <w:szCs w:val="21"/>
                      <w:u w:val="none" w:color="auto"/>
                      <w:lang w:eastAsia="zh-CN"/>
                    </w:rPr>
                    <w:t>转载点（地面冲洗废水）</w:t>
                  </w:r>
                </w:p>
              </w:tc>
              <w:tc>
                <w:tcPr>
                  <w:tcW w:w="2272"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bidi="ar"/>
                    </w:rPr>
                    <w:t>经集水坑收集经泵提升，依托虞公港生产废水处理站处理后，回用于厂区喷洒降尘、绿化。</w:t>
                  </w:r>
                </w:p>
              </w:tc>
              <w:tc>
                <w:tcPr>
                  <w:tcW w:w="994"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79" w:type="pct"/>
                  <w:vMerge w:val="continue"/>
                  <w:noWrap w:val="0"/>
                  <w:vAlign w:val="center"/>
                </w:tcPr>
                <w:p>
                  <w:pPr>
                    <w:adjustRightInd w:val="0"/>
                    <w:snapToGrid w:val="0"/>
                    <w:jc w:val="center"/>
                    <w:rPr>
                      <w:rFonts w:hint="default" w:ascii="Times New Roman" w:hAnsi="Times New Roman" w:eastAsia="宋体" w:cs="Times New Roman"/>
                      <w:color w:val="auto"/>
                      <w:u w:val="none" w:color="auto"/>
                    </w:rPr>
                  </w:pPr>
                </w:p>
              </w:tc>
              <w:tc>
                <w:tcPr>
                  <w:tcW w:w="1353" w:type="pct"/>
                  <w:noWrap w:val="0"/>
                  <w:vAlign w:val="center"/>
                </w:tcPr>
                <w:p>
                  <w:pPr>
                    <w:adjustRightInd w:val="0"/>
                    <w:snapToGrid w:val="0"/>
                    <w:jc w:val="center"/>
                    <w:rPr>
                      <w:rFonts w:hint="default" w:ascii="Times New Roman" w:hAnsi="Times New Roman" w:eastAsia="宋体" w:cs="Times New Roman"/>
                      <w:color w:val="auto"/>
                      <w:szCs w:val="21"/>
                      <w:u w:val="none" w:color="auto"/>
                      <w:lang w:eastAsia="zh-CN"/>
                    </w:rPr>
                  </w:pPr>
                  <w:r>
                    <w:rPr>
                      <w:rFonts w:hint="default" w:ascii="Times New Roman" w:hAnsi="Times New Roman" w:eastAsia="宋体" w:cs="Times New Roman"/>
                      <w:color w:val="auto"/>
                      <w:szCs w:val="21"/>
                      <w:u w:val="none" w:color="auto"/>
                      <w:lang w:eastAsia="zh-CN"/>
                    </w:rPr>
                    <w:t>初期雨水收集池</w:t>
                  </w:r>
                </w:p>
              </w:tc>
              <w:tc>
                <w:tcPr>
                  <w:tcW w:w="2272"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bidi="ar"/>
                    </w:rPr>
                    <w:t>初期雨水经雨水沟收集进入初期雨水沉淀池（</w:t>
                  </w:r>
                  <w:r>
                    <w:rPr>
                      <w:rFonts w:hint="default" w:ascii="Times New Roman" w:hAnsi="Times New Roman" w:eastAsia="宋体" w:cs="Times New Roman"/>
                      <w:color w:val="auto"/>
                      <w:kern w:val="0"/>
                      <w:sz w:val="21"/>
                      <w:szCs w:val="21"/>
                      <w:u w:val="none" w:color="auto"/>
                      <w:lang w:val="en-US" w:eastAsia="zh-CN" w:bidi="ar"/>
                    </w:rPr>
                    <w:t>容积1000m</w:t>
                  </w:r>
                  <w:r>
                    <w:rPr>
                      <w:rFonts w:hint="default" w:ascii="Times New Roman" w:hAnsi="Times New Roman" w:eastAsia="宋体" w:cs="Times New Roman"/>
                      <w:color w:val="auto"/>
                      <w:kern w:val="0"/>
                      <w:sz w:val="21"/>
                      <w:szCs w:val="21"/>
                      <w:u w:val="none" w:color="auto"/>
                      <w:vertAlign w:val="superscript"/>
                      <w:lang w:val="en-US" w:eastAsia="zh-CN" w:bidi="ar"/>
                    </w:rPr>
                    <w:t>3</w:t>
                  </w:r>
                  <w:r>
                    <w:rPr>
                      <w:rFonts w:hint="default" w:ascii="Times New Roman" w:hAnsi="Times New Roman" w:eastAsia="宋体" w:cs="Times New Roman"/>
                      <w:bCs/>
                      <w:color w:val="auto"/>
                      <w:sz w:val="21"/>
                      <w:szCs w:val="21"/>
                      <w:highlight w:val="none"/>
                      <w:u w:val="none" w:color="auto"/>
                      <w:lang w:val="en-US" w:eastAsia="zh-CN" w:bidi="ar"/>
                    </w:rPr>
                    <w:t>），经泵提升，依托虞公港生产废水处理站处理，回用于厂区喷洒降尘、绿化等。</w:t>
                  </w:r>
                </w:p>
              </w:tc>
              <w:tc>
                <w:tcPr>
                  <w:tcW w:w="994"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79" w:type="pct"/>
                  <w:noWrap w:val="0"/>
                  <w:vAlign w:val="center"/>
                </w:tcPr>
                <w:p>
                  <w:pPr>
                    <w:adjustRightInd w:val="0"/>
                    <w:snapToGrid w:val="0"/>
                    <w:jc w:val="center"/>
                    <w:rPr>
                      <w:rFonts w:hint="default" w:ascii="Times New Roman" w:hAnsi="Times New Roman" w:eastAsia="宋体" w:cs="Times New Roman"/>
                      <w:color w:val="auto"/>
                      <w:u w:val="none" w:color="auto"/>
                      <w:lang w:eastAsia="zh-CN"/>
                    </w:rPr>
                  </w:pPr>
                  <w:r>
                    <w:rPr>
                      <w:rFonts w:hint="default" w:ascii="Times New Roman" w:hAnsi="Times New Roman" w:eastAsia="宋体" w:cs="Times New Roman"/>
                      <w:color w:val="auto"/>
                      <w:u w:val="none" w:color="auto"/>
                      <w:lang w:eastAsia="zh-CN"/>
                    </w:rPr>
                    <w:t>噪声</w:t>
                  </w:r>
                </w:p>
              </w:tc>
              <w:tc>
                <w:tcPr>
                  <w:tcW w:w="1353" w:type="pct"/>
                  <w:noWrap w:val="0"/>
                  <w:vAlign w:val="center"/>
                </w:tcPr>
                <w:p>
                  <w:pPr>
                    <w:adjustRightInd w:val="0"/>
                    <w:snapToGrid w:val="0"/>
                    <w:jc w:val="center"/>
                    <w:rPr>
                      <w:rFonts w:hint="default" w:ascii="Times New Roman" w:hAnsi="Times New Roman" w:eastAsia="宋体" w:cs="Times New Roman"/>
                      <w:color w:val="auto"/>
                      <w:szCs w:val="21"/>
                      <w:u w:val="none" w:color="auto"/>
                      <w:lang w:eastAsia="zh-CN"/>
                    </w:rPr>
                  </w:pPr>
                  <w:r>
                    <w:rPr>
                      <w:rFonts w:hint="default" w:ascii="Times New Roman" w:hAnsi="Times New Roman" w:eastAsia="宋体" w:cs="Times New Roman"/>
                      <w:color w:val="auto"/>
                      <w:szCs w:val="21"/>
                      <w:u w:val="none" w:color="auto"/>
                      <w:lang w:eastAsia="zh-CN"/>
                    </w:rPr>
                    <w:t>生产设备</w:t>
                  </w:r>
                </w:p>
              </w:tc>
              <w:tc>
                <w:tcPr>
                  <w:tcW w:w="2272"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highlight w:val="none"/>
                      <w:u w:val="none" w:color="auto"/>
                      <w:lang w:eastAsia="zh-CN"/>
                    </w:rPr>
                    <w:t>厂房</w:t>
                  </w:r>
                  <w:r>
                    <w:rPr>
                      <w:rFonts w:hint="default" w:ascii="Times New Roman" w:hAnsi="Times New Roman" w:eastAsia="宋体" w:cs="Times New Roman"/>
                      <w:color w:val="auto"/>
                      <w:szCs w:val="21"/>
                      <w:highlight w:val="none"/>
                      <w:u w:val="none" w:color="auto"/>
                    </w:rPr>
                    <w:t>隔音、</w:t>
                  </w:r>
                  <w:r>
                    <w:rPr>
                      <w:rFonts w:hint="default" w:ascii="Times New Roman" w:hAnsi="Times New Roman" w:eastAsia="宋体" w:cs="Times New Roman"/>
                      <w:color w:val="auto"/>
                      <w:szCs w:val="21"/>
                      <w:highlight w:val="none"/>
                      <w:u w:val="none" w:color="auto"/>
                      <w:lang w:eastAsia="zh-CN"/>
                    </w:rPr>
                    <w:t>基础</w:t>
                  </w:r>
                  <w:r>
                    <w:rPr>
                      <w:rFonts w:hint="default" w:ascii="Times New Roman" w:hAnsi="Times New Roman" w:eastAsia="宋体" w:cs="Times New Roman"/>
                      <w:color w:val="auto"/>
                      <w:szCs w:val="21"/>
                      <w:highlight w:val="none"/>
                      <w:u w:val="none" w:color="auto"/>
                    </w:rPr>
                    <w:t>减震</w:t>
                  </w:r>
                  <w:r>
                    <w:rPr>
                      <w:rFonts w:hint="default" w:ascii="Times New Roman" w:hAnsi="Times New Roman" w:eastAsia="宋体" w:cs="Times New Roman"/>
                      <w:color w:val="auto"/>
                      <w:szCs w:val="21"/>
                      <w:highlight w:val="none"/>
                      <w:u w:val="none" w:color="auto"/>
                      <w:lang w:eastAsia="zh-CN"/>
                    </w:rPr>
                    <w:t>、围墙隔声</w:t>
                  </w:r>
                  <w:r>
                    <w:rPr>
                      <w:rFonts w:hint="default" w:ascii="Times New Roman" w:hAnsi="Times New Roman" w:eastAsia="宋体" w:cs="Times New Roman"/>
                      <w:color w:val="auto"/>
                      <w:szCs w:val="21"/>
                      <w:highlight w:val="none"/>
                      <w:u w:val="none" w:color="auto"/>
                    </w:rPr>
                    <w:t>等措施</w:t>
                  </w:r>
                </w:p>
              </w:tc>
              <w:tc>
                <w:tcPr>
                  <w:tcW w:w="994"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79" w:type="pct"/>
                  <w:vMerge w:val="restart"/>
                  <w:noWrap w:val="0"/>
                  <w:vAlign w:val="center"/>
                </w:tcPr>
                <w:p>
                  <w:pPr>
                    <w:adjustRightInd w:val="0"/>
                    <w:snapToGrid w:val="0"/>
                    <w:jc w:val="center"/>
                    <w:rPr>
                      <w:rFonts w:hint="default" w:ascii="Times New Roman" w:hAnsi="Times New Roman" w:eastAsia="宋体" w:cs="Times New Roman"/>
                      <w:color w:val="auto"/>
                      <w:u w:val="none" w:color="auto"/>
                      <w:lang w:eastAsia="zh-CN"/>
                    </w:rPr>
                  </w:pPr>
                  <w:r>
                    <w:rPr>
                      <w:rFonts w:hint="default" w:ascii="Times New Roman" w:hAnsi="Times New Roman" w:eastAsia="宋体" w:cs="Times New Roman"/>
                      <w:color w:val="auto"/>
                      <w:u w:val="none" w:color="auto"/>
                      <w:lang w:eastAsia="zh-CN"/>
                    </w:rPr>
                    <w:t>固废</w:t>
                  </w:r>
                </w:p>
              </w:tc>
              <w:tc>
                <w:tcPr>
                  <w:tcW w:w="1353" w:type="pct"/>
                  <w:noWrap w:val="0"/>
                  <w:vAlign w:val="center"/>
                </w:tcPr>
                <w:p>
                  <w:pPr>
                    <w:adjustRightInd w:val="0"/>
                    <w:snapToGrid w:val="0"/>
                    <w:jc w:val="center"/>
                    <w:rPr>
                      <w:rFonts w:hint="default" w:ascii="Times New Roman" w:hAnsi="Times New Roman" w:eastAsia="宋体" w:cs="Times New Roman"/>
                      <w:color w:val="auto"/>
                      <w:szCs w:val="21"/>
                      <w:u w:val="none" w:color="auto"/>
                      <w:lang w:eastAsia="zh-CN"/>
                    </w:rPr>
                  </w:pPr>
                  <w:r>
                    <w:rPr>
                      <w:rFonts w:hint="default" w:ascii="Times New Roman" w:hAnsi="Times New Roman" w:eastAsia="宋体" w:cs="Times New Roman"/>
                      <w:color w:val="auto"/>
                      <w:szCs w:val="21"/>
                      <w:u w:val="none" w:color="auto"/>
                      <w:lang w:eastAsia="zh-CN"/>
                    </w:rPr>
                    <w:t>职工生活</w:t>
                  </w:r>
                </w:p>
              </w:tc>
              <w:tc>
                <w:tcPr>
                  <w:tcW w:w="2272"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highlight w:val="none"/>
                      <w:u w:val="none" w:color="auto"/>
                      <w:vertAlign w:val="baseline"/>
                      <w:lang w:val="en-US" w:eastAsia="zh-CN"/>
                    </w:rPr>
                    <w:t>垃圾箱，生活垃圾交由环卫部门处理</w:t>
                  </w:r>
                </w:p>
              </w:tc>
              <w:tc>
                <w:tcPr>
                  <w:tcW w:w="994"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79" w:type="pct"/>
                  <w:vMerge w:val="continue"/>
                  <w:noWrap w:val="0"/>
                  <w:vAlign w:val="center"/>
                </w:tcPr>
                <w:p>
                  <w:pPr>
                    <w:adjustRightInd w:val="0"/>
                    <w:snapToGrid w:val="0"/>
                    <w:jc w:val="center"/>
                    <w:rPr>
                      <w:rFonts w:hint="default" w:ascii="Times New Roman" w:hAnsi="Times New Roman" w:eastAsia="宋体" w:cs="Times New Roman"/>
                      <w:color w:val="auto"/>
                      <w:u w:val="none" w:color="auto"/>
                    </w:rPr>
                  </w:pPr>
                </w:p>
              </w:tc>
              <w:tc>
                <w:tcPr>
                  <w:tcW w:w="1353" w:type="pct"/>
                  <w:noWrap w:val="0"/>
                  <w:vAlign w:val="center"/>
                </w:tcPr>
                <w:p>
                  <w:pPr>
                    <w:adjustRightInd w:val="0"/>
                    <w:snapToGrid w:val="0"/>
                    <w:jc w:val="center"/>
                    <w:rPr>
                      <w:rFonts w:hint="default" w:ascii="Times New Roman" w:hAnsi="Times New Roman" w:eastAsia="宋体" w:cs="Times New Roman"/>
                      <w:color w:val="auto"/>
                      <w:szCs w:val="21"/>
                      <w:u w:val="none" w:color="auto"/>
                      <w:lang w:eastAsia="zh-CN"/>
                    </w:rPr>
                  </w:pPr>
                  <w:r>
                    <w:rPr>
                      <w:rFonts w:hint="default" w:ascii="Times New Roman" w:hAnsi="Times New Roman" w:eastAsia="宋体" w:cs="Times New Roman"/>
                      <w:color w:val="auto"/>
                      <w:szCs w:val="21"/>
                      <w:u w:val="none" w:color="auto"/>
                      <w:lang w:eastAsia="zh-CN"/>
                    </w:rPr>
                    <w:t>沉淀池（沉渣）</w:t>
                  </w:r>
                </w:p>
              </w:tc>
              <w:tc>
                <w:tcPr>
                  <w:tcW w:w="2272"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highlight w:val="none"/>
                      <w:u w:val="none" w:color="auto"/>
                      <w:vertAlign w:val="baseline"/>
                      <w:lang w:val="en-US" w:eastAsia="zh-CN"/>
                    </w:rPr>
                    <w:t>脱水后进入煤棚，掺入原煤外售</w:t>
                  </w:r>
                </w:p>
              </w:tc>
              <w:tc>
                <w:tcPr>
                  <w:tcW w:w="994"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79" w:type="pct"/>
                  <w:vMerge w:val="continue"/>
                  <w:noWrap w:val="0"/>
                  <w:vAlign w:val="center"/>
                </w:tcPr>
                <w:p>
                  <w:pPr>
                    <w:adjustRightInd w:val="0"/>
                    <w:snapToGrid w:val="0"/>
                    <w:jc w:val="center"/>
                    <w:rPr>
                      <w:rFonts w:hint="default" w:ascii="Times New Roman" w:hAnsi="Times New Roman" w:eastAsia="宋体" w:cs="Times New Roman"/>
                      <w:color w:val="auto"/>
                      <w:u w:val="none" w:color="auto"/>
                    </w:rPr>
                  </w:pPr>
                </w:p>
              </w:tc>
              <w:tc>
                <w:tcPr>
                  <w:tcW w:w="1353" w:type="pct"/>
                  <w:noWrap w:val="0"/>
                  <w:vAlign w:val="center"/>
                </w:tcPr>
                <w:p>
                  <w:pPr>
                    <w:adjustRightInd w:val="0"/>
                    <w:snapToGrid w:val="0"/>
                    <w:jc w:val="center"/>
                    <w:rPr>
                      <w:rFonts w:hint="default" w:ascii="Times New Roman" w:hAnsi="Times New Roman" w:eastAsia="宋体" w:cs="Times New Roman"/>
                      <w:color w:val="auto"/>
                      <w:szCs w:val="21"/>
                      <w:u w:val="none" w:color="auto"/>
                      <w:lang w:eastAsia="zh-CN"/>
                    </w:rPr>
                  </w:pPr>
                  <w:r>
                    <w:rPr>
                      <w:rFonts w:hint="default" w:ascii="Times New Roman" w:hAnsi="Times New Roman" w:eastAsia="宋体" w:cs="Times New Roman"/>
                      <w:color w:val="auto"/>
                      <w:szCs w:val="21"/>
                      <w:u w:val="none" w:color="auto"/>
                      <w:lang w:eastAsia="zh-CN"/>
                    </w:rPr>
                    <w:t>机修间（废润滑油、废手套、抹布）</w:t>
                  </w:r>
                </w:p>
              </w:tc>
              <w:tc>
                <w:tcPr>
                  <w:tcW w:w="2272"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highlight w:val="none"/>
                      <w:u w:val="none" w:color="auto"/>
                      <w:vertAlign w:val="baseline"/>
                      <w:lang w:val="en-US" w:eastAsia="zh-CN"/>
                    </w:rPr>
                    <w:t>依托虞公港危废间暂存，交由资质单位进行处理。</w:t>
                  </w:r>
                </w:p>
              </w:tc>
              <w:tc>
                <w:tcPr>
                  <w:tcW w:w="994"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5</w:t>
                  </w:r>
                </w:p>
              </w:tc>
            </w:tr>
            <w:bookmarkEnd w:id="13"/>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005" w:type="pct"/>
                  <w:gridSpan w:val="3"/>
                  <w:noWrap w:val="0"/>
                  <w:vAlign w:val="center"/>
                </w:tcPr>
                <w:p>
                  <w:pPr>
                    <w:adjustRightInd w:val="0"/>
                    <w:snapToGrid w:val="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合计</w:t>
                  </w:r>
                </w:p>
              </w:tc>
              <w:tc>
                <w:tcPr>
                  <w:tcW w:w="994"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386.55</w:t>
                  </w:r>
                </w:p>
              </w:tc>
            </w:tr>
          </w:tbl>
          <w:p>
            <w:pPr>
              <w:pStyle w:val="84"/>
              <w:spacing w:line="360" w:lineRule="auto"/>
              <w:ind w:firstLine="480"/>
              <w:rPr>
                <w:rFonts w:hint="default" w:ascii="Times New Roman" w:hAnsi="Times New Roman" w:cs="Times New Roman"/>
                <w:color w:val="0000FF"/>
                <w:u w:val="none" w:color="auto"/>
                <w:vertAlign w:val="baseline"/>
              </w:rPr>
            </w:pPr>
          </w:p>
        </w:tc>
      </w:tr>
    </w:tbl>
    <w:p>
      <w:pPr>
        <w:pStyle w:val="29"/>
        <w:rPr>
          <w:rFonts w:hint="eastAsia"/>
          <w:color w:val="0000FF"/>
          <w:u w:val="none" w:color="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8"/>
        <w:jc w:val="center"/>
        <w:outlineLvl w:val="0"/>
        <w:rPr>
          <w:rFonts w:ascii="黑体" w:hAnsi="黑体" w:eastAsia="黑体"/>
          <w:snapToGrid w:val="0"/>
          <w:color w:val="auto"/>
          <w:sz w:val="30"/>
          <w:szCs w:val="30"/>
          <w:u w:val="none" w:color="auto"/>
        </w:rPr>
      </w:pPr>
      <w:bookmarkStart w:id="14" w:name="_Toc4458"/>
      <w:r>
        <w:rPr>
          <w:rFonts w:hint="eastAsia" w:ascii="黑体" w:hAnsi="黑体" w:eastAsia="黑体"/>
          <w:snapToGrid w:val="0"/>
          <w:color w:val="auto"/>
          <w:sz w:val="30"/>
          <w:szCs w:val="30"/>
          <w:u w:val="none" w:color="auto"/>
        </w:rPr>
        <w:t>五、</w:t>
      </w:r>
      <w:bookmarkStart w:id="15" w:name="_Hlk54167917"/>
      <w:r>
        <w:rPr>
          <w:rFonts w:hint="eastAsia" w:ascii="黑体" w:hAnsi="黑体" w:eastAsia="黑体"/>
          <w:snapToGrid w:val="0"/>
          <w:color w:val="auto"/>
          <w:sz w:val="30"/>
          <w:szCs w:val="30"/>
          <w:u w:val="none" w:color="auto"/>
        </w:rPr>
        <w:t>环境保护措施监督检查清单</w:t>
      </w:r>
      <w:bookmarkEnd w:id="14"/>
      <w:bookmarkEnd w:id="15"/>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117"/>
        <w:gridCol w:w="2393"/>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adjustRightInd w:val="0"/>
              <w:snapToGrid w:val="0"/>
              <w:ind w:firstLine="840"/>
              <w:rPr>
                <w:rFonts w:hint="eastAsia" w:ascii="宋体" w:hAnsi="宋体" w:cs="宋体"/>
                <w:color w:val="auto"/>
                <w:szCs w:val="21"/>
                <w:u w:val="none" w:color="auto"/>
              </w:rPr>
            </w:pPr>
            <w:r>
              <w:rPr>
                <w:rFonts w:hint="eastAsia" w:ascii="宋体" w:hAnsi="宋体" w:cs="宋体"/>
                <w:color w:val="auto"/>
                <w:szCs w:val="21"/>
                <w:u w:val="none" w:color="auto"/>
              </w:rPr>
              <w:t>内容</w:t>
            </w:r>
          </w:p>
          <w:p>
            <w:pPr>
              <w:adjustRightInd w:val="0"/>
              <w:snapToGrid w:val="0"/>
              <w:rPr>
                <w:rFonts w:hint="eastAsia" w:ascii="宋体" w:hAnsi="宋体" w:cs="宋体"/>
                <w:color w:val="auto"/>
                <w:szCs w:val="21"/>
                <w:u w:val="none" w:color="auto"/>
              </w:rPr>
            </w:pPr>
            <w:r>
              <w:rPr>
                <w:rFonts w:hint="eastAsia" w:ascii="宋体" w:hAnsi="宋体" w:cs="宋体"/>
                <w:color w:val="auto"/>
                <w:szCs w:val="21"/>
                <w:u w:val="none" w:color="auto"/>
              </w:rPr>
              <w:t>要素</w:t>
            </w:r>
          </w:p>
        </w:tc>
        <w:tc>
          <w:tcPr>
            <w:tcW w:w="1755" w:type="dxa"/>
            <w:noWrap w:val="0"/>
            <w:vAlign w:val="center"/>
          </w:tcPr>
          <w:p>
            <w:pPr>
              <w:adjustRightInd w:val="0"/>
              <w:snapToGrid w:val="0"/>
              <w:jc w:val="center"/>
              <w:rPr>
                <w:rFonts w:hint="eastAsia" w:ascii="宋体" w:hAnsi="宋体" w:cs="宋体"/>
                <w:color w:val="auto"/>
                <w:szCs w:val="21"/>
                <w:u w:val="none" w:color="auto"/>
              </w:rPr>
            </w:pPr>
            <w:r>
              <w:rPr>
                <w:rFonts w:hint="eastAsia" w:ascii="宋体" w:hAnsi="宋体" w:cs="宋体"/>
                <w:color w:val="auto"/>
                <w:szCs w:val="21"/>
                <w:u w:val="none" w:color="auto"/>
              </w:rPr>
              <w:t>排放口(编号、</w:t>
            </w:r>
          </w:p>
          <w:p>
            <w:pPr>
              <w:adjustRightInd w:val="0"/>
              <w:snapToGrid w:val="0"/>
              <w:jc w:val="center"/>
              <w:rPr>
                <w:rFonts w:hint="eastAsia" w:ascii="宋体" w:hAnsi="宋体" w:cs="宋体"/>
                <w:color w:val="auto"/>
                <w:szCs w:val="21"/>
                <w:u w:val="none" w:color="auto"/>
              </w:rPr>
            </w:pPr>
            <w:r>
              <w:rPr>
                <w:rFonts w:hint="eastAsia" w:ascii="宋体" w:hAnsi="宋体" w:cs="宋体"/>
                <w:color w:val="auto"/>
                <w:szCs w:val="21"/>
                <w:u w:val="none" w:color="auto"/>
              </w:rPr>
              <w:t>名称)/污染源</w:t>
            </w:r>
          </w:p>
        </w:tc>
        <w:tc>
          <w:tcPr>
            <w:tcW w:w="1117" w:type="dxa"/>
            <w:noWrap w:val="0"/>
            <w:vAlign w:val="center"/>
          </w:tcPr>
          <w:p>
            <w:pPr>
              <w:adjustRightInd w:val="0"/>
              <w:snapToGrid w:val="0"/>
              <w:jc w:val="center"/>
              <w:rPr>
                <w:rFonts w:hint="eastAsia" w:ascii="宋体" w:hAnsi="宋体" w:cs="宋体"/>
                <w:color w:val="auto"/>
                <w:szCs w:val="21"/>
                <w:u w:val="none" w:color="auto"/>
              </w:rPr>
            </w:pPr>
            <w:r>
              <w:rPr>
                <w:rFonts w:hint="eastAsia" w:ascii="宋体" w:hAnsi="宋体" w:cs="宋体"/>
                <w:color w:val="auto"/>
                <w:szCs w:val="21"/>
                <w:u w:val="none" w:color="auto"/>
              </w:rPr>
              <w:t>污染物项目</w:t>
            </w:r>
          </w:p>
        </w:tc>
        <w:tc>
          <w:tcPr>
            <w:tcW w:w="2393" w:type="dxa"/>
            <w:noWrap w:val="0"/>
            <w:vAlign w:val="center"/>
          </w:tcPr>
          <w:p>
            <w:pPr>
              <w:adjustRightInd w:val="0"/>
              <w:snapToGrid w:val="0"/>
              <w:jc w:val="center"/>
              <w:rPr>
                <w:rFonts w:hint="eastAsia" w:ascii="宋体" w:hAnsi="宋体" w:cs="宋体"/>
                <w:color w:val="auto"/>
                <w:szCs w:val="21"/>
                <w:u w:val="none" w:color="auto"/>
              </w:rPr>
            </w:pPr>
            <w:r>
              <w:rPr>
                <w:rFonts w:hint="eastAsia" w:ascii="宋体" w:hAnsi="宋体" w:cs="宋体"/>
                <w:color w:val="auto"/>
                <w:szCs w:val="21"/>
                <w:u w:val="none" w:color="auto"/>
              </w:rPr>
              <w:t>环境保护措施</w:t>
            </w:r>
          </w:p>
        </w:tc>
        <w:tc>
          <w:tcPr>
            <w:tcW w:w="1757" w:type="dxa"/>
            <w:noWrap w:val="0"/>
            <w:vAlign w:val="center"/>
          </w:tcPr>
          <w:p>
            <w:pPr>
              <w:adjustRightInd w:val="0"/>
              <w:snapToGrid w:val="0"/>
              <w:jc w:val="center"/>
              <w:rPr>
                <w:rFonts w:hint="eastAsia" w:ascii="宋体" w:hAnsi="宋体" w:cs="宋体"/>
                <w:color w:val="auto"/>
                <w:szCs w:val="21"/>
                <w:u w:val="none" w:color="auto"/>
              </w:rPr>
            </w:pPr>
            <w:r>
              <w:rPr>
                <w:rFonts w:hint="eastAsia" w:ascii="宋体" w:hAnsi="宋体" w:cs="宋体"/>
                <w:color w:val="auto"/>
                <w:szCs w:val="21"/>
                <w:u w:val="none" w:color="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778" w:type="dxa"/>
            <w:vMerge w:val="restart"/>
            <w:noWrap w:val="0"/>
            <w:vAlign w:val="center"/>
          </w:tcPr>
          <w:p>
            <w:pPr>
              <w:adjustRightInd w:val="0"/>
              <w:snapToGrid w:val="0"/>
              <w:jc w:val="center"/>
              <w:rPr>
                <w:rFonts w:hint="eastAsia" w:ascii="宋体" w:hAnsi="宋体" w:cs="宋体"/>
                <w:color w:val="auto"/>
                <w:szCs w:val="21"/>
                <w:u w:val="none" w:color="auto"/>
              </w:rPr>
            </w:pPr>
            <w:r>
              <w:rPr>
                <w:rFonts w:hint="eastAsia" w:ascii="宋体" w:hAnsi="宋体" w:cs="宋体"/>
                <w:color w:val="auto"/>
                <w:szCs w:val="21"/>
                <w:u w:val="none" w:color="auto"/>
              </w:rPr>
              <w:t>大气环境</w:t>
            </w:r>
          </w:p>
        </w:tc>
        <w:tc>
          <w:tcPr>
            <w:tcW w:w="1755" w:type="dxa"/>
            <w:noWrap w:val="0"/>
            <w:vAlign w:val="center"/>
          </w:tcPr>
          <w:p>
            <w:pPr>
              <w:adjustRightInd w:val="0"/>
              <w:snapToGrid w:val="0"/>
              <w:jc w:val="center"/>
              <w:rPr>
                <w:rFonts w:hint="eastAsia" w:ascii="宋体" w:hAnsi="宋体" w:eastAsia="宋体" w:cs="宋体"/>
                <w:color w:val="auto"/>
                <w:szCs w:val="21"/>
                <w:u w:val="none" w:color="auto"/>
                <w:lang w:eastAsia="zh-CN"/>
              </w:rPr>
            </w:pPr>
            <w:r>
              <w:rPr>
                <w:rFonts w:hint="eastAsia" w:cs="Times New Roman"/>
                <w:color w:val="auto"/>
                <w:highlight w:val="none"/>
                <w:u w:val="none" w:color="auto"/>
                <w:lang w:val="en-US" w:eastAsia="zh-CN"/>
              </w:rPr>
              <w:t>储煤场</w:t>
            </w:r>
            <w:r>
              <w:rPr>
                <w:rFonts w:hint="eastAsia" w:ascii="宋体" w:hAnsi="宋体" w:cs="宋体"/>
                <w:color w:val="auto"/>
                <w:szCs w:val="21"/>
                <w:u w:val="none" w:color="auto"/>
                <w:lang w:eastAsia="zh-CN"/>
              </w:rPr>
              <w:t>粉尘</w:t>
            </w:r>
          </w:p>
        </w:tc>
        <w:tc>
          <w:tcPr>
            <w:tcW w:w="1117" w:type="dxa"/>
            <w:noWrap w:val="0"/>
            <w:vAlign w:val="center"/>
          </w:tcPr>
          <w:p>
            <w:pPr>
              <w:adjustRightInd w:val="0"/>
              <w:snapToGrid w:val="0"/>
              <w:jc w:val="center"/>
              <w:rPr>
                <w:rFonts w:hint="eastAsia" w:ascii="宋体" w:hAnsi="宋体" w:eastAsia="宋体" w:cs="宋体"/>
                <w:color w:val="auto"/>
                <w:szCs w:val="21"/>
                <w:u w:val="none" w:color="auto"/>
                <w:lang w:eastAsia="zh-CN"/>
              </w:rPr>
            </w:pPr>
            <w:r>
              <w:rPr>
                <w:rFonts w:hint="eastAsia" w:ascii="宋体" w:hAnsi="宋体" w:cs="宋体"/>
                <w:color w:val="auto"/>
                <w:szCs w:val="21"/>
                <w:u w:val="none" w:color="auto"/>
                <w:lang w:eastAsia="zh-CN"/>
              </w:rPr>
              <w:t>颗粒物</w:t>
            </w:r>
          </w:p>
        </w:tc>
        <w:tc>
          <w:tcPr>
            <w:tcW w:w="2393" w:type="dxa"/>
            <w:noWrap w:val="0"/>
            <w:vAlign w:val="center"/>
          </w:tcPr>
          <w:p>
            <w:pPr>
              <w:adjustRightInd w:val="0"/>
              <w:snapToGrid w:val="0"/>
              <w:jc w:val="center"/>
              <w:rPr>
                <w:rFonts w:hint="default" w:ascii="宋体" w:hAnsi="宋体" w:eastAsia="宋体" w:cs="宋体"/>
                <w:color w:val="auto"/>
                <w:szCs w:val="21"/>
                <w:u w:val="none" w:color="auto"/>
                <w:lang w:val="en-US" w:eastAsia="zh-CN"/>
              </w:rPr>
            </w:pPr>
            <w:r>
              <w:rPr>
                <w:rFonts w:hint="eastAsia" w:cs="Times New Roman"/>
                <w:color w:val="auto"/>
                <w:highlight w:val="none"/>
                <w:u w:val="none" w:color="auto"/>
                <w:lang w:val="en-US" w:eastAsia="zh-CN"/>
              </w:rPr>
              <w:t>全封闭储煤场，储煤棚采用固定式远程射雾器抑尘</w:t>
            </w:r>
          </w:p>
        </w:tc>
        <w:tc>
          <w:tcPr>
            <w:tcW w:w="1757" w:type="dxa"/>
            <w:vMerge w:val="restart"/>
            <w:noWrap w:val="0"/>
            <w:vAlign w:val="center"/>
          </w:tcPr>
          <w:p>
            <w:pPr>
              <w:adjustRightInd w:val="0"/>
              <w:snapToGrid w:val="0"/>
              <w:jc w:val="center"/>
              <w:rPr>
                <w:rFonts w:hint="eastAsia" w:ascii="宋体" w:hAnsi="宋体" w:cs="宋体"/>
                <w:color w:val="auto"/>
                <w:szCs w:val="21"/>
                <w:u w:val="none" w:color="auto"/>
              </w:rPr>
            </w:pPr>
            <w:r>
              <w:rPr>
                <w:rFonts w:hint="eastAsia"/>
                <w:color w:val="auto"/>
                <w:spacing w:val="-3"/>
                <w:highlight w:val="none"/>
                <w:u w:val="none" w:color="auto"/>
                <w:lang w:val="en-US" w:eastAsia="zh-CN"/>
              </w:rPr>
              <w:t>《煤炭工业污染物排放标准》（GB20426-2006）中表5 规定的限值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778" w:type="dxa"/>
            <w:vMerge w:val="continue"/>
            <w:noWrap w:val="0"/>
            <w:vAlign w:val="center"/>
          </w:tcPr>
          <w:p>
            <w:pPr>
              <w:adjustRightInd w:val="0"/>
              <w:snapToGrid w:val="0"/>
              <w:jc w:val="center"/>
              <w:rPr>
                <w:rFonts w:hint="eastAsia" w:ascii="宋体" w:hAnsi="宋体" w:cs="宋体"/>
                <w:color w:val="auto"/>
                <w:szCs w:val="21"/>
                <w:u w:val="none" w:color="auto"/>
              </w:rPr>
            </w:pPr>
          </w:p>
        </w:tc>
        <w:tc>
          <w:tcPr>
            <w:tcW w:w="1755"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highlight w:val="none"/>
                <w:u w:val="none" w:color="auto"/>
                <w:lang w:val="en-US" w:eastAsia="zh-CN"/>
              </w:rPr>
              <w:t>转载点粉尘</w:t>
            </w:r>
          </w:p>
        </w:tc>
        <w:tc>
          <w:tcPr>
            <w:tcW w:w="1117" w:type="dxa"/>
            <w:shd w:val="clear" w:color="auto" w:fill="auto"/>
            <w:noWrap w:val="0"/>
            <w:vAlign w:val="center"/>
          </w:tcPr>
          <w:p>
            <w:pPr>
              <w:adjustRightInd w:val="0"/>
              <w:snapToGrid w:val="0"/>
              <w:jc w:val="center"/>
              <w:rPr>
                <w:rFonts w:hint="eastAsia" w:ascii="宋体" w:hAnsi="宋体" w:eastAsia="宋体" w:cs="宋体"/>
                <w:color w:val="auto"/>
                <w:kern w:val="2"/>
                <w:sz w:val="21"/>
                <w:szCs w:val="21"/>
                <w:u w:val="none" w:color="auto"/>
                <w:lang w:val="en-US" w:eastAsia="zh-CN" w:bidi="ar-SA"/>
              </w:rPr>
            </w:pPr>
            <w:r>
              <w:rPr>
                <w:rFonts w:hint="eastAsia" w:ascii="宋体" w:hAnsi="宋体" w:cs="宋体"/>
                <w:color w:val="auto"/>
                <w:szCs w:val="21"/>
                <w:u w:val="none" w:color="auto"/>
                <w:lang w:eastAsia="zh-CN"/>
              </w:rPr>
              <w:t>颗粒物</w:t>
            </w:r>
          </w:p>
        </w:tc>
        <w:tc>
          <w:tcPr>
            <w:tcW w:w="2393" w:type="dxa"/>
            <w:shd w:val="clear" w:color="auto" w:fill="auto"/>
            <w:noWrap w:val="0"/>
            <w:vAlign w:val="center"/>
          </w:tcPr>
          <w:p>
            <w:pPr>
              <w:adjustRightInd w:val="0"/>
              <w:snapToGrid w:val="0"/>
              <w:jc w:val="center"/>
              <w:rPr>
                <w:rFonts w:hint="eastAsia" w:ascii="宋体" w:hAnsi="宋体" w:eastAsia="宋体" w:cs="宋体"/>
                <w:color w:val="auto"/>
                <w:kern w:val="2"/>
                <w:sz w:val="21"/>
                <w:szCs w:val="21"/>
                <w:u w:val="none" w:color="auto"/>
                <w:lang w:val="en-US" w:eastAsia="zh-CN" w:bidi="ar-SA"/>
              </w:rPr>
            </w:pPr>
            <w:r>
              <w:rPr>
                <w:rFonts w:hint="eastAsia" w:cs="Times New Roman"/>
                <w:color w:val="auto"/>
                <w:highlight w:val="none"/>
                <w:u w:val="none" w:color="auto"/>
                <w:lang w:val="en-US" w:eastAsia="zh-CN"/>
              </w:rPr>
              <w:t>全封闭式带式输送机，煤炭运输转载点全封闭式，装载点采用干雾除尘装置降尘。</w:t>
            </w:r>
          </w:p>
        </w:tc>
        <w:tc>
          <w:tcPr>
            <w:tcW w:w="1757" w:type="dxa"/>
            <w:vMerge w:val="continue"/>
            <w:noWrap w:val="0"/>
            <w:vAlign w:val="center"/>
          </w:tcPr>
          <w:p>
            <w:pPr>
              <w:adjustRightInd w:val="0"/>
              <w:snapToGrid w:val="0"/>
              <w:jc w:val="center"/>
              <w:rPr>
                <w:rFonts w:hint="eastAsia"/>
                <w:color w:val="auto"/>
                <w:spacing w:val="-3"/>
                <w:highlight w:val="none"/>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778" w:type="dxa"/>
            <w:vMerge w:val="continue"/>
            <w:noWrap w:val="0"/>
            <w:vAlign w:val="center"/>
          </w:tcPr>
          <w:p>
            <w:pPr>
              <w:adjustRightInd w:val="0"/>
              <w:snapToGrid w:val="0"/>
              <w:jc w:val="center"/>
              <w:rPr>
                <w:rFonts w:hint="eastAsia" w:ascii="宋体" w:hAnsi="宋体" w:cs="宋体"/>
                <w:color w:val="auto"/>
                <w:szCs w:val="21"/>
                <w:u w:val="none" w:color="auto"/>
              </w:rPr>
            </w:pPr>
          </w:p>
        </w:tc>
        <w:tc>
          <w:tcPr>
            <w:tcW w:w="1755" w:type="dxa"/>
            <w:noWrap w:val="0"/>
            <w:vAlign w:val="center"/>
          </w:tcPr>
          <w:p>
            <w:pPr>
              <w:adjustRightInd w:val="0"/>
              <w:snapToGrid w:val="0"/>
              <w:jc w:val="center"/>
              <w:rPr>
                <w:rFonts w:hint="eastAsia" w:cs="Times New Roman"/>
                <w:color w:val="auto"/>
                <w:highlight w:val="none"/>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煤炭装卸粉尘</w:t>
            </w:r>
          </w:p>
        </w:tc>
        <w:tc>
          <w:tcPr>
            <w:tcW w:w="1117" w:type="dxa"/>
            <w:noWrap w:val="0"/>
            <w:vAlign w:val="center"/>
          </w:tcPr>
          <w:p>
            <w:pPr>
              <w:adjustRightInd w:val="0"/>
              <w:snapToGrid w:val="0"/>
              <w:jc w:val="center"/>
              <w:rPr>
                <w:rFonts w:hint="eastAsia" w:ascii="宋体" w:hAnsi="宋体" w:cs="宋体"/>
                <w:color w:val="auto"/>
                <w:szCs w:val="21"/>
                <w:u w:val="none" w:color="auto"/>
                <w:lang w:eastAsia="zh-CN"/>
              </w:rPr>
            </w:pPr>
            <w:r>
              <w:rPr>
                <w:rFonts w:hint="eastAsia" w:cs="Times New Roman"/>
                <w:color w:val="auto"/>
                <w:kern w:val="0"/>
                <w:sz w:val="21"/>
                <w:szCs w:val="21"/>
                <w:u w:val="none" w:color="auto"/>
                <w:lang w:val="en-US" w:eastAsia="zh-CN"/>
              </w:rPr>
              <w:t>颗粒物</w:t>
            </w:r>
          </w:p>
        </w:tc>
        <w:tc>
          <w:tcPr>
            <w:tcW w:w="2393" w:type="dxa"/>
            <w:noWrap w:val="0"/>
            <w:vAlign w:val="center"/>
          </w:tcPr>
          <w:p>
            <w:pPr>
              <w:adjustRightInd w:val="0"/>
              <w:snapToGrid w:val="0"/>
              <w:jc w:val="center"/>
              <w:rPr>
                <w:rFonts w:hint="eastAsia" w:ascii="宋体" w:hAnsi="宋体" w:cs="宋体"/>
                <w:color w:val="auto"/>
                <w:szCs w:val="21"/>
                <w:u w:val="none" w:color="auto"/>
                <w:lang w:eastAsia="zh-CN"/>
              </w:rPr>
            </w:pPr>
            <w:r>
              <w:rPr>
                <w:rFonts w:hint="eastAsia" w:cs="Times New Roman"/>
                <w:color w:val="auto"/>
                <w:kern w:val="0"/>
                <w:sz w:val="21"/>
                <w:szCs w:val="21"/>
                <w:u w:val="none" w:color="auto"/>
                <w:lang w:val="en-US" w:eastAsia="zh-CN"/>
              </w:rPr>
              <w:t>依托虞公港码头高压自动微雾湿式抑尘系统</w:t>
            </w:r>
            <w:r>
              <w:rPr>
                <w:rFonts w:hint="default" w:ascii="Times New Roman" w:hAnsi="Times New Roman" w:eastAsia="宋体" w:cs="Times New Roman"/>
                <w:color w:val="auto"/>
                <w:kern w:val="0"/>
                <w:sz w:val="21"/>
                <w:szCs w:val="21"/>
                <w:u w:val="none" w:color="auto"/>
                <w:lang w:val="en-US" w:eastAsia="zh-CN"/>
              </w:rPr>
              <w:t>，设返尘板，降低</w:t>
            </w:r>
            <w:r>
              <w:rPr>
                <w:rFonts w:hint="eastAsia" w:cs="Times New Roman"/>
                <w:color w:val="auto"/>
                <w:kern w:val="0"/>
                <w:sz w:val="21"/>
                <w:szCs w:val="21"/>
                <w:u w:val="none" w:color="auto"/>
                <w:lang w:val="en-US" w:eastAsia="zh-CN"/>
              </w:rPr>
              <w:t>物料</w:t>
            </w:r>
            <w:r>
              <w:rPr>
                <w:rFonts w:hint="default" w:ascii="Times New Roman" w:hAnsi="Times New Roman" w:eastAsia="宋体" w:cs="Times New Roman"/>
                <w:color w:val="auto"/>
                <w:kern w:val="0"/>
                <w:sz w:val="21"/>
                <w:szCs w:val="21"/>
                <w:u w:val="none" w:color="auto"/>
                <w:lang w:val="en-US" w:eastAsia="zh-CN"/>
              </w:rPr>
              <w:t>跌落高度</w:t>
            </w:r>
          </w:p>
        </w:tc>
        <w:tc>
          <w:tcPr>
            <w:tcW w:w="1757" w:type="dxa"/>
            <w:vMerge w:val="continue"/>
            <w:noWrap w:val="0"/>
            <w:vAlign w:val="center"/>
          </w:tcPr>
          <w:p>
            <w:pPr>
              <w:adjustRightInd w:val="0"/>
              <w:snapToGrid w:val="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778" w:type="dxa"/>
            <w:vMerge w:val="restart"/>
            <w:noWrap w:val="0"/>
            <w:vAlign w:val="center"/>
          </w:tcPr>
          <w:p>
            <w:pPr>
              <w:adjustRightInd w:val="0"/>
              <w:snapToGrid w:val="0"/>
              <w:jc w:val="center"/>
              <w:rPr>
                <w:rFonts w:hint="eastAsia" w:ascii="宋体" w:hAnsi="宋体" w:cs="宋体"/>
                <w:color w:val="auto"/>
                <w:szCs w:val="21"/>
                <w:u w:val="none" w:color="auto"/>
              </w:rPr>
            </w:pPr>
            <w:r>
              <w:rPr>
                <w:rFonts w:hint="eastAsia" w:ascii="宋体" w:hAnsi="宋体" w:cs="宋体"/>
                <w:color w:val="auto"/>
                <w:szCs w:val="21"/>
                <w:u w:val="none" w:color="auto"/>
              </w:rPr>
              <w:t>地表水环境</w:t>
            </w:r>
          </w:p>
        </w:tc>
        <w:tc>
          <w:tcPr>
            <w:tcW w:w="1755" w:type="dxa"/>
            <w:noWrap w:val="0"/>
            <w:vAlign w:val="center"/>
          </w:tcPr>
          <w:p>
            <w:pPr>
              <w:adjustRightInd w:val="0"/>
              <w:snapToGrid w:val="0"/>
              <w:jc w:val="center"/>
              <w:rPr>
                <w:rFonts w:hint="eastAsia" w:ascii="宋体" w:hAnsi="宋体" w:eastAsia="宋体" w:cs="宋体"/>
                <w:color w:val="auto"/>
                <w:szCs w:val="21"/>
                <w:u w:val="none" w:color="auto"/>
                <w:lang w:eastAsia="zh-CN"/>
              </w:rPr>
            </w:pPr>
            <w:r>
              <w:rPr>
                <w:rFonts w:hint="eastAsia" w:cs="Times New Roman"/>
                <w:bCs/>
                <w:color w:val="auto"/>
                <w:sz w:val="21"/>
                <w:szCs w:val="21"/>
                <w:highlight w:val="none"/>
                <w:u w:val="none" w:color="auto"/>
                <w:lang w:val="en-US" w:eastAsia="zh-CN" w:bidi="ar"/>
              </w:rPr>
              <w:t>地面冲洗废水</w:t>
            </w:r>
          </w:p>
        </w:tc>
        <w:tc>
          <w:tcPr>
            <w:tcW w:w="1117" w:type="dxa"/>
            <w:noWrap w:val="0"/>
            <w:vAlign w:val="center"/>
          </w:tcPr>
          <w:p>
            <w:pPr>
              <w:adjustRightInd w:val="0"/>
              <w:snapToGrid w:val="0"/>
              <w:jc w:val="center"/>
              <w:rPr>
                <w:rFonts w:hint="default" w:ascii="宋体" w:hAnsi="宋体" w:eastAsia="宋体" w:cs="宋体"/>
                <w:color w:val="auto"/>
                <w:szCs w:val="21"/>
                <w:u w:val="none" w:color="auto"/>
                <w:lang w:val="en-US" w:eastAsia="zh-CN"/>
              </w:rPr>
            </w:pPr>
            <w:r>
              <w:rPr>
                <w:rFonts w:hint="eastAsia" w:ascii="宋体" w:hAnsi="宋体" w:cs="宋体"/>
                <w:color w:val="auto"/>
                <w:szCs w:val="21"/>
                <w:u w:val="none" w:color="auto"/>
                <w:lang w:val="en-US" w:eastAsia="zh-CN"/>
              </w:rPr>
              <w:t>悬浮物</w:t>
            </w:r>
          </w:p>
        </w:tc>
        <w:tc>
          <w:tcPr>
            <w:tcW w:w="2393" w:type="dxa"/>
            <w:noWrap w:val="0"/>
            <w:vAlign w:val="center"/>
          </w:tcPr>
          <w:p>
            <w:pPr>
              <w:adjustRightInd w:val="0"/>
              <w:snapToGrid w:val="0"/>
              <w:jc w:val="center"/>
              <w:rPr>
                <w:rFonts w:hint="eastAsia" w:ascii="宋体" w:hAnsi="宋体" w:eastAsia="宋体" w:cs="宋体"/>
                <w:color w:val="auto"/>
                <w:szCs w:val="21"/>
                <w:u w:val="none" w:color="auto"/>
                <w:lang w:eastAsia="zh-CN"/>
              </w:rPr>
            </w:pPr>
            <w:r>
              <w:rPr>
                <w:rFonts w:hint="eastAsia" w:ascii="宋体" w:hAnsi="宋体" w:eastAsia="宋体" w:cs="宋体"/>
                <w:color w:val="auto"/>
                <w:szCs w:val="21"/>
                <w:u w:val="none" w:color="auto"/>
                <w:lang w:eastAsia="zh-CN"/>
              </w:rPr>
              <w:t>经集水坑收集经泵提升至虞公港生产废水处理站处理后，全部回用于厂区喷洒降尘、绿化，不外排。</w:t>
            </w:r>
          </w:p>
        </w:tc>
        <w:tc>
          <w:tcPr>
            <w:tcW w:w="1757" w:type="dxa"/>
            <w:vMerge w:val="restart"/>
            <w:noWrap w:val="0"/>
            <w:vAlign w:val="center"/>
          </w:tcPr>
          <w:p>
            <w:pPr>
              <w:adjustRightInd w:val="0"/>
              <w:snapToGrid w:val="0"/>
              <w:jc w:val="center"/>
              <w:rPr>
                <w:rFonts w:hint="eastAsia" w:ascii="宋体" w:hAnsi="宋体" w:cs="宋体"/>
                <w:color w:val="auto"/>
                <w:szCs w:val="21"/>
                <w:u w:val="none" w:color="auto"/>
              </w:rPr>
            </w:pPr>
            <w:r>
              <w:rPr>
                <w:rFonts w:hint="eastAsia" w:ascii="Times New Roman" w:hAnsi="Times New Roman" w:eastAsia="宋体" w:cs="Times New Roman"/>
                <w:color w:val="auto"/>
                <w:spacing w:val="-3"/>
                <w:highlight w:val="none"/>
                <w:u w:val="none" w:color="auto"/>
                <w:lang w:val="en-US" w:eastAsia="zh-CN"/>
              </w:rPr>
              <w:t>《城市污水再生利用城市杂用水水质》(GB/T18920-2020)表1中的城市绿化用水</w:t>
            </w:r>
            <w:r>
              <w:rPr>
                <w:rFonts w:hint="eastAsia" w:cs="Times New Roman"/>
                <w:color w:val="auto"/>
                <w:spacing w:val="-3"/>
                <w:highlight w:val="none"/>
                <w:u w:val="none" w:color="auto"/>
                <w:lang w:val="en-US" w:eastAsia="zh-CN"/>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778" w:type="dxa"/>
            <w:vMerge w:val="continue"/>
            <w:noWrap w:val="0"/>
            <w:vAlign w:val="center"/>
          </w:tcPr>
          <w:p>
            <w:pPr>
              <w:adjustRightInd w:val="0"/>
              <w:snapToGrid w:val="0"/>
              <w:jc w:val="center"/>
              <w:rPr>
                <w:rFonts w:hint="eastAsia" w:ascii="宋体" w:hAnsi="宋体" w:cs="宋体"/>
                <w:color w:val="auto"/>
                <w:szCs w:val="21"/>
                <w:u w:val="none" w:color="auto"/>
              </w:rPr>
            </w:pPr>
          </w:p>
        </w:tc>
        <w:tc>
          <w:tcPr>
            <w:tcW w:w="1755" w:type="dxa"/>
            <w:noWrap w:val="0"/>
            <w:vAlign w:val="center"/>
          </w:tcPr>
          <w:p>
            <w:pPr>
              <w:adjustRightInd w:val="0"/>
              <w:snapToGrid w:val="0"/>
              <w:jc w:val="center"/>
              <w:rPr>
                <w:rFonts w:hint="eastAsia" w:ascii="宋体" w:hAnsi="宋体" w:cs="宋体"/>
                <w:color w:val="auto"/>
                <w:szCs w:val="21"/>
                <w:u w:val="none" w:color="auto"/>
                <w:lang w:eastAsia="zh-CN"/>
              </w:rPr>
            </w:pPr>
            <w:r>
              <w:rPr>
                <w:rFonts w:hint="eastAsia" w:cs="Times New Roman"/>
                <w:bCs/>
                <w:color w:val="auto"/>
                <w:sz w:val="21"/>
                <w:szCs w:val="21"/>
                <w:highlight w:val="none"/>
                <w:u w:val="none" w:color="auto"/>
                <w:lang w:val="en-US" w:eastAsia="zh-CN" w:bidi="ar"/>
              </w:rPr>
              <w:t>初期雨水</w:t>
            </w:r>
          </w:p>
        </w:tc>
        <w:tc>
          <w:tcPr>
            <w:tcW w:w="1117" w:type="dxa"/>
            <w:noWrap w:val="0"/>
            <w:vAlign w:val="center"/>
          </w:tcPr>
          <w:p>
            <w:pPr>
              <w:adjustRightInd w:val="0"/>
              <w:snapToGrid w:val="0"/>
              <w:jc w:val="center"/>
              <w:rPr>
                <w:rFonts w:hint="eastAsia" w:ascii="宋体" w:hAnsi="宋体" w:cs="宋体"/>
                <w:color w:val="auto"/>
                <w:szCs w:val="21"/>
                <w:u w:val="none" w:color="auto"/>
                <w:lang w:val="en-US" w:eastAsia="zh-CN"/>
              </w:rPr>
            </w:pPr>
            <w:r>
              <w:rPr>
                <w:rFonts w:hint="eastAsia" w:ascii="宋体" w:hAnsi="宋体" w:cs="宋体"/>
                <w:color w:val="auto"/>
                <w:szCs w:val="21"/>
                <w:u w:val="none" w:color="auto"/>
                <w:lang w:val="en-US" w:eastAsia="zh-CN"/>
              </w:rPr>
              <w:t>悬浮物</w:t>
            </w:r>
          </w:p>
        </w:tc>
        <w:tc>
          <w:tcPr>
            <w:tcW w:w="2393" w:type="dxa"/>
            <w:noWrap w:val="0"/>
            <w:vAlign w:val="center"/>
          </w:tcPr>
          <w:p>
            <w:pPr>
              <w:adjustRightInd w:val="0"/>
              <w:snapToGrid w:val="0"/>
              <w:jc w:val="center"/>
              <w:rPr>
                <w:rFonts w:hint="eastAsia" w:ascii="宋体" w:hAnsi="宋体" w:cs="宋体"/>
                <w:color w:val="auto"/>
                <w:szCs w:val="21"/>
                <w:u w:val="none" w:color="auto"/>
                <w:lang w:eastAsia="zh-CN"/>
              </w:rPr>
            </w:pPr>
            <w:r>
              <w:rPr>
                <w:rFonts w:hint="eastAsia" w:cs="Times New Roman"/>
                <w:bCs/>
                <w:color w:val="auto"/>
                <w:sz w:val="21"/>
                <w:szCs w:val="21"/>
                <w:highlight w:val="none"/>
                <w:u w:val="none" w:color="auto"/>
                <w:lang w:val="en-US" w:eastAsia="zh-CN" w:bidi="ar"/>
              </w:rPr>
              <w:t>经雨水沟收集进入初期雨水沉淀池沉淀，沉淀处理后经泵提升至虞公港生产废水处理站处理后，全部回用于厂区喷洒降尘、绿化等，不外排。</w:t>
            </w:r>
          </w:p>
        </w:tc>
        <w:tc>
          <w:tcPr>
            <w:tcW w:w="1757" w:type="dxa"/>
            <w:vMerge w:val="continue"/>
            <w:noWrap w:val="0"/>
            <w:vAlign w:val="center"/>
          </w:tcPr>
          <w:p>
            <w:pPr>
              <w:adjustRightInd w:val="0"/>
              <w:snapToGrid w:val="0"/>
              <w:jc w:val="center"/>
              <w:rPr>
                <w:rFonts w:hint="eastAsia" w:ascii="宋体" w:hAnsi="宋体" w:cs="宋体"/>
                <w:color w:val="auto"/>
                <w:szCs w:val="21"/>
                <w:u w:val="none" w:color="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778" w:type="dxa"/>
            <w:vMerge w:val="continue"/>
            <w:noWrap w:val="0"/>
            <w:vAlign w:val="center"/>
          </w:tcPr>
          <w:p>
            <w:pPr>
              <w:adjustRightInd w:val="0"/>
              <w:snapToGrid w:val="0"/>
              <w:jc w:val="center"/>
              <w:rPr>
                <w:rFonts w:hint="eastAsia" w:ascii="宋体" w:hAnsi="宋体" w:cs="宋体"/>
                <w:color w:val="auto"/>
                <w:szCs w:val="21"/>
                <w:u w:val="none" w:color="auto"/>
              </w:rPr>
            </w:pPr>
          </w:p>
        </w:tc>
        <w:tc>
          <w:tcPr>
            <w:tcW w:w="1755" w:type="dxa"/>
            <w:noWrap w:val="0"/>
            <w:vAlign w:val="center"/>
          </w:tcPr>
          <w:p>
            <w:pPr>
              <w:adjustRightInd w:val="0"/>
              <w:snapToGrid w:val="0"/>
              <w:jc w:val="center"/>
              <w:rPr>
                <w:rFonts w:hint="eastAsia" w:ascii="宋体" w:hAnsi="宋体" w:cs="宋体"/>
                <w:color w:val="auto"/>
                <w:szCs w:val="21"/>
                <w:u w:val="none" w:color="auto"/>
                <w:lang w:eastAsia="zh-CN"/>
              </w:rPr>
            </w:pPr>
            <w:r>
              <w:rPr>
                <w:rFonts w:hint="eastAsia" w:cs="Times New Roman"/>
                <w:color w:val="auto"/>
                <w:kern w:val="0"/>
                <w:sz w:val="21"/>
                <w:szCs w:val="21"/>
                <w:u w:val="none" w:color="auto"/>
                <w:lang w:val="en-US" w:eastAsia="zh-CN" w:bidi="ar"/>
              </w:rPr>
              <w:t>生活污水</w:t>
            </w:r>
          </w:p>
        </w:tc>
        <w:tc>
          <w:tcPr>
            <w:tcW w:w="1117" w:type="dxa"/>
            <w:noWrap w:val="0"/>
            <w:vAlign w:val="center"/>
          </w:tcPr>
          <w:p>
            <w:pPr>
              <w:adjustRightInd w:val="0"/>
              <w:snapToGrid w:val="0"/>
              <w:jc w:val="center"/>
              <w:rPr>
                <w:rFonts w:hint="default" w:ascii="宋体" w:hAnsi="宋体" w:cs="宋体"/>
                <w:color w:val="auto"/>
                <w:szCs w:val="21"/>
                <w:u w:val="none" w:color="auto"/>
                <w:lang w:val="en-US" w:eastAsia="zh-CN"/>
              </w:rPr>
            </w:pPr>
            <w:r>
              <w:rPr>
                <w:rFonts w:hint="eastAsia" w:ascii="宋体" w:hAnsi="宋体" w:cs="宋体"/>
                <w:color w:val="auto"/>
                <w:szCs w:val="21"/>
                <w:u w:val="none" w:color="auto"/>
                <w:lang w:val="en-US" w:eastAsia="zh-CN"/>
              </w:rPr>
              <w:t>COD、BDO</w:t>
            </w:r>
            <w:r>
              <w:rPr>
                <w:rFonts w:hint="eastAsia" w:ascii="宋体" w:hAnsi="宋体" w:cs="宋体"/>
                <w:color w:val="auto"/>
                <w:szCs w:val="21"/>
                <w:u w:val="none" w:color="auto"/>
                <w:vertAlign w:val="subscript"/>
                <w:lang w:val="en-US" w:eastAsia="zh-CN"/>
              </w:rPr>
              <w:t>5</w:t>
            </w:r>
            <w:r>
              <w:rPr>
                <w:rFonts w:hint="eastAsia" w:ascii="宋体" w:hAnsi="宋体" w:cs="宋体"/>
                <w:color w:val="auto"/>
                <w:szCs w:val="21"/>
                <w:u w:val="none" w:color="auto"/>
                <w:lang w:val="en-US" w:eastAsia="zh-CN"/>
              </w:rPr>
              <w:t>、氨氮、SS、动植物油</w:t>
            </w:r>
          </w:p>
        </w:tc>
        <w:tc>
          <w:tcPr>
            <w:tcW w:w="2393" w:type="dxa"/>
            <w:noWrap w:val="0"/>
            <w:vAlign w:val="center"/>
          </w:tcPr>
          <w:p>
            <w:pPr>
              <w:adjustRightInd w:val="0"/>
              <w:snapToGrid w:val="0"/>
              <w:jc w:val="center"/>
              <w:rPr>
                <w:rFonts w:hint="eastAsia" w:ascii="宋体" w:hAnsi="宋体" w:cs="宋体"/>
                <w:color w:val="auto"/>
                <w:szCs w:val="21"/>
                <w:u w:val="none" w:color="auto"/>
                <w:lang w:eastAsia="zh-CN"/>
              </w:rPr>
            </w:pPr>
            <w:r>
              <w:rPr>
                <w:rFonts w:hint="eastAsia" w:cs="Times New Roman"/>
                <w:color w:val="auto"/>
                <w:highlight w:val="none"/>
                <w:u w:val="none" w:color="auto"/>
                <w:lang w:val="en-US" w:eastAsia="zh-CN"/>
              </w:rPr>
              <w:t>经自建一体化生活污水处理站处理后回用于厂区绿化，不外排。</w:t>
            </w:r>
          </w:p>
        </w:tc>
        <w:tc>
          <w:tcPr>
            <w:tcW w:w="1757" w:type="dxa"/>
            <w:vMerge w:val="continue"/>
            <w:noWrap w:val="0"/>
            <w:vAlign w:val="center"/>
          </w:tcPr>
          <w:p>
            <w:pPr>
              <w:adjustRightInd w:val="0"/>
              <w:snapToGrid w:val="0"/>
              <w:jc w:val="center"/>
              <w:rPr>
                <w:rFonts w:hint="eastAsia" w:ascii="宋体" w:hAnsi="宋体" w:cs="宋体"/>
                <w:color w:val="auto"/>
                <w:szCs w:val="21"/>
                <w:u w:val="none" w:color="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adjustRightInd w:val="0"/>
              <w:snapToGrid w:val="0"/>
              <w:jc w:val="center"/>
              <w:rPr>
                <w:rFonts w:hint="eastAsia" w:ascii="宋体" w:hAnsi="宋体" w:cs="宋体"/>
                <w:color w:val="auto"/>
                <w:szCs w:val="21"/>
                <w:u w:val="none" w:color="auto"/>
              </w:rPr>
            </w:pPr>
            <w:r>
              <w:rPr>
                <w:rFonts w:hint="eastAsia" w:ascii="宋体" w:hAnsi="宋体" w:cs="宋体"/>
                <w:color w:val="auto"/>
                <w:szCs w:val="21"/>
                <w:u w:val="none" w:color="auto"/>
              </w:rPr>
              <w:t>声环境</w:t>
            </w:r>
          </w:p>
        </w:tc>
        <w:tc>
          <w:tcPr>
            <w:tcW w:w="1755" w:type="dxa"/>
            <w:noWrap w:val="0"/>
            <w:vAlign w:val="center"/>
          </w:tcPr>
          <w:p>
            <w:pPr>
              <w:adjustRightInd w:val="0"/>
              <w:snapToGrid w:val="0"/>
              <w:jc w:val="center"/>
              <w:rPr>
                <w:rFonts w:hint="eastAsia" w:ascii="宋体" w:hAnsi="宋体" w:cs="宋体"/>
                <w:color w:val="auto"/>
                <w:szCs w:val="21"/>
                <w:u w:val="none" w:color="auto"/>
              </w:rPr>
            </w:pPr>
            <w:r>
              <w:rPr>
                <w:rFonts w:hint="default" w:ascii="Times New Roman" w:hAnsi="Times New Roman" w:eastAsia="宋体" w:cs="Times New Roman"/>
                <w:color w:val="auto"/>
                <w:szCs w:val="21"/>
                <w:u w:val="none" w:color="auto"/>
              </w:rPr>
              <w:t>厂界</w:t>
            </w:r>
          </w:p>
        </w:tc>
        <w:tc>
          <w:tcPr>
            <w:tcW w:w="1117" w:type="dxa"/>
            <w:noWrap w:val="0"/>
            <w:vAlign w:val="center"/>
          </w:tcPr>
          <w:p>
            <w:pPr>
              <w:adjustRightInd w:val="0"/>
              <w:snapToGrid w:val="0"/>
              <w:jc w:val="center"/>
              <w:rPr>
                <w:rFonts w:hint="eastAsia" w:ascii="宋体" w:hAnsi="宋体" w:cs="宋体"/>
                <w:color w:val="auto"/>
                <w:szCs w:val="21"/>
                <w:u w:val="none" w:color="auto"/>
              </w:rPr>
            </w:pPr>
            <w:r>
              <w:rPr>
                <w:rFonts w:hint="default" w:ascii="Times New Roman" w:hAnsi="Times New Roman" w:eastAsia="宋体" w:cs="Times New Roman"/>
                <w:color w:val="auto"/>
                <w:szCs w:val="21"/>
                <w:u w:val="none" w:color="auto"/>
              </w:rPr>
              <w:t>等效连续A声级</w:t>
            </w:r>
          </w:p>
        </w:tc>
        <w:tc>
          <w:tcPr>
            <w:tcW w:w="2393" w:type="dxa"/>
            <w:noWrap w:val="0"/>
            <w:vAlign w:val="center"/>
          </w:tcPr>
          <w:p>
            <w:pPr>
              <w:adjustRightInd w:val="0"/>
              <w:snapToGrid w:val="0"/>
              <w:jc w:val="center"/>
              <w:rPr>
                <w:rFonts w:hint="eastAsia" w:ascii="宋体" w:hAnsi="宋体" w:cs="宋体"/>
                <w:color w:val="auto"/>
                <w:szCs w:val="21"/>
                <w:u w:val="none" w:color="auto"/>
              </w:rPr>
            </w:pPr>
            <w:r>
              <w:rPr>
                <w:rFonts w:hint="default" w:ascii="Times New Roman" w:hAnsi="Times New Roman" w:eastAsia="宋体" w:cs="Times New Roman"/>
                <w:color w:val="auto"/>
                <w:szCs w:val="21"/>
                <w:u w:val="none" w:color="auto"/>
              </w:rPr>
              <w:t>减震基础、隔声、消声</w:t>
            </w:r>
          </w:p>
        </w:tc>
        <w:tc>
          <w:tcPr>
            <w:tcW w:w="1757" w:type="dxa"/>
            <w:noWrap w:val="0"/>
            <w:vAlign w:val="center"/>
          </w:tcPr>
          <w:p>
            <w:pPr>
              <w:adjustRightInd w:val="0"/>
              <w:snapToGrid w:val="0"/>
              <w:jc w:val="center"/>
              <w:rPr>
                <w:rFonts w:hint="eastAsia" w:ascii="宋体" w:hAnsi="宋体" w:cs="宋体"/>
                <w:color w:val="auto"/>
                <w:szCs w:val="21"/>
                <w:u w:val="none" w:color="auto"/>
              </w:rPr>
            </w:pPr>
            <w:r>
              <w:rPr>
                <w:rFonts w:hint="default" w:ascii="Times New Roman" w:hAnsi="Times New Roman" w:eastAsia="宋体" w:cs="Times New Roman"/>
                <w:color w:val="auto"/>
                <w:szCs w:val="21"/>
                <w:u w:val="none" w:color="auto"/>
              </w:rPr>
              <w:t>《工业企业厂界环境噪声排放标准》GB12348-2008)</w:t>
            </w:r>
            <w:r>
              <w:rPr>
                <w:rFonts w:hint="eastAsia" w:ascii="Times New Roman" w:hAnsi="Times New Roman" w:eastAsia="宋体" w:cs="Times New Roman"/>
                <w:color w:val="auto"/>
                <w:szCs w:val="21"/>
                <w:u w:val="none" w:color="auto"/>
                <w:lang w:val="en-US" w:eastAsia="zh-CN"/>
              </w:rPr>
              <w:t>3</w:t>
            </w:r>
            <w:r>
              <w:rPr>
                <w:rFonts w:hint="default" w:ascii="Times New Roman" w:hAnsi="Times New Roman" w:eastAsia="宋体" w:cs="Times New Roman"/>
                <w:color w:val="auto"/>
                <w:szCs w:val="21"/>
                <w:u w:val="none" w:color="auto"/>
              </w:rPr>
              <w:t>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adjustRightInd w:val="0"/>
              <w:snapToGrid w:val="0"/>
              <w:jc w:val="center"/>
              <w:rPr>
                <w:rFonts w:hint="eastAsia" w:ascii="宋体" w:hAnsi="宋体" w:cs="宋体"/>
                <w:color w:val="auto"/>
                <w:szCs w:val="21"/>
                <w:u w:val="none" w:color="auto"/>
              </w:rPr>
            </w:pPr>
            <w:r>
              <w:rPr>
                <w:rFonts w:hint="eastAsia" w:ascii="宋体" w:hAnsi="宋体" w:cs="宋体"/>
                <w:color w:val="auto"/>
                <w:szCs w:val="21"/>
                <w:u w:val="none" w:color="auto"/>
              </w:rPr>
              <w:t>电磁辐射</w:t>
            </w:r>
          </w:p>
        </w:tc>
        <w:tc>
          <w:tcPr>
            <w:tcW w:w="1755" w:type="dxa"/>
            <w:noWrap w:val="0"/>
            <w:vAlign w:val="center"/>
          </w:tcPr>
          <w:p>
            <w:pPr>
              <w:adjustRightInd w:val="0"/>
              <w:snapToGrid w:val="0"/>
              <w:jc w:val="center"/>
              <w:rPr>
                <w:rFonts w:hint="eastAsia" w:ascii="宋体" w:hAnsi="宋体" w:cs="宋体"/>
                <w:color w:val="auto"/>
                <w:szCs w:val="21"/>
                <w:u w:val="none" w:color="auto"/>
              </w:rPr>
            </w:pPr>
            <w:r>
              <w:rPr>
                <w:rFonts w:hint="default" w:ascii="Times New Roman" w:hAnsi="Times New Roman" w:eastAsia="宋体" w:cs="Times New Roman"/>
                <w:color w:val="auto"/>
                <w:szCs w:val="21"/>
                <w:u w:val="none" w:color="auto"/>
              </w:rPr>
              <w:t>/</w:t>
            </w:r>
          </w:p>
        </w:tc>
        <w:tc>
          <w:tcPr>
            <w:tcW w:w="1117" w:type="dxa"/>
            <w:noWrap w:val="0"/>
            <w:vAlign w:val="center"/>
          </w:tcPr>
          <w:p>
            <w:pPr>
              <w:adjustRightInd w:val="0"/>
              <w:snapToGrid w:val="0"/>
              <w:jc w:val="center"/>
              <w:rPr>
                <w:rFonts w:hint="eastAsia" w:ascii="宋体" w:hAnsi="宋体" w:cs="宋体"/>
                <w:color w:val="auto"/>
                <w:szCs w:val="21"/>
                <w:u w:val="none" w:color="auto"/>
              </w:rPr>
            </w:pPr>
            <w:r>
              <w:rPr>
                <w:rFonts w:hint="default" w:ascii="Times New Roman" w:hAnsi="Times New Roman" w:eastAsia="宋体" w:cs="Times New Roman"/>
                <w:color w:val="auto"/>
                <w:szCs w:val="21"/>
                <w:u w:val="none" w:color="auto"/>
              </w:rPr>
              <w:t>/</w:t>
            </w:r>
          </w:p>
        </w:tc>
        <w:tc>
          <w:tcPr>
            <w:tcW w:w="2393" w:type="dxa"/>
            <w:noWrap w:val="0"/>
            <w:vAlign w:val="center"/>
          </w:tcPr>
          <w:p>
            <w:pPr>
              <w:adjustRightInd w:val="0"/>
              <w:snapToGrid w:val="0"/>
              <w:jc w:val="center"/>
              <w:rPr>
                <w:rFonts w:hint="eastAsia" w:ascii="宋体" w:hAnsi="宋体" w:cs="宋体"/>
                <w:color w:val="auto"/>
                <w:szCs w:val="21"/>
                <w:u w:val="none" w:color="auto"/>
              </w:rPr>
            </w:pPr>
            <w:r>
              <w:rPr>
                <w:rFonts w:hint="default" w:ascii="Times New Roman" w:hAnsi="Times New Roman" w:eastAsia="宋体" w:cs="Times New Roman"/>
                <w:color w:val="auto"/>
                <w:szCs w:val="21"/>
                <w:u w:val="none" w:color="auto"/>
              </w:rPr>
              <w:t>/</w:t>
            </w:r>
          </w:p>
        </w:tc>
        <w:tc>
          <w:tcPr>
            <w:tcW w:w="1757" w:type="dxa"/>
            <w:noWrap w:val="0"/>
            <w:vAlign w:val="center"/>
          </w:tcPr>
          <w:p>
            <w:pPr>
              <w:adjustRightInd w:val="0"/>
              <w:snapToGrid w:val="0"/>
              <w:jc w:val="center"/>
              <w:rPr>
                <w:rFonts w:hint="eastAsia" w:ascii="宋体" w:hAnsi="宋体" w:cs="宋体"/>
                <w:color w:val="auto"/>
                <w:szCs w:val="21"/>
                <w:u w:val="none" w:color="auto"/>
              </w:rPr>
            </w:pPr>
            <w:r>
              <w:rPr>
                <w:rFonts w:hint="default" w:ascii="Times New Roman" w:hAnsi="Times New Roman" w:eastAsia="宋体" w:cs="Times New Roman"/>
                <w:color w:val="auto"/>
                <w:szCs w:val="21"/>
                <w:u w:val="none" w:color="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eastAsia" w:ascii="宋体" w:hAnsi="宋体" w:cs="宋体"/>
                <w:color w:val="auto"/>
                <w:szCs w:val="21"/>
                <w:u w:val="none" w:color="auto"/>
              </w:rPr>
            </w:pPr>
            <w:r>
              <w:rPr>
                <w:rFonts w:hint="eastAsia" w:ascii="宋体" w:hAnsi="宋体" w:cs="宋体"/>
                <w:color w:val="auto"/>
                <w:szCs w:val="21"/>
                <w:u w:val="none" w:color="auto"/>
              </w:rPr>
              <w:t>固体废物</w:t>
            </w:r>
          </w:p>
        </w:tc>
        <w:tc>
          <w:tcPr>
            <w:tcW w:w="7022" w:type="dxa"/>
            <w:gridSpan w:val="4"/>
            <w:noWrap w:val="0"/>
            <w:vAlign w:val="center"/>
          </w:tcPr>
          <w:p>
            <w:pPr>
              <w:adjustRightInd w:val="0"/>
              <w:snapToGrid w:val="0"/>
              <w:jc w:val="center"/>
              <w:rPr>
                <w:rFonts w:hint="eastAsia" w:ascii="宋体" w:hAnsi="宋体" w:eastAsia="宋体" w:cs="宋体"/>
                <w:color w:val="auto"/>
                <w:szCs w:val="21"/>
                <w:u w:val="none" w:color="auto"/>
                <w:lang w:eastAsia="zh-CN"/>
              </w:rPr>
            </w:pPr>
            <w:r>
              <w:rPr>
                <w:rFonts w:hint="eastAsia" w:cs="Times New Roman"/>
                <w:color w:val="auto"/>
                <w:highlight w:val="none"/>
                <w:u w:val="none" w:color="auto"/>
                <w:vertAlign w:val="baseline"/>
                <w:lang w:val="en-US" w:eastAsia="zh-CN"/>
              </w:rPr>
              <w:t>生产废水处理站煤泥脱水后进入煤棚，掺入原煤外售；生活垃圾交由环卫部门处理；机电设备维修产生废润滑油、含油抹布、手套等，依托虞公港危废暂存间储存，交由资质单位进行处理。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eastAsia" w:ascii="宋体" w:hAnsi="宋体" w:cs="宋体"/>
                <w:color w:val="auto"/>
                <w:szCs w:val="21"/>
                <w:u w:val="none" w:color="auto"/>
              </w:rPr>
            </w:pPr>
            <w:r>
              <w:rPr>
                <w:rFonts w:hint="eastAsia" w:ascii="宋体" w:hAnsi="宋体" w:cs="宋体"/>
                <w:color w:val="auto"/>
                <w:szCs w:val="21"/>
                <w:u w:val="none" w:color="auto"/>
              </w:rPr>
              <w:t>土壤及地下水</w:t>
            </w:r>
          </w:p>
          <w:p>
            <w:pPr>
              <w:adjustRightInd w:val="0"/>
              <w:snapToGrid w:val="0"/>
              <w:jc w:val="center"/>
              <w:rPr>
                <w:rFonts w:hint="eastAsia" w:ascii="宋体" w:hAnsi="宋体" w:cs="宋体"/>
                <w:color w:val="auto"/>
                <w:szCs w:val="21"/>
                <w:u w:val="none" w:color="auto"/>
              </w:rPr>
            </w:pPr>
            <w:r>
              <w:rPr>
                <w:rFonts w:hint="eastAsia" w:ascii="宋体" w:hAnsi="宋体" w:cs="宋体"/>
                <w:color w:val="auto"/>
                <w:szCs w:val="21"/>
                <w:u w:val="none" w:color="auto"/>
              </w:rPr>
              <w:t>污染防治措施</w:t>
            </w:r>
          </w:p>
        </w:tc>
        <w:tc>
          <w:tcPr>
            <w:tcW w:w="702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Cs w:val="21"/>
                <w:u w:val="none" w:color="auto"/>
                <w:lang w:val="en-US" w:eastAsia="zh-CN"/>
              </w:rPr>
            </w:pPr>
            <w:r>
              <w:rPr>
                <w:rFonts w:hint="eastAsia" w:ascii="宋体" w:hAnsi="宋体" w:cs="宋体"/>
                <w:color w:val="auto"/>
                <w:szCs w:val="21"/>
                <w:u w:val="none" w:color="auto"/>
                <w:lang w:val="en-US" w:eastAsia="zh-CN"/>
              </w:rPr>
              <w:t>源头控制：</w:t>
            </w:r>
            <w:r>
              <w:rPr>
                <w:rFonts w:hint="default" w:ascii="Times New Roman" w:hAnsi="Times New Roman" w:eastAsia="宋体" w:cs="Times New Roman"/>
                <w:color w:val="auto"/>
                <w:u w:val="none" w:color="auto"/>
                <w:lang w:val="en-US" w:eastAsia="zh-CN"/>
              </w:rPr>
              <w:t>工艺、管道、设备、污水产生及储存构筑物采取相应措施，防止和降低污染物跑、冒、滴、漏</w:t>
            </w:r>
            <w:r>
              <w:rPr>
                <w:rFonts w:hint="eastAsia"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过程防控</w:t>
            </w:r>
            <w:r>
              <w:rPr>
                <w:rFonts w:hint="eastAsia" w:cs="Times New Roman"/>
                <w:color w:val="auto"/>
                <w:u w:val="none" w:color="auto"/>
                <w:lang w:val="en-US" w:eastAsia="zh-CN"/>
              </w:rPr>
              <w:t>：</w:t>
            </w:r>
            <w:r>
              <w:rPr>
                <w:rFonts w:hint="eastAsia" w:cs="Times New Roman"/>
                <w:color w:val="auto"/>
                <w:highlight w:val="none"/>
                <w:u w:val="none" w:color="auto"/>
                <w:lang w:val="en-US" w:eastAsia="zh-CN"/>
              </w:rPr>
              <w:t>储煤场、带式输送机、装载点全封闭</w:t>
            </w:r>
            <w:r>
              <w:rPr>
                <w:rFonts w:hint="eastAsia" w:cs="Times New Roman"/>
                <w:color w:val="auto"/>
                <w:u w:val="none" w:color="auto"/>
                <w:lang w:val="en-US" w:eastAsia="zh-CN"/>
              </w:rPr>
              <w:t>，采用</w:t>
            </w:r>
            <w:r>
              <w:rPr>
                <w:rFonts w:hint="eastAsia" w:cs="Times New Roman"/>
                <w:color w:val="auto"/>
                <w:highlight w:val="none"/>
                <w:u w:val="none" w:color="auto"/>
                <w:lang w:val="en-US" w:eastAsia="zh-CN"/>
              </w:rPr>
              <w:t>射雾器、干雾除尘装置降尘；</w:t>
            </w:r>
            <w:r>
              <w:rPr>
                <w:rFonts w:hint="default" w:ascii="Times New Roman" w:hAnsi="Times New Roman" w:eastAsia="宋体" w:cs="Times New Roman"/>
                <w:color w:val="auto"/>
                <w:u w:val="none" w:color="auto"/>
                <w:lang w:val="en-US" w:eastAsia="zh-CN"/>
              </w:rPr>
              <w:t>生活污水</w:t>
            </w:r>
            <w:r>
              <w:rPr>
                <w:rFonts w:hint="eastAsia" w:ascii="Times New Roman" w:hAnsi="Times New Roman" w:eastAsia="宋体" w:cs="Times New Roman"/>
                <w:color w:val="auto"/>
                <w:u w:val="none" w:color="auto"/>
                <w:lang w:val="en-US" w:eastAsia="zh-CN"/>
              </w:rPr>
              <w:t>、生产废水均经处理后回用，不外排</w:t>
            </w:r>
            <w:r>
              <w:rPr>
                <w:rFonts w:hint="eastAsia"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沉淀池泥渣，收集后送至</w:t>
            </w:r>
            <w:r>
              <w:rPr>
                <w:rFonts w:hint="eastAsia" w:ascii="Times New Roman" w:hAnsi="Times New Roman" w:eastAsia="宋体" w:cs="Times New Roman"/>
                <w:color w:val="auto"/>
                <w:u w:val="none" w:color="auto"/>
                <w:lang w:val="en-US" w:eastAsia="zh-CN"/>
              </w:rPr>
              <w:t>煤棚，危废暂存危废间，交由资质单位处置，</w:t>
            </w:r>
            <w:r>
              <w:rPr>
                <w:rFonts w:hint="default" w:ascii="Times New Roman" w:hAnsi="Times New Roman" w:eastAsia="宋体" w:cs="Times New Roman"/>
                <w:color w:val="auto"/>
                <w:u w:val="none" w:color="auto"/>
                <w:lang w:val="en-US" w:eastAsia="zh-CN"/>
              </w:rPr>
              <w:t>生活垃圾由环卫部门处置</w:t>
            </w:r>
            <w:r>
              <w:rPr>
                <w:rFonts w:hint="eastAsia" w:ascii="Times New Roman" w:hAnsi="Times New Roman" w:eastAsia="宋体" w:cs="Times New Roman"/>
                <w:color w:val="auto"/>
                <w:u w:val="none" w:color="auto"/>
                <w:lang w:val="en-US" w:eastAsia="zh-CN"/>
              </w:rPr>
              <w:t>。</w:t>
            </w:r>
            <w:r>
              <w:rPr>
                <w:rFonts w:hint="eastAsia" w:cs="Times New Roman"/>
                <w:color w:val="auto"/>
                <w:u w:val="none" w:color="auto"/>
                <w:lang w:val="en-US" w:eastAsia="zh-CN"/>
              </w:rPr>
              <w:t>治理措施：</w:t>
            </w:r>
            <w:r>
              <w:rPr>
                <w:rFonts w:hint="default" w:ascii="Times New Roman" w:hAnsi="Times New Roman" w:eastAsia="宋体" w:cs="Times New Roman"/>
                <w:color w:val="auto"/>
                <w:u w:val="none" w:color="auto"/>
                <w:lang w:val="en-US" w:eastAsia="zh-CN"/>
              </w:rPr>
              <w:t>初期雨水池</w:t>
            </w:r>
            <w:r>
              <w:rPr>
                <w:rFonts w:hint="eastAsia" w:ascii="Times New Roman" w:hAnsi="Times New Roman" w:eastAsia="宋体" w:cs="Times New Roman"/>
                <w:color w:val="auto"/>
                <w:u w:val="none" w:color="auto"/>
                <w:lang w:val="en-US" w:eastAsia="zh-CN"/>
              </w:rPr>
              <w:t>、化粪池、生活污水处理站</w:t>
            </w:r>
            <w:r>
              <w:rPr>
                <w:rFonts w:hint="eastAsia" w:cs="Times New Roman"/>
                <w:color w:val="auto"/>
                <w:u w:val="none" w:color="auto"/>
                <w:lang w:val="en-US" w:eastAsia="zh-CN"/>
              </w:rPr>
              <w:t>、储煤场、厂内道路</w:t>
            </w:r>
            <w:r>
              <w:rPr>
                <w:rFonts w:hint="default" w:ascii="Times New Roman" w:hAnsi="Times New Roman" w:eastAsia="宋体" w:cs="Times New Roman"/>
                <w:color w:val="auto"/>
                <w:u w:val="none" w:color="auto"/>
                <w:lang w:val="en-US" w:eastAsia="zh-CN"/>
              </w:rPr>
              <w:t>等</w:t>
            </w:r>
            <w:r>
              <w:rPr>
                <w:rFonts w:hint="eastAsia" w:cs="Times New Roman"/>
                <w:color w:val="auto"/>
                <w:u w:val="none" w:color="auto"/>
                <w:lang w:val="en-US" w:eastAsia="zh-CN"/>
              </w:rPr>
              <w:t>分区进行防渗。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eastAsia" w:ascii="宋体" w:hAnsi="宋体" w:cs="宋体"/>
                <w:color w:val="auto"/>
                <w:szCs w:val="21"/>
                <w:u w:val="none" w:color="auto"/>
              </w:rPr>
            </w:pPr>
            <w:r>
              <w:rPr>
                <w:rFonts w:hint="eastAsia" w:ascii="宋体" w:hAnsi="宋体" w:cs="宋体"/>
                <w:color w:val="auto"/>
                <w:szCs w:val="21"/>
                <w:u w:val="none" w:color="auto"/>
              </w:rPr>
              <w:t>生态保护措施</w:t>
            </w:r>
          </w:p>
        </w:tc>
        <w:tc>
          <w:tcPr>
            <w:tcW w:w="7022" w:type="dxa"/>
            <w:gridSpan w:val="4"/>
            <w:noWrap w:val="0"/>
            <w:vAlign w:val="center"/>
          </w:tcPr>
          <w:p>
            <w:pPr>
              <w:adjustRightInd w:val="0"/>
              <w:snapToGrid w:val="0"/>
              <w:jc w:val="center"/>
              <w:rPr>
                <w:rFonts w:hint="eastAsia" w:ascii="宋体" w:hAnsi="宋体" w:cs="宋体"/>
                <w:color w:val="auto"/>
                <w:szCs w:val="21"/>
                <w:u w:val="none" w:color="auto"/>
              </w:rPr>
            </w:pPr>
            <w:r>
              <w:rPr>
                <w:rFonts w:hint="eastAsia" w:ascii="Times New Roman" w:hAnsi="Times New Roman" w:eastAsia="宋体" w:cs="Times New Roman"/>
                <w:b w:val="0"/>
                <w:bCs w:val="0"/>
                <w:color w:val="auto"/>
                <w:sz w:val="21"/>
                <w:szCs w:val="21"/>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ascii="宋体" w:hAnsi="宋体" w:cs="宋体"/>
                <w:color w:val="auto"/>
                <w:spacing w:val="-8"/>
                <w:szCs w:val="21"/>
                <w:u w:val="none" w:color="auto"/>
              </w:rPr>
            </w:pPr>
            <w:r>
              <w:rPr>
                <w:rFonts w:hint="eastAsia" w:ascii="宋体" w:hAnsi="宋体" w:cs="宋体"/>
                <w:color w:val="auto"/>
                <w:spacing w:val="-8"/>
                <w:szCs w:val="21"/>
                <w:u w:val="none" w:color="auto"/>
              </w:rPr>
              <w:t>环境风险</w:t>
            </w:r>
          </w:p>
          <w:p>
            <w:pPr>
              <w:adjustRightInd w:val="0"/>
              <w:snapToGrid w:val="0"/>
              <w:jc w:val="center"/>
              <w:rPr>
                <w:rFonts w:hint="eastAsia" w:ascii="宋体" w:hAnsi="宋体" w:cs="宋体"/>
                <w:color w:val="auto"/>
                <w:spacing w:val="-8"/>
                <w:szCs w:val="21"/>
                <w:u w:val="none" w:color="auto"/>
              </w:rPr>
            </w:pPr>
            <w:r>
              <w:rPr>
                <w:rFonts w:hint="eastAsia" w:ascii="宋体" w:hAnsi="宋体" w:cs="宋体"/>
                <w:color w:val="auto"/>
                <w:spacing w:val="-8"/>
                <w:szCs w:val="21"/>
                <w:u w:val="none" w:color="auto"/>
              </w:rPr>
              <w:t>防范措施</w:t>
            </w:r>
          </w:p>
        </w:tc>
        <w:tc>
          <w:tcPr>
            <w:tcW w:w="7022" w:type="dxa"/>
            <w:gridSpan w:val="4"/>
            <w:noWrap w:val="0"/>
            <w:vAlign w:val="center"/>
          </w:tcPr>
          <w:p>
            <w:pPr>
              <w:widowControl w:val="0"/>
              <w:adjustRightInd w:val="0"/>
              <w:snapToGrid w:val="0"/>
              <w:jc w:val="both"/>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kern w:val="2"/>
                <w:sz w:val="21"/>
                <w:szCs w:val="21"/>
                <w:highlight w:val="none"/>
                <w:u w:val="none" w:color="auto"/>
                <w:lang w:val="en-US" w:eastAsia="zh-CN" w:bidi="ar-SA"/>
              </w:rPr>
              <w:t>①</w:t>
            </w:r>
            <w:r>
              <w:rPr>
                <w:rFonts w:hint="default" w:ascii="Times New Roman" w:hAnsi="Times New Roman" w:eastAsia="宋体" w:cs="Times New Roman"/>
                <w:bCs/>
                <w:color w:val="auto"/>
                <w:kern w:val="2"/>
                <w:sz w:val="21"/>
                <w:szCs w:val="21"/>
                <w:highlight w:val="none"/>
                <w:u w:val="none" w:color="auto"/>
                <w:lang w:val="en-US" w:eastAsia="zh-CN" w:bidi="ar-SA"/>
              </w:rPr>
              <w:t>加强管理</w:t>
            </w:r>
            <w:r>
              <w:rPr>
                <w:rFonts w:hint="eastAsia" w:ascii="Times New Roman" w:hAnsi="Times New Roman" w:eastAsia="宋体" w:cs="Times New Roman"/>
                <w:bCs/>
                <w:color w:val="auto"/>
                <w:kern w:val="2"/>
                <w:sz w:val="21"/>
                <w:szCs w:val="21"/>
                <w:highlight w:val="none"/>
                <w:u w:val="none" w:color="auto"/>
                <w:lang w:val="en-US" w:eastAsia="zh-CN" w:bidi="ar-SA"/>
              </w:rPr>
              <w:t>和</w:t>
            </w:r>
            <w:r>
              <w:rPr>
                <w:rFonts w:hint="default" w:ascii="Times New Roman" w:hAnsi="Times New Roman" w:eastAsia="宋体" w:cs="Times New Roman"/>
                <w:bCs/>
                <w:color w:val="auto"/>
                <w:kern w:val="2"/>
                <w:sz w:val="21"/>
                <w:szCs w:val="21"/>
                <w:highlight w:val="none"/>
                <w:u w:val="none" w:color="auto"/>
                <w:lang w:val="en-US" w:eastAsia="zh-CN" w:bidi="ar-SA"/>
              </w:rPr>
              <w:t>人员培训。</w:t>
            </w:r>
          </w:p>
          <w:p>
            <w:pPr>
              <w:widowControl w:val="0"/>
              <w:adjustRightInd w:val="0"/>
              <w:snapToGrid w:val="0"/>
              <w:jc w:val="both"/>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kern w:val="2"/>
                <w:sz w:val="21"/>
                <w:szCs w:val="21"/>
                <w:highlight w:val="none"/>
                <w:u w:val="none" w:color="auto"/>
                <w:lang w:val="en-US" w:eastAsia="zh-CN" w:bidi="ar-SA"/>
              </w:rPr>
              <w:t>②</w:t>
            </w:r>
            <w:r>
              <w:rPr>
                <w:rFonts w:hint="default" w:ascii="Times New Roman" w:hAnsi="Times New Roman" w:eastAsia="宋体" w:cs="Times New Roman"/>
                <w:bCs/>
                <w:color w:val="auto"/>
                <w:kern w:val="2"/>
                <w:sz w:val="21"/>
                <w:szCs w:val="21"/>
                <w:highlight w:val="none"/>
                <w:u w:val="none" w:color="auto"/>
                <w:lang w:val="en-US" w:eastAsia="zh-CN" w:bidi="ar-SA"/>
              </w:rPr>
              <w:t>设置机械排风装置和监测监控。</w:t>
            </w:r>
          </w:p>
          <w:p>
            <w:pPr>
              <w:widowControl w:val="0"/>
              <w:adjustRightInd w:val="0"/>
              <w:snapToGrid w:val="0"/>
              <w:jc w:val="both"/>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kern w:val="2"/>
                <w:sz w:val="21"/>
                <w:szCs w:val="21"/>
                <w:highlight w:val="none"/>
                <w:u w:val="none" w:color="auto"/>
                <w:lang w:val="en-US" w:eastAsia="zh-CN" w:bidi="ar-SA"/>
              </w:rPr>
              <w:t>③</w:t>
            </w:r>
            <w:r>
              <w:rPr>
                <w:rFonts w:hint="default" w:ascii="Times New Roman" w:hAnsi="Times New Roman" w:eastAsia="宋体" w:cs="Times New Roman"/>
                <w:bCs/>
                <w:color w:val="auto"/>
                <w:kern w:val="2"/>
                <w:sz w:val="21"/>
                <w:szCs w:val="21"/>
                <w:highlight w:val="none"/>
                <w:u w:val="none" w:color="auto"/>
                <w:lang w:val="en-US" w:eastAsia="zh-CN" w:bidi="ar-SA"/>
              </w:rPr>
              <w:t>储煤场内严禁烟火。</w:t>
            </w:r>
          </w:p>
          <w:p>
            <w:pPr>
              <w:widowControl w:val="0"/>
              <w:adjustRightInd w:val="0"/>
              <w:snapToGrid w:val="0"/>
              <w:jc w:val="both"/>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kern w:val="2"/>
                <w:sz w:val="21"/>
                <w:szCs w:val="21"/>
                <w:highlight w:val="none"/>
                <w:u w:val="none" w:color="auto"/>
                <w:lang w:val="en-US" w:eastAsia="zh-CN" w:bidi="ar-SA"/>
              </w:rPr>
              <w:t>④</w:t>
            </w:r>
            <w:r>
              <w:rPr>
                <w:rFonts w:hint="default" w:ascii="Times New Roman" w:hAnsi="Times New Roman" w:eastAsia="宋体" w:cs="Times New Roman"/>
                <w:bCs/>
                <w:color w:val="auto"/>
                <w:kern w:val="2"/>
                <w:sz w:val="21"/>
                <w:szCs w:val="21"/>
                <w:highlight w:val="none"/>
                <w:u w:val="none" w:color="auto"/>
                <w:lang w:val="en-US" w:eastAsia="zh-CN" w:bidi="ar-SA"/>
              </w:rPr>
              <w:t>按防火要求进行设计和施工，并配置相关的防护设施和用具。</w:t>
            </w:r>
          </w:p>
          <w:p>
            <w:pPr>
              <w:widowControl w:val="0"/>
              <w:adjustRightInd w:val="0"/>
              <w:snapToGrid w:val="0"/>
              <w:jc w:val="both"/>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kern w:val="2"/>
                <w:sz w:val="21"/>
                <w:szCs w:val="21"/>
                <w:highlight w:val="none"/>
                <w:u w:val="none" w:color="auto"/>
                <w:lang w:val="en-US" w:eastAsia="zh-CN" w:bidi="ar-SA"/>
              </w:rPr>
              <w:t>⑤</w:t>
            </w:r>
            <w:r>
              <w:rPr>
                <w:rFonts w:hint="default" w:ascii="Times New Roman" w:hAnsi="Times New Roman" w:eastAsia="宋体" w:cs="Times New Roman"/>
                <w:bCs/>
                <w:color w:val="auto"/>
                <w:kern w:val="2"/>
                <w:sz w:val="21"/>
                <w:szCs w:val="21"/>
                <w:highlight w:val="none"/>
                <w:u w:val="none" w:color="auto"/>
                <w:lang w:val="en-US" w:eastAsia="zh-CN" w:bidi="ar-SA"/>
              </w:rPr>
              <w:t>相应池体应做好防渗措施；</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cs="宋体"/>
                <w:color w:val="auto"/>
                <w:szCs w:val="21"/>
                <w:u w:val="none" w:color="auto"/>
              </w:rPr>
            </w:pPr>
            <w:r>
              <w:rPr>
                <w:rFonts w:hint="eastAsia" w:ascii="Times New Roman" w:hAnsi="Times New Roman" w:eastAsia="宋体" w:cs="Times New Roman"/>
                <w:bCs/>
                <w:color w:val="auto"/>
                <w:kern w:val="2"/>
                <w:sz w:val="21"/>
                <w:szCs w:val="21"/>
                <w:highlight w:val="none"/>
                <w:u w:val="none" w:color="auto"/>
                <w:lang w:val="en-US" w:eastAsia="zh-CN" w:bidi="ar-SA"/>
              </w:rPr>
              <w:t>⑥</w:t>
            </w:r>
            <w:r>
              <w:rPr>
                <w:rFonts w:hint="default" w:ascii="Times New Roman" w:hAnsi="Times New Roman" w:eastAsia="宋体" w:cs="Times New Roman"/>
                <w:bCs/>
                <w:color w:val="auto"/>
                <w:kern w:val="2"/>
                <w:sz w:val="21"/>
                <w:szCs w:val="21"/>
                <w:highlight w:val="none"/>
                <w:u w:val="none" w:color="auto"/>
                <w:lang w:val="en-US" w:eastAsia="zh-CN" w:bidi="ar-SA"/>
              </w:rPr>
              <w:t>废水、废气处理设施专人管理，巡查</w:t>
            </w:r>
            <w:r>
              <w:rPr>
                <w:rFonts w:hint="eastAsia" w:ascii="Times New Roman" w:hAnsi="Times New Roman" w:eastAsia="宋体" w:cs="Times New Roman"/>
                <w:bCs/>
                <w:color w:val="auto"/>
                <w:kern w:val="2"/>
                <w:sz w:val="21"/>
                <w:szCs w:val="21"/>
                <w:highlight w:val="none"/>
                <w:u w:val="none" w:color="auto"/>
                <w:lang w:val="en-US" w:eastAsia="zh-CN" w:bidi="ar-SA"/>
              </w:rPr>
              <w:t>、</w:t>
            </w:r>
            <w:r>
              <w:rPr>
                <w:rFonts w:hint="default" w:ascii="Times New Roman" w:hAnsi="Times New Roman" w:eastAsia="宋体" w:cs="Times New Roman"/>
                <w:bCs/>
                <w:color w:val="auto"/>
                <w:kern w:val="2"/>
                <w:sz w:val="21"/>
                <w:szCs w:val="21"/>
                <w:highlight w:val="none"/>
                <w:u w:val="none" w:color="auto"/>
                <w:lang w:val="en-US" w:eastAsia="zh-CN" w:bidi="ar-SA"/>
              </w:rPr>
              <w:t>维护。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pPr>
              <w:adjustRightInd w:val="0"/>
              <w:snapToGrid w:val="0"/>
              <w:jc w:val="center"/>
              <w:rPr>
                <w:rFonts w:ascii="宋体" w:hAnsi="宋体" w:cs="宋体"/>
                <w:color w:val="auto"/>
                <w:spacing w:val="-8"/>
                <w:szCs w:val="21"/>
                <w:u w:val="none" w:color="auto"/>
              </w:rPr>
            </w:pPr>
            <w:r>
              <w:rPr>
                <w:rFonts w:hint="eastAsia" w:ascii="宋体" w:hAnsi="宋体" w:cs="宋体"/>
                <w:color w:val="auto"/>
                <w:spacing w:val="-8"/>
                <w:szCs w:val="21"/>
                <w:u w:val="none" w:color="auto"/>
              </w:rPr>
              <w:t>其他环境</w:t>
            </w:r>
          </w:p>
          <w:p>
            <w:pPr>
              <w:adjustRightInd w:val="0"/>
              <w:snapToGrid w:val="0"/>
              <w:jc w:val="center"/>
              <w:rPr>
                <w:rFonts w:hint="eastAsia" w:ascii="宋体" w:hAnsi="宋体" w:cs="宋体"/>
                <w:color w:val="auto"/>
                <w:spacing w:val="-8"/>
                <w:szCs w:val="21"/>
                <w:u w:val="none" w:color="auto"/>
              </w:rPr>
            </w:pPr>
            <w:r>
              <w:rPr>
                <w:rFonts w:hint="eastAsia" w:ascii="宋体" w:hAnsi="宋体" w:cs="宋体"/>
                <w:color w:val="auto"/>
                <w:spacing w:val="-8"/>
                <w:szCs w:val="21"/>
                <w:u w:val="none" w:color="auto"/>
              </w:rPr>
              <w:t>管理要求</w:t>
            </w:r>
          </w:p>
        </w:tc>
        <w:tc>
          <w:tcPr>
            <w:tcW w:w="7022" w:type="dxa"/>
            <w:gridSpan w:val="4"/>
            <w:noWrap w:val="0"/>
            <w:vAlign w:val="center"/>
          </w:tcPr>
          <w:p>
            <w:pPr>
              <w:pStyle w:val="90"/>
              <w:keepNext w:val="0"/>
              <w:keepLines w:val="0"/>
              <w:pageBreakBefore w:val="0"/>
              <w:kinsoku/>
              <w:wordWrap/>
              <w:overflowPunct/>
              <w:topLinePunct w:val="0"/>
              <w:autoSpaceDE/>
              <w:autoSpaceDN/>
              <w:bidi w:val="0"/>
              <w:spacing w:line="240" w:lineRule="auto"/>
              <w:ind w:firstLine="420" w:firstLineChars="200"/>
              <w:jc w:val="left"/>
              <w:textAlignment w:val="auto"/>
              <w:rPr>
                <w:rFonts w:hint="default" w:ascii="Times New Roman" w:hAnsi="Times New Roman" w:cs="Times New Roman"/>
                <w:color w:val="auto"/>
                <w:u w:val="none" w:color="auto"/>
              </w:rPr>
            </w:pPr>
            <w:r>
              <w:rPr>
                <w:rFonts w:hint="default" w:ascii="Times New Roman" w:hAnsi="Times New Roman" w:cs="Times New Roman"/>
                <w:color w:val="auto"/>
                <w:u w:val="none" w:color="auto"/>
              </w:rPr>
              <w:t>1、根据《排污许可证管理办法（试行）》和《固定污染源排污许可分类管理名录（2019年版）》等相关政策文件，本项目为</w:t>
            </w:r>
            <w:r>
              <w:rPr>
                <w:rFonts w:hint="eastAsia" w:cs="Times New Roman"/>
                <w:color w:val="auto"/>
                <w:u w:val="none" w:color="auto"/>
                <w:lang w:eastAsia="zh-CN"/>
              </w:rPr>
              <w:t>登记管理</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在项目取得环境影响评价审批意见后，建成正式投产前30个工作日内，排污单位应向</w:t>
            </w:r>
            <w:r>
              <w:rPr>
                <w:rFonts w:hint="eastAsia" w:cs="Times New Roman"/>
                <w:color w:val="auto"/>
                <w:u w:val="none" w:color="auto"/>
                <w:lang w:eastAsia="zh-CN"/>
              </w:rPr>
              <w:t>岳阳市</w:t>
            </w:r>
            <w:r>
              <w:rPr>
                <w:rFonts w:hint="default" w:ascii="Times New Roman" w:hAnsi="Times New Roman" w:cs="Times New Roman"/>
                <w:color w:val="auto"/>
                <w:u w:val="none" w:color="auto"/>
              </w:rPr>
              <w:t>生态环境局</w:t>
            </w:r>
            <w:r>
              <w:rPr>
                <w:rFonts w:hint="eastAsia" w:cs="Times New Roman"/>
                <w:color w:val="auto"/>
                <w:u w:val="none" w:color="auto"/>
                <w:lang w:eastAsia="zh-CN"/>
              </w:rPr>
              <w:t>湘阴</w:t>
            </w:r>
            <w:r>
              <w:rPr>
                <w:rFonts w:hint="default" w:ascii="Times New Roman" w:hAnsi="Times New Roman" w:cs="Times New Roman"/>
                <w:color w:val="auto"/>
                <w:u w:val="none" w:color="auto"/>
              </w:rPr>
              <w:t>分局</w:t>
            </w:r>
            <w:r>
              <w:rPr>
                <w:rFonts w:hint="eastAsia" w:cs="Times New Roman"/>
                <w:color w:val="auto"/>
                <w:u w:val="none" w:color="auto"/>
                <w:lang w:eastAsia="zh-CN"/>
              </w:rPr>
              <w:t>进行备案</w:t>
            </w:r>
            <w:r>
              <w:rPr>
                <w:rFonts w:hint="default" w:ascii="Times New Roman" w:hAnsi="Times New Roman" w:cs="Times New Roman"/>
                <w:color w:val="auto"/>
                <w:u w:val="none" w:color="auto"/>
              </w:rPr>
              <w:t>；</w:t>
            </w:r>
          </w:p>
          <w:p>
            <w:pPr>
              <w:pStyle w:val="90"/>
              <w:keepNext w:val="0"/>
              <w:keepLines w:val="0"/>
              <w:pageBreakBefore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2、根据国家及省市环境管理部门有关文件精神，项目废气排放口、噪声排放源及固废贮存场所必须实施规范化整治，该项工作是实施污染物总量控制计划的基础工作之一。排污口规范化整治技术要求如下：</w:t>
            </w:r>
          </w:p>
          <w:p>
            <w:pPr>
              <w:pStyle w:val="90"/>
              <w:keepNext w:val="0"/>
              <w:keepLines w:val="0"/>
              <w:pageBreakBefore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①</w:t>
            </w:r>
            <w:r>
              <w:rPr>
                <w:rFonts w:hint="default" w:ascii="Times New Roman" w:hAnsi="Times New Roman" w:eastAsia="宋体" w:cs="Times New Roman"/>
                <w:color w:val="auto"/>
                <w:u w:val="none" w:color="auto"/>
                <w:lang w:val="en-US" w:eastAsia="zh-CN"/>
              </w:rPr>
              <w:t>合理设置排污口位置，排污口应按规范设计，并按《污染源监测技术规范》设置采样点，以便环保部门监督管理；</w:t>
            </w:r>
          </w:p>
          <w:p>
            <w:pPr>
              <w:pStyle w:val="90"/>
              <w:keepNext w:val="0"/>
              <w:keepLines w:val="0"/>
              <w:pageBreakBefore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②</w:t>
            </w:r>
            <w:r>
              <w:rPr>
                <w:rFonts w:hint="default" w:ascii="Times New Roman" w:hAnsi="Times New Roman" w:eastAsia="宋体" w:cs="Times New Roman"/>
                <w:color w:val="auto"/>
                <w:u w:val="none" w:color="auto"/>
                <w:lang w:val="en-US" w:eastAsia="zh-CN"/>
              </w:rPr>
              <w:t>按照《环境保护图形标志》(GB15562.1-1995)及(GB15562.2-1995)的规定，规范化整治的排污口应设置相应的环境图形标志；</w:t>
            </w:r>
          </w:p>
          <w:p>
            <w:pPr>
              <w:pStyle w:val="90"/>
              <w:keepNext w:val="0"/>
              <w:keepLines w:val="0"/>
              <w:pageBreakBefore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③</w:t>
            </w:r>
            <w:r>
              <w:rPr>
                <w:rFonts w:hint="default" w:ascii="Times New Roman" w:hAnsi="Times New Roman" w:eastAsia="宋体" w:cs="Times New Roman"/>
                <w:color w:val="auto"/>
                <w:u w:val="none" w:color="auto"/>
                <w:lang w:val="en-US" w:eastAsia="zh-CN"/>
              </w:rPr>
              <w:t>按照要求填写由国家环境保护总局（现已更名</w:t>
            </w:r>
            <w:r>
              <w:rPr>
                <w:rFonts w:hint="eastAsia"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中华人民共和国生态环境部</w:t>
            </w:r>
            <w:r>
              <w:rPr>
                <w:rFonts w:hint="eastAsia"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）统一印制的《中华人民共和国规范化排污口标志登记证》；</w:t>
            </w:r>
          </w:p>
          <w:p>
            <w:pPr>
              <w:pStyle w:val="90"/>
              <w:keepNext w:val="0"/>
              <w:keepLines w:val="0"/>
              <w:pageBreakBefore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④</w:t>
            </w:r>
            <w:r>
              <w:rPr>
                <w:rFonts w:hint="default" w:ascii="Times New Roman" w:hAnsi="Times New Roman" w:eastAsia="宋体" w:cs="Times New Roman"/>
                <w:color w:val="auto"/>
                <w:u w:val="none" w:color="auto"/>
                <w:lang w:val="en-US" w:eastAsia="zh-CN"/>
              </w:rPr>
              <w:t>规范化整治的排污口有关设施属环境保护设施，应将其纳入本单位设备管理，并选派具有专业知识的专职或兼职人员对排污口进行管理。</w:t>
            </w:r>
          </w:p>
          <w:p>
            <w:pPr>
              <w:pStyle w:val="90"/>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hAnsi="宋体" w:cs="宋体"/>
                <w:color w:val="auto"/>
                <w:szCs w:val="21"/>
                <w:u w:val="none" w:color="auto"/>
              </w:rPr>
            </w:pPr>
            <w:r>
              <w:rPr>
                <w:rFonts w:hint="eastAsia" w:cs="Times New Roman"/>
                <w:color w:val="auto"/>
                <w:u w:val="none" w:color="auto"/>
                <w:lang w:val="en-US" w:eastAsia="zh-CN"/>
              </w:rPr>
              <w:t>3</w:t>
            </w:r>
            <w:r>
              <w:rPr>
                <w:rFonts w:hint="default" w:ascii="Times New Roman" w:hAnsi="Times New Roman" w:eastAsia="宋体" w:cs="Times New Roman"/>
                <w:color w:val="auto"/>
                <w:u w:val="none" w:color="auto"/>
                <w:lang w:val="en-US" w:eastAsia="zh-CN"/>
              </w:rPr>
              <w:t>、本项目竣工后，建设单位应当按照国务院环境保护行政主管部门规定的标准和程序，对配套建设的环境保护设施进行自主验收，编制验收报告。</w:t>
            </w:r>
          </w:p>
        </w:tc>
      </w:tr>
    </w:tbl>
    <w:p>
      <w:pPr>
        <w:pStyle w:val="28"/>
        <w:jc w:val="center"/>
        <w:outlineLvl w:val="0"/>
        <w:rPr>
          <w:rFonts w:ascii="黑体" w:hAnsi="黑体" w:eastAsia="黑体"/>
          <w:snapToGrid w:val="0"/>
          <w:color w:val="auto"/>
          <w:sz w:val="30"/>
          <w:szCs w:val="30"/>
          <w:u w:val="none" w:color="auto"/>
        </w:rPr>
      </w:pPr>
      <w:r>
        <w:rPr>
          <w:snapToGrid w:val="0"/>
          <w:color w:val="0000FF"/>
          <w:u w:val="none" w:color="auto"/>
        </w:rPr>
        <w:br w:type="page"/>
      </w:r>
      <w:bookmarkStart w:id="16" w:name="_Toc576"/>
      <w:r>
        <w:rPr>
          <w:rFonts w:hint="eastAsia" w:ascii="黑体" w:hAnsi="黑体" w:eastAsia="黑体"/>
          <w:snapToGrid w:val="0"/>
          <w:color w:val="auto"/>
          <w:sz w:val="30"/>
          <w:szCs w:val="30"/>
          <w:u w:val="none" w:color="auto"/>
        </w:rPr>
        <w:t>六、结论</w:t>
      </w:r>
      <w:bookmarkEnd w:id="16"/>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865" w:type="dxa"/>
            <w:noWrap w:val="0"/>
            <w:vAlign w:val="center"/>
          </w:tcPr>
          <w:p>
            <w:pPr>
              <w:pStyle w:val="6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 w:val="21"/>
                <w:szCs w:val="21"/>
                <w:highlight w:val="none"/>
                <w:u w:val="none" w:color="auto"/>
                <w:lang w:val="en-US" w:eastAsia="zh-CN"/>
              </w:rPr>
            </w:pPr>
            <w:r>
              <w:rPr>
                <w:rFonts w:hint="eastAsia" w:ascii="Times New Roman" w:hAnsi="Times New Roman" w:eastAsia="宋体" w:cs="宋体"/>
                <w:color w:val="auto"/>
                <w:sz w:val="21"/>
                <w:szCs w:val="21"/>
                <w:highlight w:val="none"/>
                <w:u w:val="none" w:color="auto"/>
                <w:lang w:val="en-US" w:eastAsia="zh-CN"/>
              </w:rPr>
              <w:t>项目的建设符合国家产业政策的要求，选址和布局合理，与规划相符，项目采用的各项环保措施、环境风险防范与应急措施总体可行，可以实现达标排放，污染物得到了妥善的处理处置，对环境影响在可接受范围之内。</w:t>
            </w:r>
          </w:p>
          <w:p>
            <w:pPr>
              <w:pStyle w:val="6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cs="宋体"/>
                <w:color w:val="0000FF"/>
                <w:sz w:val="24"/>
                <w:u w:val="none" w:color="auto"/>
              </w:rPr>
            </w:pPr>
            <w:r>
              <w:rPr>
                <w:rFonts w:hint="eastAsia" w:ascii="Times New Roman" w:hAnsi="Times New Roman" w:eastAsia="宋体" w:cs="宋体"/>
                <w:color w:val="auto"/>
                <w:sz w:val="21"/>
                <w:szCs w:val="21"/>
                <w:highlight w:val="none"/>
                <w:u w:val="none" w:color="auto"/>
                <w:lang w:val="en-US" w:eastAsia="zh-CN"/>
              </w:rPr>
              <w:t>建设单位在充分采纳和落实本报告中所提出的有关环保措施、严格执行“三同时”规定后，将使项目实施过程及运行后对环境的影响得到有效控制。从环境保护的角度，本报告认为本项目建设是可行的。</w:t>
            </w:r>
          </w:p>
        </w:tc>
      </w:tr>
    </w:tbl>
    <w:p>
      <w:pPr>
        <w:rPr>
          <w:rFonts w:ascii="宋体"/>
          <w:color w:val="0000FF"/>
          <w:u w:val="none" w:color="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8"/>
        <w:adjustRightInd w:val="0"/>
        <w:snapToGrid w:val="0"/>
        <w:spacing w:before="0" w:beforeAutospacing="0" w:after="0" w:afterAutospacing="0" w:line="648" w:lineRule="auto"/>
        <w:outlineLvl w:val="9"/>
        <w:rPr>
          <w:rFonts w:ascii="黑体" w:hAnsi="黑体" w:eastAsia="黑体"/>
          <w:snapToGrid w:val="0"/>
          <w:color w:val="auto"/>
          <w:sz w:val="32"/>
          <w:szCs w:val="32"/>
          <w:u w:val="none" w:color="auto"/>
        </w:rPr>
      </w:pPr>
      <w:r>
        <w:rPr>
          <w:rFonts w:hint="eastAsia" w:ascii="黑体" w:hAnsi="黑体" w:eastAsia="黑体"/>
          <w:snapToGrid w:val="0"/>
          <w:color w:val="auto"/>
          <w:sz w:val="32"/>
          <w:szCs w:val="32"/>
          <w:u w:val="none" w:color="auto"/>
        </w:rPr>
        <w:t>附表</w:t>
      </w:r>
    </w:p>
    <w:p>
      <w:pPr>
        <w:pStyle w:val="28"/>
        <w:adjustRightInd w:val="0"/>
        <w:snapToGrid w:val="0"/>
        <w:spacing w:before="0" w:beforeAutospacing="0" w:after="0" w:afterAutospacing="0" w:line="240" w:lineRule="auto"/>
        <w:jc w:val="center"/>
        <w:outlineLvl w:val="0"/>
        <w:rPr>
          <w:rFonts w:hint="eastAsia" w:ascii="方正小标宋_GBK" w:hAnsi="黑体" w:eastAsia="方正小标宋_GBK"/>
          <w:snapToGrid w:val="0"/>
          <w:color w:val="auto"/>
          <w:sz w:val="38"/>
          <w:szCs w:val="38"/>
          <w:u w:val="none" w:color="auto"/>
        </w:rPr>
      </w:pPr>
      <w:bookmarkStart w:id="17" w:name="_Toc5033"/>
      <w:r>
        <w:rPr>
          <w:rFonts w:hint="eastAsia" w:ascii="方正小标宋_GBK" w:hAnsi="黑体" w:eastAsia="方正小标宋_GBK"/>
          <w:snapToGrid w:val="0"/>
          <w:color w:val="auto"/>
          <w:sz w:val="38"/>
          <w:szCs w:val="38"/>
          <w:u w:val="none" w:color="auto"/>
        </w:rPr>
        <w:t>建设项目污染物排放量汇总表</w:t>
      </w:r>
      <w:bookmarkEnd w:id="17"/>
    </w:p>
    <w:tbl>
      <w:tblPr>
        <w:tblStyle w:val="31"/>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1344"/>
        <w:gridCol w:w="1622"/>
        <w:gridCol w:w="1207"/>
        <w:gridCol w:w="1622"/>
        <w:gridCol w:w="1485"/>
        <w:gridCol w:w="1682"/>
        <w:gridCol w:w="1876"/>
        <w:gridCol w:w="11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61" w:type="pct"/>
            <w:tcBorders>
              <w:tl2br w:val="single" w:color="auto" w:sz="4" w:space="0"/>
            </w:tcBorders>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right"/>
              <w:textAlignment w:val="auto"/>
              <w:rPr>
                <w:rFonts w:hint="default" w:ascii="Times New Roman" w:hAnsi="Times New Roman" w:eastAsia="黑体" w:cs="Times New Roman"/>
                <w:b w:val="0"/>
                <w:bCs w:val="0"/>
                <w:snapToGrid w:val="0"/>
                <w:color w:val="auto"/>
                <w:spacing w:val="-6"/>
                <w:kern w:val="21"/>
                <w:szCs w:val="21"/>
                <w:u w:val="none" w:color="auto"/>
              </w:rPr>
            </w:pPr>
            <w:r>
              <w:rPr>
                <w:rFonts w:hint="default" w:ascii="Times New Roman" w:hAnsi="Times New Roman" w:eastAsia="黑体" w:cs="Times New Roman"/>
                <w:b w:val="0"/>
                <w:bCs w:val="0"/>
                <w:snapToGrid w:val="0"/>
                <w:color w:val="auto"/>
                <w:spacing w:val="-6"/>
                <w:kern w:val="21"/>
                <w:szCs w:val="21"/>
                <w:u w:val="none" w:color="auto"/>
              </w:rPr>
              <w:t>项目</w:t>
            </w:r>
          </w:p>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left"/>
              <w:textAlignment w:val="auto"/>
              <w:rPr>
                <w:rFonts w:hint="default" w:ascii="Times New Roman" w:hAnsi="Times New Roman" w:eastAsia="黑体" w:cs="Times New Roman"/>
                <w:b w:val="0"/>
                <w:bCs w:val="0"/>
                <w:snapToGrid w:val="0"/>
                <w:color w:val="auto"/>
                <w:spacing w:val="-6"/>
                <w:kern w:val="21"/>
                <w:szCs w:val="21"/>
                <w:u w:val="none" w:color="auto"/>
              </w:rPr>
            </w:pPr>
            <w:r>
              <w:rPr>
                <w:rFonts w:hint="default" w:ascii="Times New Roman" w:hAnsi="Times New Roman" w:eastAsia="黑体" w:cs="Times New Roman"/>
                <w:b w:val="0"/>
                <w:bCs w:val="0"/>
                <w:snapToGrid w:val="0"/>
                <w:color w:val="auto"/>
                <w:spacing w:val="-6"/>
                <w:kern w:val="21"/>
                <w:szCs w:val="21"/>
                <w:u w:val="none" w:color="auto"/>
              </w:rPr>
              <w:t>分类</w:t>
            </w:r>
          </w:p>
        </w:tc>
        <w:tc>
          <w:tcPr>
            <w:tcW w:w="498"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6"/>
                <w:kern w:val="21"/>
                <w:szCs w:val="21"/>
                <w:u w:val="none" w:color="auto"/>
              </w:rPr>
            </w:pPr>
            <w:r>
              <w:rPr>
                <w:rFonts w:hint="default" w:ascii="Times New Roman" w:hAnsi="Times New Roman" w:eastAsia="黑体" w:cs="Times New Roman"/>
                <w:b w:val="0"/>
                <w:bCs w:val="0"/>
                <w:snapToGrid w:val="0"/>
                <w:color w:val="auto"/>
                <w:spacing w:val="-6"/>
                <w:kern w:val="21"/>
                <w:szCs w:val="21"/>
                <w:u w:val="none" w:color="auto"/>
              </w:rPr>
              <w:t>污染物名称</w:t>
            </w:r>
          </w:p>
        </w:tc>
        <w:tc>
          <w:tcPr>
            <w:tcW w:w="601"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6"/>
                <w:kern w:val="21"/>
                <w:szCs w:val="21"/>
                <w:u w:val="none" w:color="auto"/>
              </w:rPr>
            </w:pPr>
            <w:r>
              <w:rPr>
                <w:rFonts w:hint="default" w:ascii="Times New Roman" w:hAnsi="Times New Roman" w:eastAsia="黑体" w:cs="Times New Roman"/>
                <w:b w:val="0"/>
                <w:bCs w:val="0"/>
                <w:snapToGrid w:val="0"/>
                <w:color w:val="auto"/>
                <w:spacing w:val="-6"/>
                <w:kern w:val="21"/>
                <w:szCs w:val="21"/>
                <w:u w:val="none" w:color="auto"/>
              </w:rPr>
              <w:t>现有工程</w:t>
            </w:r>
          </w:p>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6"/>
                <w:kern w:val="21"/>
                <w:szCs w:val="21"/>
                <w:u w:val="none" w:color="auto"/>
              </w:rPr>
            </w:pPr>
            <w:r>
              <w:rPr>
                <w:rFonts w:hint="default" w:ascii="Times New Roman" w:hAnsi="Times New Roman" w:eastAsia="黑体" w:cs="Times New Roman"/>
                <w:b w:val="0"/>
                <w:bCs w:val="0"/>
                <w:snapToGrid w:val="0"/>
                <w:color w:val="auto"/>
                <w:spacing w:val="-6"/>
                <w:kern w:val="21"/>
                <w:szCs w:val="21"/>
                <w:u w:val="none" w:color="auto"/>
              </w:rPr>
              <w:t>排放量（固体废物产生量）</w:t>
            </w:r>
            <w:r>
              <w:rPr>
                <w:rFonts w:hint="default" w:ascii="Times New Roman" w:hAnsi="Times New Roman" w:eastAsia="黑体" w:cs="Times New Roman"/>
                <w:b w:val="0"/>
                <w:bCs w:val="0"/>
                <w:snapToGrid w:val="0"/>
                <w:color w:val="auto"/>
                <w:spacing w:val="-6"/>
                <w:kern w:val="21"/>
                <w:szCs w:val="21"/>
                <w:u w:val="none" w:color="auto"/>
              </w:rPr>
              <w:fldChar w:fldCharType="begin"/>
            </w:r>
            <w:r>
              <w:rPr>
                <w:rFonts w:hint="default" w:ascii="Times New Roman" w:hAnsi="Times New Roman" w:eastAsia="黑体" w:cs="Times New Roman"/>
                <w:b w:val="0"/>
                <w:bCs w:val="0"/>
                <w:snapToGrid w:val="0"/>
                <w:color w:val="auto"/>
                <w:spacing w:val="-6"/>
                <w:kern w:val="21"/>
                <w:szCs w:val="21"/>
                <w:u w:val="none" w:color="auto"/>
              </w:rPr>
              <w:instrText xml:space="preserve"> = 1 \* GB3 \* MERGEFORMAT </w:instrText>
            </w:r>
            <w:r>
              <w:rPr>
                <w:rFonts w:hint="default" w:ascii="Times New Roman" w:hAnsi="Times New Roman" w:eastAsia="黑体" w:cs="Times New Roman"/>
                <w:b w:val="0"/>
                <w:bCs w:val="0"/>
                <w:snapToGrid w:val="0"/>
                <w:color w:val="auto"/>
                <w:spacing w:val="-6"/>
                <w:kern w:val="21"/>
                <w:szCs w:val="21"/>
                <w:u w:val="none" w:color="auto"/>
              </w:rPr>
              <w:fldChar w:fldCharType="separate"/>
            </w:r>
            <w:r>
              <w:rPr>
                <w:rFonts w:hint="default" w:ascii="Times New Roman" w:hAnsi="Times New Roman" w:eastAsia="黑体" w:cs="Times New Roman"/>
                <w:b w:val="0"/>
                <w:bCs w:val="0"/>
                <w:color w:val="auto"/>
                <w:kern w:val="2"/>
                <w:szCs w:val="21"/>
                <w:u w:val="none" w:color="auto"/>
              </w:rPr>
              <w:t>①</w:t>
            </w:r>
            <w:r>
              <w:rPr>
                <w:rFonts w:hint="default" w:ascii="Times New Roman" w:hAnsi="Times New Roman" w:eastAsia="黑体" w:cs="Times New Roman"/>
                <w:b w:val="0"/>
                <w:bCs w:val="0"/>
                <w:snapToGrid w:val="0"/>
                <w:color w:val="auto"/>
                <w:spacing w:val="-6"/>
                <w:kern w:val="21"/>
                <w:szCs w:val="21"/>
                <w:u w:val="none" w:color="auto"/>
              </w:rPr>
              <w:fldChar w:fldCharType="end"/>
            </w:r>
          </w:p>
        </w:tc>
        <w:tc>
          <w:tcPr>
            <w:tcW w:w="447"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6"/>
                <w:kern w:val="21"/>
                <w:szCs w:val="21"/>
                <w:u w:val="none" w:color="auto"/>
              </w:rPr>
            </w:pPr>
            <w:r>
              <w:rPr>
                <w:rFonts w:hint="default" w:ascii="Times New Roman" w:hAnsi="Times New Roman" w:eastAsia="黑体" w:cs="Times New Roman"/>
                <w:b w:val="0"/>
                <w:bCs w:val="0"/>
                <w:snapToGrid w:val="0"/>
                <w:color w:val="auto"/>
                <w:spacing w:val="-6"/>
                <w:kern w:val="21"/>
                <w:szCs w:val="21"/>
                <w:u w:val="none" w:color="auto"/>
              </w:rPr>
              <w:t>现有工程</w:t>
            </w:r>
          </w:p>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6"/>
                <w:kern w:val="21"/>
                <w:szCs w:val="21"/>
                <w:u w:val="none" w:color="auto"/>
              </w:rPr>
            </w:pPr>
            <w:r>
              <w:rPr>
                <w:rFonts w:hint="default" w:ascii="Times New Roman" w:hAnsi="Times New Roman" w:eastAsia="黑体" w:cs="Times New Roman"/>
                <w:b w:val="0"/>
                <w:bCs w:val="0"/>
                <w:snapToGrid w:val="0"/>
                <w:color w:val="auto"/>
                <w:spacing w:val="-6"/>
                <w:kern w:val="21"/>
                <w:szCs w:val="21"/>
                <w:u w:val="none" w:color="auto"/>
              </w:rPr>
              <w:t>许可排放量</w:t>
            </w:r>
          </w:p>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6"/>
                <w:kern w:val="21"/>
                <w:szCs w:val="21"/>
                <w:u w:val="none" w:color="auto"/>
              </w:rPr>
            </w:pPr>
            <w:r>
              <w:rPr>
                <w:rFonts w:hint="default" w:ascii="Times New Roman" w:hAnsi="Times New Roman" w:eastAsia="黑体" w:cs="Times New Roman"/>
                <w:b w:val="0"/>
                <w:bCs w:val="0"/>
                <w:snapToGrid w:val="0"/>
                <w:color w:val="auto"/>
                <w:spacing w:val="-6"/>
                <w:kern w:val="21"/>
                <w:szCs w:val="21"/>
                <w:u w:val="none" w:color="auto"/>
              </w:rPr>
              <w:fldChar w:fldCharType="begin"/>
            </w:r>
            <w:r>
              <w:rPr>
                <w:rFonts w:hint="default" w:ascii="Times New Roman" w:hAnsi="Times New Roman" w:eastAsia="黑体" w:cs="Times New Roman"/>
                <w:b w:val="0"/>
                <w:bCs w:val="0"/>
                <w:snapToGrid w:val="0"/>
                <w:color w:val="auto"/>
                <w:spacing w:val="-6"/>
                <w:kern w:val="21"/>
                <w:szCs w:val="21"/>
                <w:u w:val="none" w:color="auto"/>
              </w:rPr>
              <w:instrText xml:space="preserve"> = 2 \* GB3 \* MERGEFORMAT </w:instrText>
            </w:r>
            <w:r>
              <w:rPr>
                <w:rFonts w:hint="default" w:ascii="Times New Roman" w:hAnsi="Times New Roman" w:eastAsia="黑体" w:cs="Times New Roman"/>
                <w:b w:val="0"/>
                <w:bCs w:val="0"/>
                <w:snapToGrid w:val="0"/>
                <w:color w:val="auto"/>
                <w:spacing w:val="-6"/>
                <w:kern w:val="21"/>
                <w:szCs w:val="21"/>
                <w:u w:val="none" w:color="auto"/>
              </w:rPr>
              <w:fldChar w:fldCharType="separate"/>
            </w:r>
            <w:r>
              <w:rPr>
                <w:rFonts w:hint="default" w:ascii="Times New Roman" w:hAnsi="Times New Roman" w:eastAsia="黑体" w:cs="Times New Roman"/>
                <w:b w:val="0"/>
                <w:bCs w:val="0"/>
                <w:snapToGrid w:val="0"/>
                <w:color w:val="auto"/>
                <w:spacing w:val="-6"/>
                <w:kern w:val="21"/>
                <w:szCs w:val="21"/>
                <w:u w:val="none" w:color="auto"/>
              </w:rPr>
              <w:t>②</w:t>
            </w:r>
            <w:r>
              <w:rPr>
                <w:rFonts w:hint="default" w:ascii="Times New Roman" w:hAnsi="Times New Roman" w:eastAsia="黑体" w:cs="Times New Roman"/>
                <w:b w:val="0"/>
                <w:bCs w:val="0"/>
                <w:snapToGrid w:val="0"/>
                <w:color w:val="auto"/>
                <w:spacing w:val="-6"/>
                <w:kern w:val="21"/>
                <w:szCs w:val="21"/>
                <w:u w:val="none" w:color="auto"/>
              </w:rPr>
              <w:fldChar w:fldCharType="end"/>
            </w:r>
          </w:p>
        </w:tc>
        <w:tc>
          <w:tcPr>
            <w:tcW w:w="601"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6"/>
                <w:kern w:val="21"/>
                <w:szCs w:val="21"/>
                <w:u w:val="none" w:color="auto"/>
              </w:rPr>
            </w:pPr>
            <w:r>
              <w:rPr>
                <w:rFonts w:hint="default" w:ascii="Times New Roman" w:hAnsi="Times New Roman" w:eastAsia="黑体" w:cs="Times New Roman"/>
                <w:b w:val="0"/>
                <w:bCs w:val="0"/>
                <w:snapToGrid w:val="0"/>
                <w:color w:val="auto"/>
                <w:spacing w:val="-6"/>
                <w:kern w:val="21"/>
                <w:szCs w:val="21"/>
                <w:u w:val="none" w:color="auto"/>
              </w:rPr>
              <w:t>在建工程</w:t>
            </w:r>
          </w:p>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6"/>
                <w:kern w:val="21"/>
                <w:szCs w:val="21"/>
                <w:u w:val="none" w:color="auto"/>
              </w:rPr>
            </w:pPr>
            <w:r>
              <w:rPr>
                <w:rFonts w:hint="default" w:ascii="Times New Roman" w:hAnsi="Times New Roman" w:eastAsia="黑体" w:cs="Times New Roman"/>
                <w:b w:val="0"/>
                <w:bCs w:val="0"/>
                <w:snapToGrid w:val="0"/>
                <w:color w:val="auto"/>
                <w:spacing w:val="-6"/>
                <w:kern w:val="21"/>
                <w:szCs w:val="21"/>
                <w:u w:val="none" w:color="auto"/>
              </w:rPr>
              <w:t>排放量（固体废物产生量）</w:t>
            </w:r>
            <w:r>
              <w:rPr>
                <w:rFonts w:hint="default" w:ascii="Times New Roman" w:hAnsi="Times New Roman" w:eastAsia="黑体" w:cs="Times New Roman"/>
                <w:b w:val="0"/>
                <w:bCs w:val="0"/>
                <w:snapToGrid w:val="0"/>
                <w:color w:val="auto"/>
                <w:spacing w:val="-6"/>
                <w:kern w:val="21"/>
                <w:szCs w:val="21"/>
                <w:u w:val="none" w:color="auto"/>
              </w:rPr>
              <w:fldChar w:fldCharType="begin"/>
            </w:r>
            <w:r>
              <w:rPr>
                <w:rFonts w:hint="default" w:ascii="Times New Roman" w:hAnsi="Times New Roman" w:eastAsia="黑体" w:cs="Times New Roman"/>
                <w:b w:val="0"/>
                <w:bCs w:val="0"/>
                <w:snapToGrid w:val="0"/>
                <w:color w:val="auto"/>
                <w:spacing w:val="-6"/>
                <w:kern w:val="21"/>
                <w:szCs w:val="21"/>
                <w:u w:val="none" w:color="auto"/>
              </w:rPr>
              <w:instrText xml:space="preserve"> = 3 \* GB3 \* MERGEFORMAT </w:instrText>
            </w:r>
            <w:r>
              <w:rPr>
                <w:rFonts w:hint="default" w:ascii="Times New Roman" w:hAnsi="Times New Roman" w:eastAsia="黑体" w:cs="Times New Roman"/>
                <w:b w:val="0"/>
                <w:bCs w:val="0"/>
                <w:snapToGrid w:val="0"/>
                <w:color w:val="auto"/>
                <w:spacing w:val="-6"/>
                <w:kern w:val="21"/>
                <w:szCs w:val="21"/>
                <w:u w:val="none" w:color="auto"/>
              </w:rPr>
              <w:fldChar w:fldCharType="separate"/>
            </w:r>
            <w:r>
              <w:rPr>
                <w:rFonts w:hint="default" w:ascii="Times New Roman" w:hAnsi="Times New Roman" w:eastAsia="黑体" w:cs="Times New Roman"/>
                <w:b w:val="0"/>
                <w:bCs w:val="0"/>
                <w:color w:val="auto"/>
                <w:kern w:val="2"/>
                <w:szCs w:val="21"/>
                <w:u w:val="none" w:color="auto"/>
              </w:rPr>
              <w:t>③</w:t>
            </w:r>
            <w:r>
              <w:rPr>
                <w:rFonts w:hint="default" w:ascii="Times New Roman" w:hAnsi="Times New Roman" w:eastAsia="黑体" w:cs="Times New Roman"/>
                <w:b w:val="0"/>
                <w:bCs w:val="0"/>
                <w:snapToGrid w:val="0"/>
                <w:color w:val="auto"/>
                <w:spacing w:val="-6"/>
                <w:kern w:val="21"/>
                <w:szCs w:val="21"/>
                <w:u w:val="none" w:color="auto"/>
              </w:rPr>
              <w:fldChar w:fldCharType="end"/>
            </w:r>
          </w:p>
        </w:tc>
        <w:tc>
          <w:tcPr>
            <w:tcW w:w="550"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6"/>
                <w:kern w:val="21"/>
                <w:szCs w:val="21"/>
                <w:u w:val="none" w:color="auto"/>
              </w:rPr>
            </w:pPr>
            <w:r>
              <w:rPr>
                <w:rFonts w:hint="default" w:ascii="Times New Roman" w:hAnsi="Times New Roman" w:eastAsia="黑体" w:cs="Times New Roman"/>
                <w:b w:val="0"/>
                <w:bCs w:val="0"/>
                <w:snapToGrid w:val="0"/>
                <w:color w:val="auto"/>
                <w:spacing w:val="-6"/>
                <w:kern w:val="21"/>
                <w:szCs w:val="21"/>
                <w:u w:val="none" w:color="auto"/>
              </w:rPr>
              <w:t>本项目</w:t>
            </w:r>
          </w:p>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6"/>
                <w:kern w:val="21"/>
                <w:szCs w:val="21"/>
                <w:u w:val="none" w:color="auto"/>
              </w:rPr>
            </w:pPr>
            <w:r>
              <w:rPr>
                <w:rFonts w:hint="default" w:ascii="Times New Roman" w:hAnsi="Times New Roman" w:eastAsia="黑体" w:cs="Times New Roman"/>
                <w:b w:val="0"/>
                <w:bCs w:val="0"/>
                <w:snapToGrid w:val="0"/>
                <w:color w:val="auto"/>
                <w:spacing w:val="-6"/>
                <w:kern w:val="21"/>
                <w:szCs w:val="21"/>
                <w:u w:val="none" w:color="auto"/>
              </w:rPr>
              <w:t>排放量（固体废物产生量）</w:t>
            </w:r>
            <w:r>
              <w:rPr>
                <w:rFonts w:hint="default" w:ascii="Times New Roman" w:hAnsi="Times New Roman" w:eastAsia="黑体" w:cs="Times New Roman"/>
                <w:b w:val="0"/>
                <w:bCs w:val="0"/>
                <w:snapToGrid w:val="0"/>
                <w:color w:val="auto"/>
                <w:spacing w:val="-6"/>
                <w:kern w:val="21"/>
                <w:szCs w:val="21"/>
                <w:u w:val="none" w:color="auto"/>
              </w:rPr>
              <w:fldChar w:fldCharType="begin"/>
            </w:r>
            <w:r>
              <w:rPr>
                <w:rFonts w:hint="default" w:ascii="Times New Roman" w:hAnsi="Times New Roman" w:eastAsia="黑体" w:cs="Times New Roman"/>
                <w:b w:val="0"/>
                <w:bCs w:val="0"/>
                <w:snapToGrid w:val="0"/>
                <w:color w:val="auto"/>
                <w:spacing w:val="-6"/>
                <w:kern w:val="21"/>
                <w:szCs w:val="21"/>
                <w:u w:val="none" w:color="auto"/>
              </w:rPr>
              <w:instrText xml:space="preserve"> = 4 \* GB3 \* MERGEFORMAT </w:instrText>
            </w:r>
            <w:r>
              <w:rPr>
                <w:rFonts w:hint="default" w:ascii="Times New Roman" w:hAnsi="Times New Roman" w:eastAsia="黑体" w:cs="Times New Roman"/>
                <w:b w:val="0"/>
                <w:bCs w:val="0"/>
                <w:snapToGrid w:val="0"/>
                <w:color w:val="auto"/>
                <w:spacing w:val="-6"/>
                <w:kern w:val="21"/>
                <w:szCs w:val="21"/>
                <w:u w:val="none" w:color="auto"/>
              </w:rPr>
              <w:fldChar w:fldCharType="separate"/>
            </w:r>
            <w:r>
              <w:rPr>
                <w:rFonts w:hint="default" w:ascii="Times New Roman" w:hAnsi="Times New Roman" w:eastAsia="黑体" w:cs="Times New Roman"/>
                <w:b w:val="0"/>
                <w:bCs w:val="0"/>
                <w:color w:val="auto"/>
                <w:kern w:val="2"/>
                <w:szCs w:val="21"/>
                <w:u w:val="none" w:color="auto"/>
              </w:rPr>
              <w:t>④</w:t>
            </w:r>
            <w:r>
              <w:rPr>
                <w:rFonts w:hint="default" w:ascii="Times New Roman" w:hAnsi="Times New Roman" w:eastAsia="黑体" w:cs="Times New Roman"/>
                <w:b w:val="0"/>
                <w:bCs w:val="0"/>
                <w:snapToGrid w:val="0"/>
                <w:color w:val="auto"/>
                <w:spacing w:val="-6"/>
                <w:kern w:val="21"/>
                <w:szCs w:val="21"/>
                <w:u w:val="none" w:color="auto"/>
              </w:rPr>
              <w:fldChar w:fldCharType="end"/>
            </w:r>
          </w:p>
        </w:tc>
        <w:tc>
          <w:tcPr>
            <w:tcW w:w="623"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16"/>
                <w:kern w:val="21"/>
                <w:szCs w:val="21"/>
                <w:u w:val="none" w:color="auto"/>
              </w:rPr>
            </w:pPr>
            <w:r>
              <w:rPr>
                <w:rFonts w:hint="default" w:ascii="Times New Roman" w:hAnsi="Times New Roman" w:eastAsia="黑体" w:cs="Times New Roman"/>
                <w:b w:val="0"/>
                <w:bCs w:val="0"/>
                <w:snapToGrid w:val="0"/>
                <w:color w:val="auto"/>
                <w:spacing w:val="-16"/>
                <w:kern w:val="21"/>
                <w:szCs w:val="21"/>
                <w:u w:val="none" w:color="auto"/>
              </w:rPr>
              <w:t>以新带老削减量</w:t>
            </w:r>
          </w:p>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16"/>
                <w:kern w:val="21"/>
                <w:szCs w:val="21"/>
                <w:u w:val="none" w:color="auto"/>
              </w:rPr>
            </w:pPr>
            <w:r>
              <w:rPr>
                <w:rFonts w:hint="default" w:ascii="Times New Roman" w:hAnsi="Times New Roman" w:eastAsia="黑体" w:cs="Times New Roman"/>
                <w:b w:val="0"/>
                <w:bCs w:val="0"/>
                <w:snapToGrid w:val="0"/>
                <w:color w:val="auto"/>
                <w:spacing w:val="-16"/>
                <w:kern w:val="21"/>
                <w:szCs w:val="21"/>
                <w:u w:val="none" w:color="auto"/>
              </w:rPr>
              <w:t>（新建项目不填）</w:t>
            </w:r>
            <w:r>
              <w:rPr>
                <w:rFonts w:hint="default" w:ascii="Times New Roman" w:hAnsi="Times New Roman" w:eastAsia="黑体" w:cs="Times New Roman"/>
                <w:b w:val="0"/>
                <w:bCs w:val="0"/>
                <w:snapToGrid w:val="0"/>
                <w:color w:val="auto"/>
                <w:spacing w:val="-16"/>
                <w:kern w:val="21"/>
                <w:szCs w:val="21"/>
                <w:u w:val="none" w:color="auto"/>
              </w:rPr>
              <w:fldChar w:fldCharType="begin"/>
            </w:r>
            <w:r>
              <w:rPr>
                <w:rFonts w:hint="default" w:ascii="Times New Roman" w:hAnsi="Times New Roman" w:eastAsia="黑体" w:cs="Times New Roman"/>
                <w:b w:val="0"/>
                <w:bCs w:val="0"/>
                <w:snapToGrid w:val="0"/>
                <w:color w:val="auto"/>
                <w:spacing w:val="-16"/>
                <w:kern w:val="21"/>
                <w:szCs w:val="21"/>
                <w:u w:val="none" w:color="auto"/>
              </w:rPr>
              <w:instrText xml:space="preserve"> = 5 \* GB3 \* MERGEFORMAT </w:instrText>
            </w:r>
            <w:r>
              <w:rPr>
                <w:rFonts w:hint="default" w:ascii="Times New Roman" w:hAnsi="Times New Roman" w:eastAsia="黑体" w:cs="Times New Roman"/>
                <w:b w:val="0"/>
                <w:bCs w:val="0"/>
                <w:snapToGrid w:val="0"/>
                <w:color w:val="auto"/>
                <w:spacing w:val="-16"/>
                <w:kern w:val="21"/>
                <w:szCs w:val="21"/>
                <w:u w:val="none" w:color="auto"/>
              </w:rPr>
              <w:fldChar w:fldCharType="separate"/>
            </w:r>
            <w:r>
              <w:rPr>
                <w:rFonts w:hint="default" w:ascii="Times New Roman" w:hAnsi="Times New Roman" w:eastAsia="黑体" w:cs="Times New Roman"/>
                <w:b w:val="0"/>
                <w:bCs w:val="0"/>
                <w:color w:val="auto"/>
                <w:kern w:val="2"/>
                <w:szCs w:val="21"/>
                <w:u w:val="none" w:color="auto"/>
              </w:rPr>
              <w:t>⑤</w:t>
            </w:r>
            <w:r>
              <w:rPr>
                <w:rFonts w:hint="default" w:ascii="Times New Roman" w:hAnsi="Times New Roman" w:eastAsia="黑体" w:cs="Times New Roman"/>
                <w:b w:val="0"/>
                <w:bCs w:val="0"/>
                <w:snapToGrid w:val="0"/>
                <w:color w:val="auto"/>
                <w:spacing w:val="-16"/>
                <w:kern w:val="21"/>
                <w:szCs w:val="21"/>
                <w:u w:val="none" w:color="auto"/>
              </w:rPr>
              <w:fldChar w:fldCharType="end"/>
            </w:r>
          </w:p>
        </w:tc>
        <w:tc>
          <w:tcPr>
            <w:tcW w:w="695"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16"/>
                <w:kern w:val="21"/>
                <w:szCs w:val="21"/>
                <w:u w:val="none" w:color="auto"/>
              </w:rPr>
            </w:pPr>
            <w:r>
              <w:rPr>
                <w:rFonts w:hint="default" w:ascii="Times New Roman" w:hAnsi="Times New Roman" w:eastAsia="黑体" w:cs="Times New Roman"/>
                <w:b w:val="0"/>
                <w:bCs w:val="0"/>
                <w:snapToGrid w:val="0"/>
                <w:color w:val="auto"/>
                <w:spacing w:val="-16"/>
                <w:kern w:val="21"/>
                <w:szCs w:val="21"/>
                <w:u w:val="none" w:color="auto"/>
              </w:rPr>
              <w:t>本项目建成后</w:t>
            </w:r>
          </w:p>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16"/>
                <w:kern w:val="21"/>
                <w:szCs w:val="21"/>
                <w:u w:val="none" w:color="auto"/>
              </w:rPr>
            </w:pPr>
            <w:r>
              <w:rPr>
                <w:rFonts w:hint="default" w:ascii="Times New Roman" w:hAnsi="Times New Roman" w:eastAsia="黑体" w:cs="Times New Roman"/>
                <w:b w:val="0"/>
                <w:bCs w:val="0"/>
                <w:snapToGrid w:val="0"/>
                <w:color w:val="auto"/>
                <w:spacing w:val="-16"/>
                <w:kern w:val="21"/>
                <w:szCs w:val="21"/>
                <w:u w:val="none" w:color="auto"/>
              </w:rPr>
              <w:t>全厂排放量（固体废物产生量）</w:t>
            </w:r>
            <w:r>
              <w:rPr>
                <w:rFonts w:hint="default" w:ascii="Times New Roman" w:hAnsi="Times New Roman" w:eastAsia="黑体" w:cs="Times New Roman"/>
                <w:b w:val="0"/>
                <w:bCs w:val="0"/>
                <w:snapToGrid w:val="0"/>
                <w:color w:val="auto"/>
                <w:spacing w:val="-16"/>
                <w:kern w:val="21"/>
                <w:szCs w:val="21"/>
                <w:u w:val="none" w:color="auto"/>
              </w:rPr>
              <w:fldChar w:fldCharType="begin"/>
            </w:r>
            <w:r>
              <w:rPr>
                <w:rFonts w:hint="default" w:ascii="Times New Roman" w:hAnsi="Times New Roman" w:eastAsia="黑体" w:cs="Times New Roman"/>
                <w:b w:val="0"/>
                <w:bCs w:val="0"/>
                <w:snapToGrid w:val="0"/>
                <w:color w:val="auto"/>
                <w:spacing w:val="-16"/>
                <w:kern w:val="21"/>
                <w:szCs w:val="21"/>
                <w:u w:val="none" w:color="auto"/>
              </w:rPr>
              <w:instrText xml:space="preserve"> = 6 \* GB3 \* MERGEFORMAT </w:instrText>
            </w:r>
            <w:r>
              <w:rPr>
                <w:rFonts w:hint="default" w:ascii="Times New Roman" w:hAnsi="Times New Roman" w:eastAsia="黑体" w:cs="Times New Roman"/>
                <w:b w:val="0"/>
                <w:bCs w:val="0"/>
                <w:snapToGrid w:val="0"/>
                <w:color w:val="auto"/>
                <w:spacing w:val="-16"/>
                <w:kern w:val="21"/>
                <w:szCs w:val="21"/>
                <w:u w:val="none" w:color="auto"/>
              </w:rPr>
              <w:fldChar w:fldCharType="separate"/>
            </w:r>
            <w:r>
              <w:rPr>
                <w:rFonts w:hint="default" w:ascii="Times New Roman" w:hAnsi="Times New Roman" w:eastAsia="黑体" w:cs="Times New Roman"/>
                <w:b w:val="0"/>
                <w:bCs w:val="0"/>
                <w:color w:val="auto"/>
                <w:kern w:val="2"/>
                <w:szCs w:val="21"/>
                <w:u w:val="none" w:color="auto"/>
              </w:rPr>
              <w:t>⑥</w:t>
            </w:r>
            <w:r>
              <w:rPr>
                <w:rFonts w:hint="default" w:ascii="Times New Roman" w:hAnsi="Times New Roman" w:eastAsia="黑体" w:cs="Times New Roman"/>
                <w:b w:val="0"/>
                <w:bCs w:val="0"/>
                <w:snapToGrid w:val="0"/>
                <w:color w:val="auto"/>
                <w:spacing w:val="-16"/>
                <w:kern w:val="21"/>
                <w:szCs w:val="21"/>
                <w:u w:val="none" w:color="auto"/>
              </w:rPr>
              <w:fldChar w:fldCharType="end"/>
            </w:r>
          </w:p>
        </w:tc>
        <w:tc>
          <w:tcPr>
            <w:tcW w:w="420"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6"/>
                <w:kern w:val="21"/>
                <w:szCs w:val="21"/>
                <w:u w:val="none" w:color="auto"/>
              </w:rPr>
            </w:pPr>
            <w:r>
              <w:rPr>
                <w:rFonts w:hint="default" w:ascii="Times New Roman" w:hAnsi="Times New Roman" w:eastAsia="黑体" w:cs="Times New Roman"/>
                <w:b w:val="0"/>
                <w:bCs w:val="0"/>
                <w:snapToGrid w:val="0"/>
                <w:color w:val="auto"/>
                <w:spacing w:val="-6"/>
                <w:kern w:val="21"/>
                <w:szCs w:val="21"/>
                <w:u w:val="none" w:color="auto"/>
              </w:rPr>
              <w:t>变化量</w:t>
            </w:r>
          </w:p>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textAlignment w:val="auto"/>
              <w:rPr>
                <w:rFonts w:hint="default" w:ascii="Times New Roman" w:hAnsi="Times New Roman" w:eastAsia="黑体" w:cs="Times New Roman"/>
                <w:b w:val="0"/>
                <w:bCs w:val="0"/>
                <w:snapToGrid w:val="0"/>
                <w:color w:val="auto"/>
                <w:spacing w:val="-6"/>
                <w:kern w:val="21"/>
                <w:szCs w:val="21"/>
                <w:u w:val="none" w:color="auto"/>
              </w:rPr>
            </w:pPr>
            <w:r>
              <w:rPr>
                <w:rFonts w:hint="default" w:ascii="Times New Roman" w:hAnsi="Times New Roman" w:eastAsia="黑体" w:cs="Times New Roman"/>
                <w:b w:val="0"/>
                <w:bCs w:val="0"/>
                <w:snapToGrid w:val="0"/>
                <w:color w:val="auto"/>
                <w:spacing w:val="-6"/>
                <w:kern w:val="21"/>
                <w:szCs w:val="21"/>
                <w:u w:val="none" w:color="auto"/>
              </w:rPr>
              <w:fldChar w:fldCharType="begin"/>
            </w:r>
            <w:r>
              <w:rPr>
                <w:rFonts w:hint="default" w:ascii="Times New Roman" w:hAnsi="Times New Roman" w:eastAsia="黑体" w:cs="Times New Roman"/>
                <w:b w:val="0"/>
                <w:bCs w:val="0"/>
                <w:snapToGrid w:val="0"/>
                <w:color w:val="auto"/>
                <w:spacing w:val="-6"/>
                <w:kern w:val="21"/>
                <w:szCs w:val="21"/>
                <w:u w:val="none" w:color="auto"/>
              </w:rPr>
              <w:instrText xml:space="preserve"> = 7 \* GB3 \* MERGEFORMAT </w:instrText>
            </w:r>
            <w:r>
              <w:rPr>
                <w:rFonts w:hint="default" w:ascii="Times New Roman" w:hAnsi="Times New Roman" w:eastAsia="黑体" w:cs="Times New Roman"/>
                <w:b w:val="0"/>
                <w:bCs w:val="0"/>
                <w:snapToGrid w:val="0"/>
                <w:color w:val="auto"/>
                <w:spacing w:val="-6"/>
                <w:kern w:val="21"/>
                <w:szCs w:val="21"/>
                <w:u w:val="none" w:color="auto"/>
              </w:rPr>
              <w:fldChar w:fldCharType="separate"/>
            </w:r>
            <w:r>
              <w:rPr>
                <w:rFonts w:hint="default" w:ascii="Times New Roman" w:hAnsi="Times New Roman" w:eastAsia="黑体" w:cs="Times New Roman"/>
                <w:b w:val="0"/>
                <w:bCs w:val="0"/>
                <w:color w:val="auto"/>
                <w:kern w:val="2"/>
                <w:szCs w:val="21"/>
                <w:u w:val="none" w:color="auto"/>
              </w:rPr>
              <w:t>⑦</w:t>
            </w:r>
            <w:r>
              <w:rPr>
                <w:rFonts w:hint="default" w:ascii="Times New Roman" w:hAnsi="Times New Roman" w:eastAsia="黑体" w:cs="Times New Roman"/>
                <w:b w:val="0"/>
                <w:bCs w:val="0"/>
                <w:snapToGrid w:val="0"/>
                <w:color w:val="auto"/>
                <w:spacing w:val="-6"/>
                <w:kern w:val="21"/>
                <w:szCs w:val="21"/>
                <w:u w:val="none" w:color="auto"/>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1"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rPr>
              <w:t>废气</w:t>
            </w:r>
          </w:p>
        </w:tc>
        <w:tc>
          <w:tcPr>
            <w:tcW w:w="498" w:type="pct"/>
            <w:shd w:val="clear" w:color="auto" w:fill="auto"/>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rPr>
              <w:t>颗粒物</w:t>
            </w:r>
          </w:p>
        </w:tc>
        <w:tc>
          <w:tcPr>
            <w:tcW w:w="601" w:type="pct"/>
            <w:shd w:val="clear" w:color="auto" w:fill="auto"/>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21"/>
                <w:sz w:val="21"/>
                <w:szCs w:val="21"/>
                <w:u w:val="none" w:color="auto"/>
                <w:lang w:val="en-US" w:eastAsia="zh-CN" w:bidi="ar-SA"/>
              </w:rPr>
            </w:pPr>
            <w:r>
              <w:rPr>
                <w:rFonts w:hint="eastAsia" w:cs="Times New Roman"/>
                <w:b w:val="0"/>
                <w:bCs w:val="0"/>
                <w:color w:val="auto"/>
                <w:sz w:val="21"/>
                <w:szCs w:val="21"/>
                <w:u w:val="none" w:color="auto"/>
                <w:lang w:val="en-US" w:eastAsia="zh-CN"/>
              </w:rPr>
              <w:t>/</w:t>
            </w:r>
          </w:p>
        </w:tc>
        <w:tc>
          <w:tcPr>
            <w:tcW w:w="447" w:type="pct"/>
            <w:shd w:val="clear" w:color="auto" w:fill="auto"/>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b w:val="0"/>
                <w:bCs w:val="0"/>
                <w:snapToGrid w:val="0"/>
                <w:color w:val="auto"/>
                <w:kern w:val="21"/>
                <w:sz w:val="21"/>
                <w:szCs w:val="21"/>
                <w:u w:val="none" w:color="auto"/>
                <w:lang w:val="en-US" w:eastAsia="zh-CN" w:bidi="ar-SA"/>
              </w:rPr>
            </w:pPr>
            <w:r>
              <w:rPr>
                <w:rFonts w:hint="default" w:ascii="Times New Roman" w:hAnsi="Times New Roman" w:cs="Times New Roman"/>
                <w:b w:val="0"/>
                <w:bCs w:val="0"/>
                <w:snapToGrid w:val="0"/>
                <w:color w:val="auto"/>
                <w:kern w:val="21"/>
                <w:szCs w:val="21"/>
                <w:u w:val="none" w:color="auto"/>
                <w:lang w:val="en-US" w:eastAsia="zh-CN"/>
              </w:rPr>
              <w:t>/</w:t>
            </w:r>
          </w:p>
        </w:tc>
        <w:tc>
          <w:tcPr>
            <w:tcW w:w="601" w:type="pct"/>
            <w:shd w:val="clear" w:color="auto" w:fill="auto"/>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b w:val="0"/>
                <w:bCs w:val="0"/>
                <w:snapToGrid w:val="0"/>
                <w:color w:val="auto"/>
                <w:kern w:val="21"/>
                <w:sz w:val="21"/>
                <w:szCs w:val="21"/>
                <w:u w:val="none" w:color="auto"/>
                <w:lang w:val="en-US" w:eastAsia="zh-CN" w:bidi="ar-SA"/>
              </w:rPr>
            </w:pPr>
            <w:r>
              <w:rPr>
                <w:rFonts w:hint="default" w:ascii="Times New Roman" w:hAnsi="Times New Roman" w:cs="Times New Roman"/>
                <w:b w:val="0"/>
                <w:bCs w:val="0"/>
                <w:snapToGrid w:val="0"/>
                <w:color w:val="auto"/>
                <w:kern w:val="21"/>
                <w:szCs w:val="21"/>
                <w:u w:val="none" w:color="auto"/>
                <w:lang w:val="en-US" w:eastAsia="zh-CN"/>
              </w:rPr>
              <w:t>/</w:t>
            </w:r>
          </w:p>
        </w:tc>
        <w:tc>
          <w:tcPr>
            <w:tcW w:w="550" w:type="pct"/>
            <w:shd w:val="clear" w:color="auto" w:fill="auto"/>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eastAsia="宋体" w:cs="Times New Roman"/>
                <w:b w:val="0"/>
                <w:bCs w:val="0"/>
                <w:snapToGrid w:val="0"/>
                <w:color w:val="auto"/>
                <w:kern w:val="21"/>
                <w:sz w:val="24"/>
                <w:szCs w:val="21"/>
                <w:u w:val="none" w:color="auto"/>
                <w:lang w:val="en-US" w:eastAsia="zh-CN" w:bidi="ar-SA"/>
              </w:rPr>
            </w:pPr>
            <w:r>
              <w:rPr>
                <w:rFonts w:hint="eastAsia" w:ascii="Times New Roman" w:hAnsi="Times New Roman" w:cs="Times New Roman"/>
                <w:b w:val="0"/>
                <w:bCs w:val="0"/>
                <w:snapToGrid w:val="0"/>
                <w:color w:val="auto"/>
                <w:kern w:val="21"/>
                <w:szCs w:val="21"/>
                <w:u w:val="none" w:color="auto"/>
                <w:lang w:val="en-US" w:eastAsia="zh-CN"/>
              </w:rPr>
              <w:t>1.968</w:t>
            </w:r>
          </w:p>
        </w:tc>
        <w:tc>
          <w:tcPr>
            <w:tcW w:w="623" w:type="pct"/>
            <w:shd w:val="clear" w:color="auto" w:fill="auto"/>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b w:val="0"/>
                <w:bCs w:val="0"/>
                <w:snapToGrid w:val="0"/>
                <w:color w:val="auto"/>
                <w:kern w:val="21"/>
                <w:sz w:val="21"/>
                <w:szCs w:val="21"/>
                <w:u w:val="none" w:color="auto"/>
                <w:lang w:val="en-US" w:eastAsia="zh-CN" w:bidi="ar-SA"/>
              </w:rPr>
            </w:pPr>
            <w:r>
              <w:rPr>
                <w:rFonts w:hint="default" w:ascii="Times New Roman" w:hAnsi="Times New Roman" w:cs="Times New Roman"/>
                <w:b w:val="0"/>
                <w:bCs w:val="0"/>
                <w:snapToGrid w:val="0"/>
                <w:color w:val="auto"/>
                <w:kern w:val="21"/>
                <w:szCs w:val="21"/>
                <w:u w:val="none" w:color="auto"/>
                <w:lang w:val="en-US" w:eastAsia="zh-CN"/>
              </w:rPr>
              <w:t>/</w:t>
            </w:r>
          </w:p>
        </w:tc>
        <w:tc>
          <w:tcPr>
            <w:tcW w:w="695" w:type="pct"/>
            <w:shd w:val="clear" w:color="auto" w:fill="auto"/>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u w:val="none" w:color="auto"/>
                <w:lang w:val="en-US" w:eastAsia="zh-CN" w:bidi="ar-SA"/>
              </w:rPr>
            </w:pPr>
            <w:r>
              <w:rPr>
                <w:rFonts w:hint="eastAsia" w:cs="Times New Roman"/>
                <w:b w:val="0"/>
                <w:bCs w:val="0"/>
                <w:snapToGrid w:val="0"/>
                <w:color w:val="auto"/>
                <w:kern w:val="21"/>
                <w:szCs w:val="21"/>
                <w:u w:val="none" w:color="auto"/>
                <w:lang w:val="en-US" w:eastAsia="zh-CN"/>
              </w:rPr>
              <w:t>1.968</w:t>
            </w:r>
          </w:p>
        </w:tc>
        <w:tc>
          <w:tcPr>
            <w:tcW w:w="420" w:type="pct"/>
            <w:shd w:val="clear" w:color="auto" w:fill="auto"/>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eastAsia="宋体" w:cs="Times New Roman"/>
                <w:b w:val="0"/>
                <w:bCs w:val="0"/>
                <w:snapToGrid w:val="0"/>
                <w:color w:val="auto"/>
                <w:kern w:val="21"/>
                <w:sz w:val="24"/>
                <w:szCs w:val="21"/>
                <w:u w:val="none" w:color="auto"/>
                <w:lang w:val="en-US" w:eastAsia="zh-CN" w:bidi="ar-SA"/>
              </w:rPr>
            </w:pPr>
            <w:r>
              <w:rPr>
                <w:rFonts w:hint="default" w:ascii="Times New Roman" w:hAnsi="Times New Roman" w:cs="Times New Roman"/>
                <w:b w:val="0"/>
                <w:bCs w:val="0"/>
                <w:snapToGrid w:val="0"/>
                <w:color w:val="auto"/>
                <w:kern w:val="21"/>
                <w:szCs w:val="21"/>
                <w:u w:val="none" w:color="auto"/>
                <w:lang w:val="en-US" w:eastAsia="zh-CN"/>
              </w:rPr>
              <w:t>+</w:t>
            </w:r>
            <w:r>
              <w:rPr>
                <w:rFonts w:hint="eastAsia" w:ascii="Times New Roman" w:hAnsi="Times New Roman" w:cs="Times New Roman"/>
                <w:b w:val="0"/>
                <w:bCs w:val="0"/>
                <w:snapToGrid w:val="0"/>
                <w:color w:val="auto"/>
                <w:kern w:val="21"/>
                <w:szCs w:val="21"/>
                <w:u w:val="none" w:color="auto"/>
                <w:lang w:val="en-US" w:eastAsia="zh-CN"/>
              </w:rPr>
              <w:t>1.968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1" w:type="pct"/>
            <w:vMerge w:val="restar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rPr>
              <w:t>废水</w:t>
            </w:r>
          </w:p>
        </w:tc>
        <w:tc>
          <w:tcPr>
            <w:tcW w:w="498"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废水量</w:t>
            </w:r>
          </w:p>
        </w:tc>
        <w:tc>
          <w:tcPr>
            <w:tcW w:w="601"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b w:val="0"/>
                <w:bCs w:val="0"/>
                <w:snapToGrid w:val="0"/>
                <w:color w:val="auto"/>
                <w:kern w:val="21"/>
                <w:szCs w:val="21"/>
                <w:u w:val="none" w:color="auto"/>
                <w:lang w:val="en-US" w:eastAsia="zh-CN"/>
              </w:rPr>
            </w:pPr>
            <w:r>
              <w:rPr>
                <w:rFonts w:hint="eastAsia" w:cs="Times New Roman"/>
                <w:b w:val="0"/>
                <w:bCs w:val="0"/>
                <w:color w:val="auto"/>
                <w:sz w:val="21"/>
                <w:szCs w:val="21"/>
                <w:u w:val="none" w:color="auto"/>
                <w:lang w:val="en-US" w:eastAsia="zh-CN"/>
              </w:rPr>
              <w:t>/</w:t>
            </w:r>
          </w:p>
        </w:tc>
        <w:tc>
          <w:tcPr>
            <w:tcW w:w="44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b w:val="0"/>
                <w:bCs w:val="0"/>
                <w:snapToGrid w:val="0"/>
                <w:color w:val="auto"/>
                <w:kern w:val="21"/>
                <w:szCs w:val="21"/>
                <w:u w:val="none" w:color="auto"/>
                <w:lang w:val="en-US" w:eastAsia="zh-CN"/>
              </w:rPr>
            </w:pPr>
            <w:r>
              <w:rPr>
                <w:rFonts w:hint="default" w:ascii="Times New Roman" w:hAnsi="Times New Roman" w:cs="Times New Roman"/>
                <w:b w:val="0"/>
                <w:bCs w:val="0"/>
                <w:snapToGrid w:val="0"/>
                <w:color w:val="auto"/>
                <w:kern w:val="21"/>
                <w:szCs w:val="21"/>
                <w:u w:val="none" w:color="auto"/>
                <w:lang w:val="en-US" w:eastAsia="zh-CN"/>
              </w:rPr>
              <w:t>/</w:t>
            </w:r>
          </w:p>
        </w:tc>
        <w:tc>
          <w:tcPr>
            <w:tcW w:w="601"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550"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eastAsia="宋体" w:cs="Times New Roman"/>
                <w:b w:val="0"/>
                <w:bCs w:val="0"/>
                <w:snapToGrid w:val="0"/>
                <w:color w:val="auto"/>
                <w:kern w:val="21"/>
                <w:szCs w:val="21"/>
                <w:u w:val="none" w:color="auto"/>
                <w:lang w:val="en-US" w:eastAsia="zh-CN"/>
              </w:rPr>
            </w:pPr>
            <w:r>
              <w:rPr>
                <w:rFonts w:hint="eastAsia" w:ascii="Times New Roman" w:hAnsi="Times New Roman" w:cs="Times New Roman"/>
                <w:b w:val="0"/>
                <w:bCs w:val="0"/>
                <w:snapToGrid w:val="0"/>
                <w:color w:val="auto"/>
                <w:kern w:val="21"/>
                <w:szCs w:val="21"/>
                <w:u w:val="none" w:color="auto"/>
                <w:lang w:val="en-US" w:eastAsia="zh-CN"/>
              </w:rPr>
              <w:t>0</w:t>
            </w:r>
          </w:p>
        </w:tc>
        <w:tc>
          <w:tcPr>
            <w:tcW w:w="623"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695"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eastAsia="宋体" w:cs="Times New Roman"/>
                <w:b w:val="0"/>
                <w:bCs w:val="0"/>
                <w:snapToGrid w:val="0"/>
                <w:color w:val="auto"/>
                <w:kern w:val="21"/>
                <w:szCs w:val="21"/>
                <w:u w:val="none" w:color="auto"/>
                <w:lang w:val="en-US" w:eastAsia="zh-CN"/>
              </w:rPr>
            </w:pPr>
            <w:r>
              <w:rPr>
                <w:rFonts w:hint="eastAsia" w:ascii="Times New Roman" w:hAnsi="Times New Roman" w:cs="Times New Roman"/>
                <w:b w:val="0"/>
                <w:bCs w:val="0"/>
                <w:snapToGrid w:val="0"/>
                <w:color w:val="auto"/>
                <w:kern w:val="21"/>
                <w:szCs w:val="21"/>
                <w:u w:val="none" w:color="auto"/>
                <w:lang w:val="en-US" w:eastAsia="zh-CN"/>
              </w:rPr>
              <w:t>0</w:t>
            </w:r>
          </w:p>
        </w:tc>
        <w:tc>
          <w:tcPr>
            <w:tcW w:w="420"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eastAsia="宋体" w:cs="Times New Roman"/>
                <w:b w:val="0"/>
                <w:bCs w:val="0"/>
                <w:snapToGrid w:val="0"/>
                <w:color w:val="auto"/>
                <w:kern w:val="21"/>
                <w:szCs w:val="21"/>
                <w:u w:val="none" w:color="auto"/>
                <w:lang w:val="en-US" w:eastAsia="zh-CN"/>
              </w:rPr>
            </w:pPr>
            <w:r>
              <w:rPr>
                <w:rFonts w:hint="eastAsia" w:ascii="Times New Roman" w:hAnsi="Times New Roman" w:cs="Times New Roman"/>
                <w:b w:val="0"/>
                <w:bCs w:val="0"/>
                <w:snapToGrid w:val="0"/>
                <w:color w:val="auto"/>
                <w:kern w:val="21"/>
                <w:szCs w:val="21"/>
                <w:u w:val="none" w:color="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1" w:type="pct"/>
            <w:vMerge w:val="continue"/>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p>
        </w:tc>
        <w:tc>
          <w:tcPr>
            <w:tcW w:w="498"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color w:val="auto"/>
                <w:sz w:val="21"/>
                <w:szCs w:val="21"/>
                <w:u w:val="none" w:color="auto"/>
              </w:rPr>
              <w:t>CODcr</w:t>
            </w:r>
          </w:p>
        </w:tc>
        <w:tc>
          <w:tcPr>
            <w:tcW w:w="601"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b w:val="0"/>
                <w:bCs w:val="0"/>
                <w:snapToGrid w:val="0"/>
                <w:color w:val="auto"/>
                <w:kern w:val="21"/>
                <w:szCs w:val="21"/>
                <w:u w:val="none" w:color="auto"/>
                <w:lang w:val="en-US" w:eastAsia="zh-CN"/>
              </w:rPr>
            </w:pPr>
            <w:r>
              <w:rPr>
                <w:rFonts w:hint="eastAsia" w:cs="Times New Roman"/>
                <w:b w:val="0"/>
                <w:bCs w:val="0"/>
                <w:color w:val="auto"/>
                <w:sz w:val="21"/>
                <w:szCs w:val="21"/>
                <w:u w:val="none" w:color="auto"/>
                <w:lang w:val="en-US" w:eastAsia="zh-CN"/>
              </w:rPr>
              <w:t>/</w:t>
            </w:r>
          </w:p>
        </w:tc>
        <w:tc>
          <w:tcPr>
            <w:tcW w:w="44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601"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550"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cs="Times New Roman"/>
                <w:b w:val="0"/>
                <w:bCs w:val="0"/>
                <w:snapToGrid w:val="0"/>
                <w:color w:val="auto"/>
                <w:kern w:val="21"/>
                <w:szCs w:val="21"/>
                <w:u w:val="none" w:color="auto"/>
                <w:lang w:val="en-US"/>
              </w:rPr>
            </w:pPr>
            <w:r>
              <w:rPr>
                <w:rFonts w:hint="eastAsia" w:ascii="Times New Roman" w:hAnsi="Times New Roman" w:cs="Times New Roman"/>
                <w:b w:val="0"/>
                <w:bCs w:val="0"/>
                <w:color w:val="auto"/>
                <w:sz w:val="21"/>
                <w:szCs w:val="21"/>
                <w:highlight w:val="none"/>
                <w:u w:val="none" w:color="auto"/>
                <w:lang w:val="en-US" w:eastAsia="zh-CN"/>
              </w:rPr>
              <w:t>0</w:t>
            </w:r>
          </w:p>
        </w:tc>
        <w:tc>
          <w:tcPr>
            <w:tcW w:w="623"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695"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eastAsia="宋体" w:cs="Times New Roman"/>
                <w:b w:val="0"/>
                <w:bCs w:val="0"/>
                <w:snapToGrid w:val="0"/>
                <w:color w:val="auto"/>
                <w:kern w:val="21"/>
                <w:szCs w:val="21"/>
                <w:u w:val="none" w:color="auto"/>
                <w:lang w:val="en-US" w:eastAsia="zh-CN"/>
              </w:rPr>
            </w:pPr>
            <w:r>
              <w:rPr>
                <w:rFonts w:hint="eastAsia" w:ascii="Times New Roman" w:hAnsi="Times New Roman" w:cs="Times New Roman"/>
                <w:b w:val="0"/>
                <w:bCs w:val="0"/>
                <w:color w:val="auto"/>
                <w:sz w:val="21"/>
                <w:szCs w:val="21"/>
                <w:highlight w:val="none"/>
                <w:u w:val="none" w:color="auto"/>
                <w:lang w:val="en-US" w:eastAsia="zh-CN"/>
              </w:rPr>
              <w:t>0</w:t>
            </w:r>
          </w:p>
        </w:tc>
        <w:tc>
          <w:tcPr>
            <w:tcW w:w="420"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eastAsia="宋体" w:cs="Times New Roman"/>
                <w:b w:val="0"/>
                <w:bCs w:val="0"/>
                <w:snapToGrid w:val="0"/>
                <w:color w:val="auto"/>
                <w:kern w:val="21"/>
                <w:szCs w:val="21"/>
                <w:u w:val="none" w:color="auto"/>
                <w:lang w:val="en-US" w:eastAsia="zh-CN"/>
              </w:rPr>
            </w:pPr>
            <w:r>
              <w:rPr>
                <w:rFonts w:hint="eastAsia" w:ascii="Times New Roman" w:hAnsi="Times New Roman" w:cs="Times New Roman"/>
                <w:b w:val="0"/>
                <w:bCs w:val="0"/>
                <w:color w:val="auto"/>
                <w:sz w:val="21"/>
                <w:szCs w:val="21"/>
                <w:highlight w:val="none"/>
                <w:u w:val="none" w:color="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561" w:type="pct"/>
            <w:vMerge w:val="continue"/>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p>
        </w:tc>
        <w:tc>
          <w:tcPr>
            <w:tcW w:w="498"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color w:val="auto"/>
                <w:sz w:val="21"/>
                <w:szCs w:val="21"/>
                <w:u w:val="none" w:color="auto"/>
              </w:rPr>
              <w:t>NH</w:t>
            </w:r>
            <w:r>
              <w:rPr>
                <w:rFonts w:hint="default" w:ascii="Times New Roman" w:hAnsi="Times New Roman" w:cs="Times New Roman"/>
                <w:b w:val="0"/>
                <w:bCs w:val="0"/>
                <w:color w:val="auto"/>
                <w:sz w:val="21"/>
                <w:szCs w:val="21"/>
                <w:u w:val="none" w:color="auto"/>
                <w:vertAlign w:val="subscript"/>
              </w:rPr>
              <w:t>3</w:t>
            </w:r>
            <w:r>
              <w:rPr>
                <w:rFonts w:hint="default" w:ascii="Times New Roman" w:hAnsi="Times New Roman" w:cs="Times New Roman"/>
                <w:b w:val="0"/>
                <w:bCs w:val="0"/>
                <w:color w:val="auto"/>
                <w:sz w:val="21"/>
                <w:szCs w:val="21"/>
                <w:u w:val="none" w:color="auto"/>
              </w:rPr>
              <w:t>-N</w:t>
            </w:r>
          </w:p>
        </w:tc>
        <w:tc>
          <w:tcPr>
            <w:tcW w:w="601"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b w:val="0"/>
                <w:bCs w:val="0"/>
                <w:snapToGrid w:val="0"/>
                <w:color w:val="auto"/>
                <w:kern w:val="21"/>
                <w:szCs w:val="21"/>
                <w:u w:val="none" w:color="auto"/>
                <w:lang w:val="en-US" w:eastAsia="zh-CN"/>
              </w:rPr>
            </w:pPr>
            <w:r>
              <w:rPr>
                <w:rFonts w:hint="eastAsia" w:cs="Times New Roman"/>
                <w:b w:val="0"/>
                <w:bCs w:val="0"/>
                <w:color w:val="auto"/>
                <w:sz w:val="21"/>
                <w:szCs w:val="21"/>
                <w:u w:val="none" w:color="auto"/>
                <w:lang w:val="en-US" w:eastAsia="zh-CN"/>
              </w:rPr>
              <w:t>/</w:t>
            </w:r>
          </w:p>
        </w:tc>
        <w:tc>
          <w:tcPr>
            <w:tcW w:w="44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601"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550"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eastAsia="宋体" w:cs="Times New Roman"/>
                <w:b w:val="0"/>
                <w:bCs w:val="0"/>
                <w:snapToGrid w:val="0"/>
                <w:color w:val="auto"/>
                <w:kern w:val="21"/>
                <w:szCs w:val="21"/>
                <w:u w:val="none" w:color="auto"/>
                <w:lang w:val="en-US" w:eastAsia="zh-CN"/>
              </w:rPr>
            </w:pPr>
            <w:r>
              <w:rPr>
                <w:rFonts w:hint="eastAsia" w:ascii="Times New Roman" w:hAnsi="Times New Roman" w:cs="Times New Roman"/>
                <w:b w:val="0"/>
                <w:bCs w:val="0"/>
                <w:snapToGrid w:val="0"/>
                <w:color w:val="auto"/>
                <w:kern w:val="21"/>
                <w:szCs w:val="21"/>
                <w:u w:val="none" w:color="auto"/>
                <w:lang w:val="en-US" w:eastAsia="zh-CN"/>
              </w:rPr>
              <w:t>0</w:t>
            </w:r>
          </w:p>
        </w:tc>
        <w:tc>
          <w:tcPr>
            <w:tcW w:w="623"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695"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color w:val="auto"/>
                <w:u w:val="none" w:color="auto"/>
                <w:lang w:val="en-US" w:eastAsia="zh-CN"/>
              </w:rPr>
            </w:pPr>
            <w:r>
              <w:rPr>
                <w:rFonts w:hint="eastAsia" w:ascii="Times New Roman" w:hAnsi="Times New Roman" w:cs="Times New Roman"/>
                <w:b w:val="0"/>
                <w:bCs w:val="0"/>
                <w:snapToGrid w:val="0"/>
                <w:color w:val="auto"/>
                <w:kern w:val="21"/>
                <w:szCs w:val="21"/>
                <w:u w:val="none" w:color="auto"/>
                <w:lang w:val="en-US" w:eastAsia="zh-CN"/>
              </w:rPr>
              <w:t>0</w:t>
            </w:r>
          </w:p>
        </w:tc>
        <w:tc>
          <w:tcPr>
            <w:tcW w:w="420"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eastAsia="宋体" w:cs="Times New Roman"/>
                <w:b w:val="0"/>
                <w:bCs w:val="0"/>
                <w:snapToGrid w:val="0"/>
                <w:color w:val="auto"/>
                <w:kern w:val="21"/>
                <w:szCs w:val="21"/>
                <w:u w:val="none" w:color="auto"/>
                <w:lang w:val="en-US" w:eastAsia="zh-CN"/>
              </w:rPr>
            </w:pPr>
            <w:r>
              <w:rPr>
                <w:rFonts w:hint="eastAsia" w:ascii="Times New Roman" w:hAnsi="Times New Roman" w:cs="Times New Roman"/>
                <w:b w:val="0"/>
                <w:bCs w:val="0"/>
                <w:snapToGrid w:val="0"/>
                <w:color w:val="auto"/>
                <w:kern w:val="21"/>
                <w:szCs w:val="21"/>
                <w:u w:val="none" w:color="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1"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rPr>
              <w:t>一般工业</w:t>
            </w:r>
          </w:p>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color w:val="auto"/>
                <w:u w:val="none" w:color="auto"/>
              </w:rPr>
            </w:pPr>
            <w:r>
              <w:rPr>
                <w:rFonts w:hint="default" w:ascii="Times New Roman" w:hAnsi="Times New Roman" w:cs="Times New Roman"/>
                <w:b w:val="0"/>
                <w:bCs w:val="0"/>
                <w:snapToGrid w:val="0"/>
                <w:color w:val="auto"/>
                <w:kern w:val="21"/>
                <w:szCs w:val="21"/>
                <w:u w:val="none" w:color="auto"/>
              </w:rPr>
              <w:t>固体废物</w:t>
            </w:r>
          </w:p>
        </w:tc>
        <w:tc>
          <w:tcPr>
            <w:tcW w:w="498" w:type="pct"/>
            <w:shd w:val="clear" w:color="auto" w:fill="auto"/>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沉淀池</w:t>
            </w:r>
            <w:r>
              <w:rPr>
                <w:rFonts w:hint="eastAsia" w:cs="Times New Roman"/>
                <w:color w:val="auto"/>
                <w:highlight w:val="none"/>
                <w:u w:val="none" w:color="auto"/>
                <w:lang w:val="en-US" w:eastAsia="zh-CN"/>
              </w:rPr>
              <w:t>煤泥</w:t>
            </w:r>
          </w:p>
        </w:tc>
        <w:tc>
          <w:tcPr>
            <w:tcW w:w="601" w:type="pct"/>
            <w:noWrap w:val="0"/>
            <w:vAlign w:val="center"/>
          </w:tcPr>
          <w:p>
            <w:pPr>
              <w:keepNext w:val="0"/>
              <w:keepLines w:val="0"/>
              <w:pageBreakBefore w:val="0"/>
              <w:widowControl/>
              <w:suppressLineNumbers w:val="0"/>
              <w:kinsoku/>
              <w:wordWrap/>
              <w:overflowPunct/>
              <w:topLinePunct w:val="0"/>
              <w:autoSpaceDE/>
              <w:autoSpaceDN/>
              <w:bidi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snapToGrid w:val="0"/>
                <w:color w:val="auto"/>
                <w:kern w:val="21"/>
                <w:szCs w:val="21"/>
                <w:u w:val="none" w:color="auto"/>
              </w:rPr>
            </w:pPr>
            <w:r>
              <w:rPr>
                <w:rFonts w:hint="eastAsia" w:cs="Times New Roman"/>
                <w:b w:val="0"/>
                <w:bCs w:val="0"/>
                <w:color w:val="auto"/>
                <w:sz w:val="21"/>
                <w:szCs w:val="21"/>
                <w:u w:val="none" w:color="auto"/>
                <w:lang w:val="en-US" w:eastAsia="zh-CN"/>
              </w:rPr>
              <w:t>/</w:t>
            </w:r>
          </w:p>
        </w:tc>
        <w:tc>
          <w:tcPr>
            <w:tcW w:w="44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601"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550" w:type="pct"/>
            <w:shd w:val="clear" w:color="auto" w:fill="auto"/>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Cs w:val="21"/>
                <w:highlight w:val="none"/>
                <w:u w:val="none"/>
                <w:lang w:val="en-US" w:eastAsia="zh-CN"/>
              </w:rPr>
              <w:t>6</w:t>
            </w:r>
          </w:p>
        </w:tc>
        <w:tc>
          <w:tcPr>
            <w:tcW w:w="623" w:type="pct"/>
            <w:shd w:val="clear" w:color="auto" w:fill="auto"/>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b w:val="0"/>
                <w:bCs w:val="0"/>
                <w:snapToGrid w:val="0"/>
                <w:color w:val="auto"/>
                <w:kern w:val="21"/>
                <w:szCs w:val="21"/>
                <w:u w:val="none" w:color="auto"/>
                <w:lang w:val="en-US" w:eastAsia="zh-CN"/>
              </w:rPr>
              <w:t>/</w:t>
            </w:r>
          </w:p>
        </w:tc>
        <w:tc>
          <w:tcPr>
            <w:tcW w:w="1876" w:type="dxa"/>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eastAsia" w:ascii="Times New Roman" w:hAnsi="Times New Roman" w:eastAsia="宋体" w:cs="Times New Roman"/>
                <w:color w:val="auto"/>
                <w:szCs w:val="21"/>
                <w:highlight w:val="none"/>
                <w:u w:val="none"/>
                <w:lang w:val="en-US" w:eastAsia="zh-CN"/>
              </w:rPr>
              <w:t>6</w:t>
            </w:r>
          </w:p>
        </w:tc>
        <w:tc>
          <w:tcPr>
            <w:tcW w:w="1135" w:type="dxa"/>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Times New Roman"/>
                <w:b w:val="0"/>
                <w:bCs w:val="0"/>
                <w:snapToGrid w:val="0"/>
                <w:color w:val="auto"/>
                <w:kern w:val="21"/>
                <w:szCs w:val="21"/>
                <w:u w:val="none" w:color="auto"/>
                <w:lang w:val="en-US" w:eastAsia="zh-CN"/>
              </w:rPr>
            </w:pPr>
            <w:r>
              <w:rPr>
                <w:rFonts w:hint="eastAsia" w:cs="Times New Roman"/>
                <w:color w:val="auto"/>
                <w:szCs w:val="21"/>
                <w:highlight w:val="none"/>
                <w:u w:val="none"/>
                <w:lang w:val="en-US" w:eastAsia="zh-CN"/>
              </w:rPr>
              <w:t>+</w:t>
            </w:r>
            <w:r>
              <w:rPr>
                <w:rFonts w:hint="eastAsia" w:ascii="Times New Roman" w:hAnsi="Times New Roman" w:eastAsia="宋体" w:cs="Times New Roman"/>
                <w:color w:val="auto"/>
                <w:szCs w:val="21"/>
                <w:highlight w:val="none"/>
                <w:u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1" w:type="pct"/>
            <w:vMerge w:val="restar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rPr>
              <w:t>危险废物</w:t>
            </w:r>
          </w:p>
        </w:tc>
        <w:tc>
          <w:tcPr>
            <w:tcW w:w="498" w:type="pct"/>
            <w:shd w:val="clear" w:color="auto" w:fill="auto"/>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含油废手套、抹布等劳保用品</w:t>
            </w:r>
          </w:p>
        </w:tc>
        <w:tc>
          <w:tcPr>
            <w:tcW w:w="601" w:type="pct"/>
            <w:noWrap w:val="0"/>
            <w:vAlign w:val="center"/>
          </w:tcPr>
          <w:p>
            <w:pPr>
              <w:keepNext w:val="0"/>
              <w:keepLines w:val="0"/>
              <w:pageBreakBefore w:val="0"/>
              <w:widowControl/>
              <w:suppressLineNumbers w:val="0"/>
              <w:kinsoku/>
              <w:wordWrap/>
              <w:overflowPunct/>
              <w:topLinePunct w:val="0"/>
              <w:autoSpaceDE/>
              <w:autoSpaceDN/>
              <w:bidi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snapToGrid w:val="0"/>
                <w:color w:val="auto"/>
                <w:kern w:val="21"/>
                <w:szCs w:val="21"/>
                <w:u w:val="none" w:color="auto"/>
              </w:rPr>
            </w:pPr>
            <w:r>
              <w:rPr>
                <w:rFonts w:hint="eastAsia" w:cs="Times New Roman"/>
                <w:b w:val="0"/>
                <w:bCs w:val="0"/>
                <w:color w:val="auto"/>
                <w:sz w:val="21"/>
                <w:szCs w:val="21"/>
                <w:u w:val="none" w:color="auto"/>
                <w:lang w:val="en-US" w:eastAsia="zh-CN"/>
              </w:rPr>
              <w:t>/</w:t>
            </w:r>
          </w:p>
        </w:tc>
        <w:tc>
          <w:tcPr>
            <w:tcW w:w="44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601"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550" w:type="pct"/>
            <w:shd w:val="clear" w:color="auto" w:fill="auto"/>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Cs w:val="21"/>
                <w:u w:val="none"/>
                <w:lang w:val="en-US" w:eastAsia="zh-CN"/>
              </w:rPr>
              <w:t>0.05</w:t>
            </w:r>
          </w:p>
        </w:tc>
        <w:tc>
          <w:tcPr>
            <w:tcW w:w="623" w:type="pct"/>
            <w:shd w:val="clear" w:color="auto" w:fill="auto"/>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b w:val="0"/>
                <w:bCs w:val="0"/>
                <w:snapToGrid w:val="0"/>
                <w:color w:val="auto"/>
                <w:kern w:val="21"/>
                <w:szCs w:val="21"/>
                <w:u w:val="none" w:color="auto"/>
                <w:lang w:val="en-US" w:eastAsia="zh-CN"/>
              </w:rPr>
              <w:t>/</w:t>
            </w:r>
          </w:p>
        </w:tc>
        <w:tc>
          <w:tcPr>
            <w:tcW w:w="1876" w:type="dxa"/>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eastAsia" w:ascii="Times New Roman" w:hAnsi="Times New Roman" w:eastAsia="宋体" w:cs="Times New Roman"/>
                <w:color w:val="auto"/>
                <w:szCs w:val="21"/>
                <w:u w:val="none"/>
                <w:lang w:val="en-US" w:eastAsia="zh-CN"/>
              </w:rPr>
              <w:t>0.05</w:t>
            </w:r>
          </w:p>
        </w:tc>
        <w:tc>
          <w:tcPr>
            <w:tcW w:w="1135" w:type="dxa"/>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Times New Roman"/>
                <w:b w:val="0"/>
                <w:bCs w:val="0"/>
                <w:snapToGrid w:val="0"/>
                <w:color w:val="auto"/>
                <w:kern w:val="21"/>
                <w:szCs w:val="21"/>
                <w:u w:val="none" w:color="auto"/>
                <w:lang w:val="en-US" w:eastAsia="zh-CN"/>
              </w:rPr>
            </w:pPr>
            <w:r>
              <w:rPr>
                <w:rFonts w:hint="eastAsia" w:cs="Times New Roman"/>
                <w:color w:val="auto"/>
                <w:szCs w:val="21"/>
                <w:u w:val="none"/>
                <w:lang w:val="en-US" w:eastAsia="zh-CN"/>
              </w:rPr>
              <w:t>+</w:t>
            </w:r>
            <w:r>
              <w:rPr>
                <w:rFonts w:hint="eastAsia" w:ascii="Times New Roman" w:hAnsi="Times New Roman" w:eastAsia="宋体" w:cs="Times New Roman"/>
                <w:color w:val="auto"/>
                <w:szCs w:val="21"/>
                <w:u w:val="none"/>
                <w:lang w:val="en-US" w:eastAsia="zh-CN"/>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1" w:type="pct"/>
            <w:vMerge w:val="continue"/>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p>
        </w:tc>
        <w:tc>
          <w:tcPr>
            <w:tcW w:w="498" w:type="pct"/>
            <w:shd w:val="clear" w:color="auto" w:fill="auto"/>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lang w:val="en-US" w:eastAsia="zh-CN"/>
              </w:rPr>
              <w:t>机修废物</w:t>
            </w:r>
          </w:p>
        </w:tc>
        <w:tc>
          <w:tcPr>
            <w:tcW w:w="601" w:type="pct"/>
            <w:noWrap w:val="0"/>
            <w:vAlign w:val="center"/>
          </w:tcPr>
          <w:p>
            <w:pPr>
              <w:keepNext w:val="0"/>
              <w:keepLines w:val="0"/>
              <w:pageBreakBefore w:val="0"/>
              <w:widowControl/>
              <w:suppressLineNumbers w:val="0"/>
              <w:kinsoku/>
              <w:wordWrap/>
              <w:overflowPunct/>
              <w:topLinePunct w:val="0"/>
              <w:autoSpaceDE/>
              <w:autoSpaceDN/>
              <w:bidi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snapToGrid w:val="0"/>
                <w:color w:val="auto"/>
                <w:kern w:val="21"/>
                <w:szCs w:val="21"/>
                <w:u w:val="none" w:color="auto"/>
              </w:rPr>
            </w:pPr>
            <w:r>
              <w:rPr>
                <w:rFonts w:hint="eastAsia" w:cs="Times New Roman"/>
                <w:b w:val="0"/>
                <w:bCs w:val="0"/>
                <w:color w:val="auto"/>
                <w:sz w:val="21"/>
                <w:szCs w:val="21"/>
                <w:u w:val="none" w:color="auto"/>
                <w:lang w:val="en-US" w:eastAsia="zh-CN"/>
              </w:rPr>
              <w:t>/</w:t>
            </w:r>
          </w:p>
        </w:tc>
        <w:tc>
          <w:tcPr>
            <w:tcW w:w="44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601"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550" w:type="pct"/>
            <w:shd w:val="clear" w:color="auto" w:fill="auto"/>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Cs w:val="21"/>
                <w:u w:val="none"/>
                <w:lang w:val="en-US" w:eastAsia="zh-CN"/>
              </w:rPr>
              <w:t>0.1</w:t>
            </w:r>
          </w:p>
        </w:tc>
        <w:tc>
          <w:tcPr>
            <w:tcW w:w="623" w:type="pct"/>
            <w:shd w:val="clear" w:color="auto" w:fill="auto"/>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b w:val="0"/>
                <w:bCs w:val="0"/>
                <w:snapToGrid w:val="0"/>
                <w:color w:val="auto"/>
                <w:kern w:val="21"/>
                <w:szCs w:val="21"/>
                <w:u w:val="none" w:color="auto"/>
                <w:lang w:val="en-US" w:eastAsia="zh-CN"/>
              </w:rPr>
              <w:t>/</w:t>
            </w:r>
          </w:p>
        </w:tc>
        <w:tc>
          <w:tcPr>
            <w:tcW w:w="1876" w:type="dxa"/>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eastAsia" w:ascii="Times New Roman" w:hAnsi="Times New Roman" w:eastAsia="宋体" w:cs="Times New Roman"/>
                <w:color w:val="auto"/>
                <w:szCs w:val="21"/>
                <w:u w:val="none"/>
                <w:lang w:val="en-US" w:eastAsia="zh-CN"/>
              </w:rPr>
              <w:t>0.1</w:t>
            </w:r>
          </w:p>
        </w:tc>
        <w:tc>
          <w:tcPr>
            <w:tcW w:w="1135" w:type="dxa"/>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Times New Roman"/>
                <w:b w:val="0"/>
                <w:bCs w:val="0"/>
                <w:snapToGrid w:val="0"/>
                <w:color w:val="auto"/>
                <w:kern w:val="21"/>
                <w:szCs w:val="21"/>
                <w:u w:val="none" w:color="auto"/>
                <w:lang w:val="en-US" w:eastAsia="zh-CN"/>
              </w:rPr>
            </w:pPr>
            <w:r>
              <w:rPr>
                <w:rFonts w:hint="eastAsia" w:cs="Times New Roman"/>
                <w:color w:val="auto"/>
                <w:szCs w:val="21"/>
                <w:u w:val="none"/>
                <w:lang w:val="en-US" w:eastAsia="zh-CN"/>
              </w:rPr>
              <w:t>+</w:t>
            </w:r>
            <w:r>
              <w:rPr>
                <w:rFonts w:hint="eastAsia" w:ascii="Times New Roman" w:hAnsi="Times New Roman" w:eastAsia="宋体" w:cs="Times New Roman"/>
                <w:color w:val="auto"/>
                <w:szCs w:val="21"/>
                <w:u w:val="none"/>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1"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eastAsia" w:ascii="Times New Roman" w:hAnsi="Times New Roman" w:eastAsia="宋体" w:cs="Times New Roman"/>
                <w:b w:val="0"/>
                <w:bCs w:val="0"/>
                <w:snapToGrid w:val="0"/>
                <w:color w:val="auto"/>
                <w:kern w:val="21"/>
                <w:szCs w:val="21"/>
                <w:u w:val="none" w:color="auto"/>
                <w:lang w:eastAsia="zh-CN"/>
              </w:rPr>
            </w:pPr>
            <w:r>
              <w:rPr>
                <w:rFonts w:hint="eastAsia" w:ascii="Times New Roman" w:hAnsi="Times New Roman" w:cs="Times New Roman"/>
                <w:b w:val="0"/>
                <w:bCs w:val="0"/>
                <w:snapToGrid w:val="0"/>
                <w:color w:val="auto"/>
                <w:kern w:val="21"/>
                <w:szCs w:val="21"/>
                <w:u w:val="none" w:color="auto"/>
                <w:lang w:eastAsia="zh-CN"/>
              </w:rPr>
              <w:t>生活垃圾</w:t>
            </w:r>
          </w:p>
        </w:tc>
        <w:tc>
          <w:tcPr>
            <w:tcW w:w="498" w:type="pct"/>
            <w:noWrap w:val="0"/>
            <w:vAlign w:val="center"/>
          </w:tcPr>
          <w:p>
            <w:pPr>
              <w:pStyle w:val="40"/>
              <w:keepNext w:val="0"/>
              <w:keepLines w:val="0"/>
              <w:pageBreakBefore w:val="0"/>
              <w:kinsoku/>
              <w:wordWrap/>
              <w:overflowPunct/>
              <w:topLinePunct w:val="0"/>
              <w:autoSpaceDE/>
              <w:autoSpaceDN/>
              <w:bidi w:val="0"/>
              <w:spacing w:before="0" w:beforeLines="0" w:beforeAutospacing="0" w:after="0" w:afterLines="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eastAsia" w:ascii="Times New Roman" w:hAnsi="Times New Roman" w:cs="Times New Roman"/>
                <w:b w:val="0"/>
                <w:bCs w:val="0"/>
                <w:snapToGrid w:val="0"/>
                <w:color w:val="auto"/>
                <w:kern w:val="21"/>
                <w:szCs w:val="21"/>
                <w:u w:val="none" w:color="auto"/>
                <w:lang w:eastAsia="zh-CN"/>
              </w:rPr>
              <w:t>生活垃圾</w:t>
            </w:r>
          </w:p>
        </w:tc>
        <w:tc>
          <w:tcPr>
            <w:tcW w:w="601"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b w:val="0"/>
                <w:bCs w:val="0"/>
                <w:snapToGrid w:val="0"/>
                <w:color w:val="auto"/>
                <w:kern w:val="21"/>
                <w:szCs w:val="21"/>
                <w:u w:val="none" w:color="auto"/>
                <w:lang w:val="en-US" w:eastAsia="zh-CN"/>
              </w:rPr>
            </w:pPr>
            <w:r>
              <w:rPr>
                <w:rFonts w:hint="eastAsia" w:cs="Times New Roman"/>
                <w:b w:val="0"/>
                <w:bCs w:val="0"/>
                <w:color w:val="auto"/>
                <w:sz w:val="21"/>
                <w:szCs w:val="21"/>
                <w:u w:val="none" w:color="auto"/>
                <w:lang w:val="en-US" w:eastAsia="zh-CN"/>
              </w:rPr>
              <w:t>/</w:t>
            </w:r>
          </w:p>
        </w:tc>
        <w:tc>
          <w:tcPr>
            <w:tcW w:w="447"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601"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b w:val="0"/>
                <w:bCs w:val="0"/>
                <w:snapToGrid w:val="0"/>
                <w:color w:val="auto"/>
                <w:kern w:val="21"/>
                <w:szCs w:val="21"/>
                <w:u w:val="none" w:color="auto"/>
              </w:rPr>
            </w:pPr>
            <w:r>
              <w:rPr>
                <w:rFonts w:hint="default" w:ascii="Times New Roman" w:hAnsi="Times New Roman" w:cs="Times New Roman"/>
                <w:b w:val="0"/>
                <w:bCs w:val="0"/>
                <w:snapToGrid w:val="0"/>
                <w:color w:val="auto"/>
                <w:kern w:val="21"/>
                <w:szCs w:val="21"/>
                <w:u w:val="none" w:color="auto"/>
                <w:lang w:val="en-US" w:eastAsia="zh-CN"/>
              </w:rPr>
              <w:t>/</w:t>
            </w:r>
          </w:p>
        </w:tc>
        <w:tc>
          <w:tcPr>
            <w:tcW w:w="550" w:type="pct"/>
            <w:shd w:val="clear" w:color="auto" w:fill="auto"/>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Cs w:val="21"/>
                <w:u w:val="none"/>
                <w:lang w:val="en-US" w:eastAsia="zh-CN"/>
              </w:rPr>
              <w:t>3.65</w:t>
            </w:r>
          </w:p>
        </w:tc>
        <w:tc>
          <w:tcPr>
            <w:tcW w:w="623" w:type="pct"/>
            <w:shd w:val="clear" w:color="auto" w:fill="auto"/>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b w:val="0"/>
                <w:bCs w:val="0"/>
                <w:snapToGrid w:val="0"/>
                <w:color w:val="auto"/>
                <w:kern w:val="21"/>
                <w:szCs w:val="21"/>
                <w:u w:val="none" w:color="auto"/>
                <w:lang w:val="en-US" w:eastAsia="zh-CN"/>
              </w:rPr>
              <w:t>/</w:t>
            </w:r>
          </w:p>
        </w:tc>
        <w:tc>
          <w:tcPr>
            <w:tcW w:w="1876" w:type="dxa"/>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b w:val="0"/>
                <w:bCs w:val="0"/>
                <w:snapToGrid w:val="0"/>
                <w:color w:val="auto"/>
                <w:kern w:val="21"/>
                <w:szCs w:val="21"/>
                <w:u w:val="none" w:color="auto"/>
                <w:lang w:val="en-US" w:eastAsia="zh-CN"/>
              </w:rPr>
            </w:pPr>
            <w:r>
              <w:rPr>
                <w:rFonts w:hint="eastAsia" w:ascii="Times New Roman" w:hAnsi="Times New Roman" w:eastAsia="宋体" w:cs="Times New Roman"/>
                <w:color w:val="auto"/>
                <w:szCs w:val="21"/>
                <w:u w:val="none"/>
                <w:lang w:val="en-US" w:eastAsia="zh-CN"/>
              </w:rPr>
              <w:t>3.65</w:t>
            </w:r>
          </w:p>
        </w:tc>
        <w:tc>
          <w:tcPr>
            <w:tcW w:w="1135" w:type="dxa"/>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Times New Roman"/>
                <w:b w:val="0"/>
                <w:bCs w:val="0"/>
                <w:snapToGrid w:val="0"/>
                <w:color w:val="auto"/>
                <w:kern w:val="21"/>
                <w:szCs w:val="21"/>
                <w:u w:val="none" w:color="auto"/>
                <w:lang w:val="en-US" w:eastAsia="zh-CN"/>
              </w:rPr>
            </w:pPr>
            <w:r>
              <w:rPr>
                <w:rFonts w:hint="eastAsia" w:cs="Times New Roman"/>
                <w:color w:val="auto"/>
                <w:szCs w:val="21"/>
                <w:u w:val="none"/>
                <w:lang w:val="en-US" w:eastAsia="zh-CN"/>
              </w:rPr>
              <w:t>+</w:t>
            </w:r>
            <w:r>
              <w:rPr>
                <w:rFonts w:hint="eastAsia" w:ascii="Times New Roman" w:hAnsi="Times New Roman" w:eastAsia="宋体" w:cs="Times New Roman"/>
                <w:color w:val="auto"/>
                <w:szCs w:val="21"/>
                <w:u w:val="none"/>
                <w:lang w:val="en-US" w:eastAsia="zh-CN"/>
              </w:rPr>
              <w:t>3.65</w:t>
            </w:r>
          </w:p>
        </w:tc>
      </w:tr>
    </w:tbl>
    <w:p>
      <w:pPr>
        <w:pStyle w:val="40"/>
        <w:spacing w:before="192" w:beforeLines="80" w:after="24"/>
        <w:jc w:val="left"/>
        <w:rPr>
          <w:rFonts w:ascii="宋体" w:hAnsi="宋体" w:eastAsia="黑体"/>
          <w:color w:val="0000FF"/>
          <w:u w:val="none" w:color="auto"/>
        </w:rPr>
      </w:pPr>
      <w:r>
        <w:rPr>
          <w:rFonts w:hAnsi="宋体"/>
          <w:snapToGrid w:val="0"/>
          <w:color w:val="auto"/>
          <w:kern w:val="21"/>
          <w:szCs w:val="21"/>
          <w:u w:val="none" w:color="auto"/>
        </w:rPr>
        <w:t>注：</w:t>
      </w:r>
      <w:r>
        <w:rPr>
          <w:rFonts w:hAnsi="宋体"/>
          <w:snapToGrid w:val="0"/>
          <w:color w:val="auto"/>
          <w:spacing w:val="-16"/>
          <w:kern w:val="21"/>
          <w:szCs w:val="21"/>
          <w:u w:val="none" w:color="auto"/>
        </w:rPr>
        <w:fldChar w:fldCharType="begin"/>
      </w:r>
      <w:r>
        <w:rPr>
          <w:rFonts w:hAnsi="宋体"/>
          <w:snapToGrid w:val="0"/>
          <w:color w:val="auto"/>
          <w:spacing w:val="-16"/>
          <w:kern w:val="21"/>
          <w:szCs w:val="21"/>
          <w:u w:val="none" w:color="auto"/>
        </w:rPr>
        <w:instrText xml:space="preserve"> = 6 \* GB3 \* MERGEFORMAT </w:instrText>
      </w:r>
      <w:r>
        <w:rPr>
          <w:rFonts w:hAnsi="宋体"/>
          <w:snapToGrid w:val="0"/>
          <w:color w:val="auto"/>
          <w:spacing w:val="-16"/>
          <w:kern w:val="21"/>
          <w:szCs w:val="21"/>
          <w:u w:val="none" w:color="auto"/>
        </w:rPr>
        <w:fldChar w:fldCharType="separate"/>
      </w:r>
      <w:r>
        <w:rPr>
          <w:rFonts w:hint="eastAsia" w:hAnsi="宋体"/>
          <w:color w:val="auto"/>
          <w:szCs w:val="21"/>
          <w:u w:val="none" w:color="auto"/>
        </w:rPr>
        <w:t>⑥</w:t>
      </w:r>
      <w:r>
        <w:rPr>
          <w:rFonts w:hAnsi="宋体"/>
          <w:snapToGrid w:val="0"/>
          <w:color w:val="auto"/>
          <w:spacing w:val="-16"/>
          <w:kern w:val="21"/>
          <w:szCs w:val="21"/>
          <w:u w:val="none" w:color="auto"/>
        </w:rPr>
        <w:fldChar w:fldCharType="end"/>
      </w:r>
      <w:r>
        <w:rPr>
          <w:rFonts w:hAnsi="宋体"/>
          <w:snapToGrid w:val="0"/>
          <w:color w:val="auto"/>
          <w:spacing w:val="-1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1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①</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3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③</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4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④</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16"/>
          <w:kern w:val="21"/>
          <w:szCs w:val="21"/>
          <w:u w:val="none" w:color="auto"/>
        </w:rPr>
        <w:fldChar w:fldCharType="begin"/>
      </w:r>
      <w:r>
        <w:rPr>
          <w:rFonts w:hAnsi="宋体"/>
          <w:snapToGrid w:val="0"/>
          <w:color w:val="auto"/>
          <w:spacing w:val="-16"/>
          <w:kern w:val="21"/>
          <w:szCs w:val="21"/>
          <w:u w:val="none" w:color="auto"/>
        </w:rPr>
        <w:instrText xml:space="preserve"> = 5 \* GB3 \* MERGEFORMAT </w:instrText>
      </w:r>
      <w:r>
        <w:rPr>
          <w:rFonts w:hAnsi="宋体"/>
          <w:snapToGrid w:val="0"/>
          <w:color w:val="auto"/>
          <w:spacing w:val="-16"/>
          <w:kern w:val="21"/>
          <w:szCs w:val="21"/>
          <w:u w:val="none" w:color="auto"/>
        </w:rPr>
        <w:fldChar w:fldCharType="separate"/>
      </w:r>
      <w:r>
        <w:rPr>
          <w:rFonts w:hint="eastAsia" w:hAnsi="宋体"/>
          <w:color w:val="auto"/>
          <w:szCs w:val="21"/>
          <w:u w:val="none" w:color="auto"/>
        </w:rPr>
        <w:t>⑤</w:t>
      </w:r>
      <w:r>
        <w:rPr>
          <w:rFonts w:hAnsi="宋体"/>
          <w:snapToGrid w:val="0"/>
          <w:color w:val="auto"/>
          <w:spacing w:val="-16"/>
          <w:kern w:val="21"/>
          <w:szCs w:val="21"/>
          <w:u w:val="none" w:color="auto"/>
        </w:rPr>
        <w:fldChar w:fldCharType="end"/>
      </w:r>
      <w:r>
        <w:rPr>
          <w:rFonts w:hAnsi="宋体"/>
          <w:snapToGrid w:val="0"/>
          <w:color w:val="auto"/>
          <w:spacing w:val="-1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7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⑦</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16"/>
          <w:kern w:val="21"/>
          <w:szCs w:val="21"/>
          <w:u w:val="none" w:color="auto"/>
        </w:rPr>
        <w:fldChar w:fldCharType="begin"/>
      </w:r>
      <w:r>
        <w:rPr>
          <w:rFonts w:hAnsi="宋体"/>
          <w:snapToGrid w:val="0"/>
          <w:color w:val="auto"/>
          <w:spacing w:val="-16"/>
          <w:kern w:val="21"/>
          <w:szCs w:val="21"/>
          <w:u w:val="none" w:color="auto"/>
        </w:rPr>
        <w:instrText xml:space="preserve"> = 6 \* GB3 \* MERGEFORMAT </w:instrText>
      </w:r>
      <w:r>
        <w:rPr>
          <w:rFonts w:hAnsi="宋体"/>
          <w:snapToGrid w:val="0"/>
          <w:color w:val="auto"/>
          <w:spacing w:val="-16"/>
          <w:kern w:val="21"/>
          <w:szCs w:val="21"/>
          <w:u w:val="none" w:color="auto"/>
        </w:rPr>
        <w:fldChar w:fldCharType="separate"/>
      </w:r>
      <w:r>
        <w:rPr>
          <w:rFonts w:hint="eastAsia" w:hAnsi="宋体"/>
          <w:color w:val="auto"/>
          <w:szCs w:val="21"/>
          <w:u w:val="none" w:color="auto"/>
        </w:rPr>
        <w:t>⑥</w:t>
      </w:r>
      <w:r>
        <w:rPr>
          <w:rFonts w:hAnsi="宋体"/>
          <w:snapToGrid w:val="0"/>
          <w:color w:val="auto"/>
          <w:spacing w:val="-16"/>
          <w:kern w:val="21"/>
          <w:szCs w:val="21"/>
          <w:u w:val="none" w:color="auto"/>
        </w:rPr>
        <w:fldChar w:fldCharType="end"/>
      </w:r>
      <w:r>
        <w:rPr>
          <w:rFonts w:hAnsi="宋体"/>
          <w:snapToGrid w:val="0"/>
          <w:color w:val="auto"/>
          <w:spacing w:val="-1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1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①</w:t>
      </w:r>
      <w:r>
        <w:rPr>
          <w:rFonts w:hAnsi="宋体"/>
          <w:snapToGrid w:val="0"/>
          <w:color w:val="auto"/>
          <w:spacing w:val="-6"/>
          <w:kern w:val="21"/>
          <w:szCs w:val="21"/>
          <w:u w:val="none" w:color="auto"/>
        </w:rPr>
        <w:fldChar w:fldCharType="end"/>
      </w:r>
      <w:r>
        <w:rPr>
          <w:rFonts w:hint="eastAsia"/>
          <w:color w:val="auto"/>
          <w:u w:val="none" w:color="auto"/>
          <w:lang w:eastAsia="zh-CN"/>
        </w:rPr>
        <w:t>；固废为产生量；单位：</w:t>
      </w:r>
      <w:r>
        <w:rPr>
          <w:rFonts w:hint="eastAsia"/>
          <w:color w:val="auto"/>
          <w:u w:val="none" w:color="auto"/>
          <w:lang w:val="en-US" w:eastAsia="zh-CN"/>
        </w:rPr>
        <w:t>t/a。</w:t>
      </w:r>
    </w:p>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auto"/>
    <w:pitch w:val="default"/>
    <w:sig w:usb0="00000000" w:usb1="00000000" w:usb2="0000003F" w:usb3="00000000" w:csb0="603F01FF" w:csb1="FFFF0000"/>
  </w:font>
  <w:font w:name="汉鼎简书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34"/>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auto"/>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9</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3pIGxOIBAADCAwAADgAA&#10;AAAAAAABACAAAAAeAQAAZHJzL2Uyb0RvYy54bWxQSwUGAAAAAAYABgBZAQAAcgUAAAAA&#10;">
              <v:fill on="f" focussize="0,0"/>
              <v:stroke on="f"/>
              <v:imagedata o:title=""/>
              <o:lock v:ext="edit" aspectratio="f"/>
              <v:textbox inset="0mm,0mm,0mm,0mm" style="mso-fit-shape-to-text:t;">
                <w:txbxContent>
                  <w:p>
                    <w:pPr>
                      <w:pStyle w:val="23"/>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9</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11</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vvKWBeIBAADCAwAADgAA&#10;AAAAAAABACAAAAAeAQAAZHJzL2Uyb0RvYy54bWxQSwUGAAAAAAYABgBZAQAAcgUAAAAA&#10;">
              <v:fill on="f" focussize="0,0"/>
              <v:stroke on="f"/>
              <v:imagedata o:title=""/>
              <o:lock v:ext="edit" aspectratio="f"/>
              <v:textbox inset="0mm,0mm,0mm,0mm" style="mso-fit-shape-to-text:t;">
                <w:txbxContent>
                  <w:p>
                    <w:pPr>
                      <w:pStyle w:val="23"/>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11</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B47814"/>
    <w:multiLevelType w:val="multilevel"/>
    <w:tmpl w:val="9DB47814"/>
    <w:lvl w:ilvl="0" w:tentative="0">
      <w:start w:val="1"/>
      <w:numFmt w:val="chineseCounting"/>
      <w:suff w:val="nothing"/>
      <w:lvlText w:val="%1、"/>
      <w:lvlJc w:val="center"/>
      <w:pPr>
        <w:tabs>
          <w:tab w:val="left" w:pos="420"/>
        </w:tabs>
        <w:ind w:left="0" w:firstLine="0"/>
      </w:pPr>
      <w:rPr>
        <w:rFonts w:hint="eastAsia"/>
      </w:rPr>
    </w:lvl>
    <w:lvl w:ilvl="1" w:tentative="0">
      <w:start w:val="1"/>
      <w:numFmt w:val="decimal"/>
      <w:pStyle w:val="101"/>
      <w:isLgl/>
      <w:suff w:val="space"/>
      <w:lvlText w:val="%1.%2"/>
      <w:lvlJc w:val="left"/>
      <w:pPr>
        <w:tabs>
          <w:tab w:val="left" w:pos="420"/>
        </w:tabs>
        <w:ind w:left="0" w:firstLine="0"/>
      </w:pPr>
      <w:rPr>
        <w:rFonts w:hint="eastAsia"/>
      </w:rPr>
    </w:lvl>
    <w:lvl w:ilvl="2" w:tentative="0">
      <w:start w:val="1"/>
      <w:numFmt w:val="decimal"/>
      <w:pStyle w:val="102"/>
      <w:isLgl/>
      <w:suff w:val="space"/>
      <w:lvlText w:val="%1.%2.%3"/>
      <w:lvlJc w:val="left"/>
      <w:pPr>
        <w:tabs>
          <w:tab w:val="left" w:pos="0"/>
        </w:tabs>
        <w:ind w:left="0" w:firstLine="0"/>
      </w:pPr>
      <w:rPr>
        <w:rFonts w:hint="eastAsia"/>
      </w:rPr>
    </w:lvl>
    <w:lvl w:ilvl="3" w:tentative="0">
      <w:start w:val="1"/>
      <w:numFmt w:val="decimal"/>
      <w:lvlRestart w:val="1"/>
      <w:pStyle w:val="98"/>
      <w:isLgl/>
      <w:suff w:val="space"/>
      <w:lvlText w:val="表%1-%4"/>
      <w:lvlJc w:val="left"/>
      <w:pPr>
        <w:tabs>
          <w:tab w:val="left" w:pos="0"/>
        </w:tabs>
        <w:ind w:left="0" w:firstLine="0"/>
      </w:pPr>
      <w:rPr>
        <w:rFonts w:hint="eastAsia" w:ascii="宋体" w:hAnsi="宋体" w:eastAsia="宋体" w:cs="宋体"/>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
    <w:nsid w:val="A0A03779"/>
    <w:multiLevelType w:val="singleLevel"/>
    <w:tmpl w:val="A0A03779"/>
    <w:lvl w:ilvl="0" w:tentative="0">
      <w:start w:val="1"/>
      <w:numFmt w:val="chineseCounting"/>
      <w:suff w:val="nothing"/>
      <w:lvlText w:val="（%1）"/>
      <w:lvlJc w:val="left"/>
      <w:rPr>
        <w:rFonts w:hint="eastAsia"/>
      </w:rPr>
    </w:lvl>
  </w:abstractNum>
  <w:abstractNum w:abstractNumId="2">
    <w:nsid w:val="C7F7CB68"/>
    <w:multiLevelType w:val="singleLevel"/>
    <w:tmpl w:val="C7F7CB68"/>
    <w:lvl w:ilvl="0" w:tentative="0">
      <w:start w:val="2"/>
      <w:numFmt w:val="decimal"/>
      <w:suff w:val="nothing"/>
      <w:lvlText w:val="（%1）"/>
      <w:lvlJc w:val="left"/>
    </w:lvl>
  </w:abstractNum>
  <w:abstractNum w:abstractNumId="3">
    <w:nsid w:val="E0B1A7B6"/>
    <w:multiLevelType w:val="singleLevel"/>
    <w:tmpl w:val="E0B1A7B6"/>
    <w:lvl w:ilvl="0" w:tentative="0">
      <w:start w:val="1"/>
      <w:numFmt w:val="decimal"/>
      <w:suff w:val="nothing"/>
      <w:lvlText w:val="%1、"/>
      <w:lvlJc w:val="left"/>
    </w:lvl>
  </w:abstractNum>
  <w:abstractNum w:abstractNumId="4">
    <w:nsid w:val="E46237D4"/>
    <w:multiLevelType w:val="singleLevel"/>
    <w:tmpl w:val="E46237D4"/>
    <w:lvl w:ilvl="0" w:tentative="0">
      <w:start w:val="1"/>
      <w:numFmt w:val="bullet"/>
      <w:pStyle w:val="13"/>
      <w:lvlText w:val=""/>
      <w:lvlJc w:val="left"/>
      <w:pPr>
        <w:tabs>
          <w:tab w:val="left" w:pos="780"/>
        </w:tabs>
        <w:ind w:left="780" w:hanging="360"/>
      </w:pPr>
      <w:rPr>
        <w:rFonts w:hint="default" w:ascii="Wingdings" w:hAnsi="Wingdings"/>
      </w:rPr>
    </w:lvl>
  </w:abstractNum>
  <w:abstractNum w:abstractNumId="5">
    <w:nsid w:val="0CEA2B28"/>
    <w:multiLevelType w:val="multilevel"/>
    <w:tmpl w:val="0CEA2B28"/>
    <w:lvl w:ilvl="0" w:tentative="0">
      <w:start w:val="1"/>
      <w:numFmt w:val="decimal"/>
      <w:pStyle w:val="109"/>
      <w:lvlText w:val="表4-%1  "/>
      <w:lvlJc w:val="center"/>
      <w:pPr>
        <w:ind w:left="420" w:hanging="420"/>
      </w:pPr>
      <w:rPr>
        <w:rFonts w:hint="eastAsia"/>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DC5EFBA"/>
    <w:multiLevelType w:val="singleLevel"/>
    <w:tmpl w:val="1DC5EFBA"/>
    <w:lvl w:ilvl="0" w:tentative="0">
      <w:start w:val="1"/>
      <w:numFmt w:val="decimal"/>
      <w:suff w:val="nothing"/>
      <w:lvlText w:val="（%1）"/>
      <w:lvlJc w:val="left"/>
    </w:lvl>
  </w:abstractNum>
  <w:abstractNum w:abstractNumId="7">
    <w:nsid w:val="24F7F133"/>
    <w:multiLevelType w:val="singleLevel"/>
    <w:tmpl w:val="24F7F133"/>
    <w:lvl w:ilvl="0" w:tentative="0">
      <w:start w:val="1"/>
      <w:numFmt w:val="decimal"/>
      <w:suff w:val="nothing"/>
      <w:lvlText w:val="（%1）"/>
      <w:lvlJc w:val="left"/>
    </w:lvl>
  </w:abstractNum>
  <w:abstractNum w:abstractNumId="8">
    <w:nsid w:val="36A9A1D9"/>
    <w:multiLevelType w:val="singleLevel"/>
    <w:tmpl w:val="36A9A1D9"/>
    <w:lvl w:ilvl="0" w:tentative="0">
      <w:start w:val="1"/>
      <w:numFmt w:val="decimal"/>
      <w:suff w:val="nothing"/>
      <w:lvlText w:val="%1"/>
      <w:lvlJc w:val="left"/>
      <w:pPr>
        <w:ind w:left="0" w:firstLine="0"/>
      </w:pPr>
      <w:rPr>
        <w:rFonts w:hint="default"/>
      </w:rPr>
    </w:lvl>
  </w:abstractNum>
  <w:abstractNum w:abstractNumId="9">
    <w:nsid w:val="4C300254"/>
    <w:multiLevelType w:val="multilevel"/>
    <w:tmpl w:val="4C300254"/>
    <w:lvl w:ilvl="0" w:tentative="0">
      <w:start w:val="1"/>
      <w:numFmt w:val="decimal"/>
      <w:pStyle w:val="105"/>
      <w:lvlText w:val="表1-%1  "/>
      <w:lvlJc w:val="center"/>
      <w:pPr>
        <w:ind w:left="2546" w:hanging="420"/>
      </w:pPr>
      <w:rPr>
        <w:b/>
        <w:bCs w:val="0"/>
        <w:i w:val="0"/>
        <w:iCs w:val="0"/>
        <w:caps w:val="0"/>
        <w:smallCaps w:val="0"/>
        <w:strike w:val="0"/>
        <w:dstrike w:val="0"/>
        <w:vanish w:val="0"/>
        <w:spacing w:val="0"/>
        <w:position w:val="0"/>
        <w:u w:val="none"/>
        <w:vertAlign w:val="baseline"/>
      </w:rPr>
    </w:lvl>
    <w:lvl w:ilvl="1" w:tentative="0">
      <w:start w:val="1"/>
      <w:numFmt w:val="decimal"/>
      <w:lvlText w:val="%2、"/>
      <w:lvlJc w:val="left"/>
      <w:pPr>
        <w:ind w:left="795" w:hanging="3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A4CB5DF"/>
    <w:multiLevelType w:val="multilevel"/>
    <w:tmpl w:val="6A4CB5DF"/>
    <w:lvl w:ilvl="0" w:tentative="0">
      <w:start w:val="1"/>
      <w:numFmt w:val="decimal"/>
      <w:lvlText w:val="%1"/>
      <w:lvlJc w:val="left"/>
      <w:pPr>
        <w:tabs>
          <w:tab w:val="left" w:pos="432"/>
        </w:tabs>
        <w:ind w:left="432" w:hanging="432"/>
      </w:pPr>
      <w:rPr>
        <w:rFonts w:hint="default" w:ascii="Times New Roman" w:hAnsi="Times New Roman" w:eastAsia="黑体" w:cs="Times New Roman"/>
        <w:b/>
        <w:color w:val="auto"/>
        <w:sz w:val="32"/>
        <w:szCs w:val="32"/>
      </w:rPr>
    </w:lvl>
    <w:lvl w:ilvl="1" w:tentative="0">
      <w:start w:val="1"/>
      <w:numFmt w:val="decimal"/>
      <w:lvlText w:val="%1.%2"/>
      <w:lvlJc w:val="left"/>
      <w:pPr>
        <w:tabs>
          <w:tab w:val="left" w:pos="576"/>
        </w:tabs>
        <w:ind w:left="576" w:hanging="576"/>
      </w:pPr>
      <w:rPr>
        <w:rFonts w:hint="default" w:ascii="Times New Roman" w:hAnsi="Times New Roman" w:eastAsia="宋体" w:cs="Times New Roman"/>
        <w:b/>
        <w:color w:val="auto"/>
        <w:sz w:val="30"/>
        <w:szCs w:val="30"/>
      </w:rPr>
    </w:lvl>
    <w:lvl w:ilvl="2" w:tentative="0">
      <w:start w:val="1"/>
      <w:numFmt w:val="decimal"/>
      <w:pStyle w:val="6"/>
      <w:lvlText w:val="%1.%2.%3"/>
      <w:lvlJc w:val="left"/>
      <w:pPr>
        <w:tabs>
          <w:tab w:val="left" w:pos="720"/>
        </w:tabs>
        <w:ind w:left="510" w:hanging="510"/>
      </w:pPr>
    </w:lvl>
    <w:lvl w:ilvl="3" w:tentative="0">
      <w:start w:val="1"/>
      <w:numFmt w:val="decimal"/>
      <w:lvlText w:val="%1.%2.%3.%4"/>
      <w:lvlJc w:val="left"/>
      <w:pPr>
        <w:tabs>
          <w:tab w:val="left" w:pos="1290"/>
        </w:tabs>
        <w:ind w:left="1770" w:hanging="864"/>
      </w:pPr>
      <w:rPr>
        <w:rFonts w:hint="default" w:ascii="Times New Roman" w:hAnsi="Times New Roman" w:cs="Times New Roman"/>
        <w:b/>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1">
    <w:nsid w:val="73CD5D3F"/>
    <w:multiLevelType w:val="multilevel"/>
    <w:tmpl w:val="73CD5D3F"/>
    <w:lvl w:ilvl="0" w:tentative="0">
      <w:start w:val="1"/>
      <w:numFmt w:val="decimal"/>
      <w:pStyle w:val="94"/>
      <w:lvlText w:val="表3-%1  "/>
      <w:lvlJc w:val="left"/>
      <w:pPr>
        <w:ind w:left="3964" w:hanging="420"/>
      </w:pPr>
      <w:rPr>
        <w:rFonts w:hint="eastAsia"/>
        <w:vertAlign w:val="baseline"/>
        <w:lang w:val="en-US"/>
      </w:rPr>
    </w:lvl>
    <w:lvl w:ilvl="1" w:tentative="0">
      <w:start w:val="1"/>
      <w:numFmt w:val="lowerLetter"/>
      <w:lvlText w:val="%2)"/>
      <w:lvlJc w:val="left"/>
      <w:pPr>
        <w:ind w:left="1746" w:hanging="420"/>
      </w:pPr>
    </w:lvl>
    <w:lvl w:ilvl="2" w:tentative="0">
      <w:start w:val="1"/>
      <w:numFmt w:val="lowerRoman"/>
      <w:lvlText w:val="%3."/>
      <w:lvlJc w:val="right"/>
      <w:pPr>
        <w:ind w:left="2166" w:hanging="420"/>
      </w:pPr>
    </w:lvl>
    <w:lvl w:ilvl="3" w:tentative="0">
      <w:start w:val="1"/>
      <w:numFmt w:val="decimal"/>
      <w:lvlText w:val="%4."/>
      <w:lvlJc w:val="left"/>
      <w:pPr>
        <w:ind w:left="2586" w:hanging="420"/>
      </w:pPr>
    </w:lvl>
    <w:lvl w:ilvl="4" w:tentative="0">
      <w:start w:val="1"/>
      <w:numFmt w:val="lowerLetter"/>
      <w:lvlText w:val="%5)"/>
      <w:lvlJc w:val="left"/>
      <w:pPr>
        <w:ind w:left="3006" w:hanging="420"/>
      </w:pPr>
    </w:lvl>
    <w:lvl w:ilvl="5" w:tentative="0">
      <w:start w:val="1"/>
      <w:numFmt w:val="lowerRoman"/>
      <w:lvlText w:val="%6."/>
      <w:lvlJc w:val="right"/>
      <w:pPr>
        <w:ind w:left="3426" w:hanging="420"/>
      </w:pPr>
    </w:lvl>
    <w:lvl w:ilvl="6" w:tentative="0">
      <w:start w:val="1"/>
      <w:numFmt w:val="decimal"/>
      <w:lvlText w:val="%7."/>
      <w:lvlJc w:val="left"/>
      <w:pPr>
        <w:ind w:left="3846" w:hanging="420"/>
      </w:pPr>
    </w:lvl>
    <w:lvl w:ilvl="7" w:tentative="0">
      <w:start w:val="1"/>
      <w:numFmt w:val="lowerLetter"/>
      <w:lvlText w:val="%8)"/>
      <w:lvlJc w:val="left"/>
      <w:pPr>
        <w:ind w:left="4266" w:hanging="420"/>
      </w:pPr>
    </w:lvl>
    <w:lvl w:ilvl="8" w:tentative="0">
      <w:start w:val="1"/>
      <w:numFmt w:val="lowerRoman"/>
      <w:lvlText w:val="%9."/>
      <w:lvlJc w:val="right"/>
      <w:pPr>
        <w:ind w:left="4686" w:hanging="420"/>
      </w:pPr>
    </w:lvl>
  </w:abstractNum>
  <w:abstractNum w:abstractNumId="12">
    <w:nsid w:val="7DC5D4C6"/>
    <w:multiLevelType w:val="singleLevel"/>
    <w:tmpl w:val="7DC5D4C6"/>
    <w:lvl w:ilvl="0" w:tentative="0">
      <w:start w:val="2"/>
      <w:numFmt w:val="decimal"/>
      <w:suff w:val="nothing"/>
      <w:lvlText w:val="（%1）"/>
      <w:lvlJc w:val="left"/>
      <w:pPr>
        <w:ind w:left="-60"/>
      </w:pPr>
    </w:lvl>
  </w:abstractNum>
  <w:abstractNum w:abstractNumId="13">
    <w:nsid w:val="7DEE5F0C"/>
    <w:multiLevelType w:val="singleLevel"/>
    <w:tmpl w:val="7DEE5F0C"/>
    <w:lvl w:ilvl="0" w:tentative="0">
      <w:start w:val="1"/>
      <w:numFmt w:val="decimal"/>
      <w:suff w:val="nothing"/>
      <w:lvlText w:val="（%1）"/>
      <w:lvlJc w:val="left"/>
    </w:lvl>
  </w:abstractNum>
  <w:num w:numId="1">
    <w:abstractNumId w:val="10"/>
  </w:num>
  <w:num w:numId="2">
    <w:abstractNumId w:val="4"/>
  </w:num>
  <w:num w:numId="3">
    <w:abstractNumId w:val="11"/>
  </w:num>
  <w:num w:numId="4">
    <w:abstractNumId w:val="0"/>
  </w:num>
  <w:num w:numId="5">
    <w:abstractNumId w:val="9"/>
  </w:num>
  <w:num w:numId="6">
    <w:abstractNumId w:val="5"/>
  </w:num>
  <w:num w:numId="7">
    <w:abstractNumId w:val="3"/>
  </w:num>
  <w:num w:numId="8">
    <w:abstractNumId w:val="1"/>
  </w:num>
  <w:num w:numId="9">
    <w:abstractNumId w:val="6"/>
  </w:num>
  <w:num w:numId="10">
    <w:abstractNumId w:val="2"/>
  </w:num>
  <w:num w:numId="11">
    <w:abstractNumId w:val="13"/>
  </w:num>
  <w:num w:numId="12">
    <w:abstractNumId w:val="12"/>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2968"/>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2E687C"/>
    <w:rsid w:val="00301978"/>
    <w:rsid w:val="0030332C"/>
    <w:rsid w:val="003051C2"/>
    <w:rsid w:val="00312296"/>
    <w:rsid w:val="00314F0E"/>
    <w:rsid w:val="00321D8E"/>
    <w:rsid w:val="00325928"/>
    <w:rsid w:val="00332863"/>
    <w:rsid w:val="0033684D"/>
    <w:rsid w:val="00337B42"/>
    <w:rsid w:val="00341B42"/>
    <w:rsid w:val="0034348F"/>
    <w:rsid w:val="003532FE"/>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0638A"/>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548B4"/>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3B3"/>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0770D"/>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F0FC7"/>
    <w:rsid w:val="01290F7E"/>
    <w:rsid w:val="015D1E09"/>
    <w:rsid w:val="01A7022B"/>
    <w:rsid w:val="01AC75F0"/>
    <w:rsid w:val="01C506B1"/>
    <w:rsid w:val="01F3521E"/>
    <w:rsid w:val="02033711"/>
    <w:rsid w:val="020411DA"/>
    <w:rsid w:val="021555D4"/>
    <w:rsid w:val="02240524"/>
    <w:rsid w:val="02402EC0"/>
    <w:rsid w:val="0256755B"/>
    <w:rsid w:val="02697903"/>
    <w:rsid w:val="02777BFD"/>
    <w:rsid w:val="02A23C0D"/>
    <w:rsid w:val="02A97FD3"/>
    <w:rsid w:val="02C40969"/>
    <w:rsid w:val="02D36DFE"/>
    <w:rsid w:val="02F96569"/>
    <w:rsid w:val="02FF7BF3"/>
    <w:rsid w:val="03407427"/>
    <w:rsid w:val="034B73A8"/>
    <w:rsid w:val="036A1510"/>
    <w:rsid w:val="038720C2"/>
    <w:rsid w:val="038C76D9"/>
    <w:rsid w:val="03CF5817"/>
    <w:rsid w:val="03D567A3"/>
    <w:rsid w:val="03EA7B21"/>
    <w:rsid w:val="03F2184E"/>
    <w:rsid w:val="044C6E68"/>
    <w:rsid w:val="04712AD5"/>
    <w:rsid w:val="04732647"/>
    <w:rsid w:val="049B394B"/>
    <w:rsid w:val="05056ECB"/>
    <w:rsid w:val="052F5FCA"/>
    <w:rsid w:val="0530678A"/>
    <w:rsid w:val="056A0389"/>
    <w:rsid w:val="05A30F59"/>
    <w:rsid w:val="05AA2098"/>
    <w:rsid w:val="05B60A3D"/>
    <w:rsid w:val="05F83EAE"/>
    <w:rsid w:val="060E6ACB"/>
    <w:rsid w:val="063E7D85"/>
    <w:rsid w:val="064E6EC7"/>
    <w:rsid w:val="06712BB6"/>
    <w:rsid w:val="06A27213"/>
    <w:rsid w:val="06CB0518"/>
    <w:rsid w:val="06D05B2E"/>
    <w:rsid w:val="06F061D0"/>
    <w:rsid w:val="07124399"/>
    <w:rsid w:val="07293586"/>
    <w:rsid w:val="07295285"/>
    <w:rsid w:val="073360BD"/>
    <w:rsid w:val="07391925"/>
    <w:rsid w:val="073B7A66"/>
    <w:rsid w:val="07493F9A"/>
    <w:rsid w:val="07636392"/>
    <w:rsid w:val="07762B7A"/>
    <w:rsid w:val="07770C56"/>
    <w:rsid w:val="078D3A1F"/>
    <w:rsid w:val="07A378F6"/>
    <w:rsid w:val="07E01DA1"/>
    <w:rsid w:val="07E179A1"/>
    <w:rsid w:val="07E76C04"/>
    <w:rsid w:val="083D5445"/>
    <w:rsid w:val="08644325"/>
    <w:rsid w:val="088017D6"/>
    <w:rsid w:val="08852948"/>
    <w:rsid w:val="088A7F5F"/>
    <w:rsid w:val="088E5CA1"/>
    <w:rsid w:val="08A6123D"/>
    <w:rsid w:val="08AB6853"/>
    <w:rsid w:val="08B109FE"/>
    <w:rsid w:val="08F43AA3"/>
    <w:rsid w:val="09044508"/>
    <w:rsid w:val="09096974"/>
    <w:rsid w:val="091343F8"/>
    <w:rsid w:val="092217DD"/>
    <w:rsid w:val="093A7294"/>
    <w:rsid w:val="09523172"/>
    <w:rsid w:val="09594501"/>
    <w:rsid w:val="096A216E"/>
    <w:rsid w:val="0A263993"/>
    <w:rsid w:val="0A2D3AC2"/>
    <w:rsid w:val="0A314B36"/>
    <w:rsid w:val="0A434869"/>
    <w:rsid w:val="0A524DED"/>
    <w:rsid w:val="0A6767AA"/>
    <w:rsid w:val="0A83110A"/>
    <w:rsid w:val="0AA755DF"/>
    <w:rsid w:val="0AC94BF5"/>
    <w:rsid w:val="0AE222D4"/>
    <w:rsid w:val="0B112BB9"/>
    <w:rsid w:val="0B120D44"/>
    <w:rsid w:val="0B1D5D6F"/>
    <w:rsid w:val="0B937C62"/>
    <w:rsid w:val="0BAD28E2"/>
    <w:rsid w:val="0BC638DE"/>
    <w:rsid w:val="0BD065D0"/>
    <w:rsid w:val="0BD27BF6"/>
    <w:rsid w:val="0C1C35C4"/>
    <w:rsid w:val="0C2B3D1C"/>
    <w:rsid w:val="0C2F6EBE"/>
    <w:rsid w:val="0C3B3C7D"/>
    <w:rsid w:val="0C945850"/>
    <w:rsid w:val="0CAB2EAE"/>
    <w:rsid w:val="0CB3217A"/>
    <w:rsid w:val="0CC53C5B"/>
    <w:rsid w:val="0CE02843"/>
    <w:rsid w:val="0CE145D3"/>
    <w:rsid w:val="0CEF2A86"/>
    <w:rsid w:val="0D0955FA"/>
    <w:rsid w:val="0D166E01"/>
    <w:rsid w:val="0D621C7D"/>
    <w:rsid w:val="0D645FE7"/>
    <w:rsid w:val="0D6D48CE"/>
    <w:rsid w:val="0D814026"/>
    <w:rsid w:val="0D99471A"/>
    <w:rsid w:val="0DD00B0A"/>
    <w:rsid w:val="0DE01A63"/>
    <w:rsid w:val="0DFD6421"/>
    <w:rsid w:val="0E0C328B"/>
    <w:rsid w:val="0E3A41D5"/>
    <w:rsid w:val="0E5C414B"/>
    <w:rsid w:val="0E73034D"/>
    <w:rsid w:val="0EEC3721"/>
    <w:rsid w:val="0EED1247"/>
    <w:rsid w:val="0F0C5B71"/>
    <w:rsid w:val="0F13775A"/>
    <w:rsid w:val="0F25287E"/>
    <w:rsid w:val="0F5F45FE"/>
    <w:rsid w:val="0F6239E3"/>
    <w:rsid w:val="0F9A112B"/>
    <w:rsid w:val="0FBD50BE"/>
    <w:rsid w:val="0FDC19E8"/>
    <w:rsid w:val="1008458B"/>
    <w:rsid w:val="102869DB"/>
    <w:rsid w:val="106D2F64"/>
    <w:rsid w:val="10806817"/>
    <w:rsid w:val="10973B61"/>
    <w:rsid w:val="109B79FF"/>
    <w:rsid w:val="10B63710"/>
    <w:rsid w:val="10C304B2"/>
    <w:rsid w:val="10F10820"/>
    <w:rsid w:val="10FC5772"/>
    <w:rsid w:val="111C2F7A"/>
    <w:rsid w:val="11665CA1"/>
    <w:rsid w:val="118C0B72"/>
    <w:rsid w:val="119A7465"/>
    <w:rsid w:val="119D6F55"/>
    <w:rsid w:val="11B53E40"/>
    <w:rsid w:val="11D55355"/>
    <w:rsid w:val="11FC011F"/>
    <w:rsid w:val="12A367ED"/>
    <w:rsid w:val="12A65A60"/>
    <w:rsid w:val="12B75DF4"/>
    <w:rsid w:val="12B82CC5"/>
    <w:rsid w:val="130E25EC"/>
    <w:rsid w:val="13141499"/>
    <w:rsid w:val="131425DA"/>
    <w:rsid w:val="133D279D"/>
    <w:rsid w:val="137E7A43"/>
    <w:rsid w:val="13951726"/>
    <w:rsid w:val="13AF4D1D"/>
    <w:rsid w:val="13BC5DB8"/>
    <w:rsid w:val="13D22765"/>
    <w:rsid w:val="13D824C6"/>
    <w:rsid w:val="14176148"/>
    <w:rsid w:val="14396509"/>
    <w:rsid w:val="144731A8"/>
    <w:rsid w:val="146124BC"/>
    <w:rsid w:val="14A025F7"/>
    <w:rsid w:val="14AB7BDB"/>
    <w:rsid w:val="14DD2C3C"/>
    <w:rsid w:val="14E82BDD"/>
    <w:rsid w:val="14EE271A"/>
    <w:rsid w:val="14EF3F6B"/>
    <w:rsid w:val="152A4FA3"/>
    <w:rsid w:val="15CA21A7"/>
    <w:rsid w:val="15DF4CCA"/>
    <w:rsid w:val="16077093"/>
    <w:rsid w:val="16087E1D"/>
    <w:rsid w:val="1672275E"/>
    <w:rsid w:val="16866209"/>
    <w:rsid w:val="16CD3E38"/>
    <w:rsid w:val="16D2144F"/>
    <w:rsid w:val="16F77107"/>
    <w:rsid w:val="17066ADD"/>
    <w:rsid w:val="172779EC"/>
    <w:rsid w:val="172A128B"/>
    <w:rsid w:val="17375E82"/>
    <w:rsid w:val="175D4A13"/>
    <w:rsid w:val="175E7186"/>
    <w:rsid w:val="17701D14"/>
    <w:rsid w:val="17735226"/>
    <w:rsid w:val="17A74689"/>
    <w:rsid w:val="17B44FF8"/>
    <w:rsid w:val="17D172BB"/>
    <w:rsid w:val="17F90C5D"/>
    <w:rsid w:val="182C2E31"/>
    <w:rsid w:val="18357EE7"/>
    <w:rsid w:val="18381785"/>
    <w:rsid w:val="1845792B"/>
    <w:rsid w:val="186B1B5B"/>
    <w:rsid w:val="189F624C"/>
    <w:rsid w:val="18A651FC"/>
    <w:rsid w:val="18D531F0"/>
    <w:rsid w:val="18EE2DF4"/>
    <w:rsid w:val="19550115"/>
    <w:rsid w:val="197677F1"/>
    <w:rsid w:val="1A0D279E"/>
    <w:rsid w:val="1A0D3555"/>
    <w:rsid w:val="1A1C66C0"/>
    <w:rsid w:val="1A246465"/>
    <w:rsid w:val="1A3146DE"/>
    <w:rsid w:val="1A42393B"/>
    <w:rsid w:val="1A584361"/>
    <w:rsid w:val="1A6C1BBA"/>
    <w:rsid w:val="1AAD45DE"/>
    <w:rsid w:val="1B046F80"/>
    <w:rsid w:val="1B1738D4"/>
    <w:rsid w:val="1B3267B5"/>
    <w:rsid w:val="1B3E5305"/>
    <w:rsid w:val="1B40161D"/>
    <w:rsid w:val="1B441859"/>
    <w:rsid w:val="1B4668DD"/>
    <w:rsid w:val="1B5C270F"/>
    <w:rsid w:val="1B6606B1"/>
    <w:rsid w:val="1B6805D3"/>
    <w:rsid w:val="1BD6553D"/>
    <w:rsid w:val="1C316C17"/>
    <w:rsid w:val="1C5E7925"/>
    <w:rsid w:val="1C735482"/>
    <w:rsid w:val="1C7A6810"/>
    <w:rsid w:val="1C931680"/>
    <w:rsid w:val="1C9378D2"/>
    <w:rsid w:val="1CD16B77"/>
    <w:rsid w:val="1CFD070F"/>
    <w:rsid w:val="1CFE35A0"/>
    <w:rsid w:val="1D5F6196"/>
    <w:rsid w:val="1D6132A5"/>
    <w:rsid w:val="1D6372A4"/>
    <w:rsid w:val="1D8A2A83"/>
    <w:rsid w:val="1D8E56D5"/>
    <w:rsid w:val="1D9D4AC7"/>
    <w:rsid w:val="1DEA52D0"/>
    <w:rsid w:val="1E124E95"/>
    <w:rsid w:val="1E3D5D61"/>
    <w:rsid w:val="1E7A43DA"/>
    <w:rsid w:val="1E91399D"/>
    <w:rsid w:val="1EA52278"/>
    <w:rsid w:val="1EAC4C7B"/>
    <w:rsid w:val="1EBB4EBE"/>
    <w:rsid w:val="1F10621E"/>
    <w:rsid w:val="1F3C1B5B"/>
    <w:rsid w:val="1F615A66"/>
    <w:rsid w:val="1F7D0CD8"/>
    <w:rsid w:val="1F947BE9"/>
    <w:rsid w:val="1FE04BDC"/>
    <w:rsid w:val="1FE7539E"/>
    <w:rsid w:val="202F16C0"/>
    <w:rsid w:val="2036092B"/>
    <w:rsid w:val="205B0AE2"/>
    <w:rsid w:val="20671BE0"/>
    <w:rsid w:val="20857532"/>
    <w:rsid w:val="20963CB8"/>
    <w:rsid w:val="20A81A1B"/>
    <w:rsid w:val="20B07FB6"/>
    <w:rsid w:val="20B646FB"/>
    <w:rsid w:val="20BE2A44"/>
    <w:rsid w:val="20DE6C42"/>
    <w:rsid w:val="20E01838"/>
    <w:rsid w:val="20E26732"/>
    <w:rsid w:val="213B74B1"/>
    <w:rsid w:val="215A2310"/>
    <w:rsid w:val="21865F9D"/>
    <w:rsid w:val="21991BAE"/>
    <w:rsid w:val="21DE318A"/>
    <w:rsid w:val="21EF5B80"/>
    <w:rsid w:val="21F4496F"/>
    <w:rsid w:val="22250FCC"/>
    <w:rsid w:val="223E208E"/>
    <w:rsid w:val="22453A2D"/>
    <w:rsid w:val="22511DC1"/>
    <w:rsid w:val="22576990"/>
    <w:rsid w:val="22765384"/>
    <w:rsid w:val="22835CF3"/>
    <w:rsid w:val="22877591"/>
    <w:rsid w:val="22916662"/>
    <w:rsid w:val="22F47480"/>
    <w:rsid w:val="22FD5AA5"/>
    <w:rsid w:val="23496F3C"/>
    <w:rsid w:val="23DE1C48"/>
    <w:rsid w:val="240210CD"/>
    <w:rsid w:val="241F1A4B"/>
    <w:rsid w:val="24311EAA"/>
    <w:rsid w:val="24BF09F7"/>
    <w:rsid w:val="24D439E0"/>
    <w:rsid w:val="24DB5972"/>
    <w:rsid w:val="252A68FA"/>
    <w:rsid w:val="252D53FE"/>
    <w:rsid w:val="254479BB"/>
    <w:rsid w:val="25513E86"/>
    <w:rsid w:val="25592D3B"/>
    <w:rsid w:val="25837821"/>
    <w:rsid w:val="25A54D79"/>
    <w:rsid w:val="25B33FF6"/>
    <w:rsid w:val="25C24D84"/>
    <w:rsid w:val="25E87895"/>
    <w:rsid w:val="25EC2D81"/>
    <w:rsid w:val="260929B3"/>
    <w:rsid w:val="260D24A3"/>
    <w:rsid w:val="26323CB8"/>
    <w:rsid w:val="263631A5"/>
    <w:rsid w:val="26437C73"/>
    <w:rsid w:val="26526108"/>
    <w:rsid w:val="267A6BDE"/>
    <w:rsid w:val="268C786C"/>
    <w:rsid w:val="26C1503C"/>
    <w:rsid w:val="26EC030B"/>
    <w:rsid w:val="272A0E33"/>
    <w:rsid w:val="277057A2"/>
    <w:rsid w:val="28650375"/>
    <w:rsid w:val="28C07D31"/>
    <w:rsid w:val="291E0523"/>
    <w:rsid w:val="29206EB8"/>
    <w:rsid w:val="29254939"/>
    <w:rsid w:val="294066EC"/>
    <w:rsid w:val="29595666"/>
    <w:rsid w:val="295D6E97"/>
    <w:rsid w:val="2964687E"/>
    <w:rsid w:val="29874881"/>
    <w:rsid w:val="298F4F7D"/>
    <w:rsid w:val="299B2824"/>
    <w:rsid w:val="29C56BF1"/>
    <w:rsid w:val="29E325E0"/>
    <w:rsid w:val="29F323B4"/>
    <w:rsid w:val="29F6324E"/>
    <w:rsid w:val="2A306760"/>
    <w:rsid w:val="2A452503"/>
    <w:rsid w:val="2A7C0543"/>
    <w:rsid w:val="2B010086"/>
    <w:rsid w:val="2B5B15BB"/>
    <w:rsid w:val="2B606BD1"/>
    <w:rsid w:val="2B69017C"/>
    <w:rsid w:val="2B6A165E"/>
    <w:rsid w:val="2B876854"/>
    <w:rsid w:val="2BA936A8"/>
    <w:rsid w:val="2BE75544"/>
    <w:rsid w:val="2C0A350E"/>
    <w:rsid w:val="2C0C4FAB"/>
    <w:rsid w:val="2C315A5A"/>
    <w:rsid w:val="2C4B1C25"/>
    <w:rsid w:val="2C506C46"/>
    <w:rsid w:val="2C5A1872"/>
    <w:rsid w:val="2C602C01"/>
    <w:rsid w:val="2C82701B"/>
    <w:rsid w:val="2CD6384B"/>
    <w:rsid w:val="2D39592C"/>
    <w:rsid w:val="2D406CBA"/>
    <w:rsid w:val="2D4D587B"/>
    <w:rsid w:val="2D5A445D"/>
    <w:rsid w:val="2D7D7F0E"/>
    <w:rsid w:val="2D8A43D9"/>
    <w:rsid w:val="2D9E56F5"/>
    <w:rsid w:val="2DAC0C1E"/>
    <w:rsid w:val="2DBB27E5"/>
    <w:rsid w:val="2DBD47AF"/>
    <w:rsid w:val="2DC84F02"/>
    <w:rsid w:val="2E1237FA"/>
    <w:rsid w:val="2E38157F"/>
    <w:rsid w:val="2E496043"/>
    <w:rsid w:val="2E667F96"/>
    <w:rsid w:val="2E8226AB"/>
    <w:rsid w:val="2EA11B8C"/>
    <w:rsid w:val="2EC13592"/>
    <w:rsid w:val="2F177EEF"/>
    <w:rsid w:val="2F30453E"/>
    <w:rsid w:val="2F590507"/>
    <w:rsid w:val="2F7450B9"/>
    <w:rsid w:val="2FAC3388"/>
    <w:rsid w:val="2FD065E6"/>
    <w:rsid w:val="2FD96870"/>
    <w:rsid w:val="2FE06533"/>
    <w:rsid w:val="2FF7387C"/>
    <w:rsid w:val="30542A7D"/>
    <w:rsid w:val="30580BC9"/>
    <w:rsid w:val="30830326"/>
    <w:rsid w:val="30AB6B41"/>
    <w:rsid w:val="30B67293"/>
    <w:rsid w:val="30D74EA8"/>
    <w:rsid w:val="30E22C79"/>
    <w:rsid w:val="30F93D50"/>
    <w:rsid w:val="311E2ED7"/>
    <w:rsid w:val="31440ED2"/>
    <w:rsid w:val="315619EE"/>
    <w:rsid w:val="315C449C"/>
    <w:rsid w:val="31915E9F"/>
    <w:rsid w:val="31B82709"/>
    <w:rsid w:val="31D05482"/>
    <w:rsid w:val="31FD7870"/>
    <w:rsid w:val="32021A78"/>
    <w:rsid w:val="320D5506"/>
    <w:rsid w:val="32286DC6"/>
    <w:rsid w:val="32400B34"/>
    <w:rsid w:val="3244724D"/>
    <w:rsid w:val="32454D73"/>
    <w:rsid w:val="324F2058"/>
    <w:rsid w:val="3264344B"/>
    <w:rsid w:val="32957AA8"/>
    <w:rsid w:val="329E6876"/>
    <w:rsid w:val="32A970D8"/>
    <w:rsid w:val="32D97C5E"/>
    <w:rsid w:val="32EC51EE"/>
    <w:rsid w:val="32ED1692"/>
    <w:rsid w:val="32F719A3"/>
    <w:rsid w:val="32F84DB0"/>
    <w:rsid w:val="333015F2"/>
    <w:rsid w:val="333C2526"/>
    <w:rsid w:val="334B6320"/>
    <w:rsid w:val="33586221"/>
    <w:rsid w:val="339F04B3"/>
    <w:rsid w:val="33A45AC9"/>
    <w:rsid w:val="33B95A18"/>
    <w:rsid w:val="33BA52ED"/>
    <w:rsid w:val="33D934D4"/>
    <w:rsid w:val="33EC7B9C"/>
    <w:rsid w:val="33FE167D"/>
    <w:rsid w:val="33FE2F6A"/>
    <w:rsid w:val="340E07E5"/>
    <w:rsid w:val="34232E92"/>
    <w:rsid w:val="34235BF7"/>
    <w:rsid w:val="343B642D"/>
    <w:rsid w:val="3443482E"/>
    <w:rsid w:val="34580D8D"/>
    <w:rsid w:val="34AF2730"/>
    <w:rsid w:val="34BB756E"/>
    <w:rsid w:val="350727B3"/>
    <w:rsid w:val="3530056A"/>
    <w:rsid w:val="358C5FA8"/>
    <w:rsid w:val="35C15DF1"/>
    <w:rsid w:val="35D72186"/>
    <w:rsid w:val="36074A7F"/>
    <w:rsid w:val="36176A26"/>
    <w:rsid w:val="36297806"/>
    <w:rsid w:val="363B2715"/>
    <w:rsid w:val="365C268B"/>
    <w:rsid w:val="368A369C"/>
    <w:rsid w:val="36923549"/>
    <w:rsid w:val="369D7C73"/>
    <w:rsid w:val="36B75FBF"/>
    <w:rsid w:val="36BD0C45"/>
    <w:rsid w:val="371B2546"/>
    <w:rsid w:val="372413FB"/>
    <w:rsid w:val="376C68FE"/>
    <w:rsid w:val="37DD15AA"/>
    <w:rsid w:val="37DD5CB5"/>
    <w:rsid w:val="37E00298"/>
    <w:rsid w:val="37FA03AE"/>
    <w:rsid w:val="380D6333"/>
    <w:rsid w:val="381C0C07"/>
    <w:rsid w:val="38233460"/>
    <w:rsid w:val="383B014F"/>
    <w:rsid w:val="38521F98"/>
    <w:rsid w:val="38883C0B"/>
    <w:rsid w:val="38B302F9"/>
    <w:rsid w:val="38C369F1"/>
    <w:rsid w:val="38C42E95"/>
    <w:rsid w:val="38E36364"/>
    <w:rsid w:val="38F12CD3"/>
    <w:rsid w:val="38F94775"/>
    <w:rsid w:val="38FB09BE"/>
    <w:rsid w:val="392971ED"/>
    <w:rsid w:val="39325651"/>
    <w:rsid w:val="39893797"/>
    <w:rsid w:val="39FA4695"/>
    <w:rsid w:val="3A6D30B9"/>
    <w:rsid w:val="3A872856"/>
    <w:rsid w:val="3AA92D8A"/>
    <w:rsid w:val="3AC3717D"/>
    <w:rsid w:val="3AC5059D"/>
    <w:rsid w:val="3AEF7F72"/>
    <w:rsid w:val="3B1D688D"/>
    <w:rsid w:val="3B3763D1"/>
    <w:rsid w:val="3B3A743F"/>
    <w:rsid w:val="3B714E2B"/>
    <w:rsid w:val="3B9D5C20"/>
    <w:rsid w:val="3BA945C4"/>
    <w:rsid w:val="3BEE647B"/>
    <w:rsid w:val="3C0812EB"/>
    <w:rsid w:val="3C2F6E1E"/>
    <w:rsid w:val="3C4F64BA"/>
    <w:rsid w:val="3C591B47"/>
    <w:rsid w:val="3CCD6091"/>
    <w:rsid w:val="3CCF005B"/>
    <w:rsid w:val="3CDA245A"/>
    <w:rsid w:val="3D1E06B7"/>
    <w:rsid w:val="3D4D2D2E"/>
    <w:rsid w:val="3D532A3A"/>
    <w:rsid w:val="3D673DEF"/>
    <w:rsid w:val="3D851A65"/>
    <w:rsid w:val="3DE23C97"/>
    <w:rsid w:val="3DE418E4"/>
    <w:rsid w:val="3E7722EB"/>
    <w:rsid w:val="3E7D4300"/>
    <w:rsid w:val="3EBB0897"/>
    <w:rsid w:val="3EDA0523"/>
    <w:rsid w:val="3EDA24BC"/>
    <w:rsid w:val="3F03223E"/>
    <w:rsid w:val="3F165ACD"/>
    <w:rsid w:val="3F966C0E"/>
    <w:rsid w:val="3FA41114"/>
    <w:rsid w:val="3FEE25A6"/>
    <w:rsid w:val="40387CC5"/>
    <w:rsid w:val="407A6407"/>
    <w:rsid w:val="40970E8F"/>
    <w:rsid w:val="40A62E81"/>
    <w:rsid w:val="40DB5220"/>
    <w:rsid w:val="40F41E3E"/>
    <w:rsid w:val="410F1824"/>
    <w:rsid w:val="413C5593"/>
    <w:rsid w:val="41931657"/>
    <w:rsid w:val="41A43156"/>
    <w:rsid w:val="41B9630E"/>
    <w:rsid w:val="41FD11C6"/>
    <w:rsid w:val="4200449D"/>
    <w:rsid w:val="423A3BCC"/>
    <w:rsid w:val="424E57D2"/>
    <w:rsid w:val="42A81132"/>
    <w:rsid w:val="42B26C49"/>
    <w:rsid w:val="432F3601"/>
    <w:rsid w:val="433A6FE6"/>
    <w:rsid w:val="43480868"/>
    <w:rsid w:val="4350713C"/>
    <w:rsid w:val="436653E0"/>
    <w:rsid w:val="43860D47"/>
    <w:rsid w:val="43C4431A"/>
    <w:rsid w:val="44366C11"/>
    <w:rsid w:val="445B3BA4"/>
    <w:rsid w:val="44894F93"/>
    <w:rsid w:val="44B951CC"/>
    <w:rsid w:val="44CD14E0"/>
    <w:rsid w:val="44F20B0B"/>
    <w:rsid w:val="45246A6A"/>
    <w:rsid w:val="452E5F4C"/>
    <w:rsid w:val="45444CD8"/>
    <w:rsid w:val="4549052D"/>
    <w:rsid w:val="45612018"/>
    <w:rsid w:val="45667082"/>
    <w:rsid w:val="45700811"/>
    <w:rsid w:val="457277D5"/>
    <w:rsid w:val="458946E9"/>
    <w:rsid w:val="45A47C0E"/>
    <w:rsid w:val="45AC718B"/>
    <w:rsid w:val="463E3B5B"/>
    <w:rsid w:val="46577FD6"/>
    <w:rsid w:val="465D2233"/>
    <w:rsid w:val="46717A8D"/>
    <w:rsid w:val="46A61E2C"/>
    <w:rsid w:val="46AF075C"/>
    <w:rsid w:val="46BA1434"/>
    <w:rsid w:val="46D955A7"/>
    <w:rsid w:val="46E6047B"/>
    <w:rsid w:val="47133957"/>
    <w:rsid w:val="47727F60"/>
    <w:rsid w:val="479B1265"/>
    <w:rsid w:val="479C4FDD"/>
    <w:rsid w:val="47A07E0C"/>
    <w:rsid w:val="47E726FC"/>
    <w:rsid w:val="47F95BF5"/>
    <w:rsid w:val="484511D1"/>
    <w:rsid w:val="48474F49"/>
    <w:rsid w:val="4856131E"/>
    <w:rsid w:val="4870272E"/>
    <w:rsid w:val="48735895"/>
    <w:rsid w:val="48D16F09"/>
    <w:rsid w:val="49033566"/>
    <w:rsid w:val="495F4514"/>
    <w:rsid w:val="496A71E8"/>
    <w:rsid w:val="499A7BA3"/>
    <w:rsid w:val="49AB48CC"/>
    <w:rsid w:val="49B26D3A"/>
    <w:rsid w:val="49C11AD5"/>
    <w:rsid w:val="49DC7715"/>
    <w:rsid w:val="4A023139"/>
    <w:rsid w:val="4A3E05CE"/>
    <w:rsid w:val="4A7B576F"/>
    <w:rsid w:val="4AB56533"/>
    <w:rsid w:val="4AC81EE0"/>
    <w:rsid w:val="4AEC1DD8"/>
    <w:rsid w:val="4AF561A9"/>
    <w:rsid w:val="4B3D0885"/>
    <w:rsid w:val="4B7512A9"/>
    <w:rsid w:val="4BAD1567"/>
    <w:rsid w:val="4BE40D01"/>
    <w:rsid w:val="4C0554CB"/>
    <w:rsid w:val="4C1A4067"/>
    <w:rsid w:val="4C215441"/>
    <w:rsid w:val="4C4A0649"/>
    <w:rsid w:val="4C501AC9"/>
    <w:rsid w:val="4C5B7215"/>
    <w:rsid w:val="4C771B75"/>
    <w:rsid w:val="4C7E5ECA"/>
    <w:rsid w:val="4C856040"/>
    <w:rsid w:val="4C876AA5"/>
    <w:rsid w:val="4C8A5D4C"/>
    <w:rsid w:val="4C9D74E6"/>
    <w:rsid w:val="4CB701C3"/>
    <w:rsid w:val="4D0E00FB"/>
    <w:rsid w:val="4D176606"/>
    <w:rsid w:val="4D6245D3"/>
    <w:rsid w:val="4D800DE6"/>
    <w:rsid w:val="4D9673EC"/>
    <w:rsid w:val="4DEC4FB0"/>
    <w:rsid w:val="4E075D8A"/>
    <w:rsid w:val="4E21448E"/>
    <w:rsid w:val="4E3046D1"/>
    <w:rsid w:val="4E3670DB"/>
    <w:rsid w:val="4E8567CB"/>
    <w:rsid w:val="4EA529C9"/>
    <w:rsid w:val="4EC00FAD"/>
    <w:rsid w:val="4ECE137E"/>
    <w:rsid w:val="4ED65F03"/>
    <w:rsid w:val="4F1162B1"/>
    <w:rsid w:val="4F1638C7"/>
    <w:rsid w:val="4F5166AD"/>
    <w:rsid w:val="4F532425"/>
    <w:rsid w:val="4F604B42"/>
    <w:rsid w:val="4F8847C5"/>
    <w:rsid w:val="4F8A493D"/>
    <w:rsid w:val="4F9843DC"/>
    <w:rsid w:val="4FC62A8C"/>
    <w:rsid w:val="4FE20F0D"/>
    <w:rsid w:val="4FE51552"/>
    <w:rsid w:val="502A762A"/>
    <w:rsid w:val="50330791"/>
    <w:rsid w:val="50504C4B"/>
    <w:rsid w:val="509C6E7C"/>
    <w:rsid w:val="50F814D6"/>
    <w:rsid w:val="512322CB"/>
    <w:rsid w:val="512D08AC"/>
    <w:rsid w:val="5162104E"/>
    <w:rsid w:val="5208399B"/>
    <w:rsid w:val="521701C3"/>
    <w:rsid w:val="521F6F37"/>
    <w:rsid w:val="522679F4"/>
    <w:rsid w:val="524D5852"/>
    <w:rsid w:val="52833022"/>
    <w:rsid w:val="528B637A"/>
    <w:rsid w:val="52BC29D7"/>
    <w:rsid w:val="52D10231"/>
    <w:rsid w:val="52F42171"/>
    <w:rsid w:val="530F3DA9"/>
    <w:rsid w:val="53397B84"/>
    <w:rsid w:val="53957C99"/>
    <w:rsid w:val="53966943"/>
    <w:rsid w:val="53A039CC"/>
    <w:rsid w:val="53A1505A"/>
    <w:rsid w:val="53AB096C"/>
    <w:rsid w:val="53BA6F17"/>
    <w:rsid w:val="53C658BC"/>
    <w:rsid w:val="53E94A32"/>
    <w:rsid w:val="540208BE"/>
    <w:rsid w:val="54063E08"/>
    <w:rsid w:val="542362A5"/>
    <w:rsid w:val="543437E8"/>
    <w:rsid w:val="545C1D7C"/>
    <w:rsid w:val="54992FD0"/>
    <w:rsid w:val="54AB2D04"/>
    <w:rsid w:val="54F73313"/>
    <w:rsid w:val="54F80955"/>
    <w:rsid w:val="54FB1595"/>
    <w:rsid w:val="55103AE6"/>
    <w:rsid w:val="551A47A7"/>
    <w:rsid w:val="552B174F"/>
    <w:rsid w:val="55344AA7"/>
    <w:rsid w:val="555170A7"/>
    <w:rsid w:val="5587536D"/>
    <w:rsid w:val="559B174B"/>
    <w:rsid w:val="55AA6BB4"/>
    <w:rsid w:val="55CE0CF4"/>
    <w:rsid w:val="5612303A"/>
    <w:rsid w:val="56275751"/>
    <w:rsid w:val="56352885"/>
    <w:rsid w:val="564173F8"/>
    <w:rsid w:val="564C7BCE"/>
    <w:rsid w:val="56503B63"/>
    <w:rsid w:val="565D5492"/>
    <w:rsid w:val="56B22A9C"/>
    <w:rsid w:val="56B84752"/>
    <w:rsid w:val="571F351D"/>
    <w:rsid w:val="57256D9D"/>
    <w:rsid w:val="57405985"/>
    <w:rsid w:val="57751C2F"/>
    <w:rsid w:val="579D4B86"/>
    <w:rsid w:val="57A51C8C"/>
    <w:rsid w:val="57B72A76"/>
    <w:rsid w:val="57C3426C"/>
    <w:rsid w:val="57CE1F93"/>
    <w:rsid w:val="581D1B62"/>
    <w:rsid w:val="58331046"/>
    <w:rsid w:val="586B44D1"/>
    <w:rsid w:val="588743D1"/>
    <w:rsid w:val="5887701A"/>
    <w:rsid w:val="589A10C5"/>
    <w:rsid w:val="58D00F8B"/>
    <w:rsid w:val="58D26AB1"/>
    <w:rsid w:val="58D75E75"/>
    <w:rsid w:val="58D81BED"/>
    <w:rsid w:val="58F20F01"/>
    <w:rsid w:val="58F47708"/>
    <w:rsid w:val="590F1AB3"/>
    <w:rsid w:val="59277A3D"/>
    <w:rsid w:val="59476B94"/>
    <w:rsid w:val="594A4899"/>
    <w:rsid w:val="59594ADC"/>
    <w:rsid w:val="59653481"/>
    <w:rsid w:val="59657925"/>
    <w:rsid w:val="59835A81"/>
    <w:rsid w:val="59927FEE"/>
    <w:rsid w:val="59C0439F"/>
    <w:rsid w:val="5A33357F"/>
    <w:rsid w:val="5A4717AA"/>
    <w:rsid w:val="5A5A0B0C"/>
    <w:rsid w:val="5ABE2233"/>
    <w:rsid w:val="5B10566E"/>
    <w:rsid w:val="5B2D7FCE"/>
    <w:rsid w:val="5B3C6463"/>
    <w:rsid w:val="5B7025B1"/>
    <w:rsid w:val="5BD9769A"/>
    <w:rsid w:val="5BDE751B"/>
    <w:rsid w:val="5BDF5D95"/>
    <w:rsid w:val="5BF168A5"/>
    <w:rsid w:val="5BFE7528"/>
    <w:rsid w:val="5C1358B5"/>
    <w:rsid w:val="5C292E8C"/>
    <w:rsid w:val="5C7B745F"/>
    <w:rsid w:val="5C98591B"/>
    <w:rsid w:val="5CE4729D"/>
    <w:rsid w:val="5CEE7C31"/>
    <w:rsid w:val="5D415FB3"/>
    <w:rsid w:val="5DAE4240"/>
    <w:rsid w:val="5E2467F1"/>
    <w:rsid w:val="5E59732C"/>
    <w:rsid w:val="5E60215D"/>
    <w:rsid w:val="5E632320"/>
    <w:rsid w:val="5EA93E10"/>
    <w:rsid w:val="5ECB647C"/>
    <w:rsid w:val="5F11698F"/>
    <w:rsid w:val="5F1A2B43"/>
    <w:rsid w:val="5F296CFF"/>
    <w:rsid w:val="5F304531"/>
    <w:rsid w:val="5F351B48"/>
    <w:rsid w:val="5F64242D"/>
    <w:rsid w:val="5F677827"/>
    <w:rsid w:val="5FB837BB"/>
    <w:rsid w:val="5FF94923"/>
    <w:rsid w:val="600B4656"/>
    <w:rsid w:val="605E6E7C"/>
    <w:rsid w:val="60B42F40"/>
    <w:rsid w:val="60CC405A"/>
    <w:rsid w:val="60E24D2E"/>
    <w:rsid w:val="610712C2"/>
    <w:rsid w:val="612B47A9"/>
    <w:rsid w:val="614B38A4"/>
    <w:rsid w:val="615D0EE2"/>
    <w:rsid w:val="61671D60"/>
    <w:rsid w:val="616B7AA3"/>
    <w:rsid w:val="61A92379"/>
    <w:rsid w:val="61AB60F1"/>
    <w:rsid w:val="61B52ACC"/>
    <w:rsid w:val="61C350A1"/>
    <w:rsid w:val="61C62F2B"/>
    <w:rsid w:val="61DE64C6"/>
    <w:rsid w:val="61E215D8"/>
    <w:rsid w:val="61E5574D"/>
    <w:rsid w:val="621B3775"/>
    <w:rsid w:val="622E70A1"/>
    <w:rsid w:val="62364782"/>
    <w:rsid w:val="62467BC8"/>
    <w:rsid w:val="62BC7E8A"/>
    <w:rsid w:val="62BF6990"/>
    <w:rsid w:val="62FF66F4"/>
    <w:rsid w:val="6300246C"/>
    <w:rsid w:val="630F26B0"/>
    <w:rsid w:val="63155F18"/>
    <w:rsid w:val="634405AB"/>
    <w:rsid w:val="635051A2"/>
    <w:rsid w:val="636465DA"/>
    <w:rsid w:val="6393508F"/>
    <w:rsid w:val="6394356A"/>
    <w:rsid w:val="63C61B2C"/>
    <w:rsid w:val="63D40BE9"/>
    <w:rsid w:val="64061D04"/>
    <w:rsid w:val="640B731B"/>
    <w:rsid w:val="64102431"/>
    <w:rsid w:val="64155AA4"/>
    <w:rsid w:val="647A2E78"/>
    <w:rsid w:val="64850E7B"/>
    <w:rsid w:val="64A5243A"/>
    <w:rsid w:val="64C51604"/>
    <w:rsid w:val="64D94D23"/>
    <w:rsid w:val="64E97786"/>
    <w:rsid w:val="64ED07CF"/>
    <w:rsid w:val="64EE4C72"/>
    <w:rsid w:val="64EF27FA"/>
    <w:rsid w:val="64F531DE"/>
    <w:rsid w:val="64F81AF8"/>
    <w:rsid w:val="651D10B4"/>
    <w:rsid w:val="65373578"/>
    <w:rsid w:val="65426D6C"/>
    <w:rsid w:val="654F4FE5"/>
    <w:rsid w:val="65591DAB"/>
    <w:rsid w:val="65640162"/>
    <w:rsid w:val="65C14BBC"/>
    <w:rsid w:val="65F362B8"/>
    <w:rsid w:val="66E14363"/>
    <w:rsid w:val="66E31E89"/>
    <w:rsid w:val="67144738"/>
    <w:rsid w:val="671F124A"/>
    <w:rsid w:val="672F0A90"/>
    <w:rsid w:val="674D024D"/>
    <w:rsid w:val="677A33C6"/>
    <w:rsid w:val="67AC2BC3"/>
    <w:rsid w:val="67FB3202"/>
    <w:rsid w:val="681F6961"/>
    <w:rsid w:val="68294213"/>
    <w:rsid w:val="684E502D"/>
    <w:rsid w:val="68610A2F"/>
    <w:rsid w:val="68805514"/>
    <w:rsid w:val="68F3461D"/>
    <w:rsid w:val="690D7691"/>
    <w:rsid w:val="69316E2F"/>
    <w:rsid w:val="694320DB"/>
    <w:rsid w:val="694E2071"/>
    <w:rsid w:val="69670B4F"/>
    <w:rsid w:val="69766163"/>
    <w:rsid w:val="697A3B33"/>
    <w:rsid w:val="69916D1B"/>
    <w:rsid w:val="69D44760"/>
    <w:rsid w:val="69FD3262"/>
    <w:rsid w:val="6A102F95"/>
    <w:rsid w:val="6A50680E"/>
    <w:rsid w:val="6A520EC7"/>
    <w:rsid w:val="6A546FB0"/>
    <w:rsid w:val="6A633A0D"/>
    <w:rsid w:val="6A753740"/>
    <w:rsid w:val="6A9040D6"/>
    <w:rsid w:val="6A9E4A45"/>
    <w:rsid w:val="6AA67D9D"/>
    <w:rsid w:val="6AF87E20"/>
    <w:rsid w:val="6B0A032C"/>
    <w:rsid w:val="6B293C1E"/>
    <w:rsid w:val="6B322639"/>
    <w:rsid w:val="6B364C7D"/>
    <w:rsid w:val="6B4B0C7C"/>
    <w:rsid w:val="6BAF228A"/>
    <w:rsid w:val="6BEE7306"/>
    <w:rsid w:val="6C1106FD"/>
    <w:rsid w:val="6C184383"/>
    <w:rsid w:val="6C1F3963"/>
    <w:rsid w:val="6C327B3B"/>
    <w:rsid w:val="6C613F7C"/>
    <w:rsid w:val="6C636C38"/>
    <w:rsid w:val="6C8859AD"/>
    <w:rsid w:val="6C9A5956"/>
    <w:rsid w:val="6CB31B15"/>
    <w:rsid w:val="6CCB3AEB"/>
    <w:rsid w:val="6CCB7647"/>
    <w:rsid w:val="6CCE7137"/>
    <w:rsid w:val="6CD40BF2"/>
    <w:rsid w:val="6D284A9A"/>
    <w:rsid w:val="6D365409"/>
    <w:rsid w:val="6D3B47CD"/>
    <w:rsid w:val="6D513FF0"/>
    <w:rsid w:val="6D5E670D"/>
    <w:rsid w:val="6DA305C4"/>
    <w:rsid w:val="6DB34098"/>
    <w:rsid w:val="6DB545B6"/>
    <w:rsid w:val="6DCC18C9"/>
    <w:rsid w:val="6DD469CF"/>
    <w:rsid w:val="6DE02FB4"/>
    <w:rsid w:val="6E514CED"/>
    <w:rsid w:val="6E6B2E90"/>
    <w:rsid w:val="6EB563D5"/>
    <w:rsid w:val="6EBC7B8F"/>
    <w:rsid w:val="6ECC76A7"/>
    <w:rsid w:val="6ED92677"/>
    <w:rsid w:val="6EE545CE"/>
    <w:rsid w:val="6F211E6F"/>
    <w:rsid w:val="6F225983"/>
    <w:rsid w:val="6F524050"/>
    <w:rsid w:val="6F5F3BC6"/>
    <w:rsid w:val="6F6D49E6"/>
    <w:rsid w:val="6F871F4B"/>
    <w:rsid w:val="6FC76065"/>
    <w:rsid w:val="6FE74798"/>
    <w:rsid w:val="6FF9271D"/>
    <w:rsid w:val="6FFC5590"/>
    <w:rsid w:val="701D453F"/>
    <w:rsid w:val="706D1DD0"/>
    <w:rsid w:val="70787AE6"/>
    <w:rsid w:val="70856B87"/>
    <w:rsid w:val="70B84386"/>
    <w:rsid w:val="70CB5E68"/>
    <w:rsid w:val="70D527EE"/>
    <w:rsid w:val="70F6250B"/>
    <w:rsid w:val="71081111"/>
    <w:rsid w:val="715B5300"/>
    <w:rsid w:val="717958C4"/>
    <w:rsid w:val="71AE2B29"/>
    <w:rsid w:val="71B27028"/>
    <w:rsid w:val="71D27F8A"/>
    <w:rsid w:val="71D90A58"/>
    <w:rsid w:val="71FB09CF"/>
    <w:rsid w:val="720C6738"/>
    <w:rsid w:val="720E4380"/>
    <w:rsid w:val="72233A82"/>
    <w:rsid w:val="72247F25"/>
    <w:rsid w:val="72331F17"/>
    <w:rsid w:val="72553024"/>
    <w:rsid w:val="7258372B"/>
    <w:rsid w:val="72695938"/>
    <w:rsid w:val="727F515C"/>
    <w:rsid w:val="72C45265"/>
    <w:rsid w:val="72EA6696"/>
    <w:rsid w:val="73092C77"/>
    <w:rsid w:val="73104006"/>
    <w:rsid w:val="73122968"/>
    <w:rsid w:val="731F5D5E"/>
    <w:rsid w:val="733F6699"/>
    <w:rsid w:val="736E51D0"/>
    <w:rsid w:val="7393325A"/>
    <w:rsid w:val="739E5A79"/>
    <w:rsid w:val="73C51AD5"/>
    <w:rsid w:val="73FD2541"/>
    <w:rsid w:val="740A314B"/>
    <w:rsid w:val="74145D78"/>
    <w:rsid w:val="741E793C"/>
    <w:rsid w:val="74235FBB"/>
    <w:rsid w:val="745E3944"/>
    <w:rsid w:val="747C4B95"/>
    <w:rsid w:val="74D177C5"/>
    <w:rsid w:val="75355FA6"/>
    <w:rsid w:val="756E770A"/>
    <w:rsid w:val="759A3F9B"/>
    <w:rsid w:val="759B4A8A"/>
    <w:rsid w:val="759C7F87"/>
    <w:rsid w:val="75A52E04"/>
    <w:rsid w:val="75BC0475"/>
    <w:rsid w:val="75CE1F56"/>
    <w:rsid w:val="76164029"/>
    <w:rsid w:val="762A3631"/>
    <w:rsid w:val="7635099D"/>
    <w:rsid w:val="765B7C8E"/>
    <w:rsid w:val="766A357A"/>
    <w:rsid w:val="76765A49"/>
    <w:rsid w:val="768D1111"/>
    <w:rsid w:val="76F20A8E"/>
    <w:rsid w:val="770976EA"/>
    <w:rsid w:val="771E384F"/>
    <w:rsid w:val="77762421"/>
    <w:rsid w:val="77B56B1F"/>
    <w:rsid w:val="78000AED"/>
    <w:rsid w:val="780F09F4"/>
    <w:rsid w:val="78771BF8"/>
    <w:rsid w:val="78A90480"/>
    <w:rsid w:val="78AC4606"/>
    <w:rsid w:val="78E977D3"/>
    <w:rsid w:val="78EF6552"/>
    <w:rsid w:val="790C75DA"/>
    <w:rsid w:val="792451CB"/>
    <w:rsid w:val="794013BD"/>
    <w:rsid w:val="7956473D"/>
    <w:rsid w:val="79825532"/>
    <w:rsid w:val="79C30024"/>
    <w:rsid w:val="79C46E6E"/>
    <w:rsid w:val="79EC41D8"/>
    <w:rsid w:val="79F503F9"/>
    <w:rsid w:val="7A1563A6"/>
    <w:rsid w:val="7A364017"/>
    <w:rsid w:val="7A8265E1"/>
    <w:rsid w:val="7AA37E55"/>
    <w:rsid w:val="7AAD4830"/>
    <w:rsid w:val="7ABD0F17"/>
    <w:rsid w:val="7AF02F70"/>
    <w:rsid w:val="7AF4336A"/>
    <w:rsid w:val="7B2014A6"/>
    <w:rsid w:val="7B686D42"/>
    <w:rsid w:val="7B841746"/>
    <w:rsid w:val="7BC63DFB"/>
    <w:rsid w:val="7BEE6EAE"/>
    <w:rsid w:val="7C2A25DC"/>
    <w:rsid w:val="7C423FCC"/>
    <w:rsid w:val="7C6333F8"/>
    <w:rsid w:val="7C6C5AC7"/>
    <w:rsid w:val="7CBE0F77"/>
    <w:rsid w:val="7CC6544B"/>
    <w:rsid w:val="7CDC31AB"/>
    <w:rsid w:val="7D0239FF"/>
    <w:rsid w:val="7D0A7D18"/>
    <w:rsid w:val="7D140B97"/>
    <w:rsid w:val="7D580A83"/>
    <w:rsid w:val="7D5E40CD"/>
    <w:rsid w:val="7D7E4262"/>
    <w:rsid w:val="7D9E7647"/>
    <w:rsid w:val="7DCD56F2"/>
    <w:rsid w:val="7DDD542C"/>
    <w:rsid w:val="7E0429B9"/>
    <w:rsid w:val="7E1A042F"/>
    <w:rsid w:val="7E4F49A7"/>
    <w:rsid w:val="7EEA08E1"/>
    <w:rsid w:val="7F001CE7"/>
    <w:rsid w:val="7F5157D3"/>
    <w:rsid w:val="7F601E71"/>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3"/>
    <w:basedOn w:val="1"/>
    <w:next w:val="1"/>
    <w:unhideWhenUsed/>
    <w:qFormat/>
    <w:uiPriority w:val="0"/>
    <w:pPr>
      <w:keepNext/>
      <w:keepLines/>
      <w:numPr>
        <w:ilvl w:val="2"/>
        <w:numId w:val="1"/>
      </w:numPr>
      <w:spacing w:before="120" w:after="120" w:line="240" w:lineRule="auto"/>
      <w:ind w:left="510" w:hanging="510" w:firstLineChars="0"/>
      <w:outlineLvl w:val="2"/>
    </w:pPr>
    <w:rPr>
      <w:rFonts w:ascii="Times New Roman" w:hAnsi="Times New Roman" w:eastAsia="宋体"/>
      <w:b/>
      <w:bCs/>
      <w:kern w:val="0"/>
      <w:sz w:val="24"/>
      <w:szCs w:val="30"/>
      <w:lang w:val="en-US" w:bidi="ar-SA"/>
    </w:rPr>
  </w:style>
  <w:style w:type="character" w:default="1" w:styleId="33">
    <w:name w:val="Default Paragraph Font"/>
    <w:semiHidden/>
    <w:qFormat/>
    <w:uiPriority w:val="0"/>
  </w:style>
  <w:style w:type="table" w:default="1" w:styleId="31">
    <w:name w:val="Normal Table"/>
    <w:semiHidden/>
    <w:qFormat/>
    <w:uiPriority w:val="0"/>
    <w:tblPr>
      <w:tblCellMar>
        <w:top w:w="0" w:type="dxa"/>
        <w:left w:w="108" w:type="dxa"/>
        <w:bottom w:w="0" w:type="dxa"/>
        <w:right w:w="108" w:type="dxa"/>
      </w:tblCellMar>
    </w:tblPr>
  </w:style>
  <w:style w:type="paragraph" w:styleId="2">
    <w:name w:val="Body Text"/>
    <w:basedOn w:val="1"/>
    <w:next w:val="3"/>
    <w:link w:val="42"/>
    <w:qFormat/>
    <w:uiPriority w:val="0"/>
    <w:pPr>
      <w:widowControl/>
      <w:snapToGrid w:val="0"/>
      <w:spacing w:before="60" w:after="160" w:line="259" w:lineRule="auto"/>
      <w:ind w:right="113"/>
    </w:pPr>
    <w:rPr>
      <w:kern w:val="0"/>
      <w:sz w:val="18"/>
      <w:szCs w:val="20"/>
    </w:rPr>
  </w:style>
  <w:style w:type="paragraph" w:customStyle="1" w:styleId="3">
    <w:name w:val="xl27"/>
    <w:basedOn w:val="4"/>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4">
    <w:name w:val="table of authorities"/>
    <w:basedOn w:val="1"/>
    <w:next w:val="1"/>
    <w:qFormat/>
    <w:uiPriority w:val="0"/>
    <w:pPr>
      <w:ind w:left="420" w:leftChars="200"/>
    </w:pPr>
  </w:style>
  <w:style w:type="paragraph" w:styleId="7">
    <w:name w:val="Normal Indent"/>
    <w:basedOn w:val="1"/>
    <w:next w:val="1"/>
    <w:qFormat/>
    <w:uiPriority w:val="0"/>
    <w:pPr>
      <w:widowControl/>
      <w:spacing w:before="100" w:beforeLines="0" w:beforeAutospacing="1" w:after="100" w:afterLines="0" w:afterAutospacing="1"/>
      <w:jc w:val="left"/>
    </w:pPr>
    <w:rPr>
      <w:rFonts w:ascii="宋体" w:hAnsi="宋体"/>
      <w:kern w:val="0"/>
      <w:sz w:val="24"/>
      <w:szCs w:val="24"/>
    </w:rPr>
  </w:style>
  <w:style w:type="paragraph" w:styleId="8">
    <w:name w:val="caption"/>
    <w:basedOn w:val="1"/>
    <w:next w:val="9"/>
    <w:qFormat/>
    <w:uiPriority w:val="0"/>
    <w:pPr>
      <w:wordWrap/>
      <w:spacing w:line="240" w:lineRule="auto"/>
      <w:ind w:firstLine="0" w:firstLineChars="0"/>
    </w:pPr>
    <w:rPr>
      <w:rFonts w:ascii="Arial" w:hAnsi="Arial" w:eastAsia="黑体"/>
      <w:kern w:val="0"/>
      <w:sz w:val="20"/>
      <w:szCs w:val="24"/>
    </w:rPr>
  </w:style>
  <w:style w:type="paragraph" w:styleId="9">
    <w:name w:val="Body Text First Indent"/>
    <w:basedOn w:val="1"/>
    <w:next w:val="2"/>
    <w:unhideWhenUsed/>
    <w:qFormat/>
    <w:uiPriority w:val="99"/>
    <w:pPr>
      <w:spacing w:line="360" w:lineRule="auto"/>
      <w:ind w:right="0" w:firstLine="720" w:firstLineChars="200"/>
    </w:pPr>
    <w:rPr>
      <w:rFonts w:ascii="Calibri" w:hAnsi="Calibri"/>
      <w:sz w:val="21"/>
    </w:rPr>
  </w:style>
  <w:style w:type="paragraph" w:styleId="10">
    <w:name w:val="annotation text"/>
    <w:basedOn w:val="1"/>
    <w:link w:val="43"/>
    <w:semiHidden/>
    <w:qFormat/>
    <w:uiPriority w:val="0"/>
    <w:pPr>
      <w:jc w:val="left"/>
    </w:pPr>
    <w:rPr>
      <w:kern w:val="0"/>
      <w:sz w:val="24"/>
      <w:szCs w:val="20"/>
    </w:rPr>
  </w:style>
  <w:style w:type="paragraph" w:styleId="11">
    <w:name w:val="Body Text Indent"/>
    <w:basedOn w:val="1"/>
    <w:next w:val="12"/>
    <w:link w:val="44"/>
    <w:qFormat/>
    <w:uiPriority w:val="0"/>
    <w:pPr>
      <w:spacing w:after="120"/>
      <w:ind w:left="420" w:leftChars="200"/>
    </w:pPr>
    <w:rPr>
      <w:kern w:val="0"/>
      <w:sz w:val="24"/>
      <w:szCs w:val="20"/>
    </w:rPr>
  </w:style>
  <w:style w:type="paragraph" w:customStyle="1" w:styleId="12">
    <w:name w:val="样式 正文文本缩进 + 行距: 1.5 倍行距"/>
    <w:basedOn w:val="1"/>
    <w:qFormat/>
    <w:uiPriority w:val="0"/>
    <w:pPr>
      <w:spacing w:after="120" w:line="360" w:lineRule="auto"/>
      <w:ind w:left="90" w:leftChars="32" w:firstLine="560" w:firstLineChars="200"/>
    </w:pPr>
    <w:rPr>
      <w:rFonts w:cs="宋体"/>
    </w:rPr>
  </w:style>
  <w:style w:type="paragraph" w:styleId="13">
    <w:name w:val="List Bullet 2"/>
    <w:basedOn w:val="1"/>
    <w:next w:val="14"/>
    <w:qFormat/>
    <w:uiPriority w:val="0"/>
    <w:pPr>
      <w:numPr>
        <w:ilvl w:val="0"/>
        <w:numId w:val="2"/>
      </w:numPr>
    </w:pPr>
  </w:style>
  <w:style w:type="paragraph" w:customStyle="1" w:styleId="14">
    <w:name w:val="xl70"/>
    <w:basedOn w:val="1"/>
    <w:next w:val="15"/>
    <w:qFormat/>
    <w:uiPriority w:val="0"/>
    <w:pPr>
      <w:widowControl/>
      <w:spacing w:before="280" w:after="280" w:line="240" w:lineRule="auto"/>
    </w:pPr>
    <w:rPr>
      <w:rFonts w:ascii="宋体"/>
    </w:rPr>
  </w:style>
  <w:style w:type="paragraph" w:customStyle="1" w:styleId="15">
    <w:name w:val="正文缩进1"/>
    <w:basedOn w:val="1"/>
    <w:next w:val="16"/>
    <w:semiHidden/>
    <w:qFormat/>
    <w:uiPriority w:val="0"/>
    <w:pPr>
      <w:ind w:firstLine="420" w:firstLineChars="200"/>
    </w:pPr>
    <w:rPr>
      <w:szCs w:val="20"/>
    </w:rPr>
  </w:style>
  <w:style w:type="paragraph" w:customStyle="1" w:styleId="16">
    <w:name w:val="td1"/>
    <w:basedOn w:val="1"/>
    <w:next w:val="1"/>
    <w:qFormat/>
    <w:uiPriority w:val="0"/>
    <w:pPr>
      <w:widowControl/>
      <w:spacing w:before="280" w:after="280" w:line="300" w:lineRule="atLeast"/>
      <w:ind w:firstLine="200"/>
    </w:pPr>
    <w:rPr>
      <w:color w:val="000000"/>
      <w:sz w:val="18"/>
    </w:rPr>
  </w:style>
  <w:style w:type="paragraph" w:styleId="17">
    <w:name w:val="toc 5"/>
    <w:basedOn w:val="1"/>
    <w:next w:val="1"/>
    <w:qFormat/>
    <w:uiPriority w:val="0"/>
    <w:pPr>
      <w:ind w:left="1680" w:leftChars="800"/>
    </w:pPr>
  </w:style>
  <w:style w:type="paragraph" w:styleId="18">
    <w:name w:val="Plain Text"/>
    <w:basedOn w:val="1"/>
    <w:qFormat/>
    <w:uiPriority w:val="0"/>
    <w:rPr>
      <w:rFonts w:ascii="Courier New" w:hAnsi="Courier New" w:cs="Times New Roman"/>
      <w:kern w:val="0"/>
      <w:sz w:val="28"/>
    </w:rPr>
  </w:style>
  <w:style w:type="paragraph" w:styleId="19">
    <w:name w:val="Date"/>
    <w:basedOn w:val="1"/>
    <w:next w:val="1"/>
    <w:link w:val="45"/>
    <w:qFormat/>
    <w:uiPriority w:val="0"/>
    <w:pPr>
      <w:ind w:left="100" w:leftChars="2500"/>
    </w:pPr>
    <w:rPr>
      <w:kern w:val="0"/>
      <w:sz w:val="24"/>
      <w:szCs w:val="20"/>
    </w:rPr>
  </w:style>
  <w:style w:type="paragraph" w:styleId="20">
    <w:name w:val="Body Text Indent 2"/>
    <w:basedOn w:val="1"/>
    <w:next w:val="21"/>
    <w:unhideWhenUsed/>
    <w:qFormat/>
    <w:uiPriority w:val="99"/>
    <w:pPr>
      <w:spacing w:after="120" w:line="480" w:lineRule="auto"/>
      <w:ind w:left="420" w:leftChars="200"/>
    </w:pPr>
    <w:rPr>
      <w:rFonts w:eastAsia="汉鼎简书宋"/>
      <w:szCs w:val="24"/>
    </w:rPr>
  </w:style>
  <w:style w:type="paragraph" w:styleId="21">
    <w:name w:val="Body Text First Indent 2"/>
    <w:basedOn w:val="11"/>
    <w:next w:val="1"/>
    <w:qFormat/>
    <w:uiPriority w:val="0"/>
    <w:pPr>
      <w:ind w:firstLine="420" w:firstLineChars="200"/>
    </w:pPr>
    <w:rPr>
      <w:sz w:val="21"/>
      <w:szCs w:val="24"/>
    </w:rPr>
  </w:style>
  <w:style w:type="paragraph" w:styleId="22">
    <w:name w:val="Balloon Text"/>
    <w:basedOn w:val="1"/>
    <w:link w:val="46"/>
    <w:semiHidden/>
    <w:qFormat/>
    <w:uiPriority w:val="0"/>
    <w:rPr>
      <w:kern w:val="0"/>
      <w:sz w:val="18"/>
      <w:szCs w:val="20"/>
    </w:rPr>
  </w:style>
  <w:style w:type="paragraph" w:styleId="23">
    <w:name w:val="footer"/>
    <w:basedOn w:val="1"/>
    <w:link w:val="47"/>
    <w:qFormat/>
    <w:uiPriority w:val="99"/>
    <w:pPr>
      <w:tabs>
        <w:tab w:val="center" w:pos="4153"/>
        <w:tab w:val="right" w:pos="8306"/>
      </w:tabs>
      <w:snapToGrid w:val="0"/>
      <w:jc w:val="left"/>
    </w:pPr>
    <w:rPr>
      <w:kern w:val="0"/>
      <w:sz w:val="18"/>
      <w:szCs w:val="20"/>
    </w:rPr>
  </w:style>
  <w:style w:type="paragraph" w:styleId="24">
    <w:name w:val="header"/>
    <w:basedOn w:val="1"/>
    <w:link w:val="48"/>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toc 1"/>
    <w:basedOn w:val="1"/>
    <w:next w:val="1"/>
    <w:qFormat/>
    <w:uiPriority w:val="0"/>
  </w:style>
  <w:style w:type="paragraph" w:styleId="26">
    <w:name w:val="List"/>
    <w:basedOn w:val="1"/>
    <w:next w:val="13"/>
    <w:qFormat/>
    <w:uiPriority w:val="0"/>
    <w:pPr>
      <w:spacing w:line="320" w:lineRule="exact"/>
      <w:jc w:val="center"/>
    </w:pPr>
    <w:rPr>
      <w:sz w:val="22"/>
      <w:szCs w:val="24"/>
    </w:rPr>
  </w:style>
  <w:style w:type="paragraph" w:styleId="27">
    <w:name w:val="table of figures"/>
    <w:basedOn w:val="1"/>
    <w:next w:val="1"/>
    <w:qFormat/>
    <w:uiPriority w:val="0"/>
    <w:pPr>
      <w:ind w:left="200" w:leftChars="200" w:hanging="200" w:hangingChars="200"/>
    </w:pPr>
  </w:style>
  <w:style w:type="paragraph" w:styleId="28">
    <w:name w:val="Normal (Web)"/>
    <w:basedOn w:val="1"/>
    <w:link w:val="49"/>
    <w:qFormat/>
    <w:uiPriority w:val="0"/>
    <w:pPr>
      <w:widowControl/>
      <w:spacing w:before="100" w:beforeAutospacing="1" w:after="100" w:afterAutospacing="1"/>
      <w:jc w:val="left"/>
    </w:pPr>
    <w:rPr>
      <w:rFonts w:ascii="宋体" w:hAnsi="宋体"/>
      <w:kern w:val="0"/>
      <w:sz w:val="24"/>
      <w:szCs w:val="20"/>
    </w:rPr>
  </w:style>
  <w:style w:type="paragraph" w:styleId="29">
    <w:name w:val="Title"/>
    <w:basedOn w:val="1"/>
    <w:next w:val="1"/>
    <w:qFormat/>
    <w:uiPriority w:val="0"/>
    <w:pPr>
      <w:spacing w:before="50" w:beforeLines="50" w:after="50" w:afterLines="50" w:line="240" w:lineRule="auto"/>
      <w:jc w:val="center"/>
      <w:outlineLvl w:val="9"/>
    </w:pPr>
    <w:rPr>
      <w:rFonts w:cs="Times New Roman"/>
      <w:sz w:val="21"/>
      <w:szCs w:val="32"/>
    </w:rPr>
  </w:style>
  <w:style w:type="paragraph" w:styleId="30">
    <w:name w:val="annotation subject"/>
    <w:basedOn w:val="10"/>
    <w:next w:val="10"/>
    <w:link w:val="50"/>
    <w:semiHidden/>
    <w:qFormat/>
    <w:uiPriority w:val="0"/>
    <w:rPr>
      <w:b/>
      <w:sz w:val="24"/>
      <w:szCs w:val="20"/>
    </w:rPr>
  </w:style>
  <w:style w:type="table" w:styleId="32">
    <w:name w:val="Table Grid"/>
    <w:basedOn w:val="3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basedOn w:val="33"/>
    <w:qFormat/>
    <w:uiPriority w:val="0"/>
  </w:style>
  <w:style w:type="character" w:styleId="35">
    <w:name w:val="annotation reference"/>
    <w:semiHidden/>
    <w:qFormat/>
    <w:uiPriority w:val="0"/>
    <w:rPr>
      <w:sz w:val="21"/>
    </w:rPr>
  </w:style>
  <w:style w:type="paragraph" w:customStyle="1" w:styleId="36">
    <w:name w:val="表格文字"/>
    <w:basedOn w:val="37"/>
    <w:next w:val="1"/>
    <w:qFormat/>
    <w:uiPriority w:val="0"/>
    <w:pPr>
      <w:spacing w:line="240" w:lineRule="auto"/>
      <w:ind w:firstLine="0" w:firstLineChars="0"/>
      <w:jc w:val="center"/>
    </w:pPr>
    <w:rPr>
      <w:rFonts w:ascii="Times New Roman" w:hAnsi="Times New Roman" w:eastAsia="宋体"/>
      <w:kern w:val="44"/>
      <w:sz w:val="21"/>
      <w:szCs w:val="21"/>
      <w:lang w:val="en-US" w:bidi="ar-SA"/>
    </w:rPr>
  </w:style>
  <w:style w:type="paragraph" w:customStyle="1" w:styleId="37">
    <w:name w:val="正文格式"/>
    <w:basedOn w:val="1"/>
    <w:qFormat/>
    <w:uiPriority w:val="0"/>
    <w:pPr>
      <w:jc w:val="left"/>
    </w:pPr>
    <w:rPr>
      <w:rFonts w:eastAsia="仿宋"/>
      <w:kern w:val="0"/>
      <w:szCs w:val="20"/>
    </w:rPr>
  </w:style>
  <w:style w:type="paragraph" w:customStyle="1" w:styleId="38">
    <w:name w:val="表格标题"/>
    <w:basedOn w:val="9"/>
    <w:next w:val="39"/>
    <w:qFormat/>
    <w:uiPriority w:val="0"/>
    <w:pPr>
      <w:spacing w:line="240" w:lineRule="auto"/>
      <w:ind w:firstLine="0" w:firstLineChars="0"/>
      <w:jc w:val="center"/>
    </w:pPr>
    <w:rPr>
      <w:rFonts w:ascii="Times New Roman" w:hAnsi="Times New Roman" w:eastAsia="宋体"/>
      <w:b/>
      <w:kern w:val="2"/>
      <w:szCs w:val="24"/>
      <w:lang w:val="en-US" w:bidi="ar-SA"/>
    </w:rPr>
  </w:style>
  <w:style w:type="paragraph" w:customStyle="1" w:styleId="39">
    <w:name w:val="表格内容"/>
    <w:basedOn w:val="40"/>
    <w:next w:val="1"/>
    <w:qFormat/>
    <w:uiPriority w:val="0"/>
    <w:pPr>
      <w:jc w:val="center"/>
    </w:pPr>
    <w:rPr>
      <w:rFonts w:ascii="Times New Roman" w:hAnsi="Times New Roman" w:eastAsia="宋体" w:cs="Times New Roman"/>
      <w:sz w:val="21"/>
      <w:lang w:val="en-US" w:eastAsia="zh-CN" w:bidi="ar-SA"/>
    </w:rPr>
  </w:style>
  <w:style w:type="paragraph" w:customStyle="1" w:styleId="40">
    <w:name w:val="表格"/>
    <w:basedOn w:val="7"/>
    <w:next w:val="1"/>
    <w:link w:val="51"/>
    <w:qFormat/>
    <w:uiPriority w:val="0"/>
    <w:pPr>
      <w:adjustRightInd w:val="0"/>
      <w:snapToGrid w:val="0"/>
      <w:spacing w:beforeLines="10" w:afterLines="10" w:line="259" w:lineRule="auto"/>
      <w:jc w:val="center"/>
    </w:pPr>
    <w:rPr>
      <w:rFonts w:ascii="宋体"/>
      <w:kern w:val="0"/>
      <w:szCs w:val="20"/>
    </w:rPr>
  </w:style>
  <w:style w:type="paragraph" w:customStyle="1" w:styleId="41">
    <w:name w:val="表头"/>
    <w:basedOn w:val="40"/>
    <w:qFormat/>
    <w:uiPriority w:val="0"/>
    <w:pPr>
      <w:adjustRightInd w:val="0"/>
      <w:snapToGrid w:val="0"/>
      <w:spacing w:line="240" w:lineRule="auto"/>
      <w:ind w:firstLine="0" w:firstLineChars="0"/>
      <w:jc w:val="center"/>
      <w:textAlignment w:val="baseline"/>
    </w:pPr>
    <w:rPr>
      <w:rFonts w:ascii="Times New Roman" w:hAnsi="Times New Roman" w:eastAsia="宋体"/>
      <w:b/>
      <w:kern w:val="0"/>
      <w:sz w:val="21"/>
      <w:szCs w:val="21"/>
      <w:lang w:val="en-US" w:bidi="ar-SA"/>
    </w:rPr>
  </w:style>
  <w:style w:type="character" w:customStyle="1" w:styleId="42">
    <w:name w:val="正文文本 Char"/>
    <w:link w:val="2"/>
    <w:qFormat/>
    <w:uiPriority w:val="0"/>
    <w:rPr>
      <w:sz w:val="18"/>
    </w:rPr>
  </w:style>
  <w:style w:type="character" w:customStyle="1" w:styleId="43">
    <w:name w:val="批注文字 Char"/>
    <w:link w:val="10"/>
    <w:qFormat/>
    <w:uiPriority w:val="0"/>
    <w:rPr>
      <w:rFonts w:ascii="Times New Roman" w:hAnsi="Times New Roman" w:eastAsia="宋体"/>
      <w:sz w:val="24"/>
    </w:rPr>
  </w:style>
  <w:style w:type="character" w:customStyle="1" w:styleId="44">
    <w:name w:val="正文文本缩进 Char"/>
    <w:link w:val="11"/>
    <w:semiHidden/>
    <w:qFormat/>
    <w:uiPriority w:val="0"/>
    <w:rPr>
      <w:rFonts w:ascii="Times New Roman" w:hAnsi="Times New Roman" w:eastAsia="宋体"/>
      <w:sz w:val="24"/>
    </w:rPr>
  </w:style>
  <w:style w:type="character" w:customStyle="1" w:styleId="45">
    <w:name w:val="日期 Char"/>
    <w:link w:val="19"/>
    <w:qFormat/>
    <w:uiPriority w:val="0"/>
    <w:rPr>
      <w:rFonts w:ascii="Times New Roman" w:hAnsi="Times New Roman" w:eastAsia="宋体"/>
      <w:sz w:val="24"/>
    </w:rPr>
  </w:style>
  <w:style w:type="character" w:customStyle="1" w:styleId="46">
    <w:name w:val="批注框文本 Char"/>
    <w:link w:val="22"/>
    <w:semiHidden/>
    <w:qFormat/>
    <w:uiPriority w:val="0"/>
    <w:rPr>
      <w:rFonts w:ascii="Times New Roman" w:hAnsi="Times New Roman" w:eastAsia="宋体"/>
      <w:sz w:val="18"/>
    </w:rPr>
  </w:style>
  <w:style w:type="character" w:customStyle="1" w:styleId="47">
    <w:name w:val="页脚 Char"/>
    <w:link w:val="23"/>
    <w:qFormat/>
    <w:uiPriority w:val="99"/>
    <w:rPr>
      <w:sz w:val="18"/>
    </w:rPr>
  </w:style>
  <w:style w:type="character" w:customStyle="1" w:styleId="48">
    <w:name w:val="页眉 Char"/>
    <w:link w:val="24"/>
    <w:qFormat/>
    <w:uiPriority w:val="0"/>
    <w:rPr>
      <w:sz w:val="18"/>
    </w:rPr>
  </w:style>
  <w:style w:type="character" w:customStyle="1" w:styleId="49">
    <w:name w:val="普通(网站) Char"/>
    <w:link w:val="28"/>
    <w:qFormat/>
    <w:uiPriority w:val="0"/>
    <w:rPr>
      <w:rFonts w:ascii="宋体" w:hAnsi="宋体" w:eastAsia="宋体"/>
      <w:sz w:val="24"/>
    </w:rPr>
  </w:style>
  <w:style w:type="character" w:customStyle="1" w:styleId="50">
    <w:name w:val="批注主题 Char"/>
    <w:link w:val="30"/>
    <w:semiHidden/>
    <w:qFormat/>
    <w:uiPriority w:val="0"/>
    <w:rPr>
      <w:rFonts w:ascii="Times New Roman" w:hAnsi="Times New Roman" w:eastAsia="宋体"/>
      <w:b/>
      <w:kern w:val="2"/>
      <w:sz w:val="24"/>
    </w:rPr>
  </w:style>
  <w:style w:type="character" w:customStyle="1" w:styleId="51">
    <w:name w:val="表格 Char"/>
    <w:link w:val="40"/>
    <w:qFormat/>
    <w:uiPriority w:val="0"/>
    <w:rPr>
      <w:rFonts w:ascii="宋体"/>
      <w:sz w:val="21"/>
    </w:rPr>
  </w:style>
  <w:style w:type="paragraph" w:customStyle="1" w:styleId="52">
    <w:name w:val="Default"/>
    <w:basedOn w:val="53"/>
    <w:qFormat/>
    <w:uiPriority w:val="0"/>
    <w:pPr>
      <w:autoSpaceDE w:val="0"/>
      <w:autoSpaceDN w:val="0"/>
      <w:adjustRightInd w:val="0"/>
    </w:pPr>
    <w:rPr>
      <w:rFonts w:ascii="宋体" w:hAnsi="宋体" w:cs="宋体"/>
      <w:kern w:val="0"/>
      <w:sz w:val="24"/>
    </w:rPr>
  </w:style>
  <w:style w:type="paragraph" w:customStyle="1" w:styleId="53">
    <w:name w:val="！正文 Alt+0"/>
    <w:basedOn w:val="1"/>
    <w:qFormat/>
    <w:uiPriority w:val="0"/>
    <w:pPr>
      <w:ind w:firstLine="200"/>
    </w:pPr>
    <w:rPr>
      <w:sz w:val="28"/>
      <w:szCs w:val="28"/>
    </w:rPr>
  </w:style>
  <w:style w:type="paragraph" w:customStyle="1" w:styleId="54">
    <w:name w:val="纯文本1"/>
    <w:basedOn w:val="1"/>
    <w:qFormat/>
    <w:uiPriority w:val="0"/>
    <w:pPr>
      <w:adjustRightInd w:val="0"/>
      <w:spacing w:line="360" w:lineRule="auto"/>
      <w:ind w:firstLine="465"/>
      <w:textAlignment w:val="baseline"/>
    </w:pPr>
    <w:rPr>
      <w:rFonts w:ascii="宋体" w:hAnsi="Courier New"/>
      <w:sz w:val="24"/>
    </w:rPr>
  </w:style>
  <w:style w:type="character" w:customStyle="1" w:styleId="55">
    <w:name w:val="批注文字 字符1"/>
    <w:semiHidden/>
    <w:qFormat/>
    <w:uiPriority w:val="0"/>
    <w:rPr>
      <w:rFonts w:ascii="Times New Roman" w:hAnsi="Times New Roman" w:eastAsia="宋体"/>
      <w:sz w:val="24"/>
    </w:rPr>
  </w:style>
  <w:style w:type="character" w:customStyle="1" w:styleId="56">
    <w:name w:val="页脚 字符"/>
    <w:basedOn w:val="33"/>
    <w:qFormat/>
    <w:uiPriority w:val="99"/>
  </w:style>
  <w:style w:type="character" w:customStyle="1" w:styleId="57">
    <w:name w:val="日期 字符"/>
    <w:semiHidden/>
    <w:qFormat/>
    <w:uiPriority w:val="0"/>
    <w:rPr>
      <w:rFonts w:ascii="Times New Roman" w:hAnsi="Times New Roman" w:eastAsia="宋体"/>
      <w:sz w:val="24"/>
    </w:rPr>
  </w:style>
  <w:style w:type="character" w:customStyle="1" w:styleId="58">
    <w:name w:val="正文文本 字符1"/>
    <w:semiHidden/>
    <w:qFormat/>
    <w:uiPriority w:val="0"/>
    <w:rPr>
      <w:rFonts w:ascii="Times New Roman" w:hAnsi="Times New Roman" w:eastAsia="宋体"/>
      <w:sz w:val="24"/>
    </w:rPr>
  </w:style>
  <w:style w:type="paragraph" w:customStyle="1" w:styleId="5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普通(网站)2"/>
    <w:basedOn w:val="1"/>
    <w:qFormat/>
    <w:uiPriority w:val="0"/>
    <w:pPr>
      <w:widowControl/>
      <w:spacing w:before="100" w:beforeAutospacing="1" w:after="100" w:afterAutospacing="1"/>
      <w:jc w:val="left"/>
    </w:pPr>
    <w:rPr>
      <w:rFonts w:ascii="宋体" w:hAnsi="宋体"/>
      <w:sz w:val="24"/>
      <w:szCs w:val="20"/>
    </w:rPr>
  </w:style>
  <w:style w:type="table" w:customStyle="1" w:styleId="61">
    <w:name w:val="Table Normal"/>
    <w:unhideWhenUsed/>
    <w:qFormat/>
    <w:uiPriority w:val="0"/>
    <w:tblPr>
      <w:tblCellMar>
        <w:top w:w="0" w:type="dxa"/>
        <w:left w:w="0" w:type="dxa"/>
        <w:bottom w:w="0" w:type="dxa"/>
        <w:right w:w="0" w:type="dxa"/>
      </w:tblCellMar>
    </w:tblPr>
  </w:style>
  <w:style w:type="paragraph" w:customStyle="1" w:styleId="62">
    <w:name w:val="Table Paragraph"/>
    <w:basedOn w:val="1"/>
    <w:qFormat/>
    <w:uiPriority w:val="1"/>
  </w:style>
  <w:style w:type="paragraph" w:customStyle="1" w:styleId="63">
    <w:name w:val="B正文"/>
    <w:basedOn w:val="1"/>
    <w:qFormat/>
    <w:uiPriority w:val="0"/>
    <w:pPr>
      <w:spacing w:line="360" w:lineRule="auto"/>
      <w:ind w:firstLine="200" w:firstLineChars="200"/>
    </w:pPr>
    <w:rPr>
      <w:rFonts w:ascii="Times New Roman" w:hAnsi="Times New Roman" w:cs="Times New Roman"/>
      <w:sz w:val="24"/>
      <w:szCs w:val="24"/>
    </w:rPr>
  </w:style>
  <w:style w:type="paragraph" w:customStyle="1" w:styleId="64">
    <w:name w:val="BGB-二级标题"/>
    <w:basedOn w:val="1"/>
    <w:qFormat/>
    <w:uiPriority w:val="0"/>
    <w:pPr>
      <w:spacing w:line="360" w:lineRule="auto"/>
      <w:outlineLvl w:val="9"/>
    </w:pPr>
    <w:rPr>
      <w:rFonts w:ascii="Times New Roman" w:hAnsi="Times New Roman" w:eastAsia="宋体" w:cs="宋体"/>
      <w:b/>
      <w:bCs/>
      <w:szCs w:val="21"/>
    </w:rPr>
  </w:style>
  <w:style w:type="paragraph" w:customStyle="1" w:styleId="65">
    <w:name w:val="BGB-正文"/>
    <w:basedOn w:val="1"/>
    <w:qFormat/>
    <w:uiPriority w:val="0"/>
    <w:pPr>
      <w:spacing w:line="360" w:lineRule="auto"/>
      <w:ind w:firstLine="420" w:firstLineChars="200"/>
      <w:outlineLvl w:val="9"/>
    </w:pPr>
    <w:rPr>
      <w:rFonts w:ascii="Times New Roman" w:hAnsi="Times New Roman" w:eastAsia="宋体" w:cs="宋体"/>
      <w:szCs w:val="21"/>
    </w:rPr>
  </w:style>
  <w:style w:type="paragraph" w:customStyle="1" w:styleId="66">
    <w:name w:val="BGB-图表标题"/>
    <w:basedOn w:val="1"/>
    <w:qFormat/>
    <w:uiPriority w:val="0"/>
    <w:pPr>
      <w:spacing w:line="360" w:lineRule="auto"/>
      <w:ind w:firstLine="0" w:firstLineChars="0"/>
      <w:jc w:val="center"/>
      <w:outlineLvl w:val="9"/>
    </w:pPr>
    <w:rPr>
      <w:rFonts w:hint="eastAsia" w:ascii="Times New Roman" w:hAnsi="Times New Roman" w:eastAsia="宋体" w:cs="宋体"/>
      <w:b/>
      <w:bCs/>
      <w:szCs w:val="21"/>
    </w:rPr>
  </w:style>
  <w:style w:type="paragraph" w:customStyle="1" w:styleId="67">
    <w:name w:val="BGB-表格内文字"/>
    <w:basedOn w:val="1"/>
    <w:qFormat/>
    <w:uiPriority w:val="0"/>
    <w:pPr>
      <w:widowControl/>
      <w:spacing w:line="360" w:lineRule="exact"/>
      <w:jc w:val="center"/>
    </w:pPr>
    <w:rPr>
      <w:rFonts w:ascii="Times New Roman" w:hAnsi="Times New Roman" w:eastAsia="宋体" w:cs="Times New Roman"/>
      <w:bCs/>
      <w:szCs w:val="21"/>
      <w:u w:val="none"/>
      <w:lang w:bidi="ar"/>
    </w:rPr>
  </w:style>
  <w:style w:type="paragraph" w:customStyle="1" w:styleId="68">
    <w:name w:val="样式1"/>
    <w:basedOn w:val="1"/>
    <w:qFormat/>
    <w:uiPriority w:val="0"/>
    <w:pPr>
      <w:spacing w:line="360" w:lineRule="auto"/>
      <w:ind w:firstLine="510"/>
    </w:pPr>
    <w:rPr>
      <w:rFonts w:ascii="Times New Roman" w:hAnsi="Times New Roman" w:eastAsia="宋体" w:cs="Times New Roman"/>
      <w:sz w:val="24"/>
      <w:szCs w:val="20"/>
    </w:rPr>
  </w:style>
  <w:style w:type="paragraph" w:customStyle="1" w:styleId="69">
    <w:name w:val="List Paragraph"/>
    <w:basedOn w:val="1"/>
    <w:qFormat/>
    <w:uiPriority w:val="0"/>
    <w:pPr>
      <w:ind w:firstLine="420" w:firstLineChars="200"/>
    </w:pPr>
    <w:rPr>
      <w:rFonts w:ascii="Times New Roman" w:hAnsi="Times New Roman" w:eastAsia="宋体" w:cs="Times New Roman"/>
      <w:szCs w:val="20"/>
    </w:rPr>
  </w:style>
  <w:style w:type="paragraph" w:customStyle="1" w:styleId="70">
    <w:name w:val="S正文"/>
    <w:basedOn w:val="1"/>
    <w:qFormat/>
    <w:uiPriority w:val="0"/>
  </w:style>
  <w:style w:type="paragraph" w:customStyle="1" w:styleId="71">
    <w:name w:val="C表格正文"/>
    <w:basedOn w:val="72"/>
    <w:qFormat/>
    <w:uiPriority w:val="0"/>
    <w:pPr>
      <w:wordWrap w:val="0"/>
    </w:pPr>
    <w:rPr>
      <w:color w:val="auto"/>
    </w:rPr>
  </w:style>
  <w:style w:type="paragraph" w:customStyle="1" w:styleId="72">
    <w:name w:val="表格正文"/>
    <w:basedOn w:val="73"/>
    <w:next w:val="1"/>
    <w:qFormat/>
    <w:uiPriority w:val="0"/>
    <w:pPr>
      <w:spacing w:line="240" w:lineRule="auto"/>
      <w:ind w:firstLine="0" w:firstLineChars="0"/>
      <w:jc w:val="left"/>
    </w:pPr>
    <w:rPr>
      <w:kern w:val="0"/>
      <w:sz w:val="21"/>
      <w:szCs w:val="20"/>
    </w:rPr>
  </w:style>
  <w:style w:type="paragraph" w:customStyle="1" w:styleId="73">
    <w:name w:val="表格文字0"/>
    <w:basedOn w:val="1"/>
    <w:qFormat/>
    <w:uiPriority w:val="0"/>
    <w:pPr>
      <w:jc w:val="center"/>
    </w:pPr>
  </w:style>
  <w:style w:type="paragraph" w:customStyle="1" w:styleId="74">
    <w:name w:val="表中文字"/>
    <w:basedOn w:val="41"/>
    <w:qFormat/>
    <w:uiPriority w:val="0"/>
    <w:pPr>
      <w:jc w:val="center"/>
    </w:pPr>
    <w:rPr>
      <w:spacing w:val="4"/>
      <w:w w:val="90"/>
      <w:sz w:val="24"/>
      <w:szCs w:val="24"/>
    </w:rPr>
  </w:style>
  <w:style w:type="paragraph" w:customStyle="1" w:styleId="75">
    <w:name w:val="1表头"/>
    <w:basedOn w:val="1"/>
    <w:qFormat/>
    <w:uiPriority w:val="0"/>
    <w:pPr>
      <w:adjustRightInd w:val="0"/>
      <w:snapToGrid w:val="0"/>
      <w:spacing w:before="62" w:beforeLines="20" w:after="62" w:afterLines="20"/>
      <w:jc w:val="center"/>
    </w:pPr>
    <w:rPr>
      <w:rFonts w:ascii="Calibri" w:hAnsi="Calibri"/>
      <w:b/>
    </w:rPr>
  </w:style>
  <w:style w:type="character" w:customStyle="1" w:styleId="76">
    <w:name w:val="font11"/>
    <w:basedOn w:val="33"/>
    <w:qFormat/>
    <w:uiPriority w:val="0"/>
    <w:rPr>
      <w:rFonts w:hint="default" w:ascii="Times New Roman" w:hAnsi="Times New Roman" w:cs="Times New Roman"/>
      <w:color w:val="000000"/>
      <w:sz w:val="18"/>
      <w:szCs w:val="18"/>
      <w:u w:val="none"/>
    </w:rPr>
  </w:style>
  <w:style w:type="character" w:customStyle="1" w:styleId="77">
    <w:name w:val="font31"/>
    <w:basedOn w:val="33"/>
    <w:qFormat/>
    <w:uiPriority w:val="0"/>
    <w:rPr>
      <w:rFonts w:hint="default" w:ascii="Times New Roman" w:hAnsi="Times New Roman" w:cs="Times New Roman"/>
      <w:color w:val="000000"/>
      <w:sz w:val="18"/>
      <w:szCs w:val="18"/>
      <w:u w:val="none"/>
      <w:vertAlign w:val="subscript"/>
    </w:rPr>
  </w:style>
  <w:style w:type="character" w:customStyle="1" w:styleId="78">
    <w:name w:val="font21"/>
    <w:basedOn w:val="33"/>
    <w:qFormat/>
    <w:uiPriority w:val="0"/>
    <w:rPr>
      <w:rFonts w:hint="eastAsia" w:ascii="宋体" w:hAnsi="宋体" w:eastAsia="宋体" w:cs="宋体"/>
      <w:color w:val="000000"/>
      <w:sz w:val="18"/>
      <w:szCs w:val="18"/>
      <w:u w:val="none"/>
    </w:rPr>
  </w:style>
  <w:style w:type="character" w:customStyle="1" w:styleId="79">
    <w:name w:val="font51"/>
    <w:basedOn w:val="33"/>
    <w:qFormat/>
    <w:uiPriority w:val="0"/>
    <w:rPr>
      <w:rFonts w:hint="default" w:ascii="Times New Roman" w:hAnsi="Times New Roman" w:cs="Times New Roman"/>
      <w:color w:val="000000"/>
      <w:sz w:val="18"/>
      <w:szCs w:val="18"/>
      <w:u w:val="none"/>
    </w:rPr>
  </w:style>
  <w:style w:type="character" w:customStyle="1" w:styleId="80">
    <w:name w:val="font41"/>
    <w:basedOn w:val="33"/>
    <w:qFormat/>
    <w:uiPriority w:val="0"/>
    <w:rPr>
      <w:rFonts w:hint="default" w:ascii="Times New Roman" w:hAnsi="Times New Roman" w:cs="Times New Roman"/>
      <w:color w:val="000000"/>
      <w:sz w:val="18"/>
      <w:szCs w:val="18"/>
      <w:u w:val="none"/>
      <w:vertAlign w:val="superscript"/>
    </w:rPr>
  </w:style>
  <w:style w:type="character" w:customStyle="1" w:styleId="81">
    <w:name w:val="font71"/>
    <w:basedOn w:val="33"/>
    <w:qFormat/>
    <w:uiPriority w:val="0"/>
    <w:rPr>
      <w:rFonts w:ascii="微软雅黑" w:hAnsi="微软雅黑" w:eastAsia="微软雅黑" w:cs="微软雅黑"/>
      <w:b/>
      <w:bCs/>
      <w:color w:val="000000"/>
      <w:sz w:val="18"/>
      <w:szCs w:val="18"/>
      <w:u w:val="none"/>
    </w:rPr>
  </w:style>
  <w:style w:type="character" w:customStyle="1" w:styleId="82">
    <w:name w:val="font81"/>
    <w:basedOn w:val="33"/>
    <w:qFormat/>
    <w:uiPriority w:val="0"/>
    <w:rPr>
      <w:rFonts w:hint="default" w:ascii="Times New Roman" w:hAnsi="Times New Roman" w:cs="Times New Roman"/>
      <w:b/>
      <w:bCs/>
      <w:color w:val="000000"/>
      <w:sz w:val="18"/>
      <w:szCs w:val="18"/>
      <w:u w:val="none"/>
    </w:rPr>
  </w:style>
  <w:style w:type="paragraph" w:customStyle="1" w:styleId="83">
    <w:name w:val="正文 首行缩进"/>
    <w:basedOn w:val="1"/>
    <w:qFormat/>
    <w:uiPriority w:val="0"/>
    <w:pPr>
      <w:spacing w:line="360" w:lineRule="auto"/>
      <w:ind w:firstLine="200" w:firstLineChars="200"/>
    </w:pPr>
    <w:rPr>
      <w:rFonts w:cs="宋体"/>
      <w:kern w:val="0"/>
      <w:szCs w:val="20"/>
    </w:rPr>
  </w:style>
  <w:style w:type="paragraph" w:customStyle="1" w:styleId="84">
    <w:name w:val="报告表正文"/>
    <w:basedOn w:val="1"/>
    <w:qFormat/>
    <w:uiPriority w:val="0"/>
    <w:pPr>
      <w:spacing w:line="360" w:lineRule="auto"/>
      <w:ind w:firstLine="200"/>
    </w:pPr>
  </w:style>
  <w:style w:type="paragraph" w:customStyle="1" w:styleId="85">
    <w:name w:val="表标题"/>
    <w:basedOn w:val="1"/>
    <w:next w:val="1"/>
    <w:qFormat/>
    <w:uiPriority w:val="0"/>
    <w:pPr>
      <w:spacing w:before="0" w:line="240" w:lineRule="auto"/>
      <w:ind w:firstLine="0" w:firstLineChars="0"/>
      <w:jc w:val="center"/>
    </w:pPr>
    <w:rPr>
      <w:rFonts w:cs="Times New Roman"/>
      <w:b/>
      <w:kern w:val="2"/>
      <w:sz w:val="21"/>
      <w:szCs w:val="21"/>
      <w:lang w:eastAsia="zh-CN"/>
    </w:rPr>
  </w:style>
  <w:style w:type="paragraph" w:customStyle="1" w:styleId="86">
    <w:name w:val="（正文）"/>
    <w:basedOn w:val="18"/>
    <w:qFormat/>
    <w:uiPriority w:val="0"/>
    <w:pPr>
      <w:spacing w:line="360" w:lineRule="auto"/>
      <w:ind w:firstLine="480"/>
    </w:pPr>
    <w:rPr>
      <w:rFonts w:cs="Courier New"/>
      <w:sz w:val="24"/>
      <w:szCs w:val="21"/>
    </w:rPr>
  </w:style>
  <w:style w:type="paragraph" w:customStyle="1" w:styleId="87">
    <w:name w:val="中文报告书样式"/>
    <w:basedOn w:val="1"/>
    <w:qFormat/>
    <w:uiPriority w:val="0"/>
    <w:pPr>
      <w:adjustRightInd w:val="0"/>
      <w:spacing w:line="480" w:lineRule="atLeast"/>
      <w:ind w:firstLine="482"/>
      <w:textAlignment w:val="baseline"/>
    </w:pPr>
    <w:rPr>
      <w:kern w:val="24"/>
      <w:sz w:val="24"/>
    </w:rPr>
  </w:style>
  <w:style w:type="paragraph" w:customStyle="1" w:styleId="88">
    <w:name w:val="标准正文"/>
    <w:basedOn w:val="1"/>
    <w:qFormat/>
    <w:uiPriority w:val="0"/>
    <w:pPr>
      <w:ind w:firstLine="480"/>
    </w:pPr>
    <w:rPr>
      <w:rFonts w:ascii="宋体" w:hAnsi="宋体"/>
    </w:rPr>
  </w:style>
  <w:style w:type="character" w:customStyle="1" w:styleId="89">
    <w:name w:val="NormalCharacter"/>
    <w:qFormat/>
    <w:uiPriority w:val="0"/>
  </w:style>
  <w:style w:type="paragraph" w:customStyle="1" w:styleId="90">
    <w:name w:val="表格内文字"/>
    <w:qFormat/>
    <w:uiPriority w:val="0"/>
    <w:pPr>
      <w:jc w:val="center"/>
    </w:pPr>
    <w:rPr>
      <w:rFonts w:ascii="Times New Roman" w:hAnsi="Times New Roman" w:eastAsia="宋体" w:cs="Times New Roman"/>
      <w:sz w:val="21"/>
      <w:szCs w:val="21"/>
      <w:lang w:val="en-US" w:eastAsia="zh-CN" w:bidi="ar-SA"/>
    </w:rPr>
  </w:style>
  <w:style w:type="paragraph" w:customStyle="1" w:styleId="91">
    <w:name w:val="封面"/>
    <w:basedOn w:val="1"/>
    <w:qFormat/>
    <w:uiPriority w:val="0"/>
    <w:pPr>
      <w:spacing w:line="720" w:lineRule="auto"/>
      <w:ind w:firstLine="0" w:firstLineChars="0"/>
      <w:jc w:val="center"/>
    </w:pPr>
    <w:rPr>
      <w:rFonts w:ascii="Times New Roman" w:hAnsi="Times New Roman"/>
      <w:b/>
      <w:sz w:val="44"/>
    </w:rPr>
  </w:style>
  <w:style w:type="paragraph" w:customStyle="1" w:styleId="92">
    <w:name w:val="TT正文"/>
    <w:basedOn w:val="1"/>
    <w:qFormat/>
    <w:uiPriority w:val="0"/>
    <w:rPr>
      <w:rFonts w:cs="宋体"/>
      <w:color w:val="000000"/>
      <w:szCs w:val="20"/>
    </w:rPr>
  </w:style>
  <w:style w:type="paragraph" w:customStyle="1" w:styleId="93">
    <w:name w:val="_Style 1"/>
    <w:basedOn w:val="1"/>
    <w:next w:val="1"/>
    <w:qFormat/>
    <w:uiPriority w:val="0"/>
    <w:pPr>
      <w:ind w:firstLine="420" w:firstLineChars="200"/>
    </w:pPr>
    <w:rPr>
      <w:rFonts w:ascii="Calibri" w:hAnsi="Calibri" w:eastAsia="宋体" w:cs="Times New Roman"/>
      <w:szCs w:val="22"/>
    </w:rPr>
  </w:style>
  <w:style w:type="paragraph" w:customStyle="1" w:styleId="94">
    <w:name w:val="ZX 3 表标题"/>
    <w:basedOn w:val="1"/>
    <w:qFormat/>
    <w:uiPriority w:val="0"/>
    <w:pPr>
      <w:numPr>
        <w:ilvl w:val="0"/>
        <w:numId w:val="3"/>
      </w:numPr>
      <w:tabs>
        <w:tab w:val="left" w:pos="480"/>
      </w:tabs>
      <w:adjustRightInd w:val="0"/>
      <w:snapToGrid w:val="0"/>
      <w:ind w:firstLine="0" w:firstLineChars="0"/>
      <w:jc w:val="center"/>
    </w:pPr>
    <w:rPr>
      <w:b/>
      <w:sz w:val="21"/>
    </w:rPr>
  </w:style>
  <w:style w:type="paragraph" w:customStyle="1" w:styleId="95">
    <w:name w:val="zhang正文"/>
    <w:basedOn w:val="1"/>
    <w:qFormat/>
    <w:uiPriority w:val="0"/>
    <w:rPr>
      <w:szCs w:val="20"/>
    </w:rPr>
  </w:style>
  <w:style w:type="paragraph" w:customStyle="1" w:styleId="96">
    <w:name w:val="表-正文-5号1.5行距"/>
    <w:basedOn w:val="1"/>
    <w:qFormat/>
    <w:uiPriority w:val="0"/>
    <w:pPr>
      <w:spacing w:line="360" w:lineRule="auto"/>
      <w:ind w:firstLine="200" w:firstLineChars="200"/>
    </w:pPr>
    <w:rPr>
      <w:rFonts w:hint="eastAsia" w:ascii="Times New Roman" w:hAnsi="Times New Roman"/>
      <w:kern w:val="0"/>
      <w:szCs w:val="16"/>
    </w:rPr>
  </w:style>
  <w:style w:type="paragraph" w:customStyle="1" w:styleId="97">
    <w:name w:val="报告表-正文"/>
    <w:basedOn w:val="1"/>
    <w:qFormat/>
    <w:uiPriority w:val="0"/>
    <w:pPr>
      <w:autoSpaceDE w:val="0"/>
      <w:autoSpaceDN w:val="0"/>
      <w:adjustRightInd w:val="0"/>
      <w:snapToGrid w:val="0"/>
      <w:spacing w:line="360" w:lineRule="auto"/>
      <w:ind w:firstLine="480" w:firstLineChars="200"/>
    </w:pPr>
    <w:rPr>
      <w:rFonts w:hint="eastAsia" w:ascii="Times New Roman" w:hAnsi="Times New Roman" w:eastAsia="宋体" w:cs="Times New Roman"/>
      <w:kern w:val="0"/>
      <w:sz w:val="21"/>
    </w:rPr>
  </w:style>
  <w:style w:type="paragraph" w:customStyle="1" w:styleId="98">
    <w:name w:val="B-表格标题"/>
    <w:basedOn w:val="1"/>
    <w:next w:val="1"/>
    <w:qFormat/>
    <w:uiPriority w:val="0"/>
    <w:pPr>
      <w:numPr>
        <w:ilvl w:val="3"/>
        <w:numId w:val="4"/>
      </w:numPr>
      <w:tabs>
        <w:tab w:val="left" w:pos="420"/>
        <w:tab w:val="clear" w:pos="0"/>
      </w:tabs>
      <w:spacing w:line="360" w:lineRule="auto"/>
      <w:jc w:val="center"/>
      <w:outlineLvl w:val="9"/>
    </w:pPr>
    <w:rPr>
      <w:rFonts w:hint="eastAsia" w:ascii="Times New Roman" w:hAnsi="Times New Roman" w:eastAsia="宋体" w:cs="宋体"/>
      <w:b/>
      <w:bCs/>
      <w:szCs w:val="21"/>
    </w:rPr>
  </w:style>
  <w:style w:type="paragraph" w:customStyle="1" w:styleId="99">
    <w:name w:val="B-表格内文字"/>
    <w:basedOn w:val="1"/>
    <w:qFormat/>
    <w:uiPriority w:val="0"/>
    <w:pPr>
      <w:widowControl/>
      <w:spacing w:line="240" w:lineRule="auto"/>
      <w:jc w:val="center"/>
    </w:pPr>
    <w:rPr>
      <w:rFonts w:ascii="Times New Roman" w:hAnsi="Times New Roman" w:eastAsia="宋体" w:cs="Times New Roman"/>
      <w:bCs/>
      <w:szCs w:val="21"/>
      <w:u w:val="none"/>
      <w:lang w:bidi="ar"/>
    </w:rPr>
  </w:style>
  <w:style w:type="paragraph" w:customStyle="1" w:styleId="100">
    <w:name w:val="B-正文"/>
    <w:basedOn w:val="1"/>
    <w:qFormat/>
    <w:uiPriority w:val="0"/>
    <w:pPr>
      <w:spacing w:line="360" w:lineRule="auto"/>
      <w:ind w:firstLine="420" w:firstLineChars="200"/>
      <w:outlineLvl w:val="9"/>
    </w:pPr>
    <w:rPr>
      <w:rFonts w:ascii="Times New Roman" w:hAnsi="Times New Roman" w:eastAsia="宋体" w:cs="宋体"/>
      <w:szCs w:val="21"/>
    </w:rPr>
  </w:style>
  <w:style w:type="paragraph" w:customStyle="1" w:styleId="101">
    <w:name w:val="B-2级标题"/>
    <w:basedOn w:val="1"/>
    <w:next w:val="1"/>
    <w:qFormat/>
    <w:uiPriority w:val="0"/>
    <w:pPr>
      <w:numPr>
        <w:ilvl w:val="1"/>
        <w:numId w:val="4"/>
      </w:numPr>
      <w:spacing w:line="360" w:lineRule="auto"/>
      <w:jc w:val="left"/>
      <w:outlineLvl w:val="9"/>
    </w:pPr>
    <w:rPr>
      <w:rFonts w:ascii="Times New Roman" w:hAnsi="Times New Roman" w:eastAsia="宋体" w:cs="宋体"/>
      <w:b/>
      <w:bCs/>
      <w:szCs w:val="21"/>
    </w:rPr>
  </w:style>
  <w:style w:type="paragraph" w:customStyle="1" w:styleId="102">
    <w:name w:val="B-3级标题"/>
    <w:basedOn w:val="101"/>
    <w:next w:val="100"/>
    <w:qFormat/>
    <w:uiPriority w:val="0"/>
    <w:pPr>
      <w:numPr>
        <w:ilvl w:val="2"/>
        <w:numId w:val="4"/>
      </w:numPr>
      <w:tabs>
        <w:tab w:val="clear" w:pos="0"/>
      </w:tabs>
    </w:pPr>
    <w:rPr>
      <w:rFonts w:ascii="Times New Roman" w:hAnsi="Times New Roman" w:eastAsia="宋体"/>
    </w:rPr>
  </w:style>
  <w:style w:type="paragraph" w:customStyle="1" w:styleId="103">
    <w:name w:val="ZX 0 表格文字"/>
    <w:basedOn w:val="1"/>
    <w:qFormat/>
    <w:uiPriority w:val="0"/>
    <w:pPr>
      <w:widowControl/>
      <w:wordWrap w:val="0"/>
      <w:overflowPunct w:val="0"/>
      <w:topLinePunct/>
      <w:spacing w:line="276" w:lineRule="auto"/>
      <w:ind w:firstLine="0" w:firstLineChars="0"/>
      <w:jc w:val="center"/>
    </w:pPr>
    <w:rPr>
      <w:sz w:val="21"/>
      <w:szCs w:val="21"/>
    </w:rPr>
  </w:style>
  <w:style w:type="table" w:customStyle="1" w:styleId="104">
    <w:name w:val="样式26"/>
    <w:basedOn w:val="31"/>
    <w:qFormat/>
    <w:uiPriority w:val="99"/>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paragraph" w:customStyle="1" w:styleId="105">
    <w:name w:val="ZX 1 表标题"/>
    <w:basedOn w:val="1"/>
    <w:qFormat/>
    <w:uiPriority w:val="0"/>
    <w:pPr>
      <w:numPr>
        <w:ilvl w:val="0"/>
        <w:numId w:val="5"/>
      </w:numPr>
      <w:ind w:left="0" w:firstLine="0" w:firstLineChars="0"/>
      <w:jc w:val="center"/>
    </w:pPr>
    <w:rPr>
      <w:rFonts w:cs="宋体"/>
      <w:b/>
      <w:sz w:val="21"/>
      <w:szCs w:val="20"/>
    </w:rPr>
  </w:style>
  <w:style w:type="paragraph" w:customStyle="1" w:styleId="106">
    <w:name w:val="正文文本 全"/>
    <w:basedOn w:val="2"/>
    <w:qFormat/>
    <w:uiPriority w:val="0"/>
    <w:pPr>
      <w:spacing w:before="0" w:after="0" w:line="360" w:lineRule="auto"/>
      <w:ind w:right="0" w:firstLine="200" w:firstLineChars="200"/>
    </w:pPr>
    <w:rPr>
      <w:sz w:val="21"/>
    </w:rPr>
  </w:style>
  <w:style w:type="paragraph" w:customStyle="1" w:styleId="107">
    <w:name w:val="样式 样式 首行缩进:  2 字符 + 首行缩进:  2 字符"/>
    <w:basedOn w:val="1"/>
    <w:next w:val="25"/>
    <w:qFormat/>
    <w:uiPriority w:val="0"/>
    <w:pPr>
      <w:snapToGrid w:val="0"/>
      <w:spacing w:line="360" w:lineRule="auto"/>
      <w:ind w:firstLine="560" w:firstLineChars="200"/>
    </w:pPr>
    <w:rPr>
      <w:spacing w:val="0"/>
      <w:sz w:val="28"/>
    </w:rPr>
  </w:style>
  <w:style w:type="paragraph" w:customStyle="1" w:styleId="108">
    <w:name w:val="我的正文"/>
    <w:basedOn w:val="1"/>
    <w:qFormat/>
    <w:uiPriority w:val="0"/>
    <w:pPr>
      <w:spacing w:line="360" w:lineRule="auto"/>
      <w:ind w:firstLine="200" w:firstLineChars="200"/>
    </w:pPr>
    <w:rPr>
      <w:sz w:val="24"/>
    </w:rPr>
  </w:style>
  <w:style w:type="paragraph" w:customStyle="1" w:styleId="109">
    <w:name w:val="ZX 4 表标题"/>
    <w:basedOn w:val="105"/>
    <w:qFormat/>
    <w:uiPriority w:val="0"/>
    <w:pPr>
      <w:numPr>
        <w:numId w:val="6"/>
      </w:numPr>
      <w:ind w:left="0" w:firstLine="0"/>
    </w:pPr>
    <w:rPr>
      <w:rFonts w:cs="Times New Roman"/>
    </w:rPr>
  </w:style>
  <w:style w:type="paragraph" w:customStyle="1" w:styleId="110">
    <w:name w:val="BGB-表内文"/>
    <w:basedOn w:val="1"/>
    <w:qFormat/>
    <w:uiPriority w:val="0"/>
    <w:pPr>
      <w:jc w:val="center"/>
    </w:pPr>
    <w:rPr>
      <w:rFonts w:ascii="Times New Roman" w:hAnsi="Times New Roman" w:eastAsia="宋体"/>
    </w:rPr>
  </w:style>
  <w:style w:type="paragraph" w:customStyle="1" w:styleId="111">
    <w:name w:val="表格11"/>
    <w:basedOn w:val="1"/>
    <w:qFormat/>
    <w:uiPriority w:val="0"/>
    <w:pPr>
      <w:snapToGrid w:val="0"/>
      <w:spacing w:line="240" w:lineRule="auto"/>
      <w:jc w:val="center"/>
    </w:pPr>
    <w:rPr>
      <w:kern w:val="0"/>
      <w:sz w:val="21"/>
    </w:rPr>
  </w:style>
  <w:style w:type="table" w:customStyle="1" w:styleId="112">
    <w:name w:val="TableGrid"/>
    <w:qFormat/>
    <w:uiPriority w:val="0"/>
    <w:rPr>
      <w:rFonts w:ascii="Calibri" w:hAnsi="Calibri" w:eastAsia="宋体" w:cs="Times New Roman"/>
      <w:kern w:val="2"/>
      <w:sz w:val="21"/>
      <w:szCs w:val="22"/>
    </w:rPr>
    <w:tblPr>
      <w:tblCellMar>
        <w:top w:w="0" w:type="dxa"/>
        <w:left w:w="0" w:type="dxa"/>
        <w:bottom w:w="0" w:type="dxa"/>
        <w:right w:w="0" w:type="dxa"/>
      </w:tblCellMar>
    </w:tblPr>
  </w:style>
  <w:style w:type="character" w:customStyle="1" w:styleId="113">
    <w:name w:val="fontstyle01"/>
    <w:qFormat/>
    <w:uiPriority w:val="0"/>
    <w:rPr>
      <w:rFonts w:hint="eastAsia" w:ascii="宋体" w:hAnsi="宋体" w:eastAsia="宋体"/>
      <w:color w:val="000000"/>
      <w:sz w:val="24"/>
      <w:szCs w:val="24"/>
    </w:rPr>
  </w:style>
  <w:style w:type="paragraph" w:customStyle="1" w:styleId="114">
    <w:name w:val="正文4"/>
    <w:basedOn w:val="1"/>
    <w:semiHidden/>
    <w:qFormat/>
    <w:uiPriority w:val="0"/>
    <w:pPr>
      <w:tabs>
        <w:tab w:val="left" w:pos="480"/>
      </w:tabs>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emf"/><Relationship Id="rId17" Type="http://schemas.openxmlformats.org/officeDocument/2006/relationships/oleObject" Target="embeddings/oleObject4.bin"/><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Pages>65</Pages>
  <Words>8353</Words>
  <Characters>8852</Characters>
  <Lines>13</Lines>
  <Paragraphs>3</Paragraphs>
  <TotalTime>6</TotalTime>
  <ScaleCrop>false</ScaleCrop>
  <LinksUpToDate>false</LinksUpToDate>
  <CharactersWithSpaces>8925</CharactersWithSpaces>
  <Application>WPS Office_11.8.2.11978_F1E327BC-269C-435d-A152-05C5408002CA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尚云环境</dc:creator>
  <cp:lastModifiedBy>Administrator</cp:lastModifiedBy>
  <cp:lastPrinted>2020-12-29T02:43:00Z</cp:lastPrinted>
  <dcterms:modified xsi:type="dcterms:W3CDTF">2026-04-03T06:41:58Z</dcterms:modified>
  <dc:title>建设项目环境影响报告表（污染影响类）</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2052-11.8.2.11978</vt:lpwstr>
  </property>
  <property fmtid="{D5CDD505-2E9C-101B-9397-08002B2CF9AE}" pid="3" name="KSOTemplateDocerSaveRecord">
    <vt:lpwstr>eyJoZGlkIjoiZTE5Njc4NjcxYWNiYzAwNmZkMmFlY2QwOTRjYmE0OTgiLCJ1c2VySWQiOiI3NDgyNzg2NDUifQ==</vt:lpwstr>
  </property>
  <property fmtid="{D5CDD505-2E9C-101B-9397-08002B2CF9AE}" pid="4" name="ICV">
    <vt:lpwstr>E32FC31EAC07456EA382039630A19D22</vt:lpwstr>
  </property>
</Properties>
</file>