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3"/>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bookmarkStart w:id="0" w:name="OLE_LINK4"/>
    </w:p>
    <w:p>
      <w:pPr>
        <w:pStyle w:val="43"/>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p>
    <w:p>
      <w:pPr>
        <w:pStyle w:val="43"/>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p>
    <w:p>
      <w:pPr>
        <w:pStyle w:val="43"/>
        <w:adjustRightInd w:val="0"/>
        <w:spacing w:line="600" w:lineRule="exact"/>
        <w:ind w:right="67" w:rightChars="32"/>
        <w:jc w:val="right"/>
        <w:textAlignment w:val="top"/>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岳湘阴环评〔2025〕</w:t>
      </w:r>
      <w:r>
        <w:rPr>
          <w:rFonts w:hint="eastAsia" w:ascii="Times New Roman" w:hAnsi="Times New Roman" w:eastAsia="仿宋_GB2312" w:cs="Times New Roman"/>
          <w:bCs/>
          <w:kern w:val="2"/>
          <w:sz w:val="32"/>
          <w:szCs w:val="32"/>
          <w:lang w:val="en-US" w:eastAsia="zh-CN" w:bidi="ar-SA"/>
        </w:rPr>
        <w:t>26</w:t>
      </w:r>
      <w:r>
        <w:rPr>
          <w:rFonts w:hint="default" w:ascii="Times New Roman" w:hAnsi="Times New Roman" w:eastAsia="仿宋_GB2312" w:cs="Times New Roman"/>
          <w:bCs/>
          <w:kern w:val="2"/>
          <w:sz w:val="32"/>
          <w:szCs w:val="32"/>
          <w:lang w:val="en-US"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_GBK" w:cs="Times New Roman"/>
          <w:bCs/>
          <w:sz w:val="44"/>
          <w:szCs w:val="44"/>
          <w:lang w:val="en-US" w:eastAsia="zh-CN"/>
        </w:rPr>
      </w:pPr>
      <w:r>
        <w:rPr>
          <w:rFonts w:hint="default" w:ascii="Times New Roman" w:hAnsi="Times New Roman" w:eastAsia="方正小标宋_GBK" w:cs="Times New Roman"/>
          <w:bCs/>
          <w:sz w:val="44"/>
          <w:szCs w:val="44"/>
          <w:lang w:val="en-US" w:eastAsia="zh-CN"/>
        </w:rPr>
        <w:t>关于</w:t>
      </w:r>
      <w:r>
        <w:rPr>
          <w:rFonts w:hint="eastAsia" w:ascii="Times New Roman" w:hAnsi="Times New Roman" w:eastAsia="方正小标宋_GBK" w:cs="Times New Roman"/>
          <w:bCs/>
          <w:sz w:val="44"/>
          <w:szCs w:val="44"/>
          <w:lang w:val="en-US" w:eastAsia="zh-CN"/>
        </w:rPr>
        <w:t>湘阴县沅潭建材有限公司年产6000万块新型材料烧结砖（折标）技术改造项目</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_GBK" w:cs="Times New Roman"/>
          <w:bCs/>
          <w:sz w:val="44"/>
          <w:szCs w:val="44"/>
          <w:lang w:val="en-US" w:eastAsia="zh-CN"/>
        </w:rPr>
      </w:pPr>
      <w:r>
        <w:rPr>
          <w:rFonts w:hint="default" w:ascii="Times New Roman" w:hAnsi="Times New Roman" w:eastAsia="方正小标宋_GBK" w:cs="Times New Roman"/>
          <w:bCs/>
          <w:sz w:val="44"/>
          <w:szCs w:val="44"/>
          <w:lang w:val="en-US" w:eastAsia="zh-CN"/>
        </w:rPr>
        <w:t>环境影响报告表的批复</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Cs/>
          <w:sz w:val="32"/>
          <w:szCs w:val="32"/>
          <w:lang w:eastAsia="zh-CN"/>
        </w:rPr>
      </w:pPr>
      <w:r>
        <w:rPr>
          <w:rFonts w:hint="eastAsia" w:eastAsia="仿宋_GB2312" w:cs="Times New Roman"/>
          <w:bCs/>
          <w:sz w:val="32"/>
          <w:szCs w:val="32"/>
          <w:lang w:val="en-US" w:eastAsia="zh-CN"/>
        </w:rPr>
        <w:t>湘阴县沅潭建材有限公司</w:t>
      </w:r>
      <w:r>
        <w:rPr>
          <w:rFonts w:hint="default" w:ascii="Times New Roman" w:hAnsi="Times New Roman" w:eastAsia="仿宋_GB2312" w:cs="Times New Roman"/>
          <w:bCs/>
          <w:sz w:val="32"/>
          <w:szCs w:val="32"/>
          <w:lang w:eastAsia="zh-CN"/>
        </w:rPr>
        <w:t>：</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你公司（地址：岳阳市湘阴县杨林寨乡沅潭村湘阴县沅潭建材有限公司现有厂区内，法定代表人：廖俊，统一社会信用代码：91430624MA4L2UCG3J）</w:t>
      </w:r>
      <w:r>
        <w:rPr>
          <w:rFonts w:hint="default" w:ascii="Times New Roman" w:hAnsi="Times New Roman" w:eastAsia="仿宋_GB2312" w:cs="Times New Roman"/>
          <w:bCs/>
          <w:sz w:val="32"/>
          <w:szCs w:val="32"/>
          <w:lang w:val="en-US" w:eastAsia="zh-CN"/>
        </w:rPr>
        <w:t>于2025年</w:t>
      </w:r>
      <w:r>
        <w:rPr>
          <w:rFonts w:hint="eastAsia" w:eastAsia="仿宋_GB2312" w:cs="Times New Roman"/>
          <w:bCs/>
          <w:sz w:val="32"/>
          <w:szCs w:val="32"/>
          <w:highlight w:val="none"/>
          <w:lang w:val="en-US" w:eastAsia="zh-CN"/>
        </w:rPr>
        <w:t>8</w:t>
      </w:r>
      <w:r>
        <w:rPr>
          <w:rFonts w:hint="default" w:ascii="Times New Roman" w:hAnsi="Times New Roman" w:eastAsia="仿宋_GB2312" w:cs="Times New Roman"/>
          <w:bCs/>
          <w:sz w:val="32"/>
          <w:szCs w:val="32"/>
          <w:highlight w:val="none"/>
          <w:lang w:val="en-US" w:eastAsia="zh-CN"/>
        </w:rPr>
        <w:t>月</w:t>
      </w:r>
      <w:r>
        <w:rPr>
          <w:rFonts w:hint="eastAsia" w:eastAsia="仿宋_GB2312" w:cs="Times New Roman"/>
          <w:bCs/>
          <w:sz w:val="32"/>
          <w:szCs w:val="32"/>
          <w:highlight w:val="none"/>
          <w:lang w:val="en-US" w:eastAsia="zh-CN"/>
        </w:rPr>
        <w:t>6</w:t>
      </w:r>
      <w:r>
        <w:rPr>
          <w:rFonts w:hint="default" w:ascii="Times New Roman" w:hAnsi="Times New Roman" w:eastAsia="仿宋_GB2312" w:cs="Times New Roman"/>
          <w:bCs/>
          <w:sz w:val="32"/>
          <w:szCs w:val="32"/>
          <w:highlight w:val="none"/>
          <w:lang w:val="en-US" w:eastAsia="zh-CN"/>
        </w:rPr>
        <w:t>日</w:t>
      </w:r>
      <w:r>
        <w:rPr>
          <w:rFonts w:hint="default" w:ascii="仿宋_GB2312" w:hAnsi="新宋体" w:eastAsia="仿宋_GB2312" w:cs="Times New Roman"/>
          <w:bCs/>
          <w:sz w:val="32"/>
          <w:szCs w:val="32"/>
          <w:lang w:val="en-US" w:eastAsia="zh-CN"/>
        </w:rPr>
        <w:t>提出建设项目环境影响评价审批报告表（普通类）行政许可申请，</w:t>
      </w:r>
      <w:r>
        <w:rPr>
          <w:rFonts w:hint="eastAsia" w:ascii="Times New Roman" w:hAnsi="Times New Roman" w:eastAsia="仿宋_GB2312" w:cs="Times New Roman"/>
          <w:bCs/>
          <w:sz w:val="32"/>
          <w:szCs w:val="32"/>
          <w:lang w:val="en-US" w:eastAsia="zh-CN"/>
        </w:rPr>
        <w:t>我局已依法进行受理，并完成了受理公示和拟审批公示。经审查，</w:t>
      </w:r>
      <w:r>
        <w:rPr>
          <w:rFonts w:hint="default" w:ascii="Times New Roman" w:hAnsi="Times New Roman" w:eastAsia="仿宋_GB2312" w:cs="Times New Roman"/>
          <w:bCs/>
          <w:sz w:val="32"/>
          <w:szCs w:val="32"/>
          <w:lang w:val="en-US" w:eastAsia="zh-CN"/>
        </w:rPr>
        <w:t>你公司</w:t>
      </w:r>
      <w:r>
        <w:rPr>
          <w:rFonts w:hint="eastAsia" w:ascii="Times New Roman" w:hAnsi="Times New Roman" w:eastAsia="仿宋_GB2312" w:cs="Times New Roman"/>
          <w:bCs/>
          <w:sz w:val="32"/>
          <w:szCs w:val="32"/>
          <w:lang w:val="en-US" w:eastAsia="zh-CN"/>
        </w:rPr>
        <w:t>委托</w:t>
      </w:r>
      <w:r>
        <w:rPr>
          <w:rFonts w:hint="eastAsia" w:eastAsia="仿宋_GB2312" w:cs="Times New Roman"/>
          <w:bCs/>
          <w:sz w:val="32"/>
          <w:szCs w:val="32"/>
          <w:lang w:val="en-US" w:eastAsia="zh-CN"/>
        </w:rPr>
        <w:t>岳阳中泽润科技有限公司</w:t>
      </w:r>
      <w:r>
        <w:rPr>
          <w:rFonts w:hint="default" w:ascii="Times New Roman" w:hAnsi="Times New Roman" w:eastAsia="仿宋_GB2312" w:cs="Times New Roman"/>
          <w:bCs/>
          <w:sz w:val="32"/>
          <w:szCs w:val="32"/>
          <w:lang w:val="en-US" w:eastAsia="zh-CN"/>
        </w:rPr>
        <w:t>编制</w:t>
      </w:r>
      <w:r>
        <w:rPr>
          <w:rFonts w:hint="eastAsia" w:ascii="Times New Roman" w:hAnsi="Times New Roman" w:eastAsia="仿宋_GB2312" w:cs="Times New Roman"/>
          <w:bCs/>
          <w:sz w:val="32"/>
          <w:szCs w:val="32"/>
          <w:lang w:val="en-US" w:eastAsia="zh-CN"/>
        </w:rPr>
        <w:t>的《</w:t>
      </w:r>
      <w:r>
        <w:rPr>
          <w:rFonts w:hint="eastAsia" w:eastAsia="仿宋_GB2312" w:cs="Times New Roman"/>
          <w:bCs/>
          <w:sz w:val="32"/>
          <w:szCs w:val="32"/>
          <w:lang w:val="en-US" w:eastAsia="zh-CN"/>
        </w:rPr>
        <w:t>年产6000万块新型材料烧结砖（折标）技术改造项目</w:t>
      </w:r>
      <w:r>
        <w:rPr>
          <w:rFonts w:hint="eastAsia" w:ascii="Times New Roman" w:hAnsi="Times New Roman" w:eastAsia="仿宋_GB2312" w:cs="Times New Roman"/>
          <w:bCs/>
          <w:sz w:val="32"/>
          <w:szCs w:val="32"/>
          <w:lang w:val="en-US" w:eastAsia="zh-CN"/>
        </w:rPr>
        <w:t>环境影响报告表》（以下简称“《报告表》”），符合国家关于建设项目环境影响评价文件审批的有关规定，根据《中华人民共和国行政许可法》第三十八条第一款以及《中华人民共和国环境影响评价法》第二十二条规定，我局决定准予行政许可，并要求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eastAsia" w:eastAsia="仿宋_GB2312" w:cs="Times New Roman"/>
          <w:bCs/>
          <w:sz w:val="32"/>
          <w:szCs w:val="32"/>
          <w:lang w:val="en-US" w:eastAsia="zh-CN"/>
        </w:rPr>
        <w:t>一、湘阴县沅潭建材有限公司</w:t>
      </w:r>
      <w:r>
        <w:rPr>
          <w:rFonts w:hint="default" w:ascii="Times New Roman" w:hAnsi="Times New Roman" w:eastAsia="仿宋_GB2312" w:cs="Times New Roman"/>
          <w:bCs/>
          <w:sz w:val="32"/>
          <w:szCs w:val="32"/>
          <w:lang w:val="en-US" w:eastAsia="zh-CN"/>
        </w:rPr>
        <w:t>拟投资</w:t>
      </w:r>
      <w:r>
        <w:rPr>
          <w:rFonts w:hint="eastAsia" w:eastAsia="仿宋_GB2312" w:cs="Times New Roman"/>
          <w:bCs/>
          <w:sz w:val="32"/>
          <w:szCs w:val="32"/>
          <w:lang w:val="en-US" w:eastAsia="zh-CN"/>
        </w:rPr>
        <w:t>30</w:t>
      </w:r>
      <w:r>
        <w:rPr>
          <w:rFonts w:hint="default" w:ascii="Times New Roman" w:hAnsi="Times New Roman" w:eastAsia="仿宋_GB2312" w:cs="Times New Roman"/>
          <w:bCs/>
          <w:sz w:val="32"/>
          <w:szCs w:val="32"/>
          <w:lang w:val="en-US" w:eastAsia="zh-CN"/>
        </w:rPr>
        <w:t>万元（其中环保投资</w:t>
      </w:r>
      <w:r>
        <w:rPr>
          <w:rFonts w:hint="eastAsia" w:eastAsia="仿宋_GB2312" w:cs="Times New Roman"/>
          <w:bCs/>
          <w:sz w:val="32"/>
          <w:szCs w:val="32"/>
          <w:lang w:val="en-US" w:eastAsia="zh-CN"/>
        </w:rPr>
        <w:t>30</w:t>
      </w:r>
      <w:r>
        <w:rPr>
          <w:rFonts w:hint="default" w:ascii="Times New Roman" w:hAnsi="Times New Roman" w:eastAsia="仿宋_GB2312" w:cs="Times New Roman"/>
          <w:bCs/>
          <w:sz w:val="32"/>
          <w:szCs w:val="32"/>
          <w:lang w:val="en-US" w:eastAsia="zh-CN"/>
        </w:rPr>
        <w:t>万元），于岳阳市湘阴县杨林寨乡沅潭村湘阴县沅潭建材有限公司现有厂区内建设年产6000万块新型材料烧结砖（折标）技术改造项目。</w:t>
      </w:r>
      <w:r>
        <w:rPr>
          <w:rFonts w:hint="eastAsia" w:eastAsia="仿宋_GB2312" w:cs="Times New Roman"/>
          <w:bCs/>
          <w:sz w:val="32"/>
          <w:szCs w:val="32"/>
          <w:lang w:val="en-US" w:eastAsia="zh-CN"/>
        </w:rPr>
        <w:t>本次技术改造前后主要生产工艺、产品规模、生产设备等均不变。对项目燃料进行调整，使用粉煤灰替代煤矸石进行生产。对原料进行阶段性调整，利用属于一般固废的来自原湘阴县文星镇洋沙湖大道长江化肥（湖南）有限公司污染地块土壤修复产生的污染土壤替换粘土和部分页岩作为原料的一部分进行烧结制砖，利用污染土壤烧结制砖周期预计为4个月（120天）。污染土壤使用完后，项目按原环评仍使用页岩、粘土等进行生产，粘土占比不能超过20%。项目不新增用地，</w:t>
      </w:r>
      <w:r>
        <w:rPr>
          <w:rFonts w:hint="eastAsia" w:ascii="Times New Roman" w:hAnsi="Times New Roman" w:eastAsia="仿宋_GB2312" w:cs="Times New Roman"/>
          <w:bCs/>
          <w:sz w:val="32"/>
          <w:szCs w:val="32"/>
          <w:lang w:val="en-US" w:eastAsia="zh-CN"/>
        </w:rPr>
        <w:t>生产车间、</w:t>
      </w:r>
      <w:r>
        <w:rPr>
          <w:rFonts w:hint="eastAsia" w:eastAsia="仿宋_GB2312" w:cs="Times New Roman"/>
          <w:bCs/>
          <w:sz w:val="32"/>
          <w:szCs w:val="32"/>
          <w:lang w:val="en-US" w:eastAsia="zh-CN"/>
        </w:rPr>
        <w:t>原料库</w:t>
      </w:r>
      <w:r>
        <w:rPr>
          <w:rFonts w:hint="eastAsia" w:ascii="Times New Roman" w:hAnsi="Times New Roman" w:eastAsia="仿宋_GB2312" w:cs="Times New Roman"/>
          <w:bCs/>
          <w:sz w:val="32"/>
          <w:szCs w:val="32"/>
          <w:lang w:val="en-US" w:eastAsia="zh-CN"/>
        </w:rPr>
        <w:t>、成品</w:t>
      </w:r>
      <w:r>
        <w:rPr>
          <w:rFonts w:hint="eastAsia" w:eastAsia="仿宋_GB2312" w:cs="Times New Roman"/>
          <w:bCs/>
          <w:sz w:val="32"/>
          <w:szCs w:val="32"/>
          <w:lang w:val="en-US" w:eastAsia="zh-CN"/>
        </w:rPr>
        <w:t>堆场</w:t>
      </w:r>
      <w:r>
        <w:rPr>
          <w:rFonts w:hint="eastAsia" w:ascii="Times New Roman" w:hAnsi="Times New Roman" w:eastAsia="仿宋_GB2312" w:cs="Times New Roman"/>
          <w:bCs/>
          <w:sz w:val="32"/>
          <w:szCs w:val="32"/>
          <w:lang w:val="en-US" w:eastAsia="zh-CN"/>
        </w:rPr>
        <w:t>、办公区等</w:t>
      </w:r>
      <w:r>
        <w:rPr>
          <w:rFonts w:hint="eastAsia" w:eastAsia="仿宋_GB2312" w:cs="Times New Roman"/>
          <w:bCs/>
          <w:sz w:val="32"/>
          <w:szCs w:val="32"/>
          <w:lang w:val="en-US" w:eastAsia="zh-CN"/>
        </w:rPr>
        <w:t>依托现有</w:t>
      </w:r>
      <w:r>
        <w:rPr>
          <w:rFonts w:hint="default" w:ascii="Times New Roman" w:hAnsi="Times New Roman" w:eastAsia="仿宋_GB2312" w:cs="Times New Roman"/>
          <w:bCs/>
          <w:sz w:val="32"/>
          <w:szCs w:val="32"/>
          <w:lang w:val="en-US" w:eastAsia="zh-CN"/>
        </w:rPr>
        <w:t>。（详见建设项目环境影响报告表）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根据《报告表》及专家评审意见，结合岳阳市湘阴生态环境事务中心《关于&lt;年产6000万块新型材料烧结砖（折标）技术改造项目环境影响报告表&gt;技术评估意见的报告》（岳湘环事评估〔2025〕20号），该项目符合国家相关产业政策，在建设单位严格落实《报告表》及本批复提出的各项污染治理措施和风险防范要求，污染物稳定达标排放的前提下，从环境保护的角度，我局原则同意项目实施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eastAsia" w:eastAsia="仿宋_GB2312" w:cs="Times New Roman"/>
          <w:bCs/>
          <w:sz w:val="32"/>
          <w:szCs w:val="32"/>
          <w:lang w:val="en-US" w:eastAsia="zh-CN"/>
        </w:rPr>
        <w:t>二、建</w:t>
      </w:r>
      <w:bookmarkStart w:id="1" w:name="_GoBack"/>
      <w:bookmarkEnd w:id="1"/>
      <w:r>
        <w:rPr>
          <w:rFonts w:hint="default" w:ascii="Times New Roman" w:hAnsi="Times New Roman" w:eastAsia="仿宋_GB2312" w:cs="Times New Roman"/>
          <w:bCs/>
          <w:sz w:val="32"/>
          <w:szCs w:val="32"/>
          <w:lang w:val="en-US" w:eastAsia="zh-CN"/>
        </w:rPr>
        <w:t>设单位在工程设计、建设和运营管理过程中，必须全面落实《报告表》提出的各项污染防治措施并着重做好如下工作：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（一）切实做好施工期环境保护工作。落实施工期间各项污染防治措施，减小施工期间施工噪声、废气、废水及固体废物等对周边环境产生的不利影响。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w:t>
      </w:r>
      <w:r>
        <w:rPr>
          <w:rFonts w:hint="eastAsia" w:ascii="Times New Roman" w:hAnsi="Times New Roman" w:eastAsia="仿宋_GB2312" w:cs="Times New Roman"/>
          <w:bCs/>
          <w:sz w:val="32"/>
          <w:szCs w:val="32"/>
          <w:lang w:val="en-US" w:eastAsia="zh-CN"/>
        </w:rPr>
        <w:t>二</w:t>
      </w:r>
      <w:r>
        <w:rPr>
          <w:rFonts w:hint="default" w:ascii="Times New Roman" w:hAnsi="Times New Roman" w:eastAsia="仿宋_GB2312" w:cs="Times New Roman"/>
          <w:bCs/>
          <w:sz w:val="32"/>
          <w:szCs w:val="32"/>
          <w:lang w:val="en-US" w:eastAsia="zh-CN"/>
        </w:rPr>
        <w:t>）落实废水污染防治措施。</w:t>
      </w:r>
      <w:r>
        <w:rPr>
          <w:rFonts w:hint="eastAsia" w:ascii="Times New Roman" w:hAnsi="Times New Roman" w:eastAsia="仿宋_GB2312" w:cs="Times New Roman"/>
          <w:bCs/>
          <w:sz w:val="32"/>
          <w:szCs w:val="32"/>
          <w:lang w:eastAsia="zh-CN"/>
        </w:rPr>
        <w:t>建设好雨污分流</w:t>
      </w:r>
      <w:r>
        <w:rPr>
          <w:rFonts w:hint="eastAsia" w:ascii="Times New Roman" w:hAnsi="Times New Roman" w:eastAsia="仿宋_GB2312" w:cs="Times New Roman"/>
          <w:bCs/>
          <w:sz w:val="32"/>
          <w:szCs w:val="32"/>
          <w:lang w:val="en-US" w:eastAsia="zh-CN"/>
        </w:rPr>
        <w:t>设施。生活污水经隔油沉淀池、化粪池处理后用于周边农田、菜地肥用，不外排。脱硫除尘废水经</w:t>
      </w:r>
      <w:r>
        <w:rPr>
          <w:rFonts w:hint="eastAsia" w:eastAsia="仿宋_GB2312" w:cs="Times New Roman"/>
          <w:bCs/>
          <w:sz w:val="32"/>
          <w:szCs w:val="32"/>
          <w:lang w:val="en-US" w:eastAsia="zh-CN"/>
        </w:rPr>
        <w:t>脱硫废水</w:t>
      </w:r>
      <w:r>
        <w:rPr>
          <w:rFonts w:hint="eastAsia" w:ascii="Times New Roman" w:hAnsi="Times New Roman" w:eastAsia="仿宋_GB2312" w:cs="Times New Roman"/>
          <w:bCs/>
          <w:sz w:val="32"/>
          <w:szCs w:val="32"/>
          <w:lang w:val="en-US" w:eastAsia="zh-CN"/>
        </w:rPr>
        <w:t>沉淀池沉淀后循环利用，不外排。洒水抑尘废水全部蒸发，不外排。洗车废水和初期雨水经雨水沟自流进临资口混凝土公司雨水</w:t>
      </w:r>
      <w:r>
        <w:rPr>
          <w:rFonts w:hint="eastAsia" w:eastAsia="仿宋_GB2312" w:cs="Times New Roman"/>
          <w:bCs/>
          <w:sz w:val="32"/>
          <w:szCs w:val="32"/>
          <w:lang w:val="en-US" w:eastAsia="zh-CN"/>
        </w:rPr>
        <w:t>沉淀</w:t>
      </w:r>
      <w:r>
        <w:rPr>
          <w:rFonts w:hint="eastAsia" w:ascii="Times New Roman" w:hAnsi="Times New Roman" w:eastAsia="仿宋_GB2312" w:cs="Times New Roman"/>
          <w:bCs/>
          <w:sz w:val="32"/>
          <w:szCs w:val="32"/>
          <w:lang w:val="en-US" w:eastAsia="zh-CN"/>
        </w:rPr>
        <w:t>池，沉淀后回用于混凝土生产和本项目制砖生产，不外排。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w:t>
      </w:r>
      <w:r>
        <w:rPr>
          <w:rFonts w:hint="eastAsia" w:ascii="Times New Roman" w:hAnsi="Times New Roman" w:eastAsia="仿宋_GB2312" w:cs="Times New Roman"/>
          <w:bCs/>
          <w:sz w:val="32"/>
          <w:szCs w:val="32"/>
          <w:lang w:val="en-US" w:eastAsia="zh-CN"/>
        </w:rPr>
        <w:t>二</w:t>
      </w:r>
      <w:r>
        <w:rPr>
          <w:rFonts w:hint="default" w:ascii="Times New Roman" w:hAnsi="Times New Roman" w:eastAsia="仿宋_GB2312" w:cs="Times New Roman"/>
          <w:bCs/>
          <w:sz w:val="32"/>
          <w:szCs w:val="32"/>
          <w:lang w:val="en-US" w:eastAsia="zh-CN"/>
        </w:rPr>
        <w:t>）落实废气污染防治措施。按《报告表》要求做好有组织工艺废气处理，各排气筒高度应符合《报告表》要求，确保大气污染物排放满足国家和地方有关标准要求。项目隧道窑废气</w:t>
      </w:r>
      <w:r>
        <w:rPr>
          <w:rFonts w:hint="eastAsia" w:eastAsia="仿宋_GB2312" w:cs="Times New Roman"/>
          <w:bCs/>
          <w:sz w:val="32"/>
          <w:szCs w:val="32"/>
          <w:lang w:val="en-US" w:eastAsia="zh-CN"/>
        </w:rPr>
        <w:t>经处理后，其</w:t>
      </w:r>
      <w:r>
        <w:rPr>
          <w:rFonts w:hint="default" w:ascii="Times New Roman" w:hAnsi="Times New Roman" w:eastAsia="仿宋_GB2312" w:cs="Times New Roman"/>
          <w:bCs/>
          <w:sz w:val="32"/>
          <w:szCs w:val="32"/>
          <w:lang w:val="en-US" w:eastAsia="zh-CN"/>
        </w:rPr>
        <w:t>中颗粒物、二氧化硫、氮氧化物</w:t>
      </w:r>
      <w:r>
        <w:rPr>
          <w:rFonts w:hint="eastAsia" w:eastAsia="仿宋_GB2312" w:cs="Times New Roman"/>
          <w:bCs/>
          <w:sz w:val="32"/>
          <w:szCs w:val="32"/>
          <w:lang w:val="en-US" w:eastAsia="zh-CN"/>
        </w:rPr>
        <w:t>满足</w:t>
      </w:r>
      <w:r>
        <w:rPr>
          <w:rFonts w:hint="default" w:ascii="Times New Roman" w:hAnsi="Times New Roman" w:eastAsia="仿宋_GB2312" w:cs="Times New Roman"/>
          <w:bCs/>
          <w:sz w:val="32"/>
          <w:szCs w:val="32"/>
          <w:lang w:val="en-US" w:eastAsia="zh-CN"/>
        </w:rPr>
        <w:t>湖南省地方标准《工业炉窑主要大气污染物排放标准》（DB43/3082-2024）中表4排放限值，氟化物</w:t>
      </w:r>
      <w:r>
        <w:rPr>
          <w:rFonts w:hint="eastAsia" w:eastAsia="仿宋_GB2312" w:cs="Times New Roman"/>
          <w:bCs/>
          <w:sz w:val="32"/>
          <w:szCs w:val="32"/>
          <w:lang w:val="en-US" w:eastAsia="zh-CN"/>
        </w:rPr>
        <w:t>满足</w:t>
      </w:r>
      <w:r>
        <w:rPr>
          <w:rFonts w:hint="default" w:ascii="Times New Roman" w:hAnsi="Times New Roman" w:eastAsia="仿宋_GB2312" w:cs="Times New Roman"/>
          <w:bCs/>
          <w:sz w:val="32"/>
          <w:szCs w:val="32"/>
          <w:lang w:val="en-US" w:eastAsia="zh-CN"/>
        </w:rPr>
        <w:t>《砖瓦工业大气污染物排放标准》（GB29620-2013）及其修改单中表2排放限值，铊、镉、铅、砷及其化合物</w:t>
      </w:r>
      <w:r>
        <w:rPr>
          <w:rFonts w:hint="eastAsia" w:eastAsia="仿宋_GB2312" w:cs="Times New Roman"/>
          <w:bCs/>
          <w:sz w:val="32"/>
          <w:szCs w:val="32"/>
          <w:lang w:val="en-US" w:eastAsia="zh-CN"/>
        </w:rPr>
        <w:t>满足</w:t>
      </w:r>
      <w:r>
        <w:rPr>
          <w:rFonts w:hint="default" w:ascii="Times New Roman" w:hAnsi="Times New Roman" w:eastAsia="仿宋_GB2312" w:cs="Times New Roman"/>
          <w:bCs/>
          <w:sz w:val="32"/>
          <w:szCs w:val="32"/>
          <w:lang w:val="en-US" w:eastAsia="zh-CN"/>
        </w:rPr>
        <w:t>《水泥窑协同处置固体废物污染控制标准》（GB 30485-2013）中表1排放限值</w:t>
      </w:r>
      <w:r>
        <w:rPr>
          <w:rFonts w:hint="eastAsia" w:eastAsia="仿宋_GB2312" w:cs="Times New Roman"/>
          <w:bCs/>
          <w:sz w:val="32"/>
          <w:szCs w:val="32"/>
          <w:lang w:val="en-US" w:eastAsia="zh-CN"/>
        </w:rPr>
        <w:t>（利用污染土壤制砖期间）后通过1根35m高排气筒（1#）高空排放</w:t>
      </w:r>
      <w:r>
        <w:rPr>
          <w:rFonts w:hint="default" w:ascii="Times New Roman" w:hAnsi="Times New Roman" w:eastAsia="仿宋_GB2312" w:cs="Times New Roman"/>
          <w:bCs/>
          <w:sz w:val="32"/>
          <w:szCs w:val="32"/>
          <w:lang w:val="en-US" w:eastAsia="zh-CN"/>
        </w:rPr>
        <w:t>。污泥暂存库废气中氨、硫化氢、臭气浓度</w:t>
      </w:r>
      <w:r>
        <w:rPr>
          <w:rFonts w:hint="eastAsia" w:eastAsia="仿宋_GB2312" w:cs="Times New Roman"/>
          <w:bCs/>
          <w:sz w:val="32"/>
          <w:szCs w:val="32"/>
          <w:lang w:val="en-US" w:eastAsia="zh-CN"/>
        </w:rPr>
        <w:t>满足</w:t>
      </w:r>
      <w:r>
        <w:rPr>
          <w:rFonts w:hint="default" w:ascii="Times New Roman" w:hAnsi="Times New Roman" w:eastAsia="仿宋_GB2312" w:cs="Times New Roman"/>
          <w:bCs/>
          <w:sz w:val="32"/>
          <w:szCs w:val="32"/>
          <w:lang w:val="en-US" w:eastAsia="zh-CN"/>
        </w:rPr>
        <w:t>《恶臭污染物排放标准》（GB14554-93）中表2标准限值</w:t>
      </w:r>
      <w:r>
        <w:rPr>
          <w:rFonts w:hint="eastAsia" w:eastAsia="仿宋_GB2312" w:cs="Times New Roman"/>
          <w:bCs/>
          <w:sz w:val="32"/>
          <w:szCs w:val="32"/>
          <w:lang w:val="en-US" w:eastAsia="zh-CN"/>
        </w:rPr>
        <w:t>要求后通过1根15m高排气筒（2#）高空排放</w:t>
      </w:r>
      <w:r>
        <w:rPr>
          <w:rFonts w:hint="default" w:ascii="Times New Roman" w:hAnsi="Times New Roman" w:eastAsia="仿宋_GB2312" w:cs="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加强无组织废气污染防治，厂界无组织废气颗粒物、氟化物、二氧化硫执行《砖瓦工业大气污染物排放标准》（GB29620-2013）及其修改单中表3排放限值。氨、硫化氢、臭气浓度执行《恶臭污染物排放标准》（GB14554-93）中表1标准限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w:t>
      </w:r>
      <w:r>
        <w:rPr>
          <w:rFonts w:hint="eastAsia" w:ascii="Times New Roman" w:hAnsi="Times New Roman" w:eastAsia="仿宋_GB2312" w:cs="Times New Roman"/>
          <w:bCs/>
          <w:sz w:val="32"/>
          <w:szCs w:val="32"/>
          <w:lang w:val="en-US" w:eastAsia="zh-CN"/>
        </w:rPr>
        <w:t>三</w:t>
      </w:r>
      <w:r>
        <w:rPr>
          <w:rFonts w:hint="default" w:ascii="Times New Roman" w:hAnsi="Times New Roman" w:eastAsia="仿宋_GB2312" w:cs="Times New Roman"/>
          <w:bCs/>
          <w:sz w:val="32"/>
          <w:szCs w:val="32"/>
          <w:lang w:val="en-US" w:eastAsia="zh-CN"/>
        </w:rPr>
        <w:t>）落实噪声污染防治措施。</w:t>
      </w:r>
      <w:r>
        <w:rPr>
          <w:rFonts w:hint="eastAsia" w:ascii="Times New Roman" w:hAnsi="Times New Roman" w:eastAsia="仿宋_GB2312" w:cs="Times New Roman"/>
          <w:bCs/>
          <w:sz w:val="32"/>
          <w:szCs w:val="32"/>
          <w:lang w:val="en-US" w:eastAsia="zh-CN"/>
        </w:rPr>
        <w:t>采取</w:t>
      </w:r>
      <w:r>
        <w:rPr>
          <w:rFonts w:hint="default" w:ascii="Times New Roman" w:hAnsi="Times New Roman" w:eastAsia="仿宋_GB2312" w:cs="Times New Roman"/>
          <w:bCs/>
          <w:sz w:val="32"/>
          <w:szCs w:val="32"/>
          <w:lang w:val="en-US" w:eastAsia="zh-CN"/>
        </w:rPr>
        <w:t>基础减振、合理布置、合理安排作业时间、设备基础安装减震软垫等防治措施，厂界噪声满足《工业企业厂界环境噪声排放标准》（GB12348-2008）</w:t>
      </w:r>
      <w:r>
        <w:rPr>
          <w:rFonts w:hint="eastAsia" w:eastAsia="仿宋_GB2312" w:cs="Times New Roman"/>
          <w:bCs/>
          <w:sz w:val="32"/>
          <w:szCs w:val="32"/>
          <w:lang w:val="en-US" w:eastAsia="zh-CN"/>
        </w:rPr>
        <w:t>2</w:t>
      </w:r>
      <w:r>
        <w:rPr>
          <w:rFonts w:hint="default" w:ascii="Times New Roman" w:hAnsi="Times New Roman" w:eastAsia="仿宋_GB2312" w:cs="Times New Roman"/>
          <w:bCs/>
          <w:sz w:val="32"/>
          <w:szCs w:val="32"/>
          <w:lang w:val="en-US" w:eastAsia="zh-CN"/>
        </w:rPr>
        <w:t>类标准要求。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w:t>
      </w:r>
      <w:r>
        <w:rPr>
          <w:rFonts w:hint="eastAsia" w:ascii="Times New Roman" w:hAnsi="Times New Roman" w:eastAsia="仿宋_GB2312" w:cs="Times New Roman"/>
          <w:bCs/>
          <w:sz w:val="32"/>
          <w:szCs w:val="32"/>
          <w:lang w:val="en-US" w:eastAsia="zh-CN"/>
        </w:rPr>
        <w:t>四</w:t>
      </w:r>
      <w:r>
        <w:rPr>
          <w:rFonts w:hint="default" w:ascii="Times New Roman" w:hAnsi="Times New Roman" w:eastAsia="仿宋_GB2312" w:cs="Times New Roman"/>
          <w:bCs/>
          <w:sz w:val="32"/>
          <w:szCs w:val="32"/>
          <w:lang w:val="en-US" w:eastAsia="zh-CN"/>
        </w:rPr>
        <w:t>）落实工业固废管理措施。</w:t>
      </w:r>
      <w:r>
        <w:rPr>
          <w:rFonts w:hint="eastAsia" w:ascii="Times New Roman" w:hAnsi="Times New Roman" w:eastAsia="仿宋_GB2312" w:cs="Times New Roman"/>
          <w:bCs/>
          <w:sz w:val="32"/>
          <w:szCs w:val="32"/>
          <w:lang w:val="en-US" w:eastAsia="zh-CN"/>
        </w:rPr>
        <w:t>按照“减量化、资源化、无害化”原则，对固体废物进行分类收集、贮存、利用和处置，落实《报告表》提出的各项要求与措施，确保不造成二次污染。废活性炭、</w:t>
      </w:r>
      <w:r>
        <w:rPr>
          <w:rFonts w:hint="eastAsia" w:eastAsia="仿宋_GB2312" w:cs="Times New Roman"/>
          <w:bCs/>
          <w:sz w:val="32"/>
          <w:szCs w:val="32"/>
          <w:lang w:val="en-US" w:eastAsia="zh-CN"/>
        </w:rPr>
        <w:t>废润滑油、废含油抹布、手套</w:t>
      </w:r>
      <w:r>
        <w:rPr>
          <w:rFonts w:hint="eastAsia" w:ascii="Times New Roman" w:hAnsi="Times New Roman" w:eastAsia="仿宋_GB2312" w:cs="Times New Roman"/>
          <w:bCs/>
          <w:sz w:val="32"/>
          <w:szCs w:val="32"/>
          <w:lang w:val="en-US" w:eastAsia="zh-CN"/>
        </w:rPr>
        <w:t>等危险废物应严格执行《危险废物贮存污染控制标准》（GB18597-2023）要求，收集暂存在</w:t>
      </w:r>
      <w:r>
        <w:rPr>
          <w:rFonts w:hint="eastAsia" w:eastAsia="仿宋_GB2312" w:cs="Times New Roman"/>
          <w:bCs/>
          <w:sz w:val="32"/>
          <w:szCs w:val="32"/>
          <w:lang w:val="en-US" w:eastAsia="zh-CN"/>
        </w:rPr>
        <w:t>危废暂存间</w:t>
      </w:r>
      <w:r>
        <w:rPr>
          <w:rFonts w:hint="eastAsia" w:ascii="Times New Roman" w:hAnsi="Times New Roman" w:eastAsia="仿宋_GB2312" w:cs="Times New Roman"/>
          <w:bCs/>
          <w:sz w:val="32"/>
          <w:szCs w:val="32"/>
          <w:lang w:val="en-US" w:eastAsia="zh-CN"/>
        </w:rPr>
        <w:t>，定期委托有资质单位妥善处理；一般工业固体废物按照《一般工业固体废物贮存和填埋污染控制标准》（GB18599-2020）要求管理。委托他人运输、利用、处置的，应当对受委托方的主体资格和技术能力进行核实，依法签订书面合同，在合同中约定污染防治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（五）</w:t>
      </w:r>
      <w:r>
        <w:rPr>
          <w:rFonts w:hint="default" w:ascii="Times New Roman" w:hAnsi="Times New Roman" w:eastAsia="仿宋_GB2312" w:cs="Times New Roman"/>
          <w:bCs/>
          <w:sz w:val="32"/>
          <w:szCs w:val="32"/>
          <w:lang w:val="en-US" w:eastAsia="zh-CN"/>
        </w:rPr>
        <w:t>落实环境风险防范措施。严格落实报告表提出的各项环境风险防范措施，进一步强化风险管理和事故的预防，做好环境风险的巡查、监控等管理，杜绝环境风险事故发生。按相关要求进行企业突发环境事件应急预案的编制和备案，配备相应的应急物资，确保环境风险得到有效控制。项目各项环保设施的设计、建设、运行、管理应符合安全生产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（六）</w:t>
      </w:r>
      <w:r>
        <w:rPr>
          <w:rFonts w:hint="default" w:ascii="Times New Roman" w:hAnsi="Times New Roman" w:eastAsia="仿宋_GB2312" w:cs="Times New Roman"/>
          <w:bCs/>
          <w:sz w:val="32"/>
          <w:szCs w:val="32"/>
          <w:lang w:val="en-US" w:eastAsia="zh-CN"/>
        </w:rPr>
        <w:t>落实营运期环境管理措施。设立环境管理机构及环保人员，建立健全污染防治设施运行管理台账，确保各项污染防治设施的正常运行，各类污染物稳定达标排放。做好营运期的环境监测工作，定期向社会公开公司环境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w:t>
      </w:r>
      <w:r>
        <w:rPr>
          <w:rFonts w:hint="eastAsia" w:ascii="Times New Roman" w:hAnsi="Times New Roman" w:eastAsia="仿宋_GB2312" w:cs="Times New Roman"/>
          <w:bCs/>
          <w:sz w:val="32"/>
          <w:szCs w:val="32"/>
          <w:lang w:val="en-US" w:eastAsia="zh-CN"/>
        </w:rPr>
        <w:t>七</w:t>
      </w:r>
      <w:r>
        <w:rPr>
          <w:rFonts w:hint="default" w:ascii="Times New Roman" w:hAnsi="Times New Roman" w:eastAsia="仿宋_GB2312" w:cs="Times New Roman"/>
          <w:bCs/>
          <w:sz w:val="32"/>
          <w:szCs w:val="32"/>
          <w:lang w:val="en-US" w:eastAsia="zh-CN"/>
        </w:rPr>
        <w:t>）该项目污染物排放总量控制指标为：二氧化硫≤13.</w:t>
      </w:r>
      <w:r>
        <w:rPr>
          <w:rFonts w:hint="eastAsia" w:eastAsia="仿宋_GB2312" w:cs="Times New Roman"/>
          <w:bCs/>
          <w:sz w:val="32"/>
          <w:szCs w:val="32"/>
          <w:lang w:val="en-US" w:eastAsia="zh-CN"/>
        </w:rPr>
        <w:t>4</w:t>
      </w:r>
      <w:r>
        <w:rPr>
          <w:rFonts w:hint="default" w:ascii="Times New Roman" w:hAnsi="Times New Roman" w:eastAsia="仿宋_GB2312" w:cs="Times New Roman"/>
          <w:bCs/>
          <w:sz w:val="32"/>
          <w:szCs w:val="32"/>
          <w:lang w:val="en-US" w:eastAsia="zh-CN"/>
        </w:rPr>
        <w:t>t/a、氮氧化物≤15.</w:t>
      </w:r>
      <w:r>
        <w:rPr>
          <w:rFonts w:hint="eastAsia" w:eastAsia="仿宋_GB2312" w:cs="Times New Roman"/>
          <w:bCs/>
          <w:sz w:val="32"/>
          <w:szCs w:val="32"/>
          <w:lang w:val="en-US" w:eastAsia="zh-CN"/>
        </w:rPr>
        <w:t>6</w:t>
      </w:r>
      <w:r>
        <w:rPr>
          <w:rFonts w:hint="default" w:ascii="Times New Roman" w:hAnsi="Times New Roman" w:eastAsia="仿宋_GB2312" w:cs="Times New Roman"/>
          <w:bCs/>
          <w:sz w:val="32"/>
          <w:szCs w:val="32"/>
          <w:lang w:val="en-US" w:eastAsia="zh-CN"/>
        </w:rPr>
        <w:t>t/a</w:t>
      </w:r>
      <w:r>
        <w:rPr>
          <w:rFonts w:hint="eastAsia" w:eastAsia="仿宋_GB2312" w:cs="Times New Roman"/>
          <w:bCs/>
          <w:sz w:val="32"/>
          <w:szCs w:val="32"/>
          <w:lang w:val="en-US" w:eastAsia="zh-CN"/>
        </w:rPr>
        <w:t>；</w:t>
      </w:r>
      <w:r>
        <w:rPr>
          <w:rFonts w:hint="eastAsia" w:ascii="仿宋_GB2312" w:hAnsi="Times New Roman" w:eastAsia="仿宋_GB2312" w:cs="Times New Roman"/>
          <w:color w:val="auto"/>
          <w:sz w:val="32"/>
          <w:szCs w:val="32"/>
          <w:lang w:val="en-US" w:eastAsia="zh-CN"/>
        </w:rPr>
        <w:t>原有项目已有总量指标NO</w:t>
      </w:r>
      <w:r>
        <w:rPr>
          <w:rFonts w:hint="eastAsia" w:ascii="仿宋_GB2312" w:hAnsi="Times New Roman" w:eastAsia="仿宋_GB2312" w:cs="Times New Roman"/>
          <w:color w:val="auto"/>
          <w:sz w:val="32"/>
          <w:szCs w:val="32"/>
          <w:vertAlign w:val="subscript"/>
          <w:lang w:val="en-US" w:eastAsia="zh-CN"/>
        </w:rPr>
        <w:t>X</w:t>
      </w:r>
      <w:r>
        <w:rPr>
          <w:rFonts w:hint="eastAsia" w:ascii="仿宋_GB2312" w:hAnsi="Times New Roman" w:eastAsia="仿宋_GB2312" w:cs="Times New Roman"/>
          <w:color w:val="auto"/>
          <w:sz w:val="32"/>
          <w:szCs w:val="32"/>
          <w:lang w:val="en-US" w:eastAsia="zh-CN"/>
        </w:rPr>
        <w:t>：19.6t/a，SO</w:t>
      </w:r>
      <w:r>
        <w:rPr>
          <w:rFonts w:hint="eastAsia" w:ascii="仿宋_GB2312" w:hAnsi="Times New Roman" w:eastAsia="仿宋_GB2312" w:cs="Times New Roman"/>
          <w:color w:val="auto"/>
          <w:sz w:val="32"/>
          <w:szCs w:val="32"/>
          <w:vertAlign w:val="subscript"/>
          <w:lang w:val="en-US" w:eastAsia="zh-CN"/>
        </w:rPr>
        <w:t>2</w:t>
      </w:r>
      <w:r>
        <w:rPr>
          <w:rFonts w:hint="eastAsia" w:ascii="仿宋_GB2312" w:hAnsi="Times New Roman" w:eastAsia="仿宋_GB2312" w:cs="Times New Roman"/>
          <w:color w:val="auto"/>
          <w:sz w:val="32"/>
          <w:szCs w:val="32"/>
          <w:lang w:val="en-US" w:eastAsia="zh-Hans"/>
        </w:rPr>
        <w:t>：</w:t>
      </w:r>
      <w:r>
        <w:rPr>
          <w:rFonts w:hint="eastAsia" w:ascii="仿宋_GB2312" w:hAnsi="Times New Roman" w:eastAsia="仿宋_GB2312" w:cs="Times New Roman"/>
          <w:color w:val="auto"/>
          <w:sz w:val="32"/>
          <w:szCs w:val="32"/>
          <w:lang w:val="en-US" w:eastAsia="zh-CN"/>
        </w:rPr>
        <w:t>17.8t/a，故本技术改造项目无需购买总量指标，已有的总量指标满足项目需求。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三、项目建设必须严格执行环境保护</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三同时</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等相关环境管理制度。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四、按照《排污许可管理条例》、《排污许可管理办法》等相关法律法规规定进行排污许可</w:t>
      </w:r>
      <w:r>
        <w:rPr>
          <w:rFonts w:hint="eastAsia" w:eastAsia="仿宋_GB2312" w:cs="Times New Roman"/>
          <w:bCs/>
          <w:sz w:val="32"/>
          <w:szCs w:val="32"/>
          <w:lang w:val="en-US" w:eastAsia="zh-CN"/>
        </w:rPr>
        <w:t>变更</w:t>
      </w:r>
      <w:r>
        <w:rPr>
          <w:rFonts w:hint="default" w:ascii="Times New Roman" w:hAnsi="Times New Roman" w:eastAsia="仿宋_GB2312" w:cs="Times New Roman"/>
          <w:bCs/>
          <w:sz w:val="32"/>
          <w:szCs w:val="32"/>
          <w:lang w:val="en-US" w:eastAsia="zh-CN"/>
        </w:rPr>
        <w:t>工作，运营期依法排污。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五、加强环境监管。由岳阳市湘阴县生态环境保护综合行政执法大队负责该项目日常环境监管。你公司应在收到本批复后7个工作日内，将批复及批准的环评报告文本送至岳阳市湘阴县生态环境保护综合行政执法大队、</w:t>
      </w:r>
      <w:r>
        <w:rPr>
          <w:rFonts w:hint="eastAsia" w:eastAsia="仿宋_GB2312" w:cs="Times New Roman"/>
          <w:bCs/>
          <w:sz w:val="32"/>
          <w:szCs w:val="32"/>
          <w:lang w:val="en-US" w:eastAsia="zh-CN"/>
        </w:rPr>
        <w:t>岳阳中泽润科技有限公司</w:t>
      </w:r>
      <w:r>
        <w:rPr>
          <w:rFonts w:hint="default" w:ascii="Times New Roman" w:hAnsi="Times New Roman" w:eastAsia="仿宋_GB2312" w:cs="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你公司如对本批复不服，可以在接到决定书之日起六十日内向岳阳市人民政府申请行政复议</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或者六个月内向岳阳市君山区人民法院依法提起行政诉讼。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 xml:space="preserve">                            岳阳市生态环境局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rPr>
      </w:pPr>
      <w:r>
        <w:rPr>
          <w:rFonts w:hint="default" w:ascii="Times New Roman" w:hAnsi="Times New Roman" w:eastAsia="仿宋_GB2312" w:cs="Times New Roman"/>
          <w:bCs/>
          <w:sz w:val="32"/>
          <w:szCs w:val="32"/>
          <w:lang w:val="en-US" w:eastAsia="zh-CN"/>
        </w:rPr>
        <w:tab/>
      </w:r>
      <w:r>
        <w:rPr>
          <w:rFonts w:hint="default" w:ascii="Times New Roman" w:hAnsi="Times New Roman" w:eastAsia="仿宋_GB2312" w:cs="Times New Roman"/>
          <w:bCs/>
          <w:sz w:val="32"/>
          <w:szCs w:val="32"/>
          <w:lang w:val="en-US" w:eastAsia="zh-CN"/>
        </w:rPr>
        <w:t xml:space="preserve">                           2025年</w:t>
      </w:r>
      <w:r>
        <w:rPr>
          <w:rFonts w:hint="eastAsia" w:ascii="Times New Roman" w:hAnsi="Times New Roman" w:eastAsia="仿宋_GB2312" w:cs="Times New Roman"/>
          <w:bCs/>
          <w:sz w:val="32"/>
          <w:szCs w:val="32"/>
          <w:lang w:val="en-US" w:eastAsia="zh-CN"/>
        </w:rPr>
        <w:t>9</w:t>
      </w:r>
      <w:r>
        <w:rPr>
          <w:rFonts w:hint="default" w:ascii="Times New Roman" w:hAnsi="Times New Roman" w:eastAsia="仿宋_GB2312" w:cs="Times New Roman"/>
          <w:bCs/>
          <w:sz w:val="32"/>
          <w:szCs w:val="32"/>
          <w:lang w:val="en-US" w:eastAsia="zh-CN"/>
        </w:rPr>
        <w:t>月</w:t>
      </w:r>
      <w:r>
        <w:rPr>
          <w:rFonts w:hint="eastAsia" w:eastAsia="仿宋_GB2312" w:cs="Times New Roman"/>
          <w:bCs/>
          <w:sz w:val="32"/>
          <w:szCs w:val="32"/>
          <w:lang w:val="en-US" w:eastAsia="zh-CN"/>
        </w:rPr>
        <w:t>15</w:t>
      </w:r>
      <w:r>
        <w:rPr>
          <w:rFonts w:hint="default" w:ascii="Times New Roman" w:hAnsi="Times New Roman" w:eastAsia="仿宋_GB2312" w:cs="Times New Roman"/>
          <w:bCs/>
          <w:sz w:val="32"/>
          <w:szCs w:val="32"/>
          <w:lang w:val="en-US" w:eastAsia="zh-CN"/>
        </w:rPr>
        <w:t>日</w:t>
      </w:r>
      <w:r>
        <w:rPr>
          <w:rFonts w:hint="default" w:ascii="Times New Roman" w:hAnsi="Times New Roman" w:eastAsia="仿宋_GB2312" w:cs="Times New Roman"/>
          <w:bCs/>
          <w:sz w:val="32"/>
          <w:szCs w:val="32"/>
          <w:lang w:val="en-US" w:eastAsia="zh-CN"/>
        </w:rPr>
        <w:tab/>
      </w:r>
      <w:r>
        <w:rPr>
          <w:rFonts w:hint="default" w:ascii="Times New Roman" w:hAnsi="Times New Roman" w:eastAsia="仿宋_GB2312" w:cs="Times New Roman"/>
          <w:bCs/>
          <w:sz w:val="32"/>
          <w:szCs w:val="32"/>
          <w:lang w:val="en-US" w:eastAsia="zh-CN"/>
        </w:rPr>
        <w:t xml:space="preserve">                       </w:t>
      </w:r>
    </w:p>
    <w:sectPr>
      <w:headerReference r:id="rId5" w:type="first"/>
      <w:footerReference r:id="rId7" w:type="first"/>
      <w:headerReference r:id="rId3" w:type="default"/>
      <w:headerReference r:id="rId4" w:type="even"/>
      <w:footerReference r:id="rId6" w:type="even"/>
      <w:pgSz w:w="11906" w:h="16838"/>
      <w:pgMar w:top="1440" w:right="1587" w:bottom="1497" w:left="1587"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FEFF0"/>
    <w:multiLevelType w:val="multilevel"/>
    <w:tmpl w:val="0B0FEFF0"/>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5"/>
        </w:tabs>
        <w:ind w:left="575" w:hanging="575"/>
      </w:pPr>
      <w:rPr>
        <w:rFonts w:hint="default"/>
      </w:rPr>
    </w:lvl>
    <w:lvl w:ilvl="2" w:tentative="0">
      <w:start w:val="1"/>
      <w:numFmt w:val="decimal"/>
      <w:lvlText w:val="%1.%2.%3."/>
      <w:lvlJc w:val="left"/>
      <w:pPr>
        <w:tabs>
          <w:tab w:val="left" w:pos="862"/>
        </w:tabs>
        <w:ind w:left="862" w:hanging="720"/>
      </w:pPr>
      <w:rPr>
        <w:rFonts w:hint="default"/>
        <w:b/>
        <w:sz w:val="24"/>
      </w:rPr>
    </w:lvl>
    <w:lvl w:ilvl="3" w:tentative="0">
      <w:start w:val="1"/>
      <w:numFmt w:val="decimal"/>
      <w:lvlText w:val="%1.%2.%3.%4."/>
      <w:lvlJc w:val="left"/>
      <w:pPr>
        <w:tabs>
          <w:tab w:val="left" w:pos="864"/>
        </w:tabs>
        <w:ind w:left="864" w:hanging="864"/>
      </w:pPr>
      <w:rPr>
        <w:rFonts w:hint="default"/>
      </w:rPr>
    </w:lvl>
    <w:lvl w:ilvl="4" w:tentative="0">
      <w:start w:val="1"/>
      <w:numFmt w:val="decimal"/>
      <w:pStyle w:val="8"/>
      <w:lvlText w:val="%1.%2.%3.%4.%5."/>
      <w:lvlJc w:val="left"/>
      <w:pPr>
        <w:tabs>
          <w:tab w:val="left" w:pos="1008"/>
        </w:tabs>
        <w:ind w:left="1008" w:hanging="1008"/>
      </w:pPr>
      <w:rPr>
        <w:rFonts w:hint="default"/>
      </w:rPr>
    </w:lvl>
    <w:lvl w:ilvl="5" w:tentative="0">
      <w:start w:val="1"/>
      <w:numFmt w:val="decimal"/>
      <w:pStyle w:val="9"/>
      <w:lvlText w:val="%1.%2.%3.%4.%5.%6."/>
      <w:lvlJc w:val="left"/>
      <w:pPr>
        <w:tabs>
          <w:tab w:val="left" w:pos="1151"/>
        </w:tabs>
        <w:ind w:left="1151" w:hanging="1151"/>
      </w:pPr>
      <w:rPr>
        <w:rFonts w:hint="default"/>
      </w:rPr>
    </w:lvl>
    <w:lvl w:ilvl="6" w:tentative="0">
      <w:start w:val="1"/>
      <w:numFmt w:val="decimal"/>
      <w:pStyle w:val="10"/>
      <w:lvlText w:val="%1.%2.%3.%4.%5.%6.%7."/>
      <w:lvlJc w:val="left"/>
      <w:pPr>
        <w:tabs>
          <w:tab w:val="left" w:pos="1296"/>
        </w:tabs>
        <w:ind w:left="1296" w:hanging="1296"/>
      </w:pPr>
      <w:rPr>
        <w:rFonts w:hint="default"/>
      </w:rPr>
    </w:lvl>
    <w:lvl w:ilvl="7" w:tentative="0">
      <w:start w:val="1"/>
      <w:numFmt w:val="decimal"/>
      <w:pStyle w:val="11"/>
      <w:lvlText w:val="%1.%2.%3.%4.%5.%6.%7.%8."/>
      <w:lvlJc w:val="left"/>
      <w:pPr>
        <w:tabs>
          <w:tab w:val="left" w:pos="1440"/>
        </w:tabs>
        <w:ind w:left="1440" w:hanging="1440"/>
      </w:pPr>
      <w:rPr>
        <w:rFonts w:hint="default"/>
      </w:rPr>
    </w:lvl>
    <w:lvl w:ilvl="8" w:tentative="0">
      <w:start w:val="1"/>
      <w:numFmt w:val="decimal"/>
      <w:pStyle w:val="12"/>
      <w:lvlText w:val="%1.%2.%3.%4.%5.%6.%7.%8.%9."/>
      <w:lvlJc w:val="left"/>
      <w:pPr>
        <w:tabs>
          <w:tab w:val="left" w:pos="1583"/>
        </w:tabs>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mYzcwYWM0ZDhlMDZkMDIyYjFjMDMyNDRiN2E2NGQifQ=="/>
    <w:docVar w:name="KSO_WPS_MARK_KEY" w:val="0fa6981b-cffb-49bd-ba5d-4ae184d3ac3d"/>
  </w:docVars>
  <w:rsids>
    <w:rsidRoot w:val="00000000"/>
    <w:rsid w:val="00C43949"/>
    <w:rsid w:val="01FF74C5"/>
    <w:rsid w:val="021F7DC1"/>
    <w:rsid w:val="02744495"/>
    <w:rsid w:val="0361265C"/>
    <w:rsid w:val="039F5648"/>
    <w:rsid w:val="03DD6186"/>
    <w:rsid w:val="04127A33"/>
    <w:rsid w:val="05031C1C"/>
    <w:rsid w:val="051E0B41"/>
    <w:rsid w:val="052177D2"/>
    <w:rsid w:val="05BD2E07"/>
    <w:rsid w:val="063D115E"/>
    <w:rsid w:val="065B567D"/>
    <w:rsid w:val="068B047B"/>
    <w:rsid w:val="06957FBA"/>
    <w:rsid w:val="06B50CC5"/>
    <w:rsid w:val="06DF1684"/>
    <w:rsid w:val="080F2686"/>
    <w:rsid w:val="0917112B"/>
    <w:rsid w:val="092C729B"/>
    <w:rsid w:val="09714054"/>
    <w:rsid w:val="09BD2F54"/>
    <w:rsid w:val="0A524D98"/>
    <w:rsid w:val="0AC0410C"/>
    <w:rsid w:val="0BBE4AEF"/>
    <w:rsid w:val="0C253AE3"/>
    <w:rsid w:val="0C46547E"/>
    <w:rsid w:val="0C962284"/>
    <w:rsid w:val="0DA41AC3"/>
    <w:rsid w:val="0DB91576"/>
    <w:rsid w:val="0DC1163E"/>
    <w:rsid w:val="0DC932D7"/>
    <w:rsid w:val="0E90736F"/>
    <w:rsid w:val="0E9D21B1"/>
    <w:rsid w:val="0EA0672E"/>
    <w:rsid w:val="0F657030"/>
    <w:rsid w:val="1075552C"/>
    <w:rsid w:val="107820F3"/>
    <w:rsid w:val="107A6B0B"/>
    <w:rsid w:val="10FB56B9"/>
    <w:rsid w:val="110F1C95"/>
    <w:rsid w:val="112F3D99"/>
    <w:rsid w:val="117B6FDE"/>
    <w:rsid w:val="13372CB9"/>
    <w:rsid w:val="135B2C24"/>
    <w:rsid w:val="139863B0"/>
    <w:rsid w:val="15197D03"/>
    <w:rsid w:val="15545B0C"/>
    <w:rsid w:val="15D171CD"/>
    <w:rsid w:val="16D62785"/>
    <w:rsid w:val="186662F2"/>
    <w:rsid w:val="18C15C1F"/>
    <w:rsid w:val="18D23815"/>
    <w:rsid w:val="1ABC39E3"/>
    <w:rsid w:val="1AFA5418"/>
    <w:rsid w:val="1AFD2812"/>
    <w:rsid w:val="1B130D94"/>
    <w:rsid w:val="1B1D2FEC"/>
    <w:rsid w:val="1B1D6206"/>
    <w:rsid w:val="1B500CC3"/>
    <w:rsid w:val="1BC17CE4"/>
    <w:rsid w:val="1BD16179"/>
    <w:rsid w:val="1BEA723A"/>
    <w:rsid w:val="1C593BC9"/>
    <w:rsid w:val="1C5F759C"/>
    <w:rsid w:val="1C774C00"/>
    <w:rsid w:val="1CE617B0"/>
    <w:rsid w:val="1D3D44B8"/>
    <w:rsid w:val="1D623E20"/>
    <w:rsid w:val="1E4A2212"/>
    <w:rsid w:val="1E6A10F9"/>
    <w:rsid w:val="1F8D2690"/>
    <w:rsid w:val="1F980D5B"/>
    <w:rsid w:val="20337402"/>
    <w:rsid w:val="203E6F7B"/>
    <w:rsid w:val="21154D5A"/>
    <w:rsid w:val="21EC1E61"/>
    <w:rsid w:val="2277734E"/>
    <w:rsid w:val="22FB1D2D"/>
    <w:rsid w:val="23D83E1C"/>
    <w:rsid w:val="244403F2"/>
    <w:rsid w:val="24741985"/>
    <w:rsid w:val="24E07603"/>
    <w:rsid w:val="250834F2"/>
    <w:rsid w:val="2547757B"/>
    <w:rsid w:val="25A466AC"/>
    <w:rsid w:val="25E90563"/>
    <w:rsid w:val="270B0988"/>
    <w:rsid w:val="283C1B4B"/>
    <w:rsid w:val="28DA2B24"/>
    <w:rsid w:val="2A7228D5"/>
    <w:rsid w:val="2B8A1635"/>
    <w:rsid w:val="2C1F5A42"/>
    <w:rsid w:val="2C2D5DD9"/>
    <w:rsid w:val="2C3D5164"/>
    <w:rsid w:val="2C445FA9"/>
    <w:rsid w:val="2C4677AE"/>
    <w:rsid w:val="2C5F50DB"/>
    <w:rsid w:val="2C806C46"/>
    <w:rsid w:val="2D126EBD"/>
    <w:rsid w:val="2DB15E0A"/>
    <w:rsid w:val="2DE03FF9"/>
    <w:rsid w:val="2E763A8B"/>
    <w:rsid w:val="2E8928E3"/>
    <w:rsid w:val="2EBC4A66"/>
    <w:rsid w:val="2ECE479A"/>
    <w:rsid w:val="2F1B5129"/>
    <w:rsid w:val="2F3C5BA7"/>
    <w:rsid w:val="2FC02334"/>
    <w:rsid w:val="30CE282F"/>
    <w:rsid w:val="30F46B5D"/>
    <w:rsid w:val="30FE535F"/>
    <w:rsid w:val="31537991"/>
    <w:rsid w:val="31CC2E69"/>
    <w:rsid w:val="31EC5663"/>
    <w:rsid w:val="32783F0E"/>
    <w:rsid w:val="32BF0260"/>
    <w:rsid w:val="32D305D1"/>
    <w:rsid w:val="32DC7485"/>
    <w:rsid w:val="33296443"/>
    <w:rsid w:val="33B35C4A"/>
    <w:rsid w:val="33C148CD"/>
    <w:rsid w:val="33FF0BD6"/>
    <w:rsid w:val="342752C8"/>
    <w:rsid w:val="342B39EB"/>
    <w:rsid w:val="344572AC"/>
    <w:rsid w:val="344928A1"/>
    <w:rsid w:val="36681030"/>
    <w:rsid w:val="38516299"/>
    <w:rsid w:val="38740160"/>
    <w:rsid w:val="39462CB6"/>
    <w:rsid w:val="399428F2"/>
    <w:rsid w:val="3A2D05C6"/>
    <w:rsid w:val="3A8914CF"/>
    <w:rsid w:val="3ABD5DEE"/>
    <w:rsid w:val="3B716BD9"/>
    <w:rsid w:val="3C4C33EA"/>
    <w:rsid w:val="3C542B0D"/>
    <w:rsid w:val="3C9506A5"/>
    <w:rsid w:val="3CC571DC"/>
    <w:rsid w:val="3CCA034E"/>
    <w:rsid w:val="3D0A4BEF"/>
    <w:rsid w:val="3D0C4E0B"/>
    <w:rsid w:val="3D233B23"/>
    <w:rsid w:val="3D307460"/>
    <w:rsid w:val="3D54230E"/>
    <w:rsid w:val="3D7A1995"/>
    <w:rsid w:val="3DA2751D"/>
    <w:rsid w:val="3DC428BC"/>
    <w:rsid w:val="3DE02F4C"/>
    <w:rsid w:val="3DFD22E6"/>
    <w:rsid w:val="3E611186"/>
    <w:rsid w:val="3EB95164"/>
    <w:rsid w:val="3EBE0387"/>
    <w:rsid w:val="3EE72FF8"/>
    <w:rsid w:val="3EE91F79"/>
    <w:rsid w:val="3F46769F"/>
    <w:rsid w:val="3F5F0DCC"/>
    <w:rsid w:val="3FC759B0"/>
    <w:rsid w:val="3FEE6A4A"/>
    <w:rsid w:val="3FFC1167"/>
    <w:rsid w:val="4044258D"/>
    <w:rsid w:val="4068306E"/>
    <w:rsid w:val="40716E79"/>
    <w:rsid w:val="40A11D0E"/>
    <w:rsid w:val="40FF1BB1"/>
    <w:rsid w:val="413E130B"/>
    <w:rsid w:val="416C0BB2"/>
    <w:rsid w:val="4185518C"/>
    <w:rsid w:val="41DC654E"/>
    <w:rsid w:val="41F77652"/>
    <w:rsid w:val="41FF7556"/>
    <w:rsid w:val="42417305"/>
    <w:rsid w:val="42552DB0"/>
    <w:rsid w:val="42731488"/>
    <w:rsid w:val="42A85AFC"/>
    <w:rsid w:val="42BF46CD"/>
    <w:rsid w:val="42CF5442"/>
    <w:rsid w:val="43376BEF"/>
    <w:rsid w:val="43C26223"/>
    <w:rsid w:val="44096111"/>
    <w:rsid w:val="4433501C"/>
    <w:rsid w:val="4499112D"/>
    <w:rsid w:val="44A4033B"/>
    <w:rsid w:val="452877C8"/>
    <w:rsid w:val="45A01AB9"/>
    <w:rsid w:val="45EC174B"/>
    <w:rsid w:val="46A41C10"/>
    <w:rsid w:val="46EE27C2"/>
    <w:rsid w:val="47242D51"/>
    <w:rsid w:val="4780267D"/>
    <w:rsid w:val="47B10A89"/>
    <w:rsid w:val="47B45127"/>
    <w:rsid w:val="47F5796A"/>
    <w:rsid w:val="47FB61A8"/>
    <w:rsid w:val="488E0DCA"/>
    <w:rsid w:val="488F069E"/>
    <w:rsid w:val="48914416"/>
    <w:rsid w:val="48FB5D34"/>
    <w:rsid w:val="4950607F"/>
    <w:rsid w:val="49BB5BEF"/>
    <w:rsid w:val="4A4027D8"/>
    <w:rsid w:val="4A606796"/>
    <w:rsid w:val="4AB31197"/>
    <w:rsid w:val="4B46598C"/>
    <w:rsid w:val="4B476C6D"/>
    <w:rsid w:val="4C4A14AC"/>
    <w:rsid w:val="4CFD2D35"/>
    <w:rsid w:val="4D21045F"/>
    <w:rsid w:val="4DBA5B35"/>
    <w:rsid w:val="4DD60275"/>
    <w:rsid w:val="4DE84AD8"/>
    <w:rsid w:val="4E0A0EF3"/>
    <w:rsid w:val="4E724CEA"/>
    <w:rsid w:val="4F1D4C56"/>
    <w:rsid w:val="4F372B72"/>
    <w:rsid w:val="4F9A5ACE"/>
    <w:rsid w:val="50190775"/>
    <w:rsid w:val="50C22148"/>
    <w:rsid w:val="51A9684C"/>
    <w:rsid w:val="52075749"/>
    <w:rsid w:val="526D7CA2"/>
    <w:rsid w:val="528A0854"/>
    <w:rsid w:val="5290573F"/>
    <w:rsid w:val="535F7ADD"/>
    <w:rsid w:val="53604C5E"/>
    <w:rsid w:val="5362532D"/>
    <w:rsid w:val="53D31D87"/>
    <w:rsid w:val="53E67D0C"/>
    <w:rsid w:val="53ED01C1"/>
    <w:rsid w:val="54363BAA"/>
    <w:rsid w:val="54540146"/>
    <w:rsid w:val="54817A35"/>
    <w:rsid w:val="54992FD0"/>
    <w:rsid w:val="54A60BCF"/>
    <w:rsid w:val="550F5041"/>
    <w:rsid w:val="55947215"/>
    <w:rsid w:val="55C67DF5"/>
    <w:rsid w:val="567145C7"/>
    <w:rsid w:val="57B10631"/>
    <w:rsid w:val="58020E8D"/>
    <w:rsid w:val="581C6D6F"/>
    <w:rsid w:val="583A0626"/>
    <w:rsid w:val="586E02D0"/>
    <w:rsid w:val="58E93DFA"/>
    <w:rsid w:val="5A7625A6"/>
    <w:rsid w:val="5B2A2BD4"/>
    <w:rsid w:val="5B8D0D0C"/>
    <w:rsid w:val="5C8F2D85"/>
    <w:rsid w:val="5CB26A7D"/>
    <w:rsid w:val="5D034B5B"/>
    <w:rsid w:val="5D5E7965"/>
    <w:rsid w:val="5DAA7FFC"/>
    <w:rsid w:val="5E350BEB"/>
    <w:rsid w:val="5E547F68"/>
    <w:rsid w:val="5E8D26AE"/>
    <w:rsid w:val="5EF8626D"/>
    <w:rsid w:val="5F6366B5"/>
    <w:rsid w:val="5F6661A5"/>
    <w:rsid w:val="601E082E"/>
    <w:rsid w:val="61E8637C"/>
    <w:rsid w:val="620A0A24"/>
    <w:rsid w:val="629D1DAB"/>
    <w:rsid w:val="62C456BC"/>
    <w:rsid w:val="62FF5A4C"/>
    <w:rsid w:val="631C4748"/>
    <w:rsid w:val="63604CB9"/>
    <w:rsid w:val="63AD4A3F"/>
    <w:rsid w:val="6401024A"/>
    <w:rsid w:val="64C6740E"/>
    <w:rsid w:val="64E57B6C"/>
    <w:rsid w:val="652F768E"/>
    <w:rsid w:val="65AE1FF2"/>
    <w:rsid w:val="65AE37E0"/>
    <w:rsid w:val="66195D1F"/>
    <w:rsid w:val="66C00C96"/>
    <w:rsid w:val="67396EFC"/>
    <w:rsid w:val="67713939"/>
    <w:rsid w:val="68556DB7"/>
    <w:rsid w:val="690031C6"/>
    <w:rsid w:val="69794D27"/>
    <w:rsid w:val="69AD15A7"/>
    <w:rsid w:val="69EA2B06"/>
    <w:rsid w:val="6A90057A"/>
    <w:rsid w:val="6AAE5B2F"/>
    <w:rsid w:val="6B256F14"/>
    <w:rsid w:val="6B560E7C"/>
    <w:rsid w:val="6B637A3C"/>
    <w:rsid w:val="6C423AF6"/>
    <w:rsid w:val="6CA05A67"/>
    <w:rsid w:val="6E1B45FE"/>
    <w:rsid w:val="6E2A4841"/>
    <w:rsid w:val="6F6B6EC0"/>
    <w:rsid w:val="6FB92D61"/>
    <w:rsid w:val="70A26911"/>
    <w:rsid w:val="70D6480D"/>
    <w:rsid w:val="70D74514"/>
    <w:rsid w:val="711B64C4"/>
    <w:rsid w:val="717B5AE0"/>
    <w:rsid w:val="721F290F"/>
    <w:rsid w:val="724802B8"/>
    <w:rsid w:val="73571B73"/>
    <w:rsid w:val="747550E2"/>
    <w:rsid w:val="74D8759C"/>
    <w:rsid w:val="75134281"/>
    <w:rsid w:val="752D2DD6"/>
    <w:rsid w:val="7564748C"/>
    <w:rsid w:val="75AB270C"/>
    <w:rsid w:val="772B58B2"/>
    <w:rsid w:val="77387FCF"/>
    <w:rsid w:val="779D09FF"/>
    <w:rsid w:val="78083900"/>
    <w:rsid w:val="78EC2FE0"/>
    <w:rsid w:val="792E51E6"/>
    <w:rsid w:val="796C5D0E"/>
    <w:rsid w:val="7A2C215F"/>
    <w:rsid w:val="7A8772A3"/>
    <w:rsid w:val="7B845591"/>
    <w:rsid w:val="7BEC3136"/>
    <w:rsid w:val="7C91122A"/>
    <w:rsid w:val="7CCD11BA"/>
    <w:rsid w:val="7CE1357B"/>
    <w:rsid w:val="7DA168CE"/>
    <w:rsid w:val="7DB26EA6"/>
    <w:rsid w:val="7DBA7990"/>
    <w:rsid w:val="7E2364DE"/>
    <w:rsid w:val="7F6F2EAE"/>
    <w:rsid w:val="7FF71D90"/>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0"/>
    <w:pPr>
      <w:keepNext/>
      <w:keepLines/>
      <w:widowControl w:val="0"/>
      <w:suppressLineNumbers w:val="0"/>
      <w:spacing w:before="480" w:beforeAutospacing="0" w:after="600" w:afterAutospacing="0" w:line="576" w:lineRule="auto"/>
      <w:ind w:left="0" w:right="0"/>
      <w:jc w:val="center"/>
      <w:outlineLvl w:val="0"/>
    </w:pPr>
    <w:rPr>
      <w:rFonts w:ascii="Times New Roman" w:hAnsi="Times New Roman" w:eastAsia="宋体" w:cs="Times New Roman"/>
      <w:b/>
      <w:kern w:val="44"/>
      <w:sz w:val="36"/>
      <w:szCs w:val="44"/>
    </w:rPr>
  </w:style>
  <w:style w:type="paragraph" w:styleId="5">
    <w:name w:val="heading 2"/>
    <w:basedOn w:val="1"/>
    <w:next w:val="1"/>
    <w:link w:val="36"/>
    <w:semiHidden/>
    <w:unhideWhenUsed/>
    <w:qFormat/>
    <w:uiPriority w:val="0"/>
    <w:pPr>
      <w:keepNext/>
      <w:keepLines/>
      <w:widowControl w:val="0"/>
      <w:suppressLineNumbers w:val="0"/>
      <w:spacing w:before="20" w:beforeAutospacing="0" w:after="20" w:afterAutospacing="0" w:line="415" w:lineRule="auto"/>
      <w:ind w:left="0" w:right="0"/>
      <w:jc w:val="both"/>
      <w:outlineLvl w:val="1"/>
    </w:pPr>
    <w:rPr>
      <w:rFonts w:ascii="Cambria" w:hAnsi="Cambria" w:eastAsia="宋体" w:cs="Times New Roman"/>
      <w:b/>
      <w:sz w:val="32"/>
      <w:szCs w:val="32"/>
    </w:rPr>
  </w:style>
  <w:style w:type="paragraph" w:styleId="6">
    <w:name w:val="heading 3"/>
    <w:basedOn w:val="1"/>
    <w:next w:val="1"/>
    <w:link w:val="37"/>
    <w:semiHidden/>
    <w:unhideWhenUsed/>
    <w:qFormat/>
    <w:uiPriority w:val="0"/>
    <w:pPr>
      <w:keepNext/>
      <w:keepLines/>
      <w:widowControl w:val="0"/>
      <w:suppressLineNumbers w:val="0"/>
      <w:spacing w:before="140" w:beforeAutospacing="0" w:after="140" w:afterAutospacing="0" w:line="240" w:lineRule="auto"/>
      <w:ind w:left="0" w:right="0"/>
      <w:jc w:val="both"/>
      <w:outlineLvl w:val="2"/>
    </w:pPr>
    <w:rPr>
      <w:rFonts w:ascii="Times New Roman" w:hAnsi="Times New Roman" w:eastAsia="宋体"/>
      <w:b/>
      <w:sz w:val="24"/>
      <w:szCs w:val="32"/>
    </w:rPr>
  </w:style>
  <w:style w:type="paragraph" w:styleId="7">
    <w:name w:val="heading 4"/>
    <w:basedOn w:val="1"/>
    <w:next w:val="1"/>
    <w:semiHidden/>
    <w:unhideWhenUsed/>
    <w:qFormat/>
    <w:uiPriority w:val="0"/>
    <w:pPr>
      <w:keepNext/>
      <w:keepLines/>
      <w:spacing w:before="40" w:beforeLines="0" w:beforeAutospacing="0" w:after="50" w:afterLines="0" w:afterAutospacing="0" w:line="372" w:lineRule="auto"/>
      <w:outlineLvl w:val="3"/>
    </w:pPr>
    <w:rPr>
      <w:rFonts w:ascii="Times New Roman" w:hAnsi="Times New Roman" w:eastAsia="宋体" w:cs="Times New Roman"/>
      <w:b/>
      <w:sz w:val="28"/>
      <w:szCs w:val="21"/>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13">
    <w:name w:val="Body Text Indent"/>
    <w:basedOn w:val="1"/>
    <w:unhideWhenUsed/>
    <w:qFormat/>
    <w:uiPriority w:val="99"/>
    <w:pPr>
      <w:spacing w:after="120"/>
      <w:ind w:left="420" w:leftChars="200"/>
    </w:pPr>
  </w:style>
  <w:style w:type="paragraph" w:styleId="14">
    <w:name w:val="Plain Text"/>
    <w:basedOn w:val="1"/>
    <w:qFormat/>
    <w:uiPriority w:val="0"/>
    <w:rPr>
      <w:rFonts w:hAnsi="Courier New"/>
      <w:sz w:val="20"/>
      <w:szCs w:val="20"/>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2"/>
    <w:basedOn w:val="1"/>
    <w:next w:val="1"/>
    <w:link w:val="40"/>
    <w:qFormat/>
    <w:uiPriority w:val="0"/>
    <w:pPr>
      <w:spacing w:line="240" w:lineRule="auto"/>
      <w:ind w:left="0" w:leftChars="0"/>
    </w:pPr>
    <w:rPr>
      <w:rFonts w:ascii="Times New Roman" w:hAnsi="Times New Roman" w:eastAsia="宋体" w:cs="Times New Roman"/>
      <w:sz w:val="28"/>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20">
    <w:name w:val="Body Text First Indent"/>
    <w:basedOn w:val="2"/>
    <w:link w:val="38"/>
    <w:qFormat/>
    <w:uiPriority w:val="0"/>
    <w:pPr>
      <w:ind w:firstLine="480"/>
      <w:jc w:val="left"/>
    </w:pPr>
    <w:rPr>
      <w:rFonts w:ascii="Times New Roman" w:hAnsi="Times New Roman" w:eastAsia="宋体"/>
    </w:rPr>
  </w:style>
  <w:style w:type="paragraph" w:styleId="21">
    <w:name w:val="Body Text First Indent 2"/>
    <w:basedOn w:val="13"/>
    <w:next w:val="1"/>
    <w:qFormat/>
    <w:uiPriority w:val="0"/>
    <w:pPr>
      <w:ind w:firstLine="420" w:firstLineChars="200"/>
    </w:pPr>
    <w:rPr>
      <w:sz w:val="21"/>
      <w:szCs w:val="24"/>
    </w:rPr>
  </w:style>
  <w:style w:type="paragraph" w:customStyle="1" w:styleId="24">
    <w:name w:val="Default"/>
    <w:basedOn w:val="25"/>
    <w:next w:val="21"/>
    <w:qFormat/>
    <w:uiPriority w:val="0"/>
    <w:pPr>
      <w:autoSpaceDE w:val="0"/>
      <w:autoSpaceDN w:val="0"/>
      <w:adjustRightInd w:val="0"/>
    </w:pPr>
    <w:rPr>
      <w:rFonts w:ascii="宋体" w:hAnsi="宋体" w:cs="宋体"/>
      <w:kern w:val="0"/>
      <w:sz w:val="24"/>
    </w:rPr>
  </w:style>
  <w:style w:type="paragraph" w:customStyle="1" w:styleId="25">
    <w:name w:val="！正文 Alt+0"/>
    <w:basedOn w:val="1"/>
    <w:qFormat/>
    <w:uiPriority w:val="0"/>
    <w:pPr>
      <w:ind w:firstLine="200"/>
    </w:pPr>
    <w:rPr>
      <w:sz w:val="28"/>
      <w:szCs w:val="28"/>
    </w:rPr>
  </w:style>
  <w:style w:type="paragraph" w:customStyle="1" w:styleId="26">
    <w:name w:val="正文1"/>
    <w:basedOn w:val="1"/>
    <w:link w:val="27"/>
    <w:qFormat/>
    <w:uiPriority w:val="0"/>
    <w:pPr>
      <w:spacing w:line="360" w:lineRule="auto"/>
      <w:ind w:firstLine="480" w:firstLineChars="200"/>
    </w:pPr>
    <w:rPr>
      <w:rFonts w:ascii="Times New Roman" w:hAnsi="Times New Roman" w:eastAsia="宋体"/>
      <w:sz w:val="24"/>
    </w:rPr>
  </w:style>
  <w:style w:type="character" w:customStyle="1" w:styleId="27">
    <w:name w:val="正文1 Char"/>
    <w:link w:val="26"/>
    <w:qFormat/>
    <w:uiPriority w:val="0"/>
    <w:rPr>
      <w:rFonts w:ascii="Times New Roman" w:hAnsi="Times New Roman" w:eastAsia="宋体"/>
      <w:sz w:val="24"/>
    </w:rPr>
  </w:style>
  <w:style w:type="character" w:customStyle="1" w:styleId="28">
    <w:name w:val="标题 1 字符"/>
    <w:link w:val="4"/>
    <w:qFormat/>
    <w:uiPriority w:val="0"/>
    <w:rPr>
      <w:rFonts w:ascii="Times New Roman" w:hAnsi="Times New Roman" w:eastAsia="宋体" w:cs="Times New Roman"/>
      <w:b/>
      <w:bCs/>
      <w:kern w:val="44"/>
      <w:sz w:val="36"/>
      <w:szCs w:val="32"/>
    </w:rPr>
  </w:style>
  <w:style w:type="paragraph" w:customStyle="1" w:styleId="29">
    <w:name w:val="表字体"/>
    <w:next w:val="1"/>
    <w:qFormat/>
    <w:uiPriority w:val="0"/>
    <w:pPr>
      <w:jc w:val="center"/>
    </w:pPr>
    <w:rPr>
      <w:rFonts w:hint="eastAsia" w:ascii="Arial" w:hAnsi="Arial" w:cs="Arial" w:eastAsiaTheme="minorEastAsia"/>
      <w:sz w:val="21"/>
    </w:rPr>
  </w:style>
  <w:style w:type="paragraph" w:customStyle="1" w:styleId="30">
    <w:name w:val="表图标题"/>
    <w:basedOn w:val="1"/>
    <w:link w:val="31"/>
    <w:qFormat/>
    <w:uiPriority w:val="0"/>
    <w:pPr>
      <w:spacing w:line="240" w:lineRule="auto"/>
      <w:jc w:val="center"/>
    </w:pPr>
    <w:rPr>
      <w:rFonts w:ascii="Times New Roman" w:hAnsi="Times New Roman" w:eastAsia="宋体"/>
      <w:b/>
      <w:bCs/>
      <w:sz w:val="21"/>
    </w:rPr>
  </w:style>
  <w:style w:type="character" w:customStyle="1" w:styleId="31">
    <w:name w:val="表图标题 Char"/>
    <w:link w:val="30"/>
    <w:qFormat/>
    <w:uiPriority w:val="0"/>
    <w:rPr>
      <w:rFonts w:ascii="Times New Roman" w:hAnsi="Times New Roman" w:eastAsia="宋体"/>
      <w:b/>
      <w:bCs/>
      <w:sz w:val="21"/>
    </w:rPr>
  </w:style>
  <w:style w:type="paragraph" w:customStyle="1" w:styleId="32">
    <w:name w:val="表格内容"/>
    <w:basedOn w:val="1"/>
    <w:next w:val="1"/>
    <w:link w:val="33"/>
    <w:qFormat/>
    <w:uiPriority w:val="0"/>
    <w:pPr>
      <w:spacing w:line="240" w:lineRule="auto"/>
      <w:ind w:firstLine="0" w:firstLineChars="0"/>
      <w:jc w:val="center"/>
    </w:pPr>
    <w:rPr>
      <w:rFonts w:ascii="Times New Roman" w:hAnsi="Times New Roman" w:eastAsia="宋体" w:cs="Times New Roman"/>
      <w:sz w:val="21"/>
      <w:szCs w:val="20"/>
      <w:lang w:val="zh-CN" w:bidi="zh-CN"/>
    </w:rPr>
  </w:style>
  <w:style w:type="character" w:customStyle="1" w:styleId="33">
    <w:name w:val="表格内容 Char"/>
    <w:link w:val="32"/>
    <w:qFormat/>
    <w:uiPriority w:val="0"/>
    <w:rPr>
      <w:rFonts w:ascii="Times New Roman" w:hAnsi="Times New Roman" w:eastAsia="宋体" w:cs="Times New Roman"/>
      <w:sz w:val="21"/>
      <w:szCs w:val="20"/>
      <w:lang w:val="zh-CN" w:bidi="zh-CN"/>
    </w:rPr>
  </w:style>
  <w:style w:type="paragraph" w:customStyle="1" w:styleId="34">
    <w:name w:val="验收正文"/>
    <w:basedOn w:val="1"/>
    <w:link w:val="35"/>
    <w:qFormat/>
    <w:uiPriority w:val="0"/>
    <w:pPr>
      <w:spacing w:line="360" w:lineRule="auto"/>
      <w:ind w:firstLine="960" w:firstLineChars="200"/>
    </w:pPr>
    <w:rPr>
      <w:rFonts w:ascii="Times New Roman" w:hAnsi="Times New Roman" w:eastAsia="宋体" w:cs="Times New Roman"/>
      <w:kern w:val="0"/>
      <w:sz w:val="24"/>
      <w:szCs w:val="28"/>
    </w:rPr>
  </w:style>
  <w:style w:type="character" w:customStyle="1" w:styleId="35">
    <w:name w:val="验收正文 Char"/>
    <w:link w:val="34"/>
    <w:qFormat/>
    <w:uiPriority w:val="0"/>
    <w:rPr>
      <w:rFonts w:ascii="Times New Roman" w:hAnsi="Times New Roman" w:eastAsia="宋体" w:cs="Times New Roman"/>
      <w:sz w:val="24"/>
      <w:szCs w:val="28"/>
    </w:rPr>
  </w:style>
  <w:style w:type="character" w:customStyle="1" w:styleId="36">
    <w:name w:val="标题 2 字符"/>
    <w:link w:val="5"/>
    <w:qFormat/>
    <w:uiPriority w:val="9"/>
    <w:rPr>
      <w:rFonts w:ascii="Cambria" w:hAnsi="Cambria" w:eastAsia="宋体" w:cs="Times New Roman"/>
      <w:b/>
      <w:sz w:val="28"/>
    </w:rPr>
  </w:style>
  <w:style w:type="character" w:customStyle="1" w:styleId="37">
    <w:name w:val="标题 3 字符"/>
    <w:link w:val="6"/>
    <w:qFormat/>
    <w:uiPriority w:val="9"/>
    <w:rPr>
      <w:rFonts w:ascii="Times New Roman" w:hAnsi="Times New Roman" w:eastAsia="宋体" w:cs="Times New Roman"/>
      <w:b/>
      <w:sz w:val="24"/>
    </w:rPr>
  </w:style>
  <w:style w:type="character" w:customStyle="1" w:styleId="38">
    <w:name w:val="正文首行缩进 Char"/>
    <w:link w:val="20"/>
    <w:qFormat/>
    <w:uiPriority w:val="0"/>
    <w:rPr>
      <w:rFonts w:ascii="Times New Roman" w:hAnsi="Times New Roman" w:eastAsia="宋体"/>
      <w:sz w:val="24"/>
      <w:szCs w:val="20"/>
    </w:rPr>
  </w:style>
  <w:style w:type="paragraph" w:customStyle="1" w:styleId="39">
    <w:name w:val="表文字"/>
    <w:basedOn w:val="30"/>
    <w:qFormat/>
    <w:uiPriority w:val="0"/>
    <w:pPr>
      <w:widowControl/>
      <w:spacing w:line="240" w:lineRule="auto"/>
      <w:textAlignment w:val="baseline"/>
    </w:pPr>
    <w:rPr>
      <w:rFonts w:ascii="Times New Roman" w:hAnsi="Times New Roman" w:eastAsia="宋体" w:cs="Times New Roman"/>
      <w:b w:val="0"/>
      <w:color w:val="000000"/>
      <w:kern w:val="0"/>
      <w:szCs w:val="21"/>
      <w:u w:color="000000"/>
    </w:rPr>
  </w:style>
  <w:style w:type="character" w:customStyle="1" w:styleId="40">
    <w:name w:val="目录 2 Char"/>
    <w:link w:val="17"/>
    <w:qFormat/>
    <w:uiPriority w:val="0"/>
    <w:rPr>
      <w:rFonts w:ascii="Times New Roman" w:hAnsi="Times New Roman" w:eastAsia="宋体" w:cs="Times New Roman"/>
      <w:sz w:val="28"/>
      <w:szCs w:val="24"/>
    </w:rPr>
  </w:style>
  <w:style w:type="paragraph" w:customStyle="1" w:styleId="41">
    <w:name w:val="表标题"/>
    <w:basedOn w:val="1"/>
    <w:link w:val="42"/>
    <w:qFormat/>
    <w:uiPriority w:val="0"/>
    <w:pPr>
      <w:spacing w:after="20" w:afterLines="20" w:line="360" w:lineRule="auto"/>
      <w:jc w:val="center"/>
    </w:pPr>
    <w:rPr>
      <w:rFonts w:ascii="Calibri" w:hAnsi="Calibri" w:eastAsia="宋体"/>
      <w:b/>
      <w:kern w:val="0"/>
      <w:sz w:val="21"/>
    </w:rPr>
  </w:style>
  <w:style w:type="character" w:customStyle="1" w:styleId="42">
    <w:name w:val="表标题 Char"/>
    <w:link w:val="41"/>
    <w:qFormat/>
    <w:uiPriority w:val="0"/>
    <w:rPr>
      <w:rFonts w:ascii="Calibri" w:hAnsi="Calibri" w:eastAsia="宋体"/>
      <w:b/>
      <w:kern w:val="0"/>
      <w:sz w:val="21"/>
    </w:rPr>
  </w:style>
  <w:style w:type="paragraph" w:customStyle="1" w:styleId="43">
    <w:name w:val="WPS Plain"/>
    <w:qFormat/>
    <w:uiPriority w:val="0"/>
    <w:rPr>
      <w:rFonts w:ascii="Times New Roman" w:hAnsi="Times New Roman" w:eastAsia="宋体" w:cs="Times New Roman"/>
      <w:lang w:val="en-US" w:eastAsia="zh-CN" w:bidi="ar-SA"/>
    </w:rPr>
  </w:style>
  <w:style w:type="paragraph" w:customStyle="1" w:styleId="44">
    <w:name w:val="D正文"/>
    <w:basedOn w:val="45"/>
    <w:qFormat/>
    <w:uiPriority w:val="0"/>
    <w:pPr>
      <w:spacing w:line="360" w:lineRule="auto"/>
      <w:ind w:firstLine="480"/>
    </w:pPr>
    <w:rPr>
      <w:rFonts w:hAnsi="Times New Roman"/>
    </w:rPr>
  </w:style>
  <w:style w:type="paragraph" w:customStyle="1" w:styleId="45">
    <w:name w:val="正文对的"/>
    <w:basedOn w:val="14"/>
    <w:semiHidden/>
    <w:qFormat/>
    <w:uiPriority w:val="0"/>
    <w:pPr>
      <w:spacing w:line="500" w:lineRule="exact"/>
      <w:ind w:firstLine="200" w:firstLineChars="200"/>
    </w:pPr>
    <w:rPr>
      <w:rFonts w:ascii="Times New Roman"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2569</Words>
  <Characters>2732</Characters>
  <Lines>0</Lines>
  <Paragraphs>0</Paragraphs>
  <TotalTime>7</TotalTime>
  <ScaleCrop>false</ScaleCrop>
  <LinksUpToDate>false</LinksUpToDate>
  <CharactersWithSpaces>2818</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2021-03-01T23:57:00Z</dcterms:created>
  <dc:creator>Administrator</dc:creator>
  <cp:lastModifiedBy>Administrator</cp:lastModifiedBy>
  <cp:lastPrinted>2025-09-15T03:07:10Z</cp:lastPrinted>
  <dcterms:modified xsi:type="dcterms:W3CDTF">2025-09-15T03:15:42Z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2F5BE177749C402BBB4E38DF28DE9289</vt:lpwstr>
  </property>
  <property fmtid="{D5CDD505-2E9C-101B-9397-08002B2CF9AE}" pid="4" name="KSOTemplateDocerSaveRecord">
    <vt:lpwstr>eyJoZGlkIjoiYTg0MWM2ZjUxNGM3YzJlYzllNjkzMzk1ZDA2NzVlMjAiLCJ1c2VySWQiOiIxNTg4MTU0MjIwIn0=</vt:lpwstr>
  </property>
</Properties>
</file>