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adjustRightInd w:val="0"/>
        <w:spacing w:line="600" w:lineRule="exact"/>
        <w:ind w:right="67" w:rightChars="32"/>
        <w:jc w:val="both"/>
        <w:textAlignment w:val="top"/>
        <w:rPr>
          <w:rFonts w:hint="eastAsia" w:ascii="仿宋_GB2312" w:eastAsia="仿宋_GB2312"/>
          <w:sz w:val="32"/>
          <w:szCs w:val="32"/>
          <w:lang w:val="en-US" w:eastAsia="zh-CN"/>
        </w:rPr>
      </w:pPr>
      <w:bookmarkStart w:id="0" w:name="OLE_LINK4"/>
    </w:p>
    <w:p>
      <w:pPr>
        <w:pStyle w:val="37"/>
        <w:adjustRightInd w:val="0"/>
        <w:spacing w:line="600" w:lineRule="exact"/>
        <w:ind w:right="67" w:rightChars="32"/>
        <w:jc w:val="both"/>
        <w:textAlignment w:val="top"/>
        <w:rPr>
          <w:rFonts w:hint="eastAsia" w:ascii="仿宋_GB2312" w:eastAsia="仿宋_GB2312"/>
          <w:sz w:val="32"/>
          <w:szCs w:val="32"/>
          <w:lang w:val="en-US" w:eastAsia="zh-CN"/>
        </w:rPr>
      </w:pPr>
    </w:p>
    <w:p>
      <w:pPr>
        <w:pStyle w:val="37"/>
        <w:adjustRightInd w:val="0"/>
        <w:spacing w:line="600" w:lineRule="exact"/>
        <w:ind w:right="67" w:rightChars="32"/>
        <w:jc w:val="both"/>
        <w:textAlignment w:val="top"/>
        <w:rPr>
          <w:rFonts w:hint="eastAsia" w:ascii="仿宋_GB2312" w:eastAsia="仿宋_GB2312"/>
          <w:sz w:val="32"/>
          <w:szCs w:val="32"/>
          <w:lang w:val="en-US" w:eastAsia="zh-CN"/>
        </w:rPr>
      </w:pPr>
    </w:p>
    <w:p>
      <w:pPr>
        <w:pStyle w:val="37"/>
        <w:adjustRightInd w:val="0"/>
        <w:spacing w:line="600" w:lineRule="exact"/>
        <w:ind w:right="67" w:rightChars="32"/>
        <w:jc w:val="right"/>
        <w:textAlignment w:val="top"/>
        <w:rPr>
          <w:rFonts w:hint="eastAsia" w:ascii="仿宋_GB2312" w:eastAsia="仿宋_GB2312"/>
          <w:color w:val="FF0000"/>
          <w:sz w:val="32"/>
          <w:szCs w:val="32"/>
        </w:rPr>
      </w:pPr>
      <w:r>
        <w:rPr>
          <w:rFonts w:hint="eastAsia" w:ascii="仿宋_GB2312" w:hAnsi="新宋体" w:eastAsia="仿宋_GB2312"/>
          <w:bCs/>
          <w:sz w:val="32"/>
          <w:szCs w:val="32"/>
        </w:rPr>
        <w:t>岳湘阴环评</w:t>
      </w:r>
      <w:r>
        <w:rPr>
          <w:rFonts w:hint="default" w:ascii="仿宋_GB2312" w:hAnsi="Times New Roman" w:eastAsia="仿宋_GB2312" w:cs="Times New Roman"/>
          <w:sz w:val="32"/>
          <w:szCs w:val="32"/>
          <w:lang w:val="en-US" w:eastAsia="zh-CN"/>
        </w:rPr>
        <w:t>〔2024〕</w:t>
      </w:r>
      <w:r>
        <w:rPr>
          <w:rFonts w:hint="eastAsia" w:ascii="仿宋_GB2312" w:eastAsia="仿宋_GB2312" w:cs="Times New Roman"/>
          <w:sz w:val="32"/>
          <w:szCs w:val="32"/>
          <w:lang w:val="en-US" w:eastAsia="zh-CN"/>
        </w:rPr>
        <w:t>30</w:t>
      </w:r>
      <w:r>
        <w:rPr>
          <w:rFonts w:hint="default" w:ascii="仿宋_GB2312" w:hAnsi="Times New Roman" w:eastAsia="仿宋_GB2312" w:cs="Times New Roman"/>
          <w:sz w:val="32"/>
          <w:szCs w:val="32"/>
          <w:lang w:val="en-US" w:eastAsia="zh-CN"/>
        </w:rPr>
        <w:t>号</w:t>
      </w:r>
    </w:p>
    <w:p>
      <w:pPr>
        <w:spacing w:line="600" w:lineRule="exact"/>
        <w:ind w:left="-357" w:leftChars="-170" w:right="-334" w:rightChars="-159"/>
        <w:jc w:val="center"/>
        <w:rPr>
          <w:rFonts w:hint="eastAsia" w:ascii="仿宋_GB2312" w:hAnsi="Calibri" w:eastAsia="仿宋_GB2312" w:cs="Times New Roman"/>
          <w:sz w:val="32"/>
          <w:szCs w:val="32"/>
          <w:lang w:val="en-US" w:eastAsia="zh-CN"/>
        </w:rPr>
      </w:pPr>
      <w:r>
        <w:rPr>
          <w:rFonts w:hint="eastAsia" w:ascii="方正小标宋_GBK" w:hAnsi="方正小标宋_GBK" w:eastAsia="方正小标宋_GBK" w:cs="方正小标宋_GBK"/>
          <w:bCs/>
          <w:sz w:val="44"/>
          <w:szCs w:val="44"/>
          <w:lang w:val="en-US" w:eastAsia="zh-CN"/>
        </w:rPr>
        <w:t>关于湖南锡元包装制品有限公司年产20万件焊丝桶生产线项目环境影响报告表的批复</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eastAsia" w:ascii="仿宋_GB2312" w:hAnsi="新宋体" w:eastAsia="仿宋_GB2312" w:cs="Times New Roman"/>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357" w:leftChars="-170" w:right="0" w:rightChars="0" w:firstLine="320" w:firstLineChars="100"/>
        <w:jc w:val="left"/>
        <w:textAlignment w:val="auto"/>
        <w:rPr>
          <w:rFonts w:hint="eastAsia" w:ascii="仿宋_GB2312" w:hAnsi="新宋体" w:eastAsia="仿宋_GB2312" w:cs="Times New Roman"/>
          <w:bCs/>
          <w:sz w:val="32"/>
          <w:szCs w:val="32"/>
        </w:rPr>
      </w:pPr>
      <w:r>
        <w:rPr>
          <w:rFonts w:hint="eastAsia" w:ascii="仿宋_GB2312" w:hAnsi="新宋体" w:eastAsia="仿宋_GB2312" w:cs="Times New Roman"/>
          <w:bCs/>
          <w:sz w:val="32"/>
          <w:szCs w:val="32"/>
          <w:lang w:val="en-US" w:eastAsia="zh-CN"/>
        </w:rPr>
        <w:t>湖南锡元包装制品有限公司</w:t>
      </w:r>
      <w:r>
        <w:rPr>
          <w:rFonts w:hint="eastAsia" w:ascii="仿宋_GB2312" w:hAnsi="新宋体"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新宋体" w:eastAsia="仿宋_GB2312"/>
          <w:bCs/>
          <w:sz w:val="32"/>
          <w:szCs w:val="32"/>
          <w:lang w:eastAsia="zh-CN"/>
        </w:rPr>
      </w:pPr>
      <w:r>
        <w:rPr>
          <w:rFonts w:hint="eastAsia" w:ascii="仿宋_GB2312" w:hAnsi="新宋体" w:eastAsia="仿宋_GB2312"/>
          <w:bCs/>
          <w:sz w:val="32"/>
          <w:szCs w:val="32"/>
          <w:lang w:eastAsia="zh-CN"/>
        </w:rPr>
        <w:t>你公司《关于申请“</w:t>
      </w:r>
      <w:r>
        <w:rPr>
          <w:rFonts w:hint="eastAsia" w:ascii="仿宋_GB2312" w:hAnsi="新宋体" w:eastAsia="仿宋_GB2312"/>
          <w:bCs/>
          <w:sz w:val="32"/>
          <w:szCs w:val="32"/>
          <w:lang w:val="en-US" w:eastAsia="zh-CN"/>
        </w:rPr>
        <w:t>年产20万件焊丝桶生产线项目</w:t>
      </w:r>
      <w:r>
        <w:rPr>
          <w:rFonts w:hint="eastAsia" w:ascii="仿宋_GB2312" w:hAnsi="新宋体" w:eastAsia="仿宋_GB2312"/>
          <w:bCs/>
          <w:sz w:val="32"/>
          <w:szCs w:val="32"/>
          <w:lang w:eastAsia="zh-CN"/>
        </w:rPr>
        <w:t xml:space="preserve">”批复的报告》及有关附件已收悉。根据国家环境保护有关法律、法规、政策和项目所在地环境功能区划的要求，经研究，现批复如下：                      </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新宋体" w:eastAsia="仿宋_GB2312"/>
          <w:bCs/>
          <w:sz w:val="32"/>
          <w:szCs w:val="32"/>
          <w:lang w:val="en-US" w:eastAsia="zh-CN"/>
        </w:rPr>
      </w:pPr>
      <w:r>
        <w:rPr>
          <w:rFonts w:hint="eastAsia" w:ascii="仿宋_GB2312" w:hAnsi="新宋体" w:eastAsia="仿宋_GB2312"/>
          <w:bCs/>
          <w:sz w:val="32"/>
          <w:szCs w:val="32"/>
          <w:lang w:val="en-US" w:eastAsia="zh-CN"/>
        </w:rPr>
        <w:t>一、湖南锡元包装制品有限公司拟租赁湖南省岳阳市湘阴县湘阴高新技术产</w:t>
      </w:r>
      <w:r>
        <w:rPr>
          <w:rFonts w:hint="eastAsia" w:ascii="仿宋_GB2312" w:hAnsi="新宋体" w:eastAsia="仿宋_GB2312" w:cs="Times New Roman"/>
          <w:bCs/>
          <w:sz w:val="32"/>
          <w:szCs w:val="32"/>
          <w:lang w:val="en-US" w:eastAsia="zh-CN"/>
        </w:rPr>
        <w:t>业开发区金龙片区安康路与左公大道南侧金龙科创港产业园6-1栋101号</w:t>
      </w:r>
      <w:r>
        <w:rPr>
          <w:rFonts w:hint="eastAsia" w:ascii="仿宋_GB2312" w:hAnsi="新宋体" w:eastAsia="仿宋_GB2312"/>
          <w:bCs/>
          <w:sz w:val="32"/>
          <w:szCs w:val="32"/>
          <w:lang w:val="en-US" w:eastAsia="zh-CN"/>
        </w:rPr>
        <w:t>厂房（</w:t>
      </w:r>
      <w:r>
        <w:rPr>
          <w:rFonts w:hint="eastAsia" w:ascii="仿宋_GB2312" w:hAnsi="新宋体" w:eastAsia="仿宋_GB2312"/>
          <w:bCs/>
          <w:sz w:val="32"/>
          <w:szCs w:val="32"/>
          <w:lang w:eastAsia="zh-CN"/>
        </w:rPr>
        <w:t>中心坐标为：</w:t>
      </w:r>
      <w:r>
        <w:rPr>
          <w:rFonts w:hint="eastAsia" w:ascii="仿宋_GB2312" w:hAnsi="新宋体" w:eastAsia="仿宋_GB2312"/>
          <w:bCs/>
          <w:sz w:val="32"/>
          <w:szCs w:val="32"/>
          <w:lang w:val="en-US" w:eastAsia="zh-CN"/>
        </w:rPr>
        <w:t>东经112°55′4.322″，北纬28°31′45.674″），总占地面积1277m</w:t>
      </w:r>
      <w:r>
        <w:rPr>
          <w:rFonts w:hint="eastAsia" w:ascii="仿宋_GB2312" w:hAnsi="新宋体" w:eastAsia="仿宋_GB2312"/>
          <w:bCs/>
          <w:sz w:val="32"/>
          <w:szCs w:val="32"/>
          <w:vertAlign w:val="superscript"/>
          <w:lang w:val="en-US" w:eastAsia="zh-CN"/>
        </w:rPr>
        <w:t>2</w:t>
      </w:r>
      <w:r>
        <w:rPr>
          <w:rFonts w:hint="eastAsia" w:ascii="仿宋_GB2312" w:hAnsi="新宋体" w:eastAsia="仿宋_GB2312"/>
          <w:bCs/>
          <w:sz w:val="32"/>
          <w:szCs w:val="32"/>
          <w:vertAlign w:val="baseline"/>
          <w:lang w:val="en-US" w:eastAsia="zh-CN"/>
        </w:rPr>
        <w:t>，</w:t>
      </w:r>
      <w:r>
        <w:rPr>
          <w:rFonts w:hint="eastAsia" w:ascii="仿宋_GB2312" w:hAnsi="新宋体" w:eastAsia="仿宋_GB2312"/>
          <w:bCs/>
          <w:sz w:val="32"/>
          <w:szCs w:val="32"/>
          <w:lang w:val="en-US" w:eastAsia="zh-CN"/>
        </w:rPr>
        <w:t>公司拟投资200万元（其中环保投资12万元）。项目主要以镀锌板、箱板纸等为原辅材料，通过卷桶粘胶、烘干、切桶、轧箍、对焊、集成、粘接组装等工序生产焊丝桶。主要建设内容包括年产20万件焊丝桶生产线、办公室、环保工程，并配套建设给排水、供电、消防等其他生活配套设施。（详见该建设项目环境影响报告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新宋体" w:eastAsia="仿宋_GB2312"/>
          <w:bCs/>
          <w:sz w:val="32"/>
          <w:szCs w:val="32"/>
          <w:lang w:val="en-US" w:eastAsia="zh-CN"/>
        </w:rPr>
      </w:pPr>
      <w:r>
        <w:rPr>
          <w:rFonts w:hint="eastAsia" w:ascii="仿宋_GB2312" w:hAnsi="新宋体" w:eastAsia="仿宋_GB2312"/>
          <w:bCs/>
          <w:sz w:val="32"/>
          <w:szCs w:val="32"/>
          <w:lang w:val="en-US" w:eastAsia="zh-CN"/>
        </w:rPr>
        <w:t>该项目符合国家产业政策，符合湖南湘阴高新技术产业开发区总体规划要求，根据湘阴县项目联审联办工作领导小组出具的《关于年产20万件焊丝桶生产线项目的联审意见》（湘阴项目联审〔2023〕17号）、湘阴高新技术产业开发区行政审批服务中心出具的《关于年产20万件焊丝桶生产线项目备案的证明》（湘阴高新审〔2024〕13号）及湖南启源生态环境科技有限公司编制的该项目环境影响报告表（报批稿）基本内容、评价结论及专家评审意见，从环保角度考虑，我局原则同意环境影响报告表所列的建设项目的环境影响评价结论和环境保护对策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新宋体" w:eastAsia="仿宋_GB2312"/>
          <w:bCs/>
          <w:sz w:val="32"/>
          <w:szCs w:val="32"/>
          <w:lang w:eastAsia="zh-CN"/>
        </w:rPr>
      </w:pPr>
      <w:r>
        <w:rPr>
          <w:rFonts w:hint="eastAsia" w:ascii="仿宋_GB2312" w:hAnsi="新宋体" w:eastAsia="仿宋_GB2312"/>
          <w:bCs/>
          <w:sz w:val="32"/>
          <w:szCs w:val="32"/>
          <w:lang w:val="en-US" w:eastAsia="zh-CN"/>
        </w:rPr>
        <w:t>二、</w:t>
      </w:r>
      <w:r>
        <w:rPr>
          <w:rFonts w:hint="eastAsia" w:ascii="仿宋_GB2312" w:hAnsi="新宋体" w:eastAsia="仿宋_GB2312"/>
          <w:bCs/>
          <w:sz w:val="32"/>
          <w:szCs w:val="32"/>
          <w:lang w:eastAsia="zh-CN"/>
        </w:rPr>
        <w:t>项目营运过程中须认真落实环评报告表、专家意见及批复意见中提出的各项污染防治措施，加强环境管理，确保外排污染物长期稳定达标排放，同时建设单位应重点做好以下环保工作：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新宋体" w:eastAsia="仿宋_GB2312"/>
          <w:bCs/>
          <w:sz w:val="32"/>
          <w:szCs w:val="32"/>
          <w:lang w:eastAsia="zh-CN"/>
        </w:rPr>
      </w:pP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一</w:t>
      </w:r>
      <w:r>
        <w:rPr>
          <w:rFonts w:hint="eastAsia" w:ascii="仿宋_GB2312" w:hAnsi="新宋体" w:eastAsia="仿宋_GB2312"/>
          <w:bCs/>
          <w:sz w:val="32"/>
          <w:szCs w:val="32"/>
          <w:lang w:eastAsia="zh-CN"/>
        </w:rPr>
        <w:t>）废水污染防治工作。建设好雨污分流系统，项目无生产废水，雨水经园区内雨水管排入市政雨水管网，生活污水</w:t>
      </w:r>
      <w:r>
        <w:rPr>
          <w:rFonts w:hint="eastAsia" w:ascii="仿宋_GB2312" w:hAnsi="新宋体" w:eastAsia="仿宋_GB2312"/>
          <w:bCs/>
          <w:sz w:val="32"/>
          <w:szCs w:val="32"/>
          <w:lang w:val="en-US" w:eastAsia="zh-CN"/>
        </w:rPr>
        <w:t>依托金龙科创港产业园区</w:t>
      </w:r>
      <w:r>
        <w:rPr>
          <w:rFonts w:hint="eastAsia" w:ascii="仿宋_GB2312" w:hAnsi="新宋体" w:eastAsia="仿宋_GB2312"/>
          <w:bCs/>
          <w:sz w:val="32"/>
          <w:szCs w:val="32"/>
          <w:lang w:eastAsia="zh-CN"/>
        </w:rPr>
        <w:t>化粪池处理满足《污水综合排放标准》（GB8978-1996）三级标准和污水处理厂的进水水质要求后进入湘阴县第三污水处理厂进行深度处理，达标后最终排入湘江。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新宋体" w:eastAsia="仿宋_GB2312"/>
          <w:bCs/>
          <w:sz w:val="32"/>
          <w:szCs w:val="32"/>
          <w:lang w:val="en-US" w:eastAsia="zh-CN"/>
        </w:rPr>
      </w:pPr>
      <w:r>
        <w:rPr>
          <w:rFonts w:hint="eastAsia" w:ascii="仿宋_GB2312" w:hAnsi="新宋体" w:eastAsia="仿宋_GB2312"/>
          <w:bCs/>
          <w:sz w:val="32"/>
          <w:szCs w:val="32"/>
          <w:lang w:val="en-US" w:eastAsia="zh-CN"/>
        </w:rPr>
        <w:t>（二）废气污染防治工作。</w:t>
      </w:r>
      <w:r>
        <w:rPr>
          <w:rFonts w:hint="eastAsia" w:ascii="仿宋_GB2312" w:hAnsi="新宋体" w:eastAsia="仿宋_GB2312"/>
          <w:bCs/>
          <w:sz w:val="32"/>
          <w:szCs w:val="32"/>
          <w:lang w:eastAsia="zh-CN"/>
        </w:rPr>
        <w:t>合理布局生产车间，做好车间强制通风和作业人员劳保措施，强化作业人员、设备的规范操作及管理。</w:t>
      </w:r>
      <w:r>
        <w:rPr>
          <w:rFonts w:hint="eastAsia" w:ascii="仿宋_GB2312" w:hAnsi="新宋体" w:eastAsia="仿宋_GB2312"/>
          <w:bCs/>
          <w:sz w:val="32"/>
          <w:szCs w:val="32"/>
          <w:lang w:val="en-US" w:eastAsia="zh-CN"/>
        </w:rPr>
        <w:t>机加工粉尘、切桶粉尘通过加强干式清扫、</w:t>
      </w:r>
      <w:bookmarkStart w:id="1" w:name="_GoBack"/>
      <w:bookmarkEnd w:id="1"/>
      <w:r>
        <w:rPr>
          <w:rFonts w:hint="eastAsia" w:ascii="仿宋_GB2312" w:hAnsi="新宋体" w:eastAsia="仿宋_GB2312"/>
          <w:bCs/>
          <w:sz w:val="32"/>
          <w:szCs w:val="32"/>
          <w:lang w:val="en-US" w:eastAsia="zh-CN"/>
        </w:rPr>
        <w:t>车间通风措施后无组织排放；上胶过程产生的少量废气通过加强车间通风后无组织排放。</w:t>
      </w:r>
      <w:r>
        <w:rPr>
          <w:rFonts w:hint="eastAsia" w:ascii="仿宋_GB2312" w:hAnsi="新宋体" w:eastAsia="仿宋_GB2312"/>
          <w:bCs/>
          <w:sz w:val="32"/>
          <w:szCs w:val="32"/>
          <w:lang w:eastAsia="zh-CN"/>
        </w:rPr>
        <w:t>确保厂界颗粒物满足《大气污染物综合排放标准》（GB16297-1996）表2中无组织排放监控浓度限值，厂界无组织排放的有机废气满足《挥发性有机物</w:t>
      </w:r>
      <w:r>
        <w:rPr>
          <w:rFonts w:hint="eastAsia" w:ascii="仿宋_GB2312" w:hAnsi="新宋体" w:eastAsia="仿宋_GB2312"/>
          <w:bCs/>
          <w:sz w:val="32"/>
          <w:szCs w:val="32"/>
          <w:lang w:val="en-US" w:eastAsia="zh-CN"/>
        </w:rPr>
        <w:t>无组织排放控制</w:t>
      </w:r>
      <w:r>
        <w:rPr>
          <w:rFonts w:hint="eastAsia" w:ascii="仿宋_GB2312" w:hAnsi="新宋体" w:eastAsia="仿宋_GB2312"/>
          <w:bCs/>
          <w:sz w:val="32"/>
          <w:szCs w:val="32"/>
          <w:lang w:eastAsia="zh-CN"/>
        </w:rPr>
        <w:t>标准》（</w:t>
      </w:r>
      <w:r>
        <w:rPr>
          <w:rFonts w:hint="eastAsia" w:ascii="仿宋_GB2312" w:hAnsi="新宋体" w:eastAsia="仿宋_GB2312"/>
          <w:bCs/>
          <w:sz w:val="32"/>
          <w:szCs w:val="32"/>
          <w:lang w:val="en-US" w:eastAsia="zh-CN"/>
        </w:rPr>
        <w:t>GB37822-2019</w:t>
      </w:r>
      <w:r>
        <w:rPr>
          <w:rFonts w:hint="eastAsia" w:ascii="仿宋_GB2312" w:hAnsi="新宋体" w:eastAsia="仿宋_GB2312"/>
          <w:bCs/>
          <w:sz w:val="32"/>
          <w:szCs w:val="32"/>
          <w:lang w:eastAsia="zh-CN"/>
        </w:rPr>
        <w:t>）中</w:t>
      </w:r>
      <w:r>
        <w:rPr>
          <w:rFonts w:hint="eastAsia" w:ascii="仿宋_GB2312" w:hAnsi="新宋体" w:eastAsia="仿宋_GB2312"/>
          <w:bCs/>
          <w:sz w:val="32"/>
          <w:szCs w:val="32"/>
          <w:lang w:val="en-US" w:eastAsia="zh-CN"/>
        </w:rPr>
        <w:t>附录A限值要求</w:t>
      </w: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焊接烟尘经移动式焊烟净化器处理后无组织排放。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新宋体" w:eastAsia="仿宋_GB2312"/>
          <w:bCs/>
          <w:sz w:val="32"/>
          <w:szCs w:val="32"/>
          <w:lang w:val="en-US" w:eastAsia="zh-CN"/>
        </w:rPr>
      </w:pPr>
      <w:r>
        <w:rPr>
          <w:rFonts w:hint="eastAsia" w:ascii="仿宋_GB2312" w:hAnsi="新宋体" w:eastAsia="仿宋_GB2312"/>
          <w:bCs/>
          <w:sz w:val="32"/>
          <w:szCs w:val="32"/>
          <w:lang w:val="en-US" w:eastAsia="zh-CN"/>
        </w:rPr>
        <w:t>（三）噪声污染防治工作。选用低噪声机械设备，对产生噪声的设备和工序进行合理布局，并做好基础减振、隔音、屏障和降噪等防治措施，厂界噪声满足《工业企业厂界环境噪声排放标准》（GB12348-2008）中3类标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新宋体" w:eastAsia="仿宋_GB2312"/>
          <w:bCs/>
          <w:sz w:val="32"/>
          <w:szCs w:val="32"/>
          <w:lang w:val="en-US" w:eastAsia="zh-CN"/>
        </w:rPr>
      </w:pPr>
      <w:r>
        <w:rPr>
          <w:rFonts w:hint="eastAsia" w:ascii="仿宋_GB2312" w:hAnsi="新宋体" w:eastAsia="仿宋_GB2312"/>
          <w:bCs/>
          <w:sz w:val="32"/>
          <w:szCs w:val="32"/>
          <w:lang w:val="en-US" w:eastAsia="zh-CN"/>
        </w:rPr>
        <w:t>（四）固体废物污染防治工作。强化日常环境管理，按“资源化、减量化、无害化”原则，做好固体分类收集和综合利用，并建立固体废物产生、储存、处置管理台账，落实《一般工业固体废物贮存和填埋污染控制标准》（GB18599-2020）；规范建设好固体废物贮存场所，做好“防风、防雨、防晒、防渗漏”四防措施。收集的废纸边角料、废金属、不合格品、黏合使用的白乳胶桶经收集后综合利用；盛装玉米淀粉胶的废胶桶由供应商定期回收循环利用；生活垃圾经收集后交由当地环卫部门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新宋体" w:eastAsia="仿宋_GB2312"/>
          <w:bCs/>
          <w:sz w:val="32"/>
          <w:szCs w:val="32"/>
          <w:lang w:val="en-US" w:eastAsia="zh-CN"/>
        </w:rPr>
      </w:pPr>
      <w:r>
        <w:rPr>
          <w:rFonts w:hint="eastAsia" w:ascii="仿宋_GB2312" w:hAnsi="新宋体" w:eastAsia="仿宋_GB2312"/>
          <w:bCs/>
          <w:sz w:val="32"/>
          <w:szCs w:val="32"/>
          <w:lang w:val="en-US" w:eastAsia="zh-CN"/>
        </w:rPr>
        <w:t>（五）做好环境管理工作。设置专门环保机构，配备专职环保管理人员，加强生产设备和污防设施的检修、保养及工人、管理人员培训工作，建立健全污染防治设施运行管理台账。加强日常监管，确保各污染防治设施的正常运行，各类污染物稳定达标排放。并做好运营期环境监测工作，定期向社会公开企业环境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新宋体" w:eastAsia="仿宋_GB2312"/>
          <w:bCs/>
          <w:sz w:val="32"/>
          <w:szCs w:val="32"/>
          <w:lang w:val="en-US" w:eastAsia="zh-CN"/>
        </w:rPr>
      </w:pPr>
      <w:r>
        <w:rPr>
          <w:rFonts w:hint="eastAsia" w:ascii="仿宋_GB2312" w:hAnsi="新宋体" w:eastAsia="仿宋_GB2312"/>
          <w:bCs/>
          <w:sz w:val="32"/>
          <w:szCs w:val="32"/>
          <w:lang w:val="en-US" w:eastAsia="zh-CN"/>
        </w:rPr>
        <w:t>三、项目建设必须严格执行环境保护“三同时”等相关环境管理制度。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新宋体" w:eastAsia="仿宋_GB2312"/>
          <w:bCs/>
          <w:sz w:val="32"/>
          <w:szCs w:val="32"/>
          <w:lang w:val="en-US" w:eastAsia="zh-CN"/>
        </w:rPr>
      </w:pPr>
      <w:r>
        <w:rPr>
          <w:rFonts w:hint="eastAsia" w:ascii="仿宋_GB2312" w:hAnsi="新宋体" w:eastAsia="仿宋_GB2312"/>
          <w:bCs/>
          <w:sz w:val="32"/>
          <w:szCs w:val="32"/>
          <w:lang w:val="en-US" w:eastAsia="zh-CN"/>
        </w:rPr>
        <w:t>四、该项目在启动生产设施或者发生实际排污之前须按《固定污染源排污许可分类管理名录》申请取得排污许可证或者填报排污登记表。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bCs/>
          <w:sz w:val="32"/>
          <w:szCs w:val="32"/>
          <w:lang w:val="en-US" w:eastAsia="zh-CN"/>
        </w:rPr>
        <w:t>五、加强环境监管。由岳阳市湘阴县生态环境保护综合行政执法大队负责该项目日常环境监管。你公司应在收到本批复后7个工作日内，将批复及批准的环评报告文本送至湖南湘阴高新技术产业开发区管理委员会、岳阳市湘阴县生态环境保护综合行政执法大队、湖南启源生态环境科技有限公司。</w:t>
      </w:r>
      <w:r>
        <w:rPr>
          <w:rFonts w:hint="eastAsia" w:ascii="仿宋_GB2312" w:hAnsi="新宋体" w:eastAsia="仿宋_GB2312" w:cs="Times New Roman"/>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357" w:leftChars="-170" w:right="0" w:rightChars="0" w:firstLine="640" w:firstLineChars="200"/>
        <w:jc w:val="right"/>
        <w:textAlignment w:val="auto"/>
        <w:rPr>
          <w:rFonts w:hint="eastAsia"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357" w:leftChars="-170" w:right="0" w:rightChars="0" w:firstLine="640" w:firstLineChars="200"/>
        <w:jc w:val="right"/>
        <w:textAlignment w:val="auto"/>
        <w:rPr>
          <w:rFonts w:hint="eastAsia"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357" w:leftChars="-170" w:right="0" w:rightChars="0" w:firstLine="640" w:firstLineChars="200"/>
        <w:jc w:val="center"/>
        <w:textAlignment w:val="auto"/>
        <w:rPr>
          <w:rFonts w:hint="default"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 xml:space="preserve">                            岳阳市生态环境局</w:t>
      </w:r>
    </w:p>
    <w:p>
      <w:pPr>
        <w:keepNext w:val="0"/>
        <w:keepLines w:val="0"/>
        <w:pageBreakBefore w:val="0"/>
        <w:widowControl w:val="0"/>
        <w:tabs>
          <w:tab w:val="left" w:pos="3241"/>
          <w:tab w:val="right" w:pos="12532"/>
        </w:tabs>
        <w:kinsoku/>
        <w:wordWrap/>
        <w:overflowPunct/>
        <w:topLinePunct w:val="0"/>
        <w:autoSpaceDE/>
        <w:autoSpaceDN/>
        <w:bidi w:val="0"/>
        <w:adjustRightInd/>
        <w:snapToGrid/>
        <w:spacing w:line="600" w:lineRule="exact"/>
        <w:ind w:left="-357" w:leftChars="-170" w:right="0" w:rightChars="0" w:firstLine="640" w:firstLineChars="200"/>
        <w:jc w:val="left"/>
        <w:textAlignment w:val="auto"/>
      </w:pPr>
      <w:r>
        <w:rPr>
          <w:rFonts w:hint="eastAsia" w:ascii="仿宋_GB2312" w:hAnsi="新宋体" w:eastAsia="仿宋_GB2312" w:cs="Times New Roman"/>
          <w:bCs/>
          <w:sz w:val="32"/>
          <w:szCs w:val="32"/>
          <w:lang w:val="en-US" w:eastAsia="zh-CN"/>
        </w:rPr>
        <w:tab/>
      </w:r>
      <w:r>
        <w:rPr>
          <w:rFonts w:hint="eastAsia" w:ascii="仿宋_GB2312" w:hAnsi="新宋体" w:eastAsia="仿宋_GB2312" w:cs="Times New Roman"/>
          <w:bCs/>
          <w:sz w:val="32"/>
          <w:szCs w:val="32"/>
          <w:lang w:val="en-US" w:eastAsia="zh-CN"/>
        </w:rPr>
        <w:t xml:space="preserve">              2024年10月8日</w:t>
      </w:r>
      <w:r>
        <w:rPr>
          <w:rFonts w:hint="eastAsia" w:ascii="仿宋_GB2312" w:hAnsi="新宋体" w:eastAsia="仿宋_GB2312" w:cs="Times New Roman"/>
          <w:bCs/>
          <w:sz w:val="32"/>
          <w:szCs w:val="32"/>
          <w:lang w:val="en-US" w:eastAsia="zh-CN"/>
        </w:rPr>
        <w:tab/>
      </w:r>
      <w:r>
        <w:rPr>
          <w:rFonts w:hint="eastAsia" w:ascii="仿宋_GB2312" w:hAnsi="新宋体" w:eastAsia="仿宋_GB2312" w:cs="Times New Roman"/>
          <w:bCs/>
          <w:sz w:val="32"/>
          <w:szCs w:val="32"/>
          <w:lang w:val="en-US" w:eastAsia="zh-CN"/>
        </w:rPr>
        <w:t xml:space="preserve">                       </w:t>
      </w:r>
    </w:p>
    <w:sectPr>
      <w:headerReference r:id="rId5" w:type="first"/>
      <w:footerReference r:id="rId7" w:type="first"/>
      <w:headerReference r:id="rId3" w:type="default"/>
      <w:headerReference r:id="rId4" w:type="even"/>
      <w:footerReference r:id="rId6" w:type="even"/>
      <w:pgSz w:w="11906" w:h="16838"/>
      <w:pgMar w:top="1440" w:right="1587" w:bottom="1497" w:left="1587"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小标宋_GBK">
    <w:altName w:val="微软雅黑"/>
    <w:panose1 w:val="02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FEFF0"/>
    <w:multiLevelType w:val="multilevel"/>
    <w:tmpl w:val="0B0FEFF0"/>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5"/>
        </w:tabs>
        <w:ind w:left="575" w:hanging="575"/>
      </w:pPr>
      <w:rPr>
        <w:rFonts w:hint="default"/>
      </w:rPr>
    </w:lvl>
    <w:lvl w:ilvl="2" w:tentative="0">
      <w:start w:val="1"/>
      <w:numFmt w:val="decimal"/>
      <w:lvlText w:val="%1.%2.%3."/>
      <w:lvlJc w:val="left"/>
      <w:pPr>
        <w:tabs>
          <w:tab w:val="left" w:pos="862"/>
        </w:tabs>
        <w:ind w:left="862" w:hanging="720"/>
      </w:pPr>
      <w:rPr>
        <w:rFonts w:hint="default"/>
        <w:b/>
        <w:sz w:val="24"/>
      </w:rPr>
    </w:lvl>
    <w:lvl w:ilvl="3" w:tentative="0">
      <w:start w:val="1"/>
      <w:numFmt w:val="decimal"/>
      <w:lvlText w:val="%1.%2.%3.%4."/>
      <w:lvlJc w:val="left"/>
      <w:pPr>
        <w:tabs>
          <w:tab w:val="left" w:pos="864"/>
        </w:tabs>
        <w:ind w:left="864" w:hanging="864"/>
      </w:pPr>
      <w:rPr>
        <w:rFonts w:hint="default"/>
      </w:rPr>
    </w:lvl>
    <w:lvl w:ilvl="4" w:tentative="0">
      <w:start w:val="1"/>
      <w:numFmt w:val="decimal"/>
      <w:pStyle w:val="8"/>
      <w:lvlText w:val="%1.%2.%3.%4.%5."/>
      <w:lvlJc w:val="left"/>
      <w:pPr>
        <w:tabs>
          <w:tab w:val="left" w:pos="1008"/>
        </w:tabs>
        <w:ind w:left="1008" w:hanging="1008"/>
      </w:pPr>
      <w:rPr>
        <w:rFonts w:hint="default"/>
      </w:rPr>
    </w:lvl>
    <w:lvl w:ilvl="5" w:tentative="0">
      <w:start w:val="1"/>
      <w:numFmt w:val="decimal"/>
      <w:pStyle w:val="9"/>
      <w:lvlText w:val="%1.%2.%3.%4.%5.%6."/>
      <w:lvlJc w:val="left"/>
      <w:pPr>
        <w:tabs>
          <w:tab w:val="left" w:pos="1151"/>
        </w:tabs>
        <w:ind w:left="1151" w:hanging="1151"/>
      </w:pPr>
      <w:rPr>
        <w:rFonts w:hint="default"/>
      </w:rPr>
    </w:lvl>
    <w:lvl w:ilvl="6" w:tentative="0">
      <w:start w:val="1"/>
      <w:numFmt w:val="decimal"/>
      <w:pStyle w:val="10"/>
      <w:lvlText w:val="%1.%2.%3.%4.%5.%6.%7."/>
      <w:lvlJc w:val="left"/>
      <w:pPr>
        <w:tabs>
          <w:tab w:val="left" w:pos="1296"/>
        </w:tabs>
        <w:ind w:left="1296" w:hanging="1296"/>
      </w:pPr>
      <w:rPr>
        <w:rFonts w:hint="default"/>
      </w:rPr>
    </w:lvl>
    <w:lvl w:ilvl="7" w:tentative="0">
      <w:start w:val="1"/>
      <w:numFmt w:val="decimal"/>
      <w:pStyle w:val="11"/>
      <w:lvlText w:val="%1.%2.%3.%4.%5.%6.%7.%8."/>
      <w:lvlJc w:val="left"/>
      <w:pPr>
        <w:tabs>
          <w:tab w:val="left" w:pos="1440"/>
        </w:tabs>
        <w:ind w:left="1440" w:hanging="1440"/>
      </w:pPr>
      <w:rPr>
        <w:rFonts w:hint="default"/>
      </w:rPr>
    </w:lvl>
    <w:lvl w:ilvl="8" w:tentative="0">
      <w:start w:val="1"/>
      <w:numFmt w:val="decimal"/>
      <w:pStyle w:val="12"/>
      <w:lvlText w:val="%1.%2.%3.%4.%5.%6.%7.%8.%9."/>
      <w:lvlJc w:val="left"/>
      <w:pPr>
        <w:tabs>
          <w:tab w:val="left" w:pos="1583"/>
        </w:tabs>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jE4YTNmYTU3YjhlMGNiNTk5YTYzNzI4MjBiMjEifQ=="/>
  </w:docVars>
  <w:rsids>
    <w:rsidRoot w:val="00000000"/>
    <w:rsid w:val="03DD6186"/>
    <w:rsid w:val="063D115E"/>
    <w:rsid w:val="065B567D"/>
    <w:rsid w:val="06957FBA"/>
    <w:rsid w:val="06DF1684"/>
    <w:rsid w:val="09BD2F54"/>
    <w:rsid w:val="0C46547E"/>
    <w:rsid w:val="0DB91576"/>
    <w:rsid w:val="0E9D21B1"/>
    <w:rsid w:val="0F657030"/>
    <w:rsid w:val="1075552C"/>
    <w:rsid w:val="107820F3"/>
    <w:rsid w:val="107A6B0B"/>
    <w:rsid w:val="110F1C95"/>
    <w:rsid w:val="13372CB9"/>
    <w:rsid w:val="15197D03"/>
    <w:rsid w:val="18D23815"/>
    <w:rsid w:val="1ABC39E3"/>
    <w:rsid w:val="1B130D94"/>
    <w:rsid w:val="1B1D2FEC"/>
    <w:rsid w:val="1C593BC9"/>
    <w:rsid w:val="1C5F759C"/>
    <w:rsid w:val="1D3D44B8"/>
    <w:rsid w:val="1D623E20"/>
    <w:rsid w:val="1E6A10F9"/>
    <w:rsid w:val="2277734E"/>
    <w:rsid w:val="22FB1D2D"/>
    <w:rsid w:val="244403F2"/>
    <w:rsid w:val="250834F2"/>
    <w:rsid w:val="2547757B"/>
    <w:rsid w:val="283C1B4B"/>
    <w:rsid w:val="28DA2B24"/>
    <w:rsid w:val="2C445FA9"/>
    <w:rsid w:val="2C4677AE"/>
    <w:rsid w:val="2D126EBD"/>
    <w:rsid w:val="2DE03FF9"/>
    <w:rsid w:val="2EBC4A66"/>
    <w:rsid w:val="2F1B5129"/>
    <w:rsid w:val="30F46B5D"/>
    <w:rsid w:val="31537991"/>
    <w:rsid w:val="32783F0E"/>
    <w:rsid w:val="32BF0260"/>
    <w:rsid w:val="32D305D1"/>
    <w:rsid w:val="33C148CD"/>
    <w:rsid w:val="342B39EB"/>
    <w:rsid w:val="344572AC"/>
    <w:rsid w:val="399428F2"/>
    <w:rsid w:val="3A8914CF"/>
    <w:rsid w:val="3ABD5DEE"/>
    <w:rsid w:val="3C542B0D"/>
    <w:rsid w:val="3D0A4BEF"/>
    <w:rsid w:val="3D233B23"/>
    <w:rsid w:val="3DC428BC"/>
    <w:rsid w:val="3F46769F"/>
    <w:rsid w:val="3F5F0DCC"/>
    <w:rsid w:val="4068306E"/>
    <w:rsid w:val="40716E79"/>
    <w:rsid w:val="40A11D0E"/>
    <w:rsid w:val="416C0BB2"/>
    <w:rsid w:val="42552DB0"/>
    <w:rsid w:val="42BF46CD"/>
    <w:rsid w:val="42CF5442"/>
    <w:rsid w:val="4433501C"/>
    <w:rsid w:val="47B45127"/>
    <w:rsid w:val="47F5796A"/>
    <w:rsid w:val="49BB5BEF"/>
    <w:rsid w:val="4B46598C"/>
    <w:rsid w:val="4CFD2D35"/>
    <w:rsid w:val="4F9A5ACE"/>
    <w:rsid w:val="50190775"/>
    <w:rsid w:val="50C22148"/>
    <w:rsid w:val="53604C5E"/>
    <w:rsid w:val="5362532D"/>
    <w:rsid w:val="53D31D87"/>
    <w:rsid w:val="53E67D0C"/>
    <w:rsid w:val="53ED01C1"/>
    <w:rsid w:val="54363BAA"/>
    <w:rsid w:val="54A60BCF"/>
    <w:rsid w:val="55947215"/>
    <w:rsid w:val="581C6D6F"/>
    <w:rsid w:val="5B8D0D0C"/>
    <w:rsid w:val="5CB26A7D"/>
    <w:rsid w:val="5D5E7965"/>
    <w:rsid w:val="5E8D26AE"/>
    <w:rsid w:val="5EF8626D"/>
    <w:rsid w:val="5F6366B5"/>
    <w:rsid w:val="62FF5A4C"/>
    <w:rsid w:val="631C4748"/>
    <w:rsid w:val="63AD4A3F"/>
    <w:rsid w:val="64C6740E"/>
    <w:rsid w:val="65AE1FF2"/>
    <w:rsid w:val="69EA2B06"/>
    <w:rsid w:val="6CA05A67"/>
    <w:rsid w:val="70D74514"/>
    <w:rsid w:val="747550E2"/>
    <w:rsid w:val="7564748C"/>
    <w:rsid w:val="78083900"/>
    <w:rsid w:val="7A2C215F"/>
    <w:rsid w:val="7C91122A"/>
    <w:rsid w:val="7DB26EA6"/>
    <w:rsid w:val="7F6F2EAE"/>
    <w:rsid w:val="7FF7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2"/>
    <w:qFormat/>
    <w:uiPriority w:val="0"/>
    <w:pPr>
      <w:keepNext/>
      <w:keepLines/>
      <w:widowControl w:val="0"/>
      <w:suppressLineNumbers w:val="0"/>
      <w:spacing w:before="480" w:beforeAutospacing="0" w:after="600" w:afterAutospacing="0" w:line="576" w:lineRule="auto"/>
      <w:ind w:left="0" w:right="0"/>
      <w:jc w:val="center"/>
      <w:outlineLvl w:val="0"/>
    </w:pPr>
    <w:rPr>
      <w:rFonts w:ascii="Times New Roman" w:hAnsi="Times New Roman" w:eastAsia="宋体" w:cs="Times New Roman"/>
      <w:b/>
      <w:kern w:val="44"/>
      <w:sz w:val="36"/>
      <w:szCs w:val="44"/>
    </w:rPr>
  </w:style>
  <w:style w:type="paragraph" w:styleId="5">
    <w:name w:val="heading 2"/>
    <w:basedOn w:val="1"/>
    <w:next w:val="1"/>
    <w:link w:val="30"/>
    <w:semiHidden/>
    <w:unhideWhenUsed/>
    <w:qFormat/>
    <w:uiPriority w:val="0"/>
    <w:pPr>
      <w:keepNext/>
      <w:keepLines/>
      <w:widowControl w:val="0"/>
      <w:suppressLineNumbers w:val="0"/>
      <w:spacing w:before="20" w:beforeAutospacing="0" w:after="20" w:afterAutospacing="0" w:line="415" w:lineRule="auto"/>
      <w:ind w:left="0" w:right="0"/>
      <w:jc w:val="both"/>
      <w:outlineLvl w:val="1"/>
    </w:pPr>
    <w:rPr>
      <w:rFonts w:ascii="Cambria" w:hAnsi="Cambria" w:eastAsia="宋体" w:cs="Times New Roman"/>
      <w:b/>
      <w:sz w:val="32"/>
      <w:szCs w:val="32"/>
    </w:rPr>
  </w:style>
  <w:style w:type="paragraph" w:styleId="6">
    <w:name w:val="heading 3"/>
    <w:basedOn w:val="1"/>
    <w:next w:val="1"/>
    <w:link w:val="31"/>
    <w:semiHidden/>
    <w:unhideWhenUsed/>
    <w:qFormat/>
    <w:uiPriority w:val="0"/>
    <w:pPr>
      <w:keepNext/>
      <w:keepLines/>
      <w:widowControl w:val="0"/>
      <w:suppressLineNumbers w:val="0"/>
      <w:spacing w:before="140" w:beforeAutospacing="0" w:after="140" w:afterAutospacing="0" w:line="240" w:lineRule="auto"/>
      <w:ind w:left="0" w:right="0"/>
      <w:jc w:val="both"/>
      <w:outlineLvl w:val="2"/>
    </w:pPr>
    <w:rPr>
      <w:rFonts w:ascii="Times New Roman" w:hAnsi="Times New Roman" w:eastAsia="宋体"/>
      <w:b/>
      <w:sz w:val="24"/>
      <w:szCs w:val="32"/>
    </w:rPr>
  </w:style>
  <w:style w:type="paragraph" w:styleId="7">
    <w:name w:val="heading 4"/>
    <w:basedOn w:val="1"/>
    <w:next w:val="1"/>
    <w:semiHidden/>
    <w:unhideWhenUsed/>
    <w:qFormat/>
    <w:uiPriority w:val="0"/>
    <w:pPr>
      <w:keepNext/>
      <w:keepLines/>
      <w:spacing w:before="40" w:beforeLines="0" w:beforeAutospacing="0" w:after="50" w:afterLines="0" w:afterAutospacing="0" w:line="372" w:lineRule="auto"/>
      <w:outlineLvl w:val="3"/>
    </w:pPr>
    <w:rPr>
      <w:rFonts w:ascii="Times New Roman" w:hAnsi="Times New Roman" w:eastAsia="宋体" w:cs="Times New Roman"/>
      <w:b/>
      <w:sz w:val="28"/>
      <w:szCs w:val="21"/>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link w:val="34"/>
    <w:qFormat/>
    <w:uiPriority w:val="0"/>
    <w:pPr>
      <w:spacing w:line="240" w:lineRule="auto"/>
      <w:ind w:left="0" w:leftChars="0"/>
    </w:pPr>
    <w:rPr>
      <w:rFonts w:ascii="Times New Roman" w:hAnsi="Times New Roman" w:eastAsia="宋体" w:cs="Times New Roman"/>
      <w:sz w:val="28"/>
    </w:rPr>
  </w:style>
  <w:style w:type="paragraph" w:styleId="1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7">
    <w:name w:val="Body Text First Indent"/>
    <w:basedOn w:val="2"/>
    <w:link w:val="32"/>
    <w:qFormat/>
    <w:uiPriority w:val="0"/>
    <w:pPr>
      <w:ind w:firstLine="480"/>
      <w:jc w:val="left"/>
    </w:pPr>
    <w:rPr>
      <w:rFonts w:ascii="Times New Roman" w:hAnsi="Times New Roman" w:eastAsia="宋体"/>
    </w:rPr>
  </w:style>
  <w:style w:type="paragraph" w:customStyle="1" w:styleId="20">
    <w:name w:val="正文1"/>
    <w:basedOn w:val="1"/>
    <w:link w:val="21"/>
    <w:qFormat/>
    <w:uiPriority w:val="0"/>
    <w:pPr>
      <w:spacing w:line="360" w:lineRule="auto"/>
      <w:ind w:firstLine="480" w:firstLineChars="200"/>
    </w:pPr>
    <w:rPr>
      <w:rFonts w:ascii="Times New Roman" w:hAnsi="Times New Roman" w:eastAsia="宋体"/>
      <w:sz w:val="24"/>
    </w:rPr>
  </w:style>
  <w:style w:type="character" w:customStyle="1" w:styleId="21">
    <w:name w:val="正文1 Char"/>
    <w:link w:val="20"/>
    <w:qFormat/>
    <w:uiPriority w:val="0"/>
    <w:rPr>
      <w:rFonts w:ascii="Times New Roman" w:hAnsi="Times New Roman" w:eastAsia="宋体"/>
      <w:sz w:val="24"/>
    </w:rPr>
  </w:style>
  <w:style w:type="character" w:customStyle="1" w:styleId="22">
    <w:name w:val="标题 1 字符"/>
    <w:link w:val="4"/>
    <w:qFormat/>
    <w:uiPriority w:val="0"/>
    <w:rPr>
      <w:rFonts w:ascii="Times New Roman" w:hAnsi="Times New Roman" w:eastAsia="宋体" w:cs="Times New Roman"/>
      <w:b/>
      <w:bCs/>
      <w:kern w:val="44"/>
      <w:sz w:val="36"/>
      <w:szCs w:val="32"/>
    </w:rPr>
  </w:style>
  <w:style w:type="paragraph" w:customStyle="1" w:styleId="23">
    <w:name w:val="表字体"/>
    <w:next w:val="1"/>
    <w:qFormat/>
    <w:uiPriority w:val="0"/>
    <w:pPr>
      <w:jc w:val="center"/>
    </w:pPr>
    <w:rPr>
      <w:rFonts w:hint="eastAsia" w:ascii="Arial" w:hAnsi="Arial" w:cs="Arial" w:eastAsiaTheme="minorEastAsia"/>
      <w:sz w:val="21"/>
    </w:rPr>
  </w:style>
  <w:style w:type="paragraph" w:customStyle="1" w:styleId="24">
    <w:name w:val="表图标题"/>
    <w:basedOn w:val="1"/>
    <w:link w:val="25"/>
    <w:qFormat/>
    <w:uiPriority w:val="0"/>
    <w:pPr>
      <w:spacing w:line="240" w:lineRule="auto"/>
      <w:jc w:val="center"/>
    </w:pPr>
    <w:rPr>
      <w:rFonts w:ascii="Times New Roman" w:hAnsi="Times New Roman" w:eastAsia="宋体"/>
      <w:b/>
      <w:bCs/>
      <w:sz w:val="21"/>
    </w:rPr>
  </w:style>
  <w:style w:type="character" w:customStyle="1" w:styleId="25">
    <w:name w:val="表图标题 Char"/>
    <w:link w:val="24"/>
    <w:qFormat/>
    <w:uiPriority w:val="0"/>
    <w:rPr>
      <w:rFonts w:ascii="Times New Roman" w:hAnsi="Times New Roman" w:eastAsia="宋体"/>
      <w:b/>
      <w:bCs/>
      <w:sz w:val="21"/>
    </w:rPr>
  </w:style>
  <w:style w:type="paragraph" w:customStyle="1" w:styleId="26">
    <w:name w:val="表格内容"/>
    <w:basedOn w:val="1"/>
    <w:next w:val="1"/>
    <w:link w:val="27"/>
    <w:qFormat/>
    <w:uiPriority w:val="0"/>
    <w:pPr>
      <w:spacing w:line="240" w:lineRule="auto"/>
      <w:ind w:firstLine="0" w:firstLineChars="0"/>
      <w:jc w:val="center"/>
    </w:pPr>
    <w:rPr>
      <w:rFonts w:ascii="Times New Roman" w:hAnsi="Times New Roman" w:eastAsia="宋体" w:cs="Times New Roman"/>
      <w:sz w:val="21"/>
      <w:szCs w:val="20"/>
      <w:lang w:val="zh-CN" w:bidi="zh-CN"/>
    </w:rPr>
  </w:style>
  <w:style w:type="character" w:customStyle="1" w:styleId="27">
    <w:name w:val="表格内容 Char"/>
    <w:link w:val="26"/>
    <w:qFormat/>
    <w:uiPriority w:val="0"/>
    <w:rPr>
      <w:rFonts w:ascii="Times New Roman" w:hAnsi="Times New Roman" w:eastAsia="宋体" w:cs="Times New Roman"/>
      <w:sz w:val="21"/>
      <w:szCs w:val="20"/>
      <w:lang w:val="zh-CN" w:bidi="zh-CN"/>
    </w:rPr>
  </w:style>
  <w:style w:type="paragraph" w:customStyle="1" w:styleId="28">
    <w:name w:val="验收正文"/>
    <w:basedOn w:val="1"/>
    <w:link w:val="29"/>
    <w:qFormat/>
    <w:uiPriority w:val="0"/>
    <w:pPr>
      <w:spacing w:line="360" w:lineRule="auto"/>
      <w:ind w:firstLine="960" w:firstLineChars="200"/>
    </w:pPr>
    <w:rPr>
      <w:rFonts w:ascii="Times New Roman" w:hAnsi="Times New Roman" w:eastAsia="宋体" w:cs="Times New Roman"/>
      <w:kern w:val="0"/>
      <w:sz w:val="24"/>
      <w:szCs w:val="28"/>
    </w:rPr>
  </w:style>
  <w:style w:type="character" w:customStyle="1" w:styleId="29">
    <w:name w:val="验收正文 Char"/>
    <w:link w:val="28"/>
    <w:qFormat/>
    <w:uiPriority w:val="0"/>
    <w:rPr>
      <w:rFonts w:ascii="Times New Roman" w:hAnsi="Times New Roman" w:eastAsia="宋体" w:cs="Times New Roman"/>
      <w:sz w:val="24"/>
      <w:szCs w:val="28"/>
    </w:rPr>
  </w:style>
  <w:style w:type="character" w:customStyle="1" w:styleId="30">
    <w:name w:val="标题 2 字符"/>
    <w:link w:val="5"/>
    <w:qFormat/>
    <w:uiPriority w:val="9"/>
    <w:rPr>
      <w:rFonts w:ascii="Cambria" w:hAnsi="Cambria" w:eastAsia="宋体" w:cs="Times New Roman"/>
      <w:b/>
      <w:sz w:val="28"/>
    </w:rPr>
  </w:style>
  <w:style w:type="character" w:customStyle="1" w:styleId="31">
    <w:name w:val="标题 3 字符"/>
    <w:link w:val="6"/>
    <w:qFormat/>
    <w:uiPriority w:val="9"/>
    <w:rPr>
      <w:rFonts w:ascii="Times New Roman" w:hAnsi="Times New Roman" w:eastAsia="宋体" w:cs="Times New Roman"/>
      <w:b/>
      <w:sz w:val="24"/>
    </w:rPr>
  </w:style>
  <w:style w:type="character" w:customStyle="1" w:styleId="32">
    <w:name w:val="正文首行缩进 Char"/>
    <w:link w:val="17"/>
    <w:qFormat/>
    <w:uiPriority w:val="0"/>
    <w:rPr>
      <w:rFonts w:ascii="Times New Roman" w:hAnsi="Times New Roman" w:eastAsia="宋体"/>
      <w:sz w:val="24"/>
      <w:szCs w:val="20"/>
    </w:rPr>
  </w:style>
  <w:style w:type="paragraph" w:customStyle="1" w:styleId="33">
    <w:name w:val="表文字"/>
    <w:basedOn w:val="24"/>
    <w:qFormat/>
    <w:uiPriority w:val="0"/>
    <w:pPr>
      <w:widowControl/>
      <w:spacing w:line="240" w:lineRule="auto"/>
      <w:textAlignment w:val="baseline"/>
    </w:pPr>
    <w:rPr>
      <w:rFonts w:ascii="Times New Roman" w:hAnsi="Times New Roman" w:eastAsia="宋体" w:cs="Times New Roman"/>
      <w:b w:val="0"/>
      <w:color w:val="000000"/>
      <w:kern w:val="0"/>
      <w:szCs w:val="21"/>
      <w:u w:color="000000"/>
    </w:rPr>
  </w:style>
  <w:style w:type="character" w:customStyle="1" w:styleId="34">
    <w:name w:val="目录 2 Char"/>
    <w:link w:val="15"/>
    <w:qFormat/>
    <w:uiPriority w:val="0"/>
    <w:rPr>
      <w:rFonts w:ascii="Times New Roman" w:hAnsi="Times New Roman" w:eastAsia="宋体" w:cs="Times New Roman"/>
      <w:sz w:val="28"/>
      <w:szCs w:val="24"/>
    </w:rPr>
  </w:style>
  <w:style w:type="paragraph" w:customStyle="1" w:styleId="35">
    <w:name w:val="表标题"/>
    <w:basedOn w:val="1"/>
    <w:link w:val="36"/>
    <w:qFormat/>
    <w:uiPriority w:val="0"/>
    <w:pPr>
      <w:spacing w:after="20" w:afterLines="20" w:line="360" w:lineRule="auto"/>
      <w:jc w:val="center"/>
    </w:pPr>
    <w:rPr>
      <w:rFonts w:ascii="Calibri" w:hAnsi="Calibri" w:eastAsia="宋体"/>
      <w:b/>
      <w:kern w:val="0"/>
      <w:sz w:val="21"/>
    </w:rPr>
  </w:style>
  <w:style w:type="character" w:customStyle="1" w:styleId="36">
    <w:name w:val="表标题 Char"/>
    <w:link w:val="35"/>
    <w:qFormat/>
    <w:uiPriority w:val="0"/>
    <w:rPr>
      <w:rFonts w:ascii="Calibri" w:hAnsi="Calibri" w:eastAsia="宋体"/>
      <w:b/>
      <w:kern w:val="0"/>
      <w:sz w:val="21"/>
    </w:rPr>
  </w:style>
  <w:style w:type="paragraph" w:customStyle="1" w:styleId="37">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1898</Words>
  <Characters>1998</Characters>
  <Lines>0</Lines>
  <Paragraphs>0</Paragraphs>
  <TotalTime>4</TotalTime>
  <ScaleCrop>false</ScaleCrop>
  <LinksUpToDate>false</LinksUpToDate>
  <CharactersWithSpaces>2091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2021-03-01T23:57:00Z</dcterms:created>
  <dc:creator>Administrator</dc:creator>
  <cp:lastModifiedBy>十指紧扣*^_^*</cp:lastModifiedBy>
  <cp:lastPrinted>2024-10-09T08:30:21Z</cp:lastPrinted>
  <dcterms:modified xsi:type="dcterms:W3CDTF">2024-10-09T08:34:16Z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A60BCBB78C4742D888BB1449A956EBE5_13</vt:lpwstr>
  </property>
</Properties>
</file>