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pacing w:val="28"/>
          <w:sz w:val="40"/>
          <w:szCs w:val="40"/>
        </w:rPr>
      </w:pPr>
    </w:p>
    <w:p>
      <w:pPr>
        <w:jc w:val="center"/>
        <w:outlineLvl w:val="9"/>
        <w:rPr>
          <w:rFonts w:hint="default" w:ascii="Times New Roman" w:hAnsi="Times New Roman" w:eastAsia="方正小标宋_GBK" w:cs="Times New Roman"/>
          <w:spacing w:val="28"/>
          <w:sz w:val="44"/>
          <w:szCs w:val="44"/>
          <w:lang w:val="en-US" w:eastAsia="zh-CN"/>
        </w:rPr>
      </w:pPr>
      <w:bookmarkStart w:id="0" w:name="_Toc4784"/>
      <w:r>
        <w:rPr>
          <w:rFonts w:hint="default" w:ascii="Times New Roman" w:hAnsi="Times New Roman" w:eastAsia="方正小标宋_GBK" w:cs="Times New Roman"/>
          <w:spacing w:val="28"/>
          <w:sz w:val="44"/>
          <w:szCs w:val="44"/>
          <w:lang w:val="en-US" w:eastAsia="zh-CN"/>
        </w:rPr>
        <w:t>湖南湘阴高新技术产业开发区</w:t>
      </w:r>
      <w:bookmarkEnd w:id="0"/>
    </w:p>
    <w:p>
      <w:pPr>
        <w:jc w:val="center"/>
        <w:outlineLvl w:val="9"/>
        <w:rPr>
          <w:rFonts w:hint="default" w:ascii="Times New Roman" w:hAnsi="Times New Roman" w:eastAsia="方正小标宋_GBK" w:cs="Times New Roman"/>
          <w:spacing w:val="28"/>
          <w:sz w:val="44"/>
          <w:szCs w:val="44"/>
        </w:rPr>
      </w:pPr>
      <w:r>
        <w:rPr>
          <w:rFonts w:hint="default" w:ascii="Times New Roman" w:hAnsi="Times New Roman" w:eastAsia="方正小标宋_GBK" w:cs="Times New Roman"/>
          <w:spacing w:val="28"/>
          <w:sz w:val="44"/>
          <w:szCs w:val="44"/>
          <w:lang w:val="en-US" w:eastAsia="zh-CN"/>
        </w:rPr>
        <w:t>2022</w:t>
      </w:r>
      <w:r>
        <w:rPr>
          <w:rFonts w:hint="default" w:ascii="Times New Roman" w:hAnsi="Times New Roman" w:eastAsia="方正小标宋_GBK" w:cs="Times New Roman"/>
          <w:spacing w:val="28"/>
          <w:sz w:val="44"/>
          <w:szCs w:val="44"/>
        </w:rPr>
        <w:t>年度生态环境管理现状</w:t>
      </w:r>
    </w:p>
    <w:p>
      <w:pPr>
        <w:jc w:val="center"/>
        <w:outlineLvl w:val="9"/>
        <w:rPr>
          <w:rFonts w:hint="default" w:ascii="Times New Roman" w:hAnsi="Times New Roman" w:eastAsia="方正小标宋_GBK" w:cs="Times New Roman"/>
          <w:spacing w:val="28"/>
          <w:sz w:val="44"/>
          <w:szCs w:val="44"/>
        </w:rPr>
      </w:pPr>
      <w:r>
        <w:rPr>
          <w:rFonts w:hint="default" w:ascii="Times New Roman" w:hAnsi="Times New Roman" w:eastAsia="方正小标宋_GBK" w:cs="Times New Roman"/>
          <w:spacing w:val="28"/>
          <w:sz w:val="44"/>
          <w:szCs w:val="44"/>
        </w:rPr>
        <w:t>自评估报告</w:t>
      </w:r>
    </w:p>
    <w:p>
      <w:pPr>
        <w:pStyle w:val="2"/>
        <w:outlineLvl w:val="9"/>
        <w:rPr>
          <w:rFonts w:hint="default" w:ascii="Times New Roman" w:hAnsi="Times New Roman" w:eastAsia="方正小标宋_GBK" w:cs="Times New Roman"/>
          <w:spacing w:val="28"/>
          <w:sz w:val="44"/>
          <w:szCs w:val="44"/>
        </w:rPr>
      </w:pPr>
    </w:p>
    <w:p>
      <w:pPr>
        <w:pStyle w:val="2"/>
        <w:outlineLvl w:val="9"/>
        <w:rPr>
          <w:rFonts w:hint="default" w:ascii="Times New Roman" w:hAnsi="Times New Roman" w:eastAsia="方正小标宋_GBK" w:cs="Times New Roman"/>
          <w:spacing w:val="28"/>
          <w:sz w:val="44"/>
          <w:szCs w:val="44"/>
        </w:rPr>
      </w:pPr>
    </w:p>
    <w:p>
      <w:pPr>
        <w:pStyle w:val="2"/>
        <w:outlineLvl w:val="9"/>
        <w:rPr>
          <w:rFonts w:hint="default" w:ascii="Times New Roman" w:hAnsi="Times New Roman" w:eastAsia="方正小标宋_GBK" w:cs="Times New Roman"/>
          <w:spacing w:val="28"/>
          <w:sz w:val="44"/>
          <w:szCs w:val="44"/>
        </w:rPr>
      </w:pPr>
    </w:p>
    <w:p>
      <w:pPr>
        <w:pStyle w:val="2"/>
        <w:outlineLvl w:val="9"/>
        <w:rPr>
          <w:rFonts w:hint="default" w:ascii="Times New Roman" w:hAnsi="Times New Roman" w:eastAsia="方正小标宋_GBK" w:cs="Times New Roman"/>
          <w:spacing w:val="28"/>
          <w:sz w:val="44"/>
          <w:szCs w:val="44"/>
        </w:rPr>
      </w:pPr>
    </w:p>
    <w:p>
      <w:pPr>
        <w:pStyle w:val="2"/>
        <w:outlineLvl w:val="9"/>
        <w:rPr>
          <w:rFonts w:hint="default" w:ascii="Times New Roman" w:hAnsi="Times New Roman" w:eastAsia="方正小标宋_GBK" w:cs="Times New Roman"/>
          <w:spacing w:val="28"/>
          <w:sz w:val="44"/>
          <w:szCs w:val="44"/>
        </w:rPr>
      </w:pPr>
    </w:p>
    <w:p>
      <w:pPr>
        <w:pStyle w:val="2"/>
        <w:outlineLvl w:val="9"/>
        <w:rPr>
          <w:rFonts w:hint="default" w:ascii="Times New Roman" w:hAnsi="Times New Roman" w:eastAsia="方正小标宋_GBK" w:cs="Times New Roman"/>
          <w:spacing w:val="28"/>
          <w:sz w:val="44"/>
          <w:szCs w:val="44"/>
        </w:rPr>
      </w:pPr>
    </w:p>
    <w:p>
      <w:pPr>
        <w:pStyle w:val="2"/>
        <w:outlineLvl w:val="9"/>
        <w:rPr>
          <w:rFonts w:hint="default" w:ascii="Times New Roman" w:hAnsi="Times New Roman" w:eastAsia="方正小标宋_GBK" w:cs="Times New Roman"/>
          <w:spacing w:val="28"/>
          <w:sz w:val="44"/>
          <w:szCs w:val="44"/>
        </w:rPr>
      </w:pPr>
    </w:p>
    <w:p>
      <w:pPr>
        <w:pStyle w:val="2"/>
        <w:outlineLvl w:val="9"/>
        <w:rPr>
          <w:rFonts w:hint="default" w:ascii="Times New Roman" w:hAnsi="Times New Roman" w:eastAsia="方正小标宋_GBK" w:cs="Times New Roman"/>
          <w:spacing w:val="28"/>
          <w:sz w:val="44"/>
          <w:szCs w:val="44"/>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bookmarkStart w:id="1" w:name="_Toc8684"/>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jc w:val="center"/>
        <w:outlineLvl w:val="9"/>
        <w:rPr>
          <w:rFonts w:hint="default" w:ascii="Times New Roman" w:hAnsi="Times New Roman" w:eastAsia="宋体" w:cs="Times New Roman"/>
          <w:spacing w:val="28"/>
          <w:sz w:val="24"/>
          <w:szCs w:val="24"/>
          <w:lang w:val="en-US" w:eastAsia="zh-CN"/>
        </w:rPr>
      </w:pPr>
    </w:p>
    <w:p>
      <w:pPr>
        <w:pStyle w:val="2"/>
        <w:ind w:left="0" w:leftChars="0" w:firstLine="0" w:firstLineChars="0"/>
        <w:jc w:val="center"/>
        <w:outlineLvl w:val="9"/>
        <w:rPr>
          <w:rFonts w:hint="default" w:ascii="Times New Roman" w:hAnsi="Times New Roman" w:eastAsia="宋体" w:cs="Times New Roman"/>
          <w:spacing w:val="28"/>
          <w:sz w:val="24"/>
          <w:szCs w:val="24"/>
          <w:lang w:val="en-US" w:eastAsia="zh-CN"/>
        </w:rPr>
      </w:pPr>
      <w:bookmarkStart w:id="20" w:name="_GoBack"/>
      <w:r>
        <w:rPr>
          <w:rFonts w:hint="default" w:ascii="Times New Roman" w:hAnsi="Times New Roman" w:eastAsia="宋体" w:cs="Times New Roman"/>
          <w:spacing w:val="28"/>
          <w:sz w:val="24"/>
          <w:szCs w:val="24"/>
          <w:lang w:val="en-US" w:eastAsia="zh-CN"/>
        </w:rPr>
        <w:t>湖南湘阴高新技术产业开发区管理委员会</w:t>
      </w:r>
      <w:bookmarkEnd w:id="1"/>
    </w:p>
    <w:p>
      <w:pPr>
        <w:pStyle w:val="2"/>
        <w:ind w:left="0" w:leftChars="0" w:firstLine="0" w:firstLineChars="0"/>
        <w:jc w:val="center"/>
        <w:outlineLvl w:val="9"/>
        <w:rPr>
          <w:rFonts w:hint="default" w:ascii="Times New Roman" w:hAnsi="Times New Roman" w:eastAsia="宋体" w:cs="Times New Roman"/>
          <w:spacing w:val="28"/>
          <w:sz w:val="24"/>
          <w:szCs w:val="24"/>
          <w:lang w:val="en-US" w:eastAsia="zh-CN"/>
        </w:rPr>
      </w:pPr>
      <w:r>
        <w:rPr>
          <w:rFonts w:hint="default" w:ascii="Times New Roman" w:hAnsi="Times New Roman" w:eastAsia="宋体" w:cs="Times New Roman"/>
          <w:spacing w:val="28"/>
          <w:sz w:val="24"/>
          <w:szCs w:val="24"/>
          <w:lang w:val="en-US" w:eastAsia="zh-CN"/>
        </w:rPr>
        <w:t>2023年2月</w:t>
      </w:r>
    </w:p>
    <w:bookmarkEnd w:id="20"/>
    <w:p>
      <w:pPr>
        <w:outlineLvl w:val="9"/>
        <w:rPr>
          <w:rFonts w:hint="default" w:ascii="Times New Roman" w:hAnsi="Times New Roman" w:cs="Times New Roman"/>
        </w:rPr>
      </w:pPr>
      <w:r>
        <w:rPr>
          <w:rFonts w:hint="default" w:ascii="Times New Roman" w:hAnsi="Times New Roman" w:eastAsia="黑体" w:cs="Times New Roman"/>
          <w:sz w:val="32"/>
          <w:szCs w:val="32"/>
        </w:rPr>
        <w:br w:type="page"/>
      </w:r>
    </w:p>
    <w:sdt>
      <w:sdtPr>
        <w:rPr>
          <w:rFonts w:hint="default" w:ascii="Times New Roman" w:hAnsi="Times New Roman" w:eastAsia="宋体" w:cs="Times New Roman"/>
          <w:kern w:val="2"/>
          <w:sz w:val="21"/>
          <w:szCs w:val="22"/>
          <w:lang w:val="en-US" w:eastAsia="zh-CN" w:bidi="ar-SA"/>
        </w:rPr>
        <w:id w:val="147482366"/>
        <w15:color w:val="DBDBDB"/>
        <w:docPartObj>
          <w:docPartGallery w:val="Table of Contents"/>
          <w:docPartUnique/>
        </w:docPartObj>
      </w:sdtPr>
      <w:sdtEndPr>
        <w:rPr>
          <w:rFonts w:hint="default" w:ascii="Times New Roman" w:hAnsi="Times New Roman" w:eastAsia="宋体" w:cs="Times New Roman"/>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目录</w:t>
          </w:r>
        </w:p>
        <w:p>
          <w:pPr>
            <w:pStyle w:val="12"/>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TOC \o "1-2" \h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_Toc31647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一、 园区概况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_Toc31647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_Toc16708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val="0"/>
              <w:sz w:val="28"/>
              <w:szCs w:val="28"/>
              <w:highlight w:val="none"/>
            </w:rPr>
            <w:t>（一）园区发展历史沿革及发展现状</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_Toc16708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_Toc32072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highlight w:val="none"/>
            </w:rPr>
            <w:t>（二）入园企业基本情况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_Toc32072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- 3 -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_Toc21208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val="0"/>
              <w:sz w:val="28"/>
              <w:szCs w:val="28"/>
              <w:highlight w:val="none"/>
            </w:rPr>
            <w:t>（三）主要污染物总量控制</w:t>
          </w:r>
          <w:r>
            <w:rPr>
              <w:rFonts w:hint="default" w:ascii="Times New Roman" w:hAnsi="Times New Roman" w:eastAsia="宋体" w:cs="Times New Roman"/>
              <w:bCs w:val="0"/>
              <w:sz w:val="28"/>
              <w:szCs w:val="28"/>
              <w:highlight w:val="none"/>
              <w:lang w:val="en-US" w:eastAsia="zh-CN"/>
            </w:rPr>
            <w:t>指标</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_Toc21208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- 3 -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2"/>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_Toc25604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二、环境管理情况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_Toc25604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- 5 -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_Toc11994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（一）规划环评批复要求落实情况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_Toc11994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- 5 -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_Toc30582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（二）“三线一单”落地应用情况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_Toc30582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- 8 -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_Toc30136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（三）水环境管理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_Toc30136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_Toc14433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（四）大气环境管理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_Toc14433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- 15 -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_Toc9995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（五）土壤环境管理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_Toc9995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- 18 -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_Toc10835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（六）固体废物管理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_Toc10835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- 18 -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_Toc6421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（七） 投诉及督察整改</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_Toc6421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- 20 -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_Toc28590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（八）园区信用评价</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_Toc28590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- 21 -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_Toc7479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eastAsia="zh-CN"/>
            </w:rPr>
            <w:t>（九）园区第三方治理情况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_Toc7479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- 21 -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2"/>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_Toc29384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三、园区环保工作成效、主要措施做法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_Toc29384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- 23 -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2"/>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_Toc16643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四、园区生态环境管理存在主要问题和难题</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_Toc16643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- 24 -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2"/>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_Toc27962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val="0"/>
              <w:kern w:val="2"/>
              <w:sz w:val="28"/>
              <w:szCs w:val="28"/>
              <w:highlight w:val="none"/>
            </w:rPr>
            <w:t>五、下一步工作计划</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_Toc27962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- 25 -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rPr>
              <w:rFonts w:hint="default" w:ascii="Times New Roman" w:hAnsi="Times New Roman" w:cs="Times New Roman"/>
            </w:rPr>
          </w:pPr>
          <w:r>
            <w:rPr>
              <w:rFonts w:hint="default" w:ascii="Times New Roman" w:hAnsi="Times New Roman" w:eastAsia="宋体" w:cs="Times New Roman"/>
              <w:sz w:val="28"/>
              <w:szCs w:val="28"/>
            </w:rPr>
            <w:fldChar w:fldCharType="end"/>
          </w:r>
        </w:p>
      </w:sdtContent>
    </w:sdt>
    <w:p>
      <w:pPr>
        <w:pStyle w:val="4"/>
        <w:keepNext w:val="0"/>
        <w:keepLines w:val="0"/>
        <w:pageBreakBefore w:val="0"/>
        <w:widowControl w:val="0"/>
        <w:numPr>
          <w:ilvl w:val="0"/>
          <w:numId w:val="1"/>
        </w:numPr>
        <w:wordWrap/>
        <w:overflowPunct/>
        <w:topLinePunct w:val="0"/>
        <w:bidi w:val="0"/>
        <w:snapToGrid/>
        <w:spacing w:before="0" w:beforeAutospacing="0" w:after="0" w:afterAutospacing="0" w:line="560" w:lineRule="exact"/>
        <w:ind w:left="638" w:leftChars="228" w:firstLine="0" w:firstLineChars="0"/>
        <w:textAlignment w:val="auto"/>
        <w:outlineLvl w:val="0"/>
        <w:rPr>
          <w:rFonts w:hint="default"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bookmarkStart w:id="2" w:name="_Toc31647"/>
    </w:p>
    <w:p>
      <w:pPr>
        <w:pStyle w:val="4"/>
        <w:keepNext w:val="0"/>
        <w:keepLines w:val="0"/>
        <w:pageBreakBefore w:val="0"/>
        <w:widowControl w:val="0"/>
        <w:numPr>
          <w:ilvl w:val="0"/>
          <w:numId w:val="1"/>
        </w:numPr>
        <w:wordWrap/>
        <w:overflowPunct/>
        <w:topLinePunct w:val="0"/>
        <w:bidi w:val="0"/>
        <w:snapToGrid/>
        <w:spacing w:before="0" w:beforeAutospacing="0" w:after="0" w:afterAutospacing="0" w:line="560" w:lineRule="exact"/>
        <w:ind w:left="638" w:leftChars="228" w:firstLine="0" w:firstLineChars="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园区概况</w:t>
      </w:r>
      <w:bookmarkEnd w:id="2"/>
      <w:bookmarkStart w:id="3" w:name="_Toc96284863"/>
    </w:p>
    <w:p>
      <w:pPr>
        <w:pStyle w:val="4"/>
        <w:keepNext w:val="0"/>
        <w:keepLines w:val="0"/>
        <w:pageBreakBefore w:val="0"/>
        <w:widowControl w:val="0"/>
        <w:numPr>
          <w:ilvl w:val="0"/>
          <w:numId w:val="0"/>
        </w:numPr>
        <w:wordWrap/>
        <w:overflowPunct/>
        <w:topLinePunct w:val="0"/>
        <w:bidi w:val="0"/>
        <w:snapToGrid/>
        <w:spacing w:before="0" w:beforeAutospacing="0" w:after="0" w:afterAutospacing="0" w:line="560" w:lineRule="exact"/>
        <w:ind w:leftChars="228"/>
        <w:textAlignment w:val="auto"/>
        <w:outlineLvl w:val="1"/>
        <w:rPr>
          <w:rFonts w:hint="default" w:ascii="Times New Roman" w:hAnsi="Times New Roman" w:eastAsia="仿宋_GB2312" w:cs="Times New Roman"/>
          <w:sz w:val="32"/>
          <w:szCs w:val="32"/>
          <w:lang w:eastAsia="zh-CN"/>
        </w:rPr>
      </w:pPr>
      <w:bookmarkStart w:id="4" w:name="_Toc16708"/>
      <w:r>
        <w:rPr>
          <w:rFonts w:hint="default" w:ascii="Times New Roman" w:hAnsi="Times New Roman" w:eastAsia="楷体_GB2312" w:cs="Times New Roman"/>
          <w:b w:val="0"/>
          <w:bCs w:val="0"/>
          <w:color w:val="auto"/>
          <w:sz w:val="32"/>
          <w:highlight w:val="none"/>
        </w:rPr>
        <w:t>（一）园区发展历史沿革及发展现状</w:t>
      </w:r>
      <w:bookmarkEnd w:id="3"/>
      <w:bookmarkEnd w:id="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湘阴高新技术产业开发区原名为湖南轻工产业园、湖南湘阴工业园，位于岳阳市湘阴县，经岳阳市人民政府2003年4月申请湖南省人民政府备案成立。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2006年4月，经湖南省人民政府(湘政函〔2006〕79号)批准为省级工业园区，核准面积240.00公顷，主导产业为食品加工、纺织、精细化工；9月，中华人民共和国国土资源部《第十二批落实四至范围的开发区公告》(2006年第25号)中湖南湘阴工业园区四至范围:东至长湘公路，南至湖南义丰祥实业有限公司南围墙，西至望滨路，北至白水江路，规划面积240.00公顷。2007年3月中华人民共和国国家发展和改革委员会、中华人民共和国国土资源部、中华人民共和国建设部（公告2007年第18号）《中国开发区审核公告目录》(2006年版)中，湖南湘阴工业园区编号S437034。</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2012年根据湘阴县城市总体规划编制园区总体规划(简称2012年版城市总规)规划主要内容:将原工业园范围内的老工业区1.42平方公里调整为商业和居住用地，老工业区内原有企业拟逐步退出，规划范围为10.58km</w:t>
      </w:r>
      <w:r>
        <w:rPr>
          <w:rFonts w:hint="default" w:ascii="Times New Roman" w:hAnsi="Times New Roman" w:eastAsia="方正仿宋_GB2312" w:cs="Times New Roman"/>
          <w:kern w:val="2"/>
          <w:sz w:val="32"/>
          <w:szCs w:val="32"/>
          <w:vertAlign w:val="superscript"/>
          <w:lang w:val="en-US" w:eastAsia="zh-CN" w:bidi="ar-SA"/>
        </w:rPr>
        <w:t>2</w:t>
      </w:r>
      <w:r>
        <w:rPr>
          <w:rFonts w:hint="default" w:ascii="Times New Roman" w:hAnsi="Times New Roman" w:eastAsia="方正仿宋_GB2312" w:cs="Times New Roman"/>
          <w:kern w:val="2"/>
          <w:sz w:val="32"/>
          <w:szCs w:val="32"/>
          <w:vertAlign w:val="baseline"/>
          <w:lang w:val="en-US" w:eastAsia="zh-CN" w:bidi="ar-SA"/>
        </w:rPr>
        <w:t>。</w:t>
      </w:r>
      <w:r>
        <w:rPr>
          <w:rFonts w:hint="default" w:ascii="Times New Roman" w:hAnsi="Times New Roman" w:eastAsia="方正仿宋_GB2312" w:cs="Times New Roman"/>
          <w:kern w:val="2"/>
          <w:sz w:val="32"/>
          <w:szCs w:val="32"/>
          <w:lang w:val="en-US" w:eastAsia="zh-CN" w:bidi="ar-SA"/>
        </w:rPr>
        <w:t>园区管委会委托编制《湖南湘阴工业园区环境影响报告书》，于2013年12月取得原湖南省环境保护厅《关于湖南湘阴工业园区环境影响报告书的批复》（湘环评〔2013〕305号），核准批复9.5824km</w:t>
      </w:r>
      <w:r>
        <w:rPr>
          <w:rFonts w:hint="default" w:ascii="Times New Roman" w:hAnsi="Times New Roman" w:eastAsia="方正仿宋_GB2312" w:cs="Times New Roman"/>
          <w:kern w:val="2"/>
          <w:sz w:val="32"/>
          <w:szCs w:val="32"/>
          <w:vertAlign w:val="superscript"/>
          <w:lang w:val="en-US" w:eastAsia="zh-CN" w:bidi="ar-SA"/>
        </w:rPr>
        <w:t>2</w:t>
      </w:r>
      <w:r>
        <w:rPr>
          <w:rFonts w:hint="default" w:ascii="Times New Roman" w:hAnsi="Times New Roman" w:eastAsia="方正仿宋_GB2312" w:cs="Times New Roman"/>
          <w:kern w:val="2"/>
          <w:sz w:val="32"/>
          <w:szCs w:val="32"/>
          <w:lang w:val="en-US" w:eastAsia="zh-CN" w:bidi="ar-SA"/>
        </w:rPr>
        <w:t>，产业定位位以机械制造、电子、食品加工等为主导，适当发展新型建材，以循环经济为理念建设环保型工业园。</w:t>
      </w:r>
    </w:p>
    <w:p>
      <w:pPr>
        <w:pStyle w:val="19"/>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2016年7月14日，《湖南省人民政府关于设立湘阴高新技术产业开发区的批复》湘政函〔2016〕103号)，同意在湘阴工业园基础上建设湘阴高新技术产业开发区。</w:t>
      </w:r>
    </w:p>
    <w:p>
      <w:pPr>
        <w:pStyle w:val="19"/>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2020年4月，湖南省发展和改革委员会《关于同意湘阴高新技术产业开发区开展调区扩区前期工作的函》（湘发改函〔2020〕152号）。2020年9月30日，湖南省自然资源厅同意湘阴高新技术产业开发区发展方向区调整成果审核意见的复函同意调整。据此，园区管委会以2018年国家核准的104.83公顷的基础上，依据湘阴高新技术产业开发区发展方向区调整成果方案进行扩区，并组织编制《湘阴高新技术产业开发区近期规划（2020-2025）》，园区规划面积为1316.51公顷，形成“一区三园”的空间布局，即临港片区、洋沙湖片区和金龙片区。其中临港片区位于县城北侧，范围东至太傅路、南至长岭路、西至湘江东岸、北至漕溪港火车站，面积为276.76公顷，规划基于现有结构构件制造、金属结构制造企业为产业基础发展装配式建筑建材产业、配套发展物流产业;洋沙湖片区位于县城中部与南部，范围东至芙蓉北路、南至京港澳复线互通口、西至中联大道、北至白水江路，面积为695.16公顷，规划重点发展装备制造、食品加工、新材料产业主要包含电子专用材料制造、电池制造（不含铅酸蓄电池）等、废弃资源综合利用（包括利用金属废料和碎屑加工处理和废油回收）;金龙片区位于金龙镇南面，范围东至安宁南路、南至燎原路、西至西华村、北至安康路，面积为344.62公顷，规划重点发展装备制造产业。</w:t>
      </w:r>
    </w:p>
    <w:p>
      <w:pPr>
        <w:keepNext w:val="0"/>
        <w:keepLines w:val="0"/>
        <w:pageBreakBefore w:val="0"/>
        <w:widowControl w:val="0"/>
        <w:kinsoku w:val="0"/>
        <w:wordWrap/>
        <w:overflowPunct/>
        <w:topLinePunct w:val="0"/>
        <w:autoSpaceDE w:val="0"/>
        <w:autoSpaceDN w:val="0"/>
        <w:bidi w:val="0"/>
        <w:adjustRightInd w:val="0"/>
        <w:snapToGrid/>
        <w:spacing w:beforeAutospacing="0" w:afterAutospacing="0" w:line="560" w:lineRule="exact"/>
        <w:ind w:firstLine="640" w:firstLineChars="200"/>
        <w:jc w:val="left"/>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2021年湘阴高新技术产业开发区管理委员会委托湖南葆华环保有限公司编制《湘阴高新技术产业开发区调区扩区规划环境影响报告书》，2022年6月24日收到《湖南省生态环境厅关于&lt;湘阴高新技术产业开发区调区扩区规划环境影响报告书&gt;审查意见的函》批文，完成调区扩区环境影响评价工作。</w:t>
      </w:r>
    </w:p>
    <w:p>
      <w:pPr>
        <w:keepNext w:val="0"/>
        <w:keepLines w:val="0"/>
        <w:pageBreakBefore w:val="0"/>
        <w:widowControl w:val="0"/>
        <w:kinsoku w:val="0"/>
        <w:wordWrap/>
        <w:overflowPunct/>
        <w:topLinePunct w:val="0"/>
        <w:autoSpaceDE w:val="0"/>
        <w:autoSpaceDN w:val="0"/>
        <w:bidi w:val="0"/>
        <w:adjustRightInd w:val="0"/>
        <w:snapToGrid/>
        <w:spacing w:beforeAutospacing="0" w:afterAutospacing="0" w:line="560" w:lineRule="exact"/>
        <w:ind w:firstLine="640" w:firstLineChars="200"/>
        <w:jc w:val="left"/>
        <w:textAlignment w:val="auto"/>
        <w:outlineLvl w:val="1"/>
        <w:rPr>
          <w:rFonts w:hint="default" w:ascii="Times New Roman" w:hAnsi="Times New Roman" w:eastAsia="方正仿宋_GB2312" w:cs="Times New Roman"/>
          <w:kern w:val="2"/>
          <w:sz w:val="32"/>
          <w:szCs w:val="32"/>
          <w:lang w:val="en-US" w:eastAsia="zh-CN" w:bidi="ar-SA"/>
        </w:rPr>
      </w:pPr>
      <w:bookmarkStart w:id="5" w:name="_Toc32072"/>
      <w:r>
        <w:rPr>
          <w:rFonts w:hint="default" w:ascii="Times New Roman" w:hAnsi="Times New Roman" w:eastAsia="楷体_GB2312" w:cs="Times New Roman"/>
          <w:color w:val="auto"/>
          <w:sz w:val="32"/>
          <w:szCs w:val="32"/>
          <w:highlight w:val="none"/>
        </w:rPr>
        <w:t>（二）入园企业基本情况</w:t>
      </w:r>
      <w:bookmarkEnd w:id="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截止到2022年底，洋沙湖片区已入园企业77家，清退企业1家，新增企业1家，金龙片区入园企业54家，其中重点管理企业数量10个，简化管理数量121个。洋沙湖片区已完成环评批复手续企业76家，1家无需办理环评；已完成环保竣工验收手续70家，6家办理竣工验收手续中，1家无需办理；已取得排污许可证（或无需办理）75家，2家企业办理排污许可证中；已完成应急预案备案53家，无需办理19家，5家办理中；涉危企业42家，涉水企业21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金龙新区已完成环评批复手续54家；已完成环保竣工验收手续50家，4家办理竣工验收手续中；已取得排污许可证（或无需办理）52家，2家企业办理中；已完成应急预案备案36家，无需办理1家，17家办理中。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楷体_GB2312" w:cs="Times New Roman"/>
          <w:b w:val="0"/>
          <w:bCs w:val="0"/>
          <w:color w:val="auto"/>
          <w:sz w:val="32"/>
          <w:highlight w:val="none"/>
          <w:lang w:val="en-US" w:eastAsia="zh-CN"/>
        </w:rPr>
      </w:pPr>
      <w:bookmarkStart w:id="6" w:name="_Toc21208"/>
      <w:r>
        <w:rPr>
          <w:rFonts w:hint="default" w:ascii="Times New Roman" w:hAnsi="Times New Roman" w:eastAsia="楷体_GB2312" w:cs="Times New Roman"/>
          <w:b w:val="0"/>
          <w:bCs w:val="0"/>
          <w:color w:val="auto"/>
          <w:sz w:val="32"/>
          <w:highlight w:val="none"/>
        </w:rPr>
        <w:t>（三）主要污染物总量控制</w:t>
      </w:r>
      <w:r>
        <w:rPr>
          <w:rFonts w:hint="default" w:ascii="Times New Roman" w:hAnsi="Times New Roman" w:eastAsia="楷体_GB2312" w:cs="Times New Roman"/>
          <w:b w:val="0"/>
          <w:bCs w:val="0"/>
          <w:color w:val="auto"/>
          <w:sz w:val="32"/>
          <w:highlight w:val="none"/>
          <w:lang w:val="en-US" w:eastAsia="zh-CN"/>
        </w:rPr>
        <w:t>指标</w:t>
      </w:r>
      <w:bookmarkEnd w:id="6"/>
      <w:r>
        <w:rPr>
          <w:rFonts w:hint="default" w:ascii="Times New Roman" w:hAnsi="Times New Roman" w:eastAsia="楷体_GB2312" w:cs="Times New Roman"/>
          <w:b w:val="0"/>
          <w:bCs w:val="0"/>
          <w:color w:val="auto"/>
          <w:sz w:val="32"/>
          <w:highlight w:val="none"/>
          <w:lang w:val="en-US" w:eastAsia="zh-CN"/>
        </w:rPr>
        <w:t xml:space="preserve"> </w:t>
      </w:r>
    </w:p>
    <w:p>
      <w:pPr>
        <w:pStyle w:val="2"/>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根据《湘阴高新技术产业开发区调区扩区规划环境影响报告书》及其批文，实施新规后园区排放总量控制废水各污染因子总量控制指标分别为:CODcr:212t/a、氨氮:22.2t/a、总磷:2.12t/a; 废气各污染因子总量控制指标分别为粉尘:133.5t/a、SO</w:t>
      </w:r>
      <w:r>
        <w:rPr>
          <w:rFonts w:hint="default" w:ascii="Times New Roman" w:hAnsi="Times New Roman" w:eastAsia="方正仿宋_GB2312" w:cs="Times New Roman"/>
          <w:kern w:val="2"/>
          <w:sz w:val="32"/>
          <w:szCs w:val="32"/>
          <w:vertAlign w:val="subscript"/>
          <w:lang w:val="en-US" w:eastAsia="zh-CN" w:bidi="ar-SA"/>
        </w:rPr>
        <w:t>2</w:t>
      </w:r>
      <w:r>
        <w:rPr>
          <w:rFonts w:hint="default" w:ascii="Times New Roman" w:hAnsi="Times New Roman" w:eastAsia="方正仿宋_GB2312" w:cs="Times New Roman"/>
          <w:kern w:val="2"/>
          <w:sz w:val="32"/>
          <w:szCs w:val="32"/>
          <w:lang w:val="en-US" w:eastAsia="zh-CN" w:bidi="ar-SA"/>
        </w:rPr>
        <w:t>: 96.5t/a、NOx:186.0t/a、TVOC:79.21t/a。</w:t>
      </w:r>
    </w:p>
    <w:p>
      <w:pPr>
        <w:pStyle w:val="2"/>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根据预测，湘阴高新区 PM</w:t>
      </w:r>
      <w:r>
        <w:rPr>
          <w:rFonts w:hint="default" w:ascii="Times New Roman" w:hAnsi="Times New Roman" w:eastAsia="方正仿宋_GB2312" w:cs="Times New Roman"/>
          <w:kern w:val="2"/>
          <w:sz w:val="32"/>
          <w:szCs w:val="32"/>
          <w:vertAlign w:val="subscript"/>
          <w:lang w:val="en-US" w:eastAsia="zh-CN" w:bidi="ar-SA"/>
        </w:rPr>
        <w:t>10</w:t>
      </w:r>
      <w:r>
        <w:rPr>
          <w:rFonts w:hint="default" w:ascii="Times New Roman" w:hAnsi="Times New Roman" w:eastAsia="方正仿宋_GB2312" w:cs="Times New Roman"/>
          <w:kern w:val="2"/>
          <w:sz w:val="32"/>
          <w:szCs w:val="32"/>
          <w:lang w:val="en-US" w:eastAsia="zh-CN" w:bidi="ar-SA"/>
        </w:rPr>
        <w:t>、SO</w:t>
      </w:r>
      <w:r>
        <w:rPr>
          <w:rFonts w:hint="default" w:ascii="Times New Roman" w:hAnsi="Times New Roman" w:eastAsia="方正仿宋_GB2312" w:cs="Times New Roman"/>
          <w:kern w:val="2"/>
          <w:sz w:val="32"/>
          <w:szCs w:val="32"/>
          <w:vertAlign w:val="subscript"/>
          <w:lang w:val="en-US" w:eastAsia="zh-CN" w:bidi="ar-SA"/>
        </w:rPr>
        <w:t>2</w:t>
      </w:r>
      <w:r>
        <w:rPr>
          <w:rFonts w:hint="default" w:ascii="Times New Roman" w:hAnsi="Times New Roman" w:eastAsia="方正仿宋_GB2312" w:cs="Times New Roman"/>
          <w:kern w:val="2"/>
          <w:sz w:val="32"/>
          <w:szCs w:val="32"/>
          <w:lang w:val="en-US" w:eastAsia="zh-CN" w:bidi="ar-SA"/>
        </w:rPr>
        <w:t>、NO</w:t>
      </w:r>
      <w:r>
        <w:rPr>
          <w:rFonts w:hint="default" w:ascii="Times New Roman" w:hAnsi="Times New Roman" w:eastAsia="方正仿宋_GB2312" w:cs="Times New Roman"/>
          <w:kern w:val="2"/>
          <w:sz w:val="32"/>
          <w:szCs w:val="32"/>
          <w:vertAlign w:val="subscript"/>
          <w:lang w:val="en-US" w:eastAsia="zh-CN" w:bidi="ar-SA"/>
        </w:rPr>
        <w:t>2</w:t>
      </w:r>
      <w:r>
        <w:rPr>
          <w:rFonts w:hint="default" w:ascii="Times New Roman" w:hAnsi="Times New Roman" w:eastAsia="方正仿宋_GB2312" w:cs="Times New Roman"/>
          <w:kern w:val="2"/>
          <w:sz w:val="32"/>
          <w:szCs w:val="32"/>
          <w:lang w:val="en-US" w:eastAsia="zh-CN" w:bidi="ar-SA"/>
        </w:rPr>
        <w:t>的剩余环境容量分别为 3084.4t/a、6224.4t/a和1997.6t/a，三个片区总量指标因子均尚有一定的环境容量。</w:t>
      </w:r>
    </w:p>
    <w:p>
      <w:pPr>
        <w:pStyle w:val="2"/>
        <w:rPr>
          <w:rFonts w:hint="default" w:ascii="Times New Roman" w:hAnsi="Times New Roman" w:eastAsia="方正仿宋_GB2312" w:cs="Times New Roman"/>
          <w:kern w:val="2"/>
          <w:sz w:val="32"/>
          <w:szCs w:val="32"/>
          <w:lang w:val="en-US" w:eastAsia="zh-CN" w:bidi="ar-SA"/>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eastAsia="方正仿宋_GB2312" w:cs="Times New Roman"/>
          <w:kern w:val="2"/>
          <w:sz w:val="32"/>
          <w:szCs w:val="32"/>
          <w:lang w:val="en-US" w:eastAsia="zh-CN" w:bidi="ar-SA"/>
        </w:rPr>
        <w:t>根据预测，湘阴高新区所在区域的湘江段水质较好，COD、氨氮、总磷的水环境容量分别为55183t/a、4266/a、1099t/a，在规划临港片区、洋沙湖片区的排水强度下，有足够的环境容量容纳区域排水规模。湘阴县第三污水处理厂排污口所在洋沙河河段 COD、氨氮、总磷的水环境容量分别为120.5t/a、7.82t/a、1.87/a，能够承载湘阴县第三污水处理厂提标改造处理后污染物入河量，金龙片区主要发展装备制造产业，企业废水量相对较小，预测片区废水量 3300t/d，占污水处理厂现有规模 10000t/d 的33.0%，洋沙河、洋沙湖水环境容量能够支撑第三污水处理厂排污规模。</w:t>
      </w:r>
    </w:p>
    <w:p>
      <w:pPr>
        <w:spacing w:line="600" w:lineRule="exact"/>
        <w:ind w:firstLine="640" w:firstLineChars="200"/>
        <w:outlineLvl w:val="0"/>
        <w:rPr>
          <w:rFonts w:hint="default" w:ascii="Times New Roman" w:hAnsi="Times New Roman" w:eastAsia="黑体" w:cs="Times New Roman"/>
          <w:sz w:val="32"/>
          <w:szCs w:val="32"/>
        </w:rPr>
      </w:pPr>
      <w:bookmarkStart w:id="7" w:name="_Toc25604"/>
      <w:r>
        <w:rPr>
          <w:rFonts w:hint="default" w:ascii="Times New Roman" w:hAnsi="Times New Roman" w:eastAsia="黑体" w:cs="Times New Roman"/>
          <w:sz w:val="32"/>
          <w:szCs w:val="32"/>
        </w:rPr>
        <w:t>二、环境管理情况</w:t>
      </w:r>
      <w:bookmarkEnd w:id="7"/>
    </w:p>
    <w:p>
      <w:pPr>
        <w:pStyle w:val="15"/>
        <w:snapToGrid w:val="0"/>
        <w:spacing w:after="0" w:line="600" w:lineRule="exact"/>
        <w:ind w:left="0" w:leftChars="0" w:firstLine="640"/>
        <w:outlineLvl w:val="1"/>
        <w:rPr>
          <w:rFonts w:hint="default" w:ascii="Times New Roman" w:hAnsi="Times New Roman" w:eastAsia="楷体_GB2312" w:cs="Times New Roman"/>
          <w:szCs w:val="32"/>
        </w:rPr>
      </w:pPr>
      <w:bookmarkStart w:id="8" w:name="_Toc11994"/>
      <w:r>
        <w:rPr>
          <w:rFonts w:hint="default" w:ascii="Times New Roman" w:hAnsi="Times New Roman" w:eastAsia="楷体_GB2312" w:cs="Times New Roman"/>
          <w:szCs w:val="32"/>
        </w:rPr>
        <w:t>（一）规划环评批复要求落实情况</w:t>
      </w:r>
      <w:bookmarkEnd w:id="8"/>
    </w:p>
    <w:tbl>
      <w:tblPr>
        <w:tblStyle w:val="16"/>
        <w:tblW w:w="8522"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40"/>
        <w:gridCol w:w="4973"/>
        <w:gridCol w:w="1870"/>
        <w:gridCol w:w="113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序号</w:t>
            </w:r>
          </w:p>
        </w:tc>
        <w:tc>
          <w:tcPr>
            <w:tcW w:w="4973"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环评批复要求</w:t>
            </w:r>
          </w:p>
        </w:tc>
        <w:tc>
          <w:tcPr>
            <w:tcW w:w="187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落实情况</w:t>
            </w:r>
          </w:p>
        </w:tc>
        <w:tc>
          <w:tcPr>
            <w:tcW w:w="1139"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lang w:val="en-US" w:eastAsia="zh-CN"/>
              </w:rPr>
            </w:pPr>
            <w:r>
              <w:rPr>
                <w:rFonts w:hint="default" w:ascii="Times New Roman" w:hAnsi="Times New Roman" w:eastAsia="方正楷体_GB2312" w:cs="Times New Roman"/>
                <w:b w:val="0"/>
                <w:bCs w:val="0"/>
                <w:color w:val="auto"/>
                <w:sz w:val="21"/>
                <w:szCs w:val="21"/>
                <w:lang w:val="en-US" w:eastAsia="zh-CN"/>
              </w:rPr>
              <w:t>落实结果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1</w:t>
            </w:r>
          </w:p>
        </w:tc>
        <w:tc>
          <w:tcPr>
            <w:tcW w:w="4973"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进一步优化规划布局，严格按照环评调整后的功能区划进行有序开发建设，处理好园区内部各功能组团、园区与周边农业、居住 生活服务等各功能组团及与湿地公园等生态敏感区之间的关系， 充分利用自然地形、绿化隔离带、生态缓冲带使各功能区隔离，确保功能区划分明确、产业相对集中、生态环境优良。按照报告书要求，将园区西面临洋沙湖-东湖湿地公园一侧100米范围内的 三类、二类工业用地调整为一类工业用地，将涉及物无组织排放的企业、车间尽量远离湿地公园布置，并将现有食品加工区内不符合功能定位的企业逐步迁出，取消新华九组和键铭安置区，对 洋沙湖大道以南、管委会对面的高层安置区进行功能转换，设置 为企业办公场所，并设置隔离带，不再扩大规模；靠近交通干线两侧不得新建对噪声敏感的建筑物，居民安置区与工业用地区之间设置一定宽度的环境防护距离，防止功能干扰。</w:t>
            </w:r>
          </w:p>
        </w:tc>
        <w:tc>
          <w:tcPr>
            <w:tcW w:w="1870"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严格按照调整后的功能区划进行有序开发建设，处理好园区内部各功能组团，将园区西面临洋沙湖-东湖湿地公园一侧100米范围内的三类、二类工业用地调整为一类工业用地，将涉及物无组织排放的企业、车间尽量远离湿地公园布置，并将现有食品加工区内不符合功能定位的企业逐步迁出，取消新华九组和键铭安置区，对洋沙湖大道以南、管委会对面的高层安置区进行功能转换，设置为企业办公场所，并设置隔离带，不再扩大规模。</w:t>
            </w:r>
          </w:p>
        </w:tc>
        <w:tc>
          <w:tcPr>
            <w:tcW w:w="1139"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lang w:eastAsia="zh-CN"/>
              </w:rPr>
            </w:pPr>
            <w:r>
              <w:rPr>
                <w:rFonts w:hint="default" w:ascii="Times New Roman" w:hAnsi="Times New Roman" w:eastAsia="方正楷体_GB2312" w:cs="Times New Roman"/>
                <w:b w:val="0"/>
                <w:bCs w:val="0"/>
                <w:color w:val="auto"/>
                <w:sz w:val="21"/>
                <w:szCs w:val="21"/>
                <w:lang w:val="en-US" w:eastAsia="zh-CN"/>
              </w:rPr>
              <w:t>已落实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54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2</w:t>
            </w:r>
          </w:p>
        </w:tc>
        <w:tc>
          <w:tcPr>
            <w:tcW w:w="4973"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lang w:val="en-US" w:eastAsia="zh-CN"/>
              </w:rPr>
              <w:t xml:space="preserve">  </w:t>
            </w:r>
            <w:r>
              <w:rPr>
                <w:rFonts w:hint="default" w:ascii="Times New Roman" w:hAnsi="Times New Roman" w:eastAsia="方正楷体_GB2312" w:cs="Times New Roman"/>
                <w:b w:val="0"/>
                <w:bCs w:val="0"/>
                <w:color w:val="auto"/>
                <w:sz w:val="21"/>
                <w:szCs w:val="21"/>
              </w:rPr>
              <w:t>严格执行园区入园企业准入制度，入园项目选址必须符合湖南省湘江保护条例、洋沙湖-东湖湿地公园保护要求以及园区总体发展规划、用地规划、环保规划、主导产业定位要求，不得引进国家明令淘汰和禁止发展的能耗物耗高、环境污染严重、不符合产业政策的建设项目；禁止引进对洋沙湖-东湖国家湿地公园产生不利环境影响的企业；严格限制三类工业入驻，禁止大型喷涂、设计酸雾排放等气型污染严重企业入驻；禁止涉重金属企业入驻。园区管委会和地方环保行政主管部门应切实按照报告书提出的“工业园注入和限制行业类型一览表”做好园区内项目的招商把关，在入园项目前期和建设期，必须严格执行建设项目环境影响评价和“三同时”管理制度，推行清洁生产工艺，确保排污浓度、总量满足达标排放和总量控制要求；加强对规划区内企业的环境监管，对已入园项目按照报告书建议要求进行清理整治，完善环保“三同时”审批程序及污染防治措施建设运营，湘阴县政府应按照承诺尽快清理园区内食品加工区对食品生产有影响的企业，对原老工业区内现有企业按照环评要求进行整改，确保达标排放；关闭老工业区现有排污口，将其内符合本次申报园区准入要求的企业进入园区预留用地，逐步实现产业分类集聚集中，满足地方环保管理总体要求。</w:t>
            </w:r>
          </w:p>
        </w:tc>
        <w:tc>
          <w:tcPr>
            <w:tcW w:w="1870"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工业园区未引进国家明令淘汰和禁止发展的能耗物耗高、环境污染严重、不符合产业政策的建设项目，未引进三类工业企业，未引进水耗高、污水排放量大的工业企业进驻，限制了烟囱设置，确保引入企业达标排放，加强了对现有企业的监管。</w:t>
            </w:r>
          </w:p>
        </w:tc>
        <w:tc>
          <w:tcPr>
            <w:tcW w:w="1139"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lang w:val="en-US" w:eastAsia="zh-CN"/>
              </w:rPr>
            </w:pPr>
            <w:r>
              <w:rPr>
                <w:rFonts w:hint="default" w:ascii="Times New Roman" w:hAnsi="Times New Roman" w:eastAsia="方正楷体_GB2312" w:cs="Times New Roman"/>
                <w:b w:val="0"/>
                <w:bCs w:val="0"/>
                <w:color w:val="auto"/>
                <w:sz w:val="21"/>
                <w:szCs w:val="21"/>
                <w:lang w:val="en-US" w:eastAsia="zh-CN"/>
              </w:rPr>
              <w:t>已落实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54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3</w:t>
            </w:r>
          </w:p>
        </w:tc>
        <w:tc>
          <w:tcPr>
            <w:tcW w:w="4973"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做好园区谁污染综合防治。园区排水实行雨污分流，按排水规划要求，园区污水管网收集统一进入湘阴县拟建的第二污水处理厂处理后，通过专修排水管道直接排入湘江，严禁排入白水江。在第二污水处理厂建成投运前，将园区工业及生活污水沿现有管网纳入县城第一污水处理厂统一处理。加快第二污水处理厂及配套排水管网建设，按照县政府承诺在2014年底建成投入使用。在园区排水与集中污水处理厂接管运营完成前，园区不得引进水型污染企业，已建企业严格按照《污水综合排放标准》（GB8978-1996）一级标准控制。</w:t>
            </w:r>
          </w:p>
        </w:tc>
        <w:tc>
          <w:tcPr>
            <w:tcW w:w="1870"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已建成道路排水实现了同步的雨污分流，湘阴工业园区内工业、生活废水进行统一处理至满足三级标准要求达标后排入湘阴县第二污水处理厂处理达标后外排。湘阴县第二污水处理厂已投入运行。</w:t>
            </w:r>
          </w:p>
        </w:tc>
        <w:tc>
          <w:tcPr>
            <w:tcW w:w="1139"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lang w:val="en-US" w:eastAsia="zh-CN"/>
              </w:rPr>
              <w:t>已落实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04" w:hRule="atLeast"/>
        </w:trPr>
        <w:tc>
          <w:tcPr>
            <w:tcW w:w="54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4</w:t>
            </w:r>
          </w:p>
        </w:tc>
        <w:tc>
          <w:tcPr>
            <w:tcW w:w="4973"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按报告书要求做好工业园内大气污染控制措施，推行清洁生产工艺，近期严格控制4t/h以下燃煤锅炉建设，在天然气接入园区后，应禁止燃煤设施并对现有燃煤锅炉进行清洁能源替代改造。加强园区企业管理，建立园区清洁生产考核机制，对各企业工艺废气产出的生产节点，应配置废气收集与处理净化装置，确保达标排放；将强工艺研究与技术改进，采取有效措施，减少入园企业工艺废气的无组织排放；入园企业各生产装置的废气须处理达到相应的行业排放标准及《大气污染物综合排放标准》中二级标准要求。合理优化工业布局，在工业企业之间设置合理的间隔距离，避免互相干扰影响。</w:t>
            </w:r>
          </w:p>
        </w:tc>
        <w:tc>
          <w:tcPr>
            <w:tcW w:w="1870"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湘阴工业园区内工业使用的能源为燃煤、生物质、电能并存，对各企业有工艺废气配置了废气收集与处理净化装置，做到了达标排放；采取了有效措施，减少工艺废气的无组织废气经处理达标排放。</w:t>
            </w:r>
          </w:p>
        </w:tc>
        <w:tc>
          <w:tcPr>
            <w:tcW w:w="1139"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lang w:val="en-US" w:eastAsia="zh-CN"/>
              </w:rPr>
              <w:t>已落实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5</w:t>
            </w:r>
          </w:p>
        </w:tc>
        <w:tc>
          <w:tcPr>
            <w:tcW w:w="4973"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做好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tc>
        <w:tc>
          <w:tcPr>
            <w:tcW w:w="1870"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各企业固废得到综合利用或妥善处置，入园企业产生的危险废物均得到合理处置</w:t>
            </w:r>
          </w:p>
        </w:tc>
        <w:tc>
          <w:tcPr>
            <w:tcW w:w="1139"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lang w:eastAsia="zh-CN"/>
              </w:rPr>
            </w:pPr>
            <w:r>
              <w:rPr>
                <w:rFonts w:hint="default" w:ascii="Times New Roman" w:hAnsi="Times New Roman" w:eastAsia="方正楷体_GB2312" w:cs="Times New Roman"/>
                <w:b w:val="0"/>
                <w:bCs w:val="0"/>
                <w:color w:val="auto"/>
                <w:sz w:val="21"/>
                <w:szCs w:val="21"/>
                <w:lang w:val="en-US" w:eastAsia="zh-CN"/>
              </w:rPr>
              <w:t>已落实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6</w:t>
            </w:r>
          </w:p>
        </w:tc>
        <w:tc>
          <w:tcPr>
            <w:tcW w:w="4973"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工业园区要建立专职的环境监督管理机构，建立健全环境风险事故防范措施和应急预案，严防环境风险事故发生。</w:t>
            </w:r>
          </w:p>
        </w:tc>
        <w:tc>
          <w:tcPr>
            <w:tcW w:w="1870"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设立了工业园区环境管理机构，</w:t>
            </w:r>
            <w:r>
              <w:rPr>
                <w:rFonts w:hint="default" w:ascii="Times New Roman" w:hAnsi="Times New Roman" w:eastAsia="方正楷体_GB2312" w:cs="Times New Roman"/>
                <w:b w:val="0"/>
                <w:bCs w:val="0"/>
                <w:color w:val="auto"/>
                <w:sz w:val="21"/>
                <w:szCs w:val="21"/>
                <w:highlight w:val="none"/>
              </w:rPr>
              <w:t>建立</w:t>
            </w:r>
            <w:r>
              <w:rPr>
                <w:rFonts w:hint="default" w:ascii="Times New Roman" w:hAnsi="Times New Roman" w:eastAsia="方正楷体_GB2312" w:cs="Times New Roman"/>
                <w:b w:val="0"/>
                <w:bCs w:val="0"/>
                <w:color w:val="auto"/>
                <w:sz w:val="21"/>
                <w:szCs w:val="21"/>
                <w:highlight w:val="none"/>
                <w:lang w:val="en-US" w:eastAsia="zh-CN"/>
              </w:rPr>
              <w:t>了</w:t>
            </w:r>
            <w:r>
              <w:rPr>
                <w:rFonts w:hint="default" w:ascii="Times New Roman" w:hAnsi="Times New Roman" w:eastAsia="方正楷体_GB2312" w:cs="Times New Roman"/>
                <w:b w:val="0"/>
                <w:bCs w:val="0"/>
                <w:color w:val="auto"/>
                <w:sz w:val="21"/>
                <w:szCs w:val="21"/>
                <w:highlight w:val="none"/>
              </w:rPr>
              <w:t>环境风险事故防范措施和应急预案。</w:t>
            </w:r>
          </w:p>
        </w:tc>
        <w:tc>
          <w:tcPr>
            <w:tcW w:w="1139"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lang w:eastAsia="zh-CN"/>
              </w:rPr>
            </w:pPr>
            <w:r>
              <w:rPr>
                <w:rFonts w:hint="default" w:ascii="Times New Roman" w:hAnsi="Times New Roman" w:eastAsia="方正楷体_GB2312" w:cs="Times New Roman"/>
                <w:b w:val="0"/>
                <w:bCs w:val="0"/>
                <w:color w:val="auto"/>
                <w:sz w:val="21"/>
                <w:szCs w:val="21"/>
                <w:lang w:val="en-US" w:eastAsia="zh-CN"/>
              </w:rPr>
              <w:t>已落实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0"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7</w:t>
            </w:r>
          </w:p>
        </w:tc>
        <w:tc>
          <w:tcPr>
            <w:tcW w:w="4973" w:type="dxa"/>
            <w:tcBorders>
              <w:tl2br w:val="nil"/>
              <w:tr2bl w:val="nil"/>
            </w:tcBorders>
            <w:noWrap w:val="0"/>
            <w:vAlign w:val="center"/>
          </w:tcPr>
          <w:p>
            <w:pPr>
              <w:bidi w:val="0"/>
              <w:spacing w:line="240" w:lineRule="auto"/>
              <w:ind w:firstLine="420" w:firstLineChars="200"/>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按工业园区的分期开发规划统筹制定拆迁安置方案，落实移民生产生活安置措施，防止移民再次安置和次生环境问题。</w:t>
            </w:r>
          </w:p>
        </w:tc>
        <w:tc>
          <w:tcPr>
            <w:tcW w:w="1870" w:type="dxa"/>
            <w:tcBorders>
              <w:tl2br w:val="nil"/>
              <w:tr2bl w:val="nil"/>
            </w:tcBorders>
            <w:noWrap w:val="0"/>
            <w:vAlign w:val="center"/>
          </w:tcPr>
          <w:p>
            <w:pPr>
              <w:bidi w:val="0"/>
              <w:spacing w:line="240" w:lineRule="auto"/>
              <w:jc w:val="left"/>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rPr>
              <w:t>实现了拆迁安置。</w:t>
            </w:r>
          </w:p>
        </w:tc>
        <w:tc>
          <w:tcPr>
            <w:tcW w:w="1139" w:type="dxa"/>
            <w:tcBorders>
              <w:tl2br w:val="nil"/>
              <w:tr2bl w:val="nil"/>
            </w:tcBorders>
            <w:noWrap w:val="0"/>
            <w:vAlign w:val="center"/>
          </w:tcPr>
          <w:p>
            <w:pPr>
              <w:bidi w:val="0"/>
              <w:spacing w:line="240" w:lineRule="auto"/>
              <w:jc w:val="center"/>
              <w:rPr>
                <w:rFonts w:hint="default" w:ascii="Times New Roman" w:hAnsi="Times New Roman" w:eastAsia="方正楷体_GB2312" w:cs="Times New Roman"/>
                <w:b w:val="0"/>
                <w:bCs w:val="0"/>
                <w:color w:val="auto"/>
                <w:sz w:val="21"/>
                <w:szCs w:val="21"/>
              </w:rPr>
            </w:pPr>
            <w:r>
              <w:rPr>
                <w:rFonts w:hint="default" w:ascii="Times New Roman" w:hAnsi="Times New Roman" w:eastAsia="方正楷体_GB2312" w:cs="Times New Roman"/>
                <w:b w:val="0"/>
                <w:bCs w:val="0"/>
                <w:color w:val="auto"/>
                <w:sz w:val="21"/>
                <w:szCs w:val="21"/>
                <w:lang w:val="en-US" w:eastAsia="zh-CN"/>
              </w:rPr>
              <w:t>已落实</w:t>
            </w:r>
          </w:p>
        </w:tc>
      </w:tr>
    </w:tbl>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湘阴高新区2022年度环境质量监测方案见下表：</w:t>
      </w:r>
    </w:p>
    <w:tbl>
      <w:tblPr>
        <w:tblStyle w:val="1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739"/>
        <w:gridCol w:w="1964"/>
        <w:gridCol w:w="1712"/>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6" w:type="dxa"/>
            <w:shd w:val="clear" w:color="auto" w:fill="A4A4A4"/>
            <w:noWrap w:val="0"/>
            <w:vAlign w:val="center"/>
          </w:tcPr>
          <w:p>
            <w:pPr>
              <w:jc w:val="center"/>
              <w:rPr>
                <w:rFonts w:hint="default" w:ascii="Times New Roman" w:hAnsi="Times New Roman" w:eastAsia="仿宋_GB2312" w:cs="Times New Roman"/>
                <w:b/>
                <w:bCs w:val="0"/>
                <w:color w:val="auto"/>
                <w:sz w:val="24"/>
                <w:lang w:val="en-US" w:eastAsia="zh-CN"/>
              </w:rPr>
            </w:pPr>
            <w:r>
              <w:rPr>
                <w:rFonts w:hint="default" w:ascii="Times New Roman" w:hAnsi="Times New Roman" w:eastAsia="仿宋_GB2312" w:cs="Times New Roman"/>
                <w:b/>
                <w:bCs w:val="0"/>
                <w:color w:val="auto"/>
                <w:sz w:val="24"/>
                <w:lang w:val="en-US" w:eastAsia="zh-CN"/>
              </w:rPr>
              <w:t>监测对象</w:t>
            </w:r>
          </w:p>
        </w:tc>
        <w:tc>
          <w:tcPr>
            <w:tcW w:w="1739" w:type="dxa"/>
            <w:shd w:val="clear" w:color="auto" w:fill="A4A4A4"/>
            <w:noWrap w:val="0"/>
            <w:vAlign w:val="center"/>
          </w:tcPr>
          <w:p>
            <w:pPr>
              <w:jc w:val="center"/>
              <w:rPr>
                <w:rFonts w:hint="default" w:ascii="Times New Roman" w:hAnsi="Times New Roman" w:eastAsia="仿宋_GB2312" w:cs="Times New Roman"/>
                <w:b/>
                <w:bCs w:val="0"/>
                <w:color w:val="auto"/>
                <w:sz w:val="24"/>
                <w:lang w:val="en-US" w:eastAsia="zh-CN"/>
              </w:rPr>
            </w:pPr>
            <w:r>
              <w:rPr>
                <w:rFonts w:hint="default" w:ascii="Times New Roman" w:hAnsi="Times New Roman" w:eastAsia="仿宋_GB2312" w:cs="Times New Roman"/>
                <w:b/>
                <w:bCs w:val="0"/>
                <w:color w:val="auto"/>
                <w:sz w:val="24"/>
                <w:lang w:val="en-US" w:eastAsia="zh-CN"/>
              </w:rPr>
              <w:t>监测点位</w:t>
            </w:r>
          </w:p>
        </w:tc>
        <w:tc>
          <w:tcPr>
            <w:tcW w:w="1964" w:type="dxa"/>
            <w:shd w:val="clear" w:color="auto" w:fill="A4A4A4"/>
            <w:noWrap w:val="0"/>
            <w:vAlign w:val="center"/>
          </w:tcPr>
          <w:p>
            <w:pPr>
              <w:jc w:val="center"/>
              <w:rPr>
                <w:rFonts w:hint="default" w:ascii="Times New Roman" w:hAnsi="Times New Roman" w:eastAsia="仿宋_GB2312" w:cs="Times New Roman"/>
                <w:b/>
                <w:bCs w:val="0"/>
                <w:color w:val="auto"/>
                <w:sz w:val="24"/>
                <w:lang w:val="en-US" w:eastAsia="zh-CN"/>
              </w:rPr>
            </w:pPr>
            <w:r>
              <w:rPr>
                <w:rFonts w:hint="default" w:ascii="Times New Roman" w:hAnsi="Times New Roman" w:eastAsia="仿宋_GB2312" w:cs="Times New Roman"/>
                <w:b/>
                <w:bCs w:val="0"/>
                <w:color w:val="auto"/>
                <w:sz w:val="24"/>
                <w:lang w:val="en-US" w:eastAsia="zh-CN"/>
              </w:rPr>
              <w:t>监测项目</w:t>
            </w:r>
          </w:p>
        </w:tc>
        <w:tc>
          <w:tcPr>
            <w:tcW w:w="1712" w:type="dxa"/>
            <w:shd w:val="clear" w:color="auto" w:fill="A4A4A4"/>
            <w:noWrap w:val="0"/>
            <w:vAlign w:val="center"/>
          </w:tcPr>
          <w:p>
            <w:pPr>
              <w:jc w:val="center"/>
              <w:rPr>
                <w:rFonts w:hint="default" w:ascii="Times New Roman" w:hAnsi="Times New Roman" w:eastAsia="仿宋_GB2312" w:cs="Times New Roman"/>
                <w:b/>
                <w:bCs w:val="0"/>
                <w:color w:val="auto"/>
                <w:sz w:val="24"/>
                <w:lang w:val="en-US" w:eastAsia="zh-CN"/>
              </w:rPr>
            </w:pPr>
            <w:r>
              <w:rPr>
                <w:rFonts w:hint="default" w:ascii="Times New Roman" w:hAnsi="Times New Roman" w:eastAsia="仿宋_GB2312" w:cs="Times New Roman"/>
                <w:b/>
                <w:bCs w:val="0"/>
                <w:color w:val="auto"/>
                <w:sz w:val="24"/>
                <w:lang w:val="en-US" w:eastAsia="zh-CN"/>
              </w:rPr>
              <w:t>监测频次</w:t>
            </w:r>
          </w:p>
        </w:tc>
        <w:tc>
          <w:tcPr>
            <w:tcW w:w="2215" w:type="dxa"/>
            <w:shd w:val="clear" w:color="auto" w:fill="A4A4A4"/>
            <w:noWrap w:val="0"/>
            <w:vAlign w:val="center"/>
          </w:tcPr>
          <w:p>
            <w:pPr>
              <w:jc w:val="center"/>
              <w:rPr>
                <w:rFonts w:hint="default" w:ascii="Times New Roman" w:hAnsi="Times New Roman" w:eastAsia="仿宋_GB2312" w:cs="Times New Roman"/>
                <w:b/>
                <w:bCs w:val="0"/>
                <w:color w:val="auto"/>
                <w:sz w:val="24"/>
                <w:lang w:val="en-US" w:eastAsia="zh-CN"/>
              </w:rPr>
            </w:pPr>
            <w:r>
              <w:rPr>
                <w:rFonts w:hint="default" w:ascii="Times New Roman" w:hAnsi="Times New Roman" w:eastAsia="仿宋_GB2312" w:cs="Times New Roman"/>
                <w:b/>
                <w:bCs w:val="0"/>
                <w:color w:val="auto"/>
                <w:sz w:val="24"/>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大气环境</w:t>
            </w: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三峰社区</w:t>
            </w:r>
          </w:p>
        </w:tc>
        <w:tc>
          <w:tcPr>
            <w:tcW w:w="1964"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甲苯、二甲苯、硫酸雾、氯化氢、TVOC及非甲烷总烃</w:t>
            </w:r>
          </w:p>
        </w:tc>
        <w:tc>
          <w:tcPr>
            <w:tcW w:w="1712"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每年冬季监测一次，每次监测7天。</w:t>
            </w:r>
          </w:p>
          <w:p>
            <w:pPr>
              <w:jc w:val="center"/>
              <w:rPr>
                <w:rFonts w:hint="default" w:ascii="Times New Roman" w:hAnsi="Times New Roman" w:eastAsia="仿宋_GB2312" w:cs="Times New Roman"/>
                <w:color w:val="auto"/>
                <w:sz w:val="24"/>
                <w:lang w:val="en-US" w:eastAsia="zh-CN"/>
              </w:rPr>
            </w:pPr>
          </w:p>
        </w:tc>
        <w:tc>
          <w:tcPr>
            <w:tcW w:w="2215"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城关中学</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知源学校</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袁家铺中学</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金龙村</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木家园</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水环境—地上水</w:t>
            </w: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湘阴县第三污水处理厂排污口上游约0.5km</w:t>
            </w:r>
          </w:p>
        </w:tc>
        <w:tc>
          <w:tcPr>
            <w:tcW w:w="1964"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pH、SS、COD、BOD5、氨氮、总氮、总磷、氟化物、氰化物、挥发酚、石油类、阴离子表面活性剂、磷酸盐、硫化物、粪大肠菌群、动植物油、Cu、Zn、As、Hg、Cd、Cr6+、Pb、Ni、Mn、总铬。</w:t>
            </w:r>
          </w:p>
        </w:tc>
        <w:tc>
          <w:tcPr>
            <w:tcW w:w="1712"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平水期、枯水期、丰水期一次，每次连续3d</w:t>
            </w:r>
          </w:p>
        </w:tc>
        <w:tc>
          <w:tcPr>
            <w:tcW w:w="2215"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《地表水环境质量标准》(GB3838-2002)表1中Ⅲ类标准要求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湘阴县第三污水处理厂排污口下游约1km</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洋沙湖湖心</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水环境—地下水</w:t>
            </w: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知源学校附近</w:t>
            </w:r>
          </w:p>
        </w:tc>
        <w:tc>
          <w:tcPr>
            <w:tcW w:w="1964"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pH、总硬度、溶解性总固体、耗氧量、硫酸盐、氯化物、氰化物、挥发性酚类、氨氮、硝酸盐、亚硝酸盐、磷酸盐、氟化物、总大肠菌群、Cu、Zn、As、Hg、Cd、Cr6+、总铬、Pb、Ni、铁、锰、硒。</w:t>
            </w:r>
          </w:p>
        </w:tc>
        <w:tc>
          <w:tcPr>
            <w:tcW w:w="1712"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每年枯水期监测一次，每次2天，每天采样一次。</w:t>
            </w:r>
          </w:p>
        </w:tc>
        <w:tc>
          <w:tcPr>
            <w:tcW w:w="2215"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《地下水质量标准》(GB 14848-2017) 表1中 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声环境</w:t>
            </w: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主要交通干线两侧、工业用地边界、居民安置点</w:t>
            </w:r>
          </w:p>
        </w:tc>
        <w:tc>
          <w:tcPr>
            <w:tcW w:w="1964"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等效连续A声级</w:t>
            </w:r>
          </w:p>
        </w:tc>
        <w:tc>
          <w:tcPr>
            <w:tcW w:w="1712"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半年一次，每次两天、分昼夜各监测一次</w:t>
            </w:r>
          </w:p>
        </w:tc>
        <w:tc>
          <w:tcPr>
            <w:tcW w:w="2215"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声环境质量标准（GB3096-2008）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土壤</w:t>
            </w: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临港片区乌龙社区</w:t>
            </w:r>
          </w:p>
        </w:tc>
        <w:tc>
          <w:tcPr>
            <w:tcW w:w="1964"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pH、铜、铅、锌、镉、铬、汞、砷、镍</w:t>
            </w:r>
          </w:p>
        </w:tc>
        <w:tc>
          <w:tcPr>
            <w:tcW w:w="1712"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一年一次</w:t>
            </w:r>
          </w:p>
        </w:tc>
        <w:tc>
          <w:tcPr>
            <w:tcW w:w="2215"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《土壤环境质量 农用地土壤污染风险管控标准（试行）》（GB15618-2018）中表1标准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洋沙湖片区劈山渠附近</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金龙片区大屋</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底泥</w:t>
            </w: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金龙片区湘阴第三污水处理厂排污口上游500m处</w:t>
            </w:r>
          </w:p>
        </w:tc>
        <w:tc>
          <w:tcPr>
            <w:tcW w:w="1964"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pH、镉、汞、砷、铅、铬、铜、镍、锌</w:t>
            </w:r>
          </w:p>
        </w:tc>
        <w:tc>
          <w:tcPr>
            <w:tcW w:w="1712"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一年一次</w:t>
            </w:r>
          </w:p>
        </w:tc>
        <w:tc>
          <w:tcPr>
            <w:tcW w:w="2215" w:type="dxa"/>
            <w:vMerge w:val="restart"/>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《土壤环境质量 农用地土壤污染风险管控标准（试行）》（GB15618-2018）表1中标准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6"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39" w:type="dxa"/>
            <w:noWrap w:val="0"/>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金龙片区湘阴第三污水处理厂排污口下游500m处</w:t>
            </w:r>
          </w:p>
        </w:tc>
        <w:tc>
          <w:tcPr>
            <w:tcW w:w="1964"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1712"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c>
          <w:tcPr>
            <w:tcW w:w="2215" w:type="dxa"/>
            <w:vMerge w:val="continue"/>
            <w:noWrap w:val="0"/>
            <w:vAlign w:val="center"/>
          </w:tcPr>
          <w:p>
            <w:pPr>
              <w:jc w:val="center"/>
              <w:rPr>
                <w:rFonts w:hint="default" w:ascii="Times New Roman" w:hAnsi="Times New Roman" w:eastAsia="仿宋_GB2312" w:cs="Times New Roman"/>
                <w:color w:val="auto"/>
                <w:sz w:val="24"/>
                <w:lang w:val="en-US" w:eastAsia="zh-CN"/>
              </w:rPr>
            </w:pPr>
          </w:p>
        </w:tc>
      </w:tr>
    </w:tbl>
    <w:p>
      <w:pPr>
        <w:pStyle w:val="15"/>
        <w:snapToGrid w:val="0"/>
        <w:spacing w:after="0" w:line="600" w:lineRule="exact"/>
        <w:ind w:left="0" w:leftChars="0" w:firstLine="640"/>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截止2022年底已委托第三方服务机构湖南永蓝检测计技术股份有限公司对园区环境质量进行检测并出具检测报告。根据2022年6月27日、11月25日两份检测报告结果显示，园区环境质量检测满足环境管控限值，不存在超标情况；根据年度风险隐患排查情况显示，园区企业污防设施正常开启，无异常运行、无超标排放情况。</w:t>
      </w:r>
    </w:p>
    <w:p>
      <w:pPr>
        <w:pStyle w:val="15"/>
        <w:snapToGrid w:val="0"/>
        <w:spacing w:after="0" w:line="600" w:lineRule="exact"/>
        <w:ind w:left="0" w:leftChars="0" w:firstLine="640"/>
        <w:outlineLvl w:val="1"/>
        <w:rPr>
          <w:rFonts w:hint="default" w:ascii="Times New Roman" w:hAnsi="Times New Roman" w:eastAsia="楷体_GB2312" w:cs="Times New Roman"/>
          <w:szCs w:val="32"/>
        </w:rPr>
      </w:pPr>
      <w:bookmarkStart w:id="9" w:name="_Toc30582"/>
      <w:r>
        <w:rPr>
          <w:rFonts w:hint="default" w:ascii="Times New Roman" w:hAnsi="Times New Roman" w:eastAsia="楷体_GB2312" w:cs="Times New Roman"/>
          <w:szCs w:val="32"/>
        </w:rPr>
        <w:t>（二）“三线一单”落地应用情况</w:t>
      </w:r>
      <w:bookmarkEnd w:id="9"/>
    </w:p>
    <w:tbl>
      <w:tblPr>
        <w:tblStyle w:val="17"/>
        <w:tblpPr w:leftFromText="180" w:rightFromText="180" w:vertAnchor="text" w:horzAnchor="page" w:tblpXSpec="center" w:tblpY="65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679"/>
        <w:gridCol w:w="332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1" w:type="pct"/>
            <w:shd w:val="clear" w:color="auto" w:fill="BEBEBE" w:themeFill="background1" w:themeFillShade="BF"/>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br w:type="page"/>
            </w:r>
            <w:r>
              <w:rPr>
                <w:rFonts w:hint="default" w:ascii="Times New Roman" w:hAnsi="Times New Roman" w:eastAsia="方正楷体_GB2312" w:cs="Times New Roman"/>
                <w:kern w:val="0"/>
                <w:sz w:val="21"/>
                <w:szCs w:val="24"/>
                <w:lang w:val="en-US" w:eastAsia="zh-CN" w:bidi="ar"/>
              </w:rPr>
              <w:t>管控</w:t>
            </w:r>
            <w:r>
              <w:rPr>
                <w:rFonts w:hint="default" w:ascii="Times New Roman" w:hAnsi="Times New Roman" w:eastAsia="方正楷体_GB2312" w:cs="Times New Roman"/>
                <w:kern w:val="0"/>
                <w:sz w:val="21"/>
                <w:szCs w:val="24"/>
                <w:lang w:val="en-US" w:eastAsia="zh-CN" w:bidi="ar"/>
              </w:rPr>
              <w:br w:type="textWrapping"/>
            </w:r>
            <w:r>
              <w:rPr>
                <w:rFonts w:hint="default" w:ascii="Times New Roman" w:hAnsi="Times New Roman" w:eastAsia="方正楷体_GB2312" w:cs="Times New Roman"/>
                <w:kern w:val="0"/>
                <w:sz w:val="21"/>
                <w:szCs w:val="24"/>
                <w:lang w:val="en-US" w:eastAsia="zh-CN" w:bidi="ar"/>
              </w:rPr>
              <w:t>类型</w:t>
            </w:r>
          </w:p>
        </w:tc>
        <w:tc>
          <w:tcPr>
            <w:tcW w:w="2158" w:type="pct"/>
            <w:shd w:val="clear" w:color="auto" w:fill="BEBEBE" w:themeFill="background1" w:themeFillShade="BF"/>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管控要求</w:t>
            </w:r>
          </w:p>
        </w:tc>
        <w:tc>
          <w:tcPr>
            <w:tcW w:w="1947" w:type="pct"/>
            <w:shd w:val="clear" w:color="auto" w:fill="BEBEBE" w:themeFill="background1" w:themeFillShade="BF"/>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实际情况</w:t>
            </w:r>
          </w:p>
        </w:tc>
        <w:tc>
          <w:tcPr>
            <w:tcW w:w="452" w:type="pct"/>
            <w:shd w:val="clear" w:color="auto" w:fill="BEBEBE" w:themeFill="background1" w:themeFillShade="BF"/>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41" w:type="pct"/>
            <w:vMerge w:val="restar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空</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间</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布</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局</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约</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束</w:t>
            </w: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（1）严格限制三类工业入驻。禁止大型喷涂。涉及酸雾排放等气型污染严重企业入驻。禁止外排水污染物涉及重金属的项目入驻。</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禁止引进大型喷涂，涉及酸雾排放等气型污染严重企业入驻。</w:t>
            </w:r>
          </w:p>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未引进外排污染物涉及重金属的项目入驻。</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1" w:type="pct"/>
            <w:vMerge w:val="continue"/>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2）将开发区西面临洋沙湖－东湖湿地公园一带一定范围内的三类、二类工业用地调整为一类工业用地。涉及气型污染物无组织排放的企业。车间尽量远离湿地公园布置。禁止引进对洋沙湖一东湖国家湿地公园产生不利影响的企业。</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洋沙湖一东湖国家湿地公园附近无任何涉及气型污染物无组织排放的企业。没有引进对洋沙湖一东湖国家湿地公园产生不利影响的企业。临湿地的二类和三类工业用地调整为一类工业用地，以最大限度地减少园区建设对洋沙湖湿地公园的影响，在此区块禁止涉及大型喷涂、酸雾、粉尘等气型污染严重的企业入驻。</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1" w:type="pct"/>
            <w:vMerge w:val="continue"/>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（1）靠近交通干线两侧一定范围不得新建对噪声敏感的建筑物。居民安置区与工业用地之间设置一定宽度的防护距离。防止功能干扰。</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园区加强固定源噪声控制，严格执行“三同时”，保证工业企业达标；实施绿化景观工程和设置噪声防护距离；严禁在交通干线两侧35m范围内建设永久性声环境敏感建筑。</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41" w:type="pct"/>
            <w:vMerge w:val="restar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污</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染</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物</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排</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放</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管</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控</w:t>
            </w: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（1）废水：开发区排水实施雨污分流。开发区污水经营网收集统一进入湘阴县第二污水处理厂处理后。通过专修排水管道直接接入湘江。严禁排入白水江。园区雨水经雨水管网排入洋沙湖。</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园区内已建排水管网全部实现雨污分流，污水管网及处理系统均做好了防渗措施，纳管企业废水预处理达标后再排入园区污水管网，经湘阴县第二污水处理厂处理达标后通过排水管道排入湘江。处理达标后的污水并未排入白水江。园区的雨水通过雨水管网排入洋沙湖。</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1" w:type="pct"/>
            <w:vMerge w:val="continue"/>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（1）废气：对各企业工艺废气产出的生产节点。须配置废气收集与处理净化装置。确保达标排放；加强生产工艺研究与技术改进，采取有效措施。减少入园企业工艺废气的无组织排放。</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各企业有工艺废气产出的生产节点配置有废气收集与处理净化装置，能够达标排放；园区内涉锅炉大气污染物排放执行《锅炉大气污染物排放标准》GB12371-2001中Ⅱ时段标准。</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1" w:type="pct"/>
            <w:vMerge w:val="continue"/>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（1）园区内相关行业及锅炉废气污染物排放满足《湖南省生态环境厅关于执行污染物特别排放限值（第一批）的公告》中的要求。</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园区内涉锅炉大气污染物排放能够满足《湖南省生态环境厅关于执行污染物特别排放限值（第一批）的公告》中的要求；</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1" w:type="pct"/>
            <w:vMerge w:val="continue"/>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固体废弃物：做好园区工业团体废物和生活垃圾的分类收集、转运。综合利用和无害化处理，建立统一的固废收集、贮存、运输。综合利用和安全处置的运营管理体系。（2）推行清洁生产，减少固体反应物产生量：加强固体废物的资源化进程。提高综合利用率；规范固体废物处理措施。对工业企业产生的固体废物特别是危险废物应技国家有关规定综合利用或妥善处置。严防二次污染。</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园区已于2020年3月建立湘阴高新区固废站，处理能力5000t/a，处理工艺为收集暂存转运。园区综合利用和安全处置的运营管理体系正式形成。一是加强污染物控制的力度，降低能耗、物耗；二是提高物料综合利用率，引入固体废物的资源化技术，三是规范固体废物处理措施，严防二次污染。</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vMerge w:val="restar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环</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境</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风</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险</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防</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控</w:t>
            </w: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园区应建立健全环境风险防控体系。严格落实《湖南湘阴工业园区突发环境事件应急预案》中相关要求。严防突发环境事件发生。提高应急处置能力。</w:t>
            </w:r>
          </w:p>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园区可能发生突发环境事件的污染物排放企业，生产、储存、运输。使用危险化学品的企业。产生、收集、贮存、运输、利用、处置危险应物的企业应当编制和实施环境应急预案；</w:t>
            </w:r>
          </w:p>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（3）鼓励其他企业制定单独的环境应急预案。或在突发事件应急预案中制定环境应急预案专章。并备案。</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园区建立了环境风险防控体系：1、制定了风险防范措施制度；2、建设并完善了环境风险源数据库；3、建立了应急处置队伍；4、根据各企业情况制定了具体的风险环境防范措施；并严格落实《湖南湘阴工业园区突发环境事件应急预案》的相关要求。</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441" w:type="pct"/>
            <w:vMerge w:val="continue"/>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建设用地土壤风险防控：对拟收因土地使用权的相关行业企业用地，以及用途拟变更为居住和商业。学校。医疗。养老机构等公共设施的企业用地开展土壤环境状况调查评估。（2）农用地土壤风险防控：拟开发为农用地的。地方人民政府组织开展土壤环境质量状况评估：不符合相应标准的，不得种植食用农产品。</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园区无拟收因土地使用权的相关行业企业用地；无用途拟变更为居住、商业、学校、医疗、养老机构等公共设施的企业用地。</w:t>
            </w:r>
          </w:p>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关于农用地土壤风险防控，园区已于2022年6月17日聘请永蓝检测公司对以下4个点位进行土壤检测：T1花石村卫生室对面山地、T2杨家大屋、T3将军村刘家组附近农田、T4向阳村附近水田。检测结果全部符合相关环保标准。</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1" w:type="pct"/>
            <w:vMerge w:val="restar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资</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源</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开</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发</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效</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率</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要</w:t>
            </w: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求</w:t>
            </w:r>
          </w:p>
        </w:tc>
        <w:tc>
          <w:tcPr>
            <w:tcW w:w="2158"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能源：（1）积极推广清洁能源，在天然气楼入园区后。应禁止新上燃煤设施并对现有燃煤锅炉进行清洁能源替代改造。开发区目前主要能源为电、天然气。生物质能源。园区应按“湖南省工程建设项目审批制度改革工作领导小组办公室关于印发《工程建设项目区城评估工作实施方案》的通知"，尽快开展节能评估工作。</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both"/>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已禁止园区企业使用燃煤锅炉，将烧煤改为烧生物质为能源，并对锅炉废气进行定期检测，确保达标排放。</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441" w:type="pct"/>
            <w:vMerge w:val="continue"/>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2158"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水资源：加强工业节水。重点开展相关工业行业节水技术改造，逐步海汰高耗水的落后产能，积极推广工业水循环利用。引导企业开展水平衡测试。继续推进节水型企业、节水型工业园区建设。</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积极加强工业企业节水工作，引导企业进行清洁生产，督促相对高耗水企业进行技术改造升级，更多在生产中使用循环水，从而强力推进节水型企业、节水型工业园区建设。</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441" w:type="pct"/>
            <w:vMerge w:val="continue"/>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2158"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土地资源：以国家产业发展政策为导向，合理制定区城产业用地政策，优先保障主导产业发展用地，严禁向禁止类工业项目供地，严格控制限制类工业项目用地，重点支持发展与区域资源环境条件相通相应的产业。食品加工。建筑建材、装备制造。新材料。轻工产品制造土地投资强度报定标准分别为190万元/亩、250万元/亩、 250万元/亩、 230万元/亩、 210万元/亩。</w:t>
            </w:r>
          </w:p>
        </w:tc>
        <w:tc>
          <w:tcPr>
            <w:tcW w:w="1947"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已合理制定区城产业用地投资强度等政策，优先保障主导产业绿色食品加工、绿色建筑建材、先进装备制造发展用地。坚决杜绝和控制限制类工业项目用地。</w:t>
            </w:r>
          </w:p>
        </w:tc>
        <w:tc>
          <w:tcPr>
            <w:tcW w:w="452" w:type="pct"/>
            <w:vAlign w:val="center"/>
          </w:tcPr>
          <w:p>
            <w:pPr>
              <w:pStyle w:val="6"/>
              <w:keepNext w:val="0"/>
              <w:keepLines w:val="0"/>
              <w:suppressLineNumbers w:val="0"/>
              <w:bidi w:val="0"/>
              <w:snapToGrid w:val="0"/>
              <w:spacing w:after="0"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符合</w:t>
            </w:r>
          </w:p>
        </w:tc>
      </w:tr>
    </w:tbl>
    <w:p>
      <w:pPr>
        <w:pStyle w:val="15"/>
        <w:snapToGrid w:val="0"/>
        <w:spacing w:after="0" w:line="600" w:lineRule="exact"/>
        <w:ind w:left="0" w:leftChars="0" w:firstLine="640"/>
        <w:outlineLvl w:val="1"/>
        <w:rPr>
          <w:rFonts w:hint="default" w:ascii="Times New Roman" w:hAnsi="Times New Roman" w:eastAsia="楷体_GB2312" w:cs="Times New Roman"/>
          <w:szCs w:val="32"/>
        </w:rPr>
      </w:pPr>
      <w:bookmarkStart w:id="10" w:name="_Toc30136"/>
      <w:r>
        <w:rPr>
          <w:rFonts w:hint="default" w:ascii="Times New Roman" w:hAnsi="Times New Roman" w:eastAsia="楷体_GB2312" w:cs="Times New Roman"/>
          <w:szCs w:val="32"/>
        </w:rPr>
        <w:t>（三）水环境管理</w:t>
      </w:r>
      <w:bookmarkEnd w:id="10"/>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园区涉水企业35家，其中洋沙湖片区29家，金龙片区6家。配套污水集中处理设施2个，即湘阴县第二污水处理厂、湘阴县第三污水处理厂，园区雨水管道总长度为70235米，污水管道污总长度为95371米，管网覆盖率为100%，产业园区废水集中处理率已达100%。</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湘阴首创与湘阴县管业园区管委会于2015年9月30号签订《湘阴县工业园污水处理厂（湘阴二污）特许经营协议》。湘阴县工业园污水处理厂（湘阴二污）由湘阴首创水务有限责任公司以BOT模式建设，特许经营期为30年，项目一期总投资5300万，提标改造项目投资约2781万，总计投资约为8081万。</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湘阴县工业园污水处理厂（湘阴二污）采用预处理-水解酸化-A/A/O-紫外线消毒处理工艺，污泥处理采用板框压滤-石灰添加干化，日处理规模1.0万m3/d，出水各项指标执行《城镇污水处理厂污染物排放标准》（GB18918-2002）一级A标准，干污泥含水率低于50%。污泥干化处理之后（环评批复污泥为一般固体废水，参照危废管理），转运至湘阴光大垃圾焚烧发电厂进行焚烧处置。湘阴县工业园污水处理厂（湘阴二污）纳污范围涵盖湘阴县工业园所有企业（总计入园企业52家）及周边安置居民区、知源学校、洋沙湖学校，污水处理达标之后，尾水排入湘江。</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湘阴县第二污水处理厂提标改造工程于2018年2月份开始施工，增加了深度处理工艺，主要构筑物包括：高级氧化池、高效沉淀池、深床反硝化滤池、应急消毒池。项目于2019年4完成了整体工艺系统调试，2019年12月完成了项目环保验收备案。在湘阴县高新区、环保局多次联合巡视督促整改及对重点排污企业安装在线监控等大量有效举措实施的情况下，园区企业基本做到了废水预处理达标排放，这为湘阴县第二污水处理厂的稳定达标运行提供了有利条件。提标改造项目完成之后，湘阴县第二污水处理厂出水各项水质指标执行《城镇污水处理厂污染物排放标准》GB18918-2002一级A标准。</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2020年-2022年，湘阴县工业园污水处理厂（湘阴二污）累计处理污水超过829万立方米(约70%为工业废水、30%为生活污水）。目前，日均处理水量约为7700立方米。累计完成生化需氧量（BOD）减排量约321吨，完成化学需氧量（COD）减排约2021吨，完成氨氮减排约276吨，完成总磷减排约18.34吨，完成总氮减排约238吨。湘阴县工业园污水处理厂（湘阴二污）的正常运行，为湘阴污染物减排作出了积极的贡献。</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洋沙湖片区内建设完成的排水管网已全部实施雨污分流，污水管网及处理系统均做好了防渗措施，纳管企业废水预处理达标后再排入园区污水管网，经湘阴县第二污水处理厂处理达标后通过专修排水管道直接排入湘江并且定期进行排水水质监测。</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湘阴高新工业园区污水处理厂项目（湘阴第三污水处理厂）于2016年经批准立项，由洋沙湖投资集团2018年开工建设，污水处理厂分两期建设，近期建设规模为日处理工业和生活污水10000吨，建成配套管网20500米，远期建设规模为日处理能力25000吨，2020年12月，一期工程建成后开始运行，项目运营权经公开招标后由湖南新九方科技有限公司取得，至目前为止运行情况良好。</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 xml:space="preserve">  湘阴第三污水处理厂采用预处理-A/A/O-高密池-纤维转盘-紫外消毒处理工艺，经处理的污水达标排放至洋沙河，出水各项指标执行《城镇污水处理厂污染物排放标准》（GB18918-2002）一级A标准；污泥处理采用带式压滤机-干化机，干污泥含水率40%，干污泥经具有固废鉴定资质的公司鉴定为一般性固体废物，由专业输送车送至湘阴县长乐建材厂，经焚烧后制成轻质建筑材料。湘阴县工业园污水处理厂（湘阴三污）纳污范围涵盖金龙镇所有入园企业（总计入园企业79家）及金龙镇所有新旧小区、中小学以及新建的湘杏学院。 </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为确保污水处理厂的各项工作符合“安全、平稳、达标”的要求。污水处理厂二十四小时不间断运行，出水各项指标基本达到《城镇污水处理厂污染物排放标准》（GB18918-2002）一级A标准要求。</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2021年至今，湘阴县第三污水处理厂累计处理污水超过350万吨(约20%为工业废水、80%为生活污水）。目前，日均处理水量约为5000立方米。</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金龙片区第三污水处理厂试运行后，配套管网已组织第三方服务机构开展雨污管网排查工作，对管网问题汇总成清单，积极开展问题整改销号，已于2022年6月25日进行验收备案。目前园区企业实现雨污分流，应收尽收应纳尽纳。</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工业区内污水管道的直径，支管可由DN400----600mm组成，主管由DN800----1000mm组成，在各工业片区呈树状建设。污水最终进入污水处理厂处理。雨水排水由DN300----600mm的支管、DN800----1200mm的主管组成，最终通过地面水渠或洋沙河排入洋沙湖</w:t>
      </w:r>
      <w:r>
        <w:rPr>
          <w:rFonts w:hint="default" w:ascii="Times New Roman" w:hAnsi="Times New Roman" w:eastAsia="仿宋_GB2312" w:cs="Times New Roman"/>
          <w:szCs w:val="32"/>
          <w:lang w:eastAsia="zh-CN"/>
        </w:rPr>
        <w:t>。</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2022年园区监督性执法监测共计4次，监测因子有：水温、pH、COD、BOD5、SS、动植物油、石油类、LAS、总氮、氨氮、总磷、色度、粪大肠杆菌、总汞、总镉、总铬、六价铬、总砷、总铅、挥发酚、总氰化物、硫化物、余氯。6次监督性执法监测结果显示：各因子均能达标排放。</w:t>
      </w:r>
    </w:p>
    <w:p>
      <w:pPr>
        <w:pStyle w:val="15"/>
        <w:snapToGrid w:val="0"/>
        <w:spacing w:after="0" w:line="600" w:lineRule="exact"/>
        <w:ind w:left="0" w:leftChars="0" w:firstLine="640"/>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依据2022年园区环境质量检测报告、岳阳市生态环境局湘阴分局监测站执法检测、及其他各类型抽检，湘阴高新区园区范围内</w:t>
      </w:r>
      <w:r>
        <w:rPr>
          <w:rFonts w:hint="default" w:ascii="Times New Roman" w:hAnsi="Times New Roman" w:eastAsia="仿宋_GB2312" w:cs="Times New Roman"/>
          <w:szCs w:val="32"/>
        </w:rPr>
        <w:t>地表水、地下水</w:t>
      </w:r>
      <w:r>
        <w:rPr>
          <w:rFonts w:hint="default" w:ascii="Times New Roman" w:hAnsi="Times New Roman" w:eastAsia="仿宋_GB2312" w:cs="Times New Roman"/>
          <w:szCs w:val="32"/>
          <w:lang w:val="en-US" w:eastAsia="zh-CN"/>
        </w:rPr>
        <w:t>未发生</w:t>
      </w:r>
      <w:r>
        <w:rPr>
          <w:rFonts w:hint="default" w:ascii="Times New Roman" w:hAnsi="Times New Roman" w:eastAsia="仿宋_GB2312" w:cs="Times New Roman"/>
          <w:szCs w:val="32"/>
        </w:rPr>
        <w:t>环境质量超标和恶化。</w:t>
      </w:r>
      <w:r>
        <w:rPr>
          <w:rFonts w:hint="default" w:ascii="Times New Roman" w:hAnsi="Times New Roman" w:eastAsia="仿宋_GB2312" w:cs="Times New Roman"/>
          <w:szCs w:val="32"/>
          <w:lang w:val="en-US" w:eastAsia="zh-CN"/>
        </w:rPr>
        <w:t>园区不属于</w:t>
      </w:r>
      <w:r>
        <w:rPr>
          <w:rFonts w:hint="default" w:ascii="Times New Roman" w:hAnsi="Times New Roman" w:eastAsia="仿宋_GB2312" w:cs="Times New Roman"/>
          <w:szCs w:val="32"/>
        </w:rPr>
        <w:t>“双源”地下水监测</w:t>
      </w:r>
      <w:r>
        <w:rPr>
          <w:rFonts w:hint="default" w:ascii="Times New Roman" w:hAnsi="Times New Roman" w:eastAsia="仿宋_GB2312" w:cs="Times New Roman"/>
          <w:szCs w:val="32"/>
          <w:lang w:val="en-US" w:eastAsia="zh-CN"/>
        </w:rPr>
        <w:t>地区</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园区范围内经2021年系列整治行动，不存在</w:t>
      </w:r>
      <w:r>
        <w:rPr>
          <w:rFonts w:hint="default" w:ascii="Times New Roman" w:hAnsi="Times New Roman" w:eastAsia="仿宋_GB2312" w:cs="Times New Roman"/>
          <w:szCs w:val="32"/>
        </w:rPr>
        <w:t>黑臭水体</w:t>
      </w:r>
      <w:r>
        <w:rPr>
          <w:rFonts w:hint="default" w:ascii="Times New Roman" w:hAnsi="Times New Roman" w:eastAsia="仿宋_GB2312" w:cs="Times New Roman"/>
          <w:szCs w:val="32"/>
          <w:lang w:eastAsia="zh-CN"/>
        </w:rPr>
        <w:t>。</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湘阴县第二、第三污水处理厂系园区自筹自建，设计之初为工业废水处理设施，园区情况不属于依托城镇污水处理厂处理生产废水类型，故无需开展依托评估报告编制工作。</w:t>
      </w:r>
    </w:p>
    <w:p>
      <w:pPr>
        <w:pStyle w:val="15"/>
        <w:snapToGrid w:val="0"/>
        <w:spacing w:after="0" w:line="600" w:lineRule="exact"/>
        <w:ind w:left="0" w:leftChars="0" w:firstLine="640"/>
        <w:outlineLvl w:val="1"/>
        <w:rPr>
          <w:rFonts w:hint="default" w:ascii="Times New Roman" w:hAnsi="Times New Roman" w:eastAsia="楷体_GB2312" w:cs="Times New Roman"/>
          <w:szCs w:val="32"/>
        </w:rPr>
      </w:pPr>
      <w:bookmarkStart w:id="11" w:name="_Toc14433"/>
      <w:r>
        <w:rPr>
          <w:rFonts w:hint="default" w:ascii="Times New Roman" w:hAnsi="Times New Roman" w:eastAsia="楷体_GB2312" w:cs="Times New Roman"/>
          <w:szCs w:val="32"/>
        </w:rPr>
        <w:t>（四）大气环境管理</w:t>
      </w:r>
      <w:bookmarkEnd w:id="11"/>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为进一步提高大气污染防治和监管执法精细化、科学化、信息化水平，实现对污染物的实时监控、精准排查、精细化管理，切实改善区域空气质量，湘阴高新区管委会安装空气质量网格化监测设备，分别位于：湘阴县高新区科技孵化中心、南泉寺、湘阴县洋沙湖街道涝溪桥村村民委员会，并对其进行运维。</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湘阴高新区空气质量网格化监测设备于2019年12底建设完成；三个设备于2022年6月进行数据联调，接入市局环保监管。</w:t>
      </w:r>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园区已建立涉VOCs重点排放企业管理台账如下：</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108"/>
        <w:gridCol w:w="1465"/>
        <w:gridCol w:w="1860"/>
        <w:gridCol w:w="701"/>
        <w:gridCol w:w="734"/>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jc w:val="center"/>
        </w:trPr>
        <w:tc>
          <w:tcPr>
            <w:tcW w:w="1878" w:type="dxa"/>
            <w:shd w:val="clear" w:color="auto" w:fill="BEBEBE" w:themeFill="background1" w:themeFillShade="BF"/>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企业名称</w:t>
            </w:r>
          </w:p>
        </w:tc>
        <w:tc>
          <w:tcPr>
            <w:tcW w:w="1108" w:type="dxa"/>
            <w:shd w:val="clear" w:color="auto" w:fill="BEBEBE" w:themeFill="background1" w:themeFillShade="BF"/>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污染排放物名称</w:t>
            </w:r>
          </w:p>
        </w:tc>
        <w:tc>
          <w:tcPr>
            <w:tcW w:w="1465" w:type="dxa"/>
            <w:shd w:val="clear" w:color="auto" w:fill="BEBEBE" w:themeFill="background1" w:themeFillShade="BF"/>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环保设施</w:t>
            </w:r>
          </w:p>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名称</w:t>
            </w:r>
          </w:p>
        </w:tc>
        <w:tc>
          <w:tcPr>
            <w:tcW w:w="1860" w:type="dxa"/>
            <w:shd w:val="clear" w:color="auto" w:fill="BEBEBE" w:themeFill="background1" w:themeFillShade="BF"/>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废气治理工艺</w:t>
            </w:r>
          </w:p>
        </w:tc>
        <w:tc>
          <w:tcPr>
            <w:tcW w:w="701" w:type="dxa"/>
            <w:shd w:val="clear" w:color="auto" w:fill="BEBEBE" w:themeFill="background1" w:themeFillShade="BF"/>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废气收集效率（%）</w:t>
            </w:r>
          </w:p>
        </w:tc>
        <w:tc>
          <w:tcPr>
            <w:tcW w:w="734" w:type="dxa"/>
            <w:shd w:val="clear" w:color="auto" w:fill="BEBEBE" w:themeFill="background1" w:themeFillShade="BF"/>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废气治理率（%）</w:t>
            </w:r>
          </w:p>
        </w:tc>
        <w:tc>
          <w:tcPr>
            <w:tcW w:w="776" w:type="dxa"/>
            <w:shd w:val="clear" w:color="auto" w:fill="BEBEBE" w:themeFill="background1" w:themeFillShade="BF"/>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废气排放达标情况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湖南斯派克材料科技有限公司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二级降膜+活性炭</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冷凝回收+二级降膜+活性炭吸附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87%</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湖南大方农化股份有限公司湘阴分公司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活性炭净化系统</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湖南英思特晶体电波有限公司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空气净化系统</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75%-85%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湖南英思达电波科技有限公司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活性炭净化装置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94%</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92%</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蓝天豚绿色建筑新材料（湘阴）</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91.6%</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湖南百信重型钢结构工程有限公司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远大（湖南）再生燃油股份有限公司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85%-95%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湘阴县顺安进口汽车维修中心</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烤漆房集中收集系统</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过滤棉+活性炭吸附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83%</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湘阴县平湘玻璃有限责任公司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集气罩收集+UV光解+处理活性炭</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85%-95%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湖南奥铭木业有限公司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密闭喷漆房</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负压抽风罩+水幕除漆雾+活性炭吸附净化装置</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湘阴中研新材料科技有限公司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静电式净化器</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集气罩收集+静电式净化器处理</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75%-83%</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80%-86%%</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湖南驿通电子科技有限公司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集气罩收集+水洗+除雾+活性炭吸附处理</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87%</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湘阴三井新材料科技有限公司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集气罩收集+UV光解+活性炭吸附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湘阴宏远家俱有限公司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水帘+UV光解/活性炭吸附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84%</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湘阴春天家具厂</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水帘喷淋+活性炭吸附装置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负压抽风罩+水帘喷淋+活性炭吸附净化</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湘阴县在其卫浴洁具制造有限公司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喷漆房</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负压抽风罩+水幕除漆雾+活性炭吸附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湖南成祥餐具有限公司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活性炭净化装置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集气罩+活性炭吸附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80%-90%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湖南湖湘木业有限公司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喷漆房</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负压抽风罩+水幕除漆雾+活性炭吸附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83%</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湖南菲德克材料科技有限公司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布袋除尘器+活性炭吸附装置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集气罩+布袋除尘+活性炭吸附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湖南吉通铝业有限责任公司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水帘喷淋+UV光解</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水帘喷淋+UV光解</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湖南华鑫鸿达精密工业有限责任公司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水喷淋装置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通风管道+水喷淋处理</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湖南金鼎福木业有限公司湘阴县分公司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密闭油漆车间</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密闭车间+水帘喷漆+活性炭吸附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94%</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湖南金诺动力设备制造有限公司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喷漆房+活性炭吸附净化装置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密闭车间+负压抽风罩+水帘喷淋+过滤棉+活性炭吸附净化装置</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湖南新传工贸有限公司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水幕喷淋装置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水幕喷淋吸附处理</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75%-85%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湖南信达电梯车库制造有限公司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水帘净化+活性炭吸附+UV光解</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90%-95%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湖南省金为新材料科技有限公司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96%</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湖南元亨科技股份有限公司湘阴分公司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喷淋系统</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负压收集+喷淋系统过滤</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77%</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湖南凯特电力科技有限公司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吸附净化装置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负压抽风罩+吸附净化</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85%-90%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湖南湘变电气责任有限公司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水幕喷淋装置+吸附装置+UV光解设备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集气罩收集+水幕喷淋+活性炭吸附；UV光解+活性炭吸附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湖南君昊中药饮片科贸有限公司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集气罩+UV光解</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85%-90%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湖南天跃电气有限公司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吸附净化装置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负压抽风罩+吸附净化处理</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湖南湘环风机制造有限公司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过滤棉+UV光解+活性炭吸附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湖南鸿昌热能设备有限公司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净化装置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净化装置</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湖南大金刚结构工程有限公司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活性炭吸附装置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活性炭过滤处理</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湖南锐强环保科技有限公司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UV光解催化氧化装置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收集+UV光解催化氧化+活性炭吸附处理</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75%-85%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80%-87%</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湖南世杰铭涛展览展示有限公司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密闭车间+UV光解设备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密闭车间+水帘喷淋+UV光解</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98%</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湖南德力美机械设备有限公司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过滤棉+UV光解+活性炭吸附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75%-85%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湖南铭弘新材料有限责任公司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光催化氧化装置+活性炭吸附装置</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碱液喷淋+光催化氧化+活性炭吸附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85%</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86%</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湖南飞创钢结构工程有限公司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过滤棉+UV光解+活性炭吸附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84%</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81.4%</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湖南健铭投资有限公司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过滤棉+UV光解+活性炭吸附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86%</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83%</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湖南广益昌实业有限公司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UV光解设备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过滤棉+UV光解+活性炭吸附</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87%</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86%</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87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湖南裕同印刷包装有限公司</w:t>
            </w:r>
          </w:p>
        </w:tc>
        <w:tc>
          <w:tcPr>
            <w:tcW w:w="1108"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w:t>
            </w:r>
          </w:p>
        </w:tc>
        <w:tc>
          <w:tcPr>
            <w:tcW w:w="1465"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VOCs处理设备</w:t>
            </w:r>
          </w:p>
        </w:tc>
        <w:tc>
          <w:tcPr>
            <w:tcW w:w="1860"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转轮+RTO</w:t>
            </w:r>
          </w:p>
        </w:tc>
        <w:tc>
          <w:tcPr>
            <w:tcW w:w="701"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90%</w:t>
            </w:r>
          </w:p>
        </w:tc>
        <w:tc>
          <w:tcPr>
            <w:tcW w:w="734"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95%</w:t>
            </w:r>
          </w:p>
        </w:tc>
        <w:tc>
          <w:tcPr>
            <w:tcW w:w="776" w:type="dxa"/>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达标</w:t>
            </w:r>
          </w:p>
        </w:tc>
      </w:tr>
    </w:tbl>
    <w:p>
      <w:pPr>
        <w:pStyle w:val="15"/>
        <w:snapToGrid w:val="0"/>
        <w:spacing w:after="0" w:line="600" w:lineRule="exact"/>
        <w:ind w:left="0" w:leftChars="0" w:firstLine="640"/>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经环境影响评价认定，湘阴高新区调区扩区后，</w:t>
      </w:r>
      <w:r>
        <w:rPr>
          <w:rFonts w:hint="default" w:ascii="Times New Roman" w:hAnsi="Times New Roman" w:eastAsia="仿宋_GB2312" w:cs="Times New Roman"/>
          <w:szCs w:val="32"/>
        </w:rPr>
        <w:t>废气</w:t>
      </w:r>
      <w:r>
        <w:rPr>
          <w:rFonts w:hint="default" w:ascii="Times New Roman" w:hAnsi="Times New Roman" w:eastAsia="仿宋_GB2312" w:cs="Times New Roman"/>
          <w:szCs w:val="32"/>
          <w:lang w:val="en-US" w:eastAsia="zh-CN"/>
        </w:rPr>
        <w:t>各</w:t>
      </w:r>
      <w:r>
        <w:rPr>
          <w:rFonts w:hint="default" w:ascii="Times New Roman" w:hAnsi="Times New Roman" w:eastAsia="仿宋_GB2312" w:cs="Times New Roman"/>
          <w:szCs w:val="32"/>
        </w:rPr>
        <w:t>污染因子总量控制指标分别为粉尘:133.5t/a、SO</w:t>
      </w:r>
      <w:r>
        <w:rPr>
          <w:rFonts w:hint="default" w:ascii="Times New Roman" w:hAnsi="Times New Roman" w:eastAsia="仿宋_GB2312" w:cs="Times New Roman"/>
          <w:szCs w:val="32"/>
          <w:vertAlign w:val="subscript"/>
        </w:rPr>
        <w:t>2</w:t>
      </w:r>
      <w:r>
        <w:rPr>
          <w:rFonts w:hint="default" w:ascii="Times New Roman" w:hAnsi="Times New Roman" w:eastAsia="仿宋_GB2312" w:cs="Times New Roman"/>
          <w:szCs w:val="32"/>
        </w:rPr>
        <w:t>: 96.5t/a、NOx:186.0t/a、TVOC:79.21t/a。</w:t>
      </w:r>
      <w:r>
        <w:rPr>
          <w:rFonts w:hint="default" w:ascii="Times New Roman" w:hAnsi="Times New Roman" w:eastAsia="仿宋_GB2312" w:cs="Times New Roman"/>
          <w:szCs w:val="32"/>
          <w:lang w:val="en-US" w:eastAsia="zh-CN"/>
        </w:rPr>
        <w:t>经2022年园区环境质量检测中大气环境各项污染物因子数据反应，园区大气环境质量达标。</w:t>
      </w:r>
    </w:p>
    <w:p>
      <w:pPr>
        <w:pStyle w:val="15"/>
        <w:snapToGrid w:val="0"/>
        <w:spacing w:after="0" w:line="600" w:lineRule="exact"/>
        <w:ind w:left="0" w:leftChars="0" w:firstLine="640"/>
        <w:outlineLvl w:val="1"/>
        <w:rPr>
          <w:rFonts w:hint="default" w:ascii="Times New Roman" w:hAnsi="Times New Roman" w:eastAsia="楷体_GB2312" w:cs="Times New Roman"/>
          <w:szCs w:val="32"/>
        </w:rPr>
      </w:pPr>
      <w:bookmarkStart w:id="12" w:name="_Toc9995"/>
      <w:r>
        <w:rPr>
          <w:rFonts w:hint="default" w:ascii="Times New Roman" w:hAnsi="Times New Roman" w:eastAsia="楷体_GB2312" w:cs="Times New Roman"/>
          <w:szCs w:val="32"/>
        </w:rPr>
        <w:t>（五）土壤环境管理</w:t>
      </w:r>
      <w:bookmarkEnd w:id="12"/>
    </w:p>
    <w:p>
      <w:pPr>
        <w:pStyle w:val="15"/>
        <w:snapToGrid w:val="0"/>
        <w:spacing w:after="0" w:line="600" w:lineRule="exact"/>
        <w:ind w:left="0" w:leftChars="0" w:firstLine="640"/>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经2022年园区环境质量检测中土壤环境各项污染物因子数据反应，园区土壤环境质量达标。</w:t>
      </w:r>
    </w:p>
    <w:p>
      <w:pPr>
        <w:pStyle w:val="20"/>
        <w:bidi w:val="0"/>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辖区内无污染地块，无需开展修复工作。</w:t>
      </w:r>
    </w:p>
    <w:p>
      <w:pPr>
        <w:snapToGrid w:val="0"/>
        <w:spacing w:line="600" w:lineRule="exact"/>
        <w:ind w:firstLine="640" w:firstLineChars="200"/>
        <w:outlineLvl w:val="1"/>
        <w:rPr>
          <w:rFonts w:hint="default" w:ascii="Times New Roman" w:hAnsi="Times New Roman" w:eastAsia="楷体_GB2312" w:cs="Times New Roman"/>
          <w:sz w:val="32"/>
          <w:szCs w:val="32"/>
        </w:rPr>
      </w:pPr>
      <w:bookmarkStart w:id="13" w:name="_Toc10835"/>
      <w:r>
        <w:rPr>
          <w:rFonts w:hint="default" w:ascii="Times New Roman" w:hAnsi="Times New Roman" w:eastAsia="楷体_GB2312" w:cs="Times New Roman"/>
          <w:sz w:val="32"/>
          <w:szCs w:val="32"/>
        </w:rPr>
        <w:t>（六）固体废物管理</w:t>
      </w:r>
      <w:bookmarkEnd w:id="13"/>
    </w:p>
    <w:p>
      <w:pPr>
        <w:bidi w:val="0"/>
        <w:spacing w:line="560" w:lineRule="exact"/>
        <w:ind w:firstLine="640" w:firstLineChars="200"/>
        <w:rPr>
          <w:rFonts w:hint="default" w:ascii="Times New Roman" w:hAnsi="Times New Roman" w:eastAsia="方正仿宋_GB2312" w:cs="Times New Roman"/>
          <w:sz w:val="32"/>
          <w:szCs w:val="24"/>
          <w:lang w:val="en-US" w:eastAsia="zh-CN"/>
        </w:rPr>
      </w:pPr>
      <w:r>
        <w:rPr>
          <w:rFonts w:hint="default" w:ascii="Times New Roman" w:hAnsi="Times New Roman" w:eastAsia="方正仿宋_GB2312" w:cs="Times New Roman"/>
          <w:sz w:val="32"/>
          <w:szCs w:val="24"/>
          <w:lang w:val="en-US" w:eastAsia="zh-CN"/>
        </w:rPr>
        <w:t>根据湖南省环境保护厅湘环评〔2013〕305号文件《关于湖南湘阴工业园区环境影响报告书的批复》及湖南省产业园区建设领导小组湘园区〔2016〕2号文件《关于加强我省产业园区环境污染集中整治的意见》，湘阴工业园区针对企业固体废物情况于2020年3月25日，委托湖南洋沙湖危险废物治理有限公司进行危险废物的收集、暂存、转运工作。该公司收集、暂存、转运能力为5000t/a，处理工业固体废物种类为废活性炭、废三氧化二铝、废油漆桶、废机油滤芯、废含油抹布、汞开关、银光粉、阴极射线管、废液、废电路板、罚没的化学品或废弃物、废油漆渣、废油漆残液，处理工艺为收集、暂存、转运。对园区内各企业固废及危废总量、暂存情况、转运情况进行定期检查，并要求各企业做好相关台账记录，有危废产生的企业还需提供危废转运四联单，以确保所有固体废物得到妥善处置。</w:t>
      </w:r>
    </w:p>
    <w:p>
      <w:pPr>
        <w:widowControl w:val="0"/>
        <w:numPr>
          <w:ilvl w:val="0"/>
          <w:numId w:val="0"/>
        </w:numPr>
        <w:spacing w:line="560" w:lineRule="exact"/>
        <w:ind w:firstLine="640" w:firstLineChars="200"/>
        <w:jc w:val="both"/>
        <w:rPr>
          <w:rFonts w:hint="default" w:ascii="Times New Roman" w:hAnsi="Times New Roman" w:eastAsia="方正仿宋_GB2312" w:cs="Times New Roman"/>
          <w:sz w:val="32"/>
          <w:szCs w:val="24"/>
          <w:lang w:val="en-US" w:eastAsia="zh-CN"/>
        </w:rPr>
      </w:pPr>
      <w:r>
        <w:rPr>
          <w:rFonts w:hint="default" w:ascii="Times New Roman" w:hAnsi="Times New Roman" w:eastAsia="方正仿宋_GB2312" w:cs="Times New Roman"/>
          <w:sz w:val="32"/>
          <w:szCs w:val="24"/>
          <w:lang w:val="en-US" w:eastAsia="zh-CN"/>
        </w:rPr>
        <w:t>各企业单位危险废物的产生、收集、处置情况详情见下表，各企业的危险废物没有发生过非法倾倒、转移、处置等违法事件。</w:t>
      </w:r>
    </w:p>
    <w:p>
      <w:pPr>
        <w:spacing w:line="560" w:lineRule="exact"/>
        <w:jc w:val="center"/>
        <w:rPr>
          <w:rFonts w:hint="default" w:ascii="Times New Roman" w:hAnsi="Times New Roman" w:eastAsia="方正仿宋_GB2312" w:cs="Times New Roman"/>
          <w:b/>
          <w:bCs/>
          <w:sz w:val="24"/>
          <w:szCs w:val="24"/>
          <w:lang w:val="en-US" w:eastAsia="zh-CN"/>
        </w:rPr>
      </w:pPr>
      <w:r>
        <w:rPr>
          <w:rFonts w:hint="default" w:ascii="Times New Roman" w:hAnsi="Times New Roman" w:eastAsia="方正仿宋_GB2312" w:cs="Times New Roman"/>
          <w:b/>
          <w:bCs/>
          <w:sz w:val="24"/>
          <w:szCs w:val="24"/>
          <w:lang w:val="en-US" w:eastAsia="zh-CN"/>
        </w:rPr>
        <w:t>各企业危险废物产生情况与处理方式一览表</w:t>
      </w:r>
    </w:p>
    <w:tbl>
      <w:tblPr>
        <w:tblStyle w:val="16"/>
        <w:tblW w:w="7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433"/>
        <w:gridCol w:w="1530"/>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blHeader/>
          <w:jc w:val="center"/>
        </w:trPr>
        <w:tc>
          <w:tcPr>
            <w:tcW w:w="3433" w:type="dxa"/>
            <w:vMerge w:val="restart"/>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企业名称</w:t>
            </w:r>
          </w:p>
        </w:tc>
        <w:tc>
          <w:tcPr>
            <w:tcW w:w="3603" w:type="dxa"/>
            <w:gridSpan w:val="2"/>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危险废物（t/a）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tblHeader/>
          <w:jc w:val="center"/>
        </w:trPr>
        <w:tc>
          <w:tcPr>
            <w:tcW w:w="3433" w:type="dxa"/>
            <w:vMerge w:val="continue"/>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p>
        </w:tc>
        <w:tc>
          <w:tcPr>
            <w:tcW w:w="1530"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产生量</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处理方式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湘阴首创水务有限公司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1200kg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湖南竞洁洗衣有限责任公司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600kg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湖南湖湘木业有限公司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5300kg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湘阴县玖捌玖汽车租赁有限公司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500kg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湘阴春天家具厂</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1300kg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湘阴宏远家俱有限公司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2000kg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湖南湘变电气责任有限公司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湖南抱洋环境科技有限责任公司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3100kg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湖南元亨科技发展有限公司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610kg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湘阴县顺安进口汽车维修中心</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690kg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湘阴县平湘玻璃有限责任公司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600kg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湘阴百湘源食品厂</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40kg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湖南斯派克科技股份有限公司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43760kg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湖南百信重型钢结构工程有限公司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湖南锐强环保科技有限公司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500kg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湖南晟塑管业有限公司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湖南创盛自动化设备有限公司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湖南省金鼎福木业公司湘阴分公司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1210kg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湖南鸿昌热能设备有限公司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3200kg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湖南菲菲毛巾有限公司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600kg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湖南英思特晶体电波有限公司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湖南英思达电波科技有限公司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湖南鸿跃电池材料有限公司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500kg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湘阴兴科变压器制造有限公司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500kg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湖南大方农化股份有限公司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36000kg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湖南嘉盛德材料科技股份有限公司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33500kg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湘阴三井新材料科技有限公司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湖南永辉智能科技有限公司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湖南华鑫鸿达精密工业有限责任公司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湖南铭弘新材料有限公司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2000kg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湖南吉通铝业有限责任公司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9100kg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湖南启航湘俊家俱有限公司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600kg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湖南信达智能设备股份有限公司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湖南世杰铭涛展览展示有限公司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湖南省金为新材料科技有限公司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湖南众钧科技有限公司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1410kg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湖南大金钢结构工程有限公司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16020kg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湖南广益昌实业有限公司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500kg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湖南定宇新材料科技有限公司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23000kg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湖南民鑫新材料股份有限公司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260kg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湖南飞创钢结构工程有限公司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湖南新传工贸有限公司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8000kg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蓝天豚绿色建筑新材料</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湖南金诺动力设备制造有限公司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2400kg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湖南凯博杭萧建筑科技有限公司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10100kg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湖南在其卫生洁具制造有限公司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4810kg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 w:hRule="atLeast"/>
          <w:jc w:val="center"/>
        </w:trPr>
        <w:tc>
          <w:tcPr>
            <w:tcW w:w="343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岳阳岩下天之果食品有限公司</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300kg</w:t>
            </w:r>
          </w:p>
        </w:tc>
        <w:tc>
          <w:tcPr>
            <w:tcW w:w="2073"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bidi w:val="0"/>
              <w:snapToGrid w:val="0"/>
              <w:spacing w:afterAutospacing="0" w:line="240" w:lineRule="auto"/>
              <w:ind w:firstLine="0" w:firstLineChars="0"/>
              <w:jc w:val="center"/>
              <w:rPr>
                <w:rFonts w:hint="default" w:ascii="Times New Roman" w:hAnsi="Times New Roman" w:eastAsia="方正楷体_GB2312" w:cs="Times New Roman"/>
                <w:kern w:val="0"/>
                <w:sz w:val="21"/>
                <w:szCs w:val="24"/>
                <w:lang w:val="en-US" w:eastAsia="zh-CN" w:bidi="ar"/>
              </w:rPr>
            </w:pPr>
            <w:r>
              <w:rPr>
                <w:rFonts w:hint="default" w:ascii="Times New Roman" w:hAnsi="Times New Roman" w:eastAsia="方正楷体_GB2312" w:cs="Times New Roman"/>
                <w:kern w:val="0"/>
                <w:sz w:val="21"/>
                <w:szCs w:val="24"/>
                <w:lang w:val="en-US" w:eastAsia="zh-CN" w:bidi="ar"/>
              </w:rPr>
              <w:t>委托处理</w:t>
            </w:r>
          </w:p>
        </w:tc>
      </w:tr>
    </w:tbl>
    <w:p>
      <w:pPr>
        <w:pStyle w:val="15"/>
        <w:numPr>
          <w:ilvl w:val="0"/>
          <w:numId w:val="2"/>
        </w:numPr>
        <w:snapToGrid w:val="0"/>
        <w:spacing w:after="0" w:line="600" w:lineRule="exact"/>
        <w:ind w:left="0" w:leftChars="0" w:firstLine="640"/>
        <w:outlineLvl w:val="1"/>
        <w:rPr>
          <w:rFonts w:hint="default" w:ascii="Times New Roman" w:hAnsi="Times New Roman" w:eastAsia="楷体_GB2312" w:cs="Times New Roman"/>
          <w:szCs w:val="32"/>
        </w:rPr>
      </w:pPr>
      <w:bookmarkStart w:id="14" w:name="_Toc6421"/>
      <w:r>
        <w:rPr>
          <w:rFonts w:hint="default" w:ascii="Times New Roman" w:hAnsi="Times New Roman" w:eastAsia="楷体_GB2312" w:cs="Times New Roman"/>
          <w:szCs w:val="32"/>
        </w:rPr>
        <w:t>投诉及督察整改</w:t>
      </w:r>
      <w:bookmarkEnd w:id="14"/>
    </w:p>
    <w:p>
      <w:pPr>
        <w:pStyle w:val="15"/>
        <w:snapToGrid w:val="0"/>
        <w:spacing w:after="0" w:line="600" w:lineRule="exact"/>
        <w:ind w:left="0" w:leftChars="0" w:firstLine="64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湘阴高新技术产业园区2022年度内没有因生态环境问题接到投诉、上访等情况发生。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2022年共整改销号上级交办问题7个：</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岳阳市生态环境保护委员会关于加强2022年污染防治攻坚战考核调度工作的通知中交办推动产业园区绿色发展“园区监控平台建设未完成并未与省厅联网的扣 0.5分”。已于2022年6月21日完成问题整改销号备案。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岳阳市污染防治攻坚战“夏季攻势”任务清单交办重点工业园区污染整治采购环保管家第三方服务，委托第三方开展环保管理咨询服务，环境隐患、环境风险排查诊断和环保巡查服务和环保技术咨询服务。”已于2022年6月24日完成问题整改销号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市突出环境问题整改专项督查交办问题：“3、无园跟踪环评(规划环评)批复；4、园区雨水排口未规范化建设，无标识牌和雨水监控池子；5、在工业园区污染治理上，存在责任不明，建设滞后的问题。湘阴工业园未设置生态环境保护机构。”已于2022年6月27日完成问题整改销号备案。“6、第三污水处理厂未及时办理竣工环保验收；7、金龙新区管网配套不完善，雨污分流不到位，第三污水处理厂进水水质水量不稳定，浓度较低。”已于2022年8月25日完成问题整改销号备案。</w:t>
      </w:r>
    </w:p>
    <w:p>
      <w:pPr>
        <w:pStyle w:val="15"/>
        <w:snapToGrid w:val="0"/>
        <w:spacing w:after="0" w:line="600" w:lineRule="exact"/>
        <w:ind w:left="0" w:leftChars="0" w:firstLine="640"/>
        <w:outlineLvl w:val="1"/>
        <w:rPr>
          <w:rFonts w:hint="default" w:ascii="Times New Roman" w:hAnsi="Times New Roman" w:eastAsia="楷体_GB2312" w:cs="Times New Roman"/>
          <w:szCs w:val="32"/>
        </w:rPr>
      </w:pPr>
      <w:bookmarkStart w:id="15" w:name="_Toc28590"/>
      <w:r>
        <w:rPr>
          <w:rFonts w:hint="default" w:ascii="Times New Roman" w:hAnsi="Times New Roman" w:eastAsia="楷体_GB2312" w:cs="Times New Roman"/>
          <w:szCs w:val="32"/>
        </w:rPr>
        <w:t>（八）园区信用评价</w:t>
      </w:r>
      <w:bookmarkEnd w:id="15"/>
    </w:p>
    <w:p>
      <w:pPr>
        <w:pStyle w:val="15"/>
        <w:snapToGrid w:val="0"/>
        <w:spacing w:after="0" w:line="600" w:lineRule="exact"/>
        <w:ind w:left="0" w:leftChars="0" w:firstLine="640"/>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湘阴高新技术产业开发区于2020、2021年</w:t>
      </w:r>
      <w:r>
        <w:rPr>
          <w:rFonts w:hint="default" w:ascii="Times New Roman" w:hAnsi="Times New Roman" w:eastAsia="仿宋_GB2312" w:cs="Times New Roman"/>
          <w:szCs w:val="32"/>
        </w:rPr>
        <w:t>度环保信用评价</w:t>
      </w:r>
      <w:r>
        <w:rPr>
          <w:rFonts w:hint="default" w:ascii="Times New Roman" w:hAnsi="Times New Roman" w:eastAsia="仿宋_GB2312" w:cs="Times New Roman"/>
          <w:szCs w:val="32"/>
          <w:lang w:val="en-US" w:eastAsia="zh-CN"/>
        </w:rPr>
        <w:t>中</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经过省生态环境厅现场督查，连续两年获评“合格园区”</w:t>
      </w:r>
      <w:r>
        <w:rPr>
          <w:rFonts w:hint="default" w:ascii="Times New Roman" w:hAnsi="Times New Roman" w:eastAsia="仿宋_GB2312" w:cs="Times New Roman"/>
          <w:szCs w:val="32"/>
        </w:rPr>
        <w:t>。</w:t>
      </w:r>
    </w:p>
    <w:p>
      <w:pPr>
        <w:pStyle w:val="15"/>
        <w:snapToGrid w:val="0"/>
        <w:spacing w:after="0" w:line="600" w:lineRule="exact"/>
        <w:ind w:left="0" w:leftChars="0" w:firstLine="640"/>
        <w:outlineLvl w:val="1"/>
        <w:rPr>
          <w:rFonts w:hint="default" w:ascii="Times New Roman" w:hAnsi="Times New Roman" w:eastAsia="楷体_GB2312" w:cs="Times New Roman"/>
          <w:szCs w:val="32"/>
          <w:lang w:eastAsia="zh-CN"/>
        </w:rPr>
      </w:pPr>
      <w:bookmarkStart w:id="16" w:name="_Toc7479"/>
      <w:r>
        <w:rPr>
          <w:rFonts w:hint="default" w:ascii="Times New Roman" w:hAnsi="Times New Roman" w:eastAsia="楷体_GB2312" w:cs="Times New Roman"/>
          <w:szCs w:val="32"/>
          <w:lang w:eastAsia="zh-CN"/>
        </w:rPr>
        <w:t>（九）园区第三方治理情况</w:t>
      </w:r>
      <w:bookmarkEnd w:id="16"/>
    </w:p>
    <w:p>
      <w:pPr>
        <w:pStyle w:val="15"/>
        <w:snapToGrid w:val="0"/>
        <w:spacing w:after="0" w:line="600" w:lineRule="exact"/>
        <w:ind w:left="0" w:leftChars="0" w:firstLine="640"/>
        <w:rPr>
          <w:rFonts w:hint="default" w:ascii="Times New Roman" w:hAnsi="Times New Roman" w:eastAsia="仿宋_GB2312" w:cs="Times New Roman"/>
          <w:szCs w:val="32"/>
        </w:rPr>
      </w:pPr>
      <w:r>
        <w:rPr>
          <w:rFonts w:hint="default" w:ascii="Times New Roman" w:hAnsi="Times New Roman" w:eastAsia="方正仿宋_GB2312" w:cs="Times New Roman"/>
          <w:sz w:val="32"/>
          <w:szCs w:val="32"/>
          <w:vertAlign w:val="baseline"/>
          <w:lang w:val="en-US" w:eastAsia="zh-CN"/>
        </w:rPr>
        <w:t>2021年12月，根据湖南省生态环境厅《湖南省园区环境污染等三方治理环保服务规范（试行）》和《关于2021年度全省产业园区环境污染第三方治理工作考核验收的通知》文件要求，管委会通过政府公开采购方式，由湖南航天电团网络科技有限公司承建</w:t>
      </w:r>
      <w:r>
        <w:rPr>
          <w:rFonts w:hint="default" w:ascii="Times New Roman" w:hAnsi="Times New Roman" w:eastAsia="方正仿宋_GB2312" w:cs="Times New Roman"/>
          <w:b/>
          <w:bCs/>
          <w:sz w:val="32"/>
          <w:szCs w:val="32"/>
          <w:vertAlign w:val="baseline"/>
          <w:lang w:val="en-US" w:eastAsia="zh-CN"/>
        </w:rPr>
        <w:t>湘阴高新区环境信息及风险防控应急指挥平台</w:t>
      </w:r>
      <w:r>
        <w:rPr>
          <w:rFonts w:hint="default" w:ascii="Times New Roman" w:hAnsi="Times New Roman" w:eastAsia="方正仿宋_GB2312" w:cs="Times New Roman"/>
          <w:sz w:val="32"/>
          <w:szCs w:val="32"/>
          <w:vertAlign w:val="baseline"/>
          <w:lang w:val="en-US" w:eastAsia="zh-CN"/>
        </w:rPr>
        <w:t>。该项工作于2021年12月15日正式启动，截止目前，已完成135家企业电能监控、80家企业视频监控及总服务器软硬件设备的安装调试，高新区基础环境信息、企业基础信息、三个空气微站数据、三家末端水质在线监测数据均与平台成功对接。目前平台与省厅已成功进行数据联调并完成平台建设工作考核验收。</w:t>
      </w:r>
    </w:p>
    <w:p>
      <w:pPr>
        <w:rPr>
          <w:rFonts w:hint="default" w:ascii="Times New Roman" w:hAnsi="Times New Roman" w:eastAsia="黑体" w:cs="Times New Roman"/>
          <w:szCs w:val="32"/>
        </w:rPr>
      </w:pPr>
      <w:bookmarkStart w:id="17" w:name="_Toc29384"/>
      <w:r>
        <w:rPr>
          <w:rFonts w:hint="default" w:ascii="Times New Roman" w:hAnsi="Times New Roman" w:eastAsia="黑体" w:cs="Times New Roman"/>
          <w:szCs w:val="32"/>
        </w:rPr>
        <w:br w:type="page"/>
      </w:r>
    </w:p>
    <w:p>
      <w:pPr>
        <w:pStyle w:val="15"/>
        <w:spacing w:after="0" w:line="600" w:lineRule="exact"/>
        <w:ind w:left="0" w:leftChars="0" w:firstLine="640"/>
        <w:outlineLvl w:val="0"/>
        <w:rPr>
          <w:rFonts w:hint="default" w:ascii="Times New Roman" w:hAnsi="Times New Roman" w:eastAsia="黑体" w:cs="Times New Roman"/>
          <w:szCs w:val="32"/>
        </w:rPr>
      </w:pPr>
      <w:r>
        <w:rPr>
          <w:rFonts w:hint="default" w:ascii="Times New Roman" w:hAnsi="Times New Roman" w:eastAsia="黑体" w:cs="Times New Roman"/>
          <w:szCs w:val="32"/>
        </w:rPr>
        <w:t>三、园区环保工作成效、主要措施做法</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kern w:val="2"/>
          <w:sz w:val="32"/>
          <w:szCs w:val="32"/>
          <w:vertAlign w:val="baseline"/>
          <w:lang w:val="en-US" w:eastAsia="zh-CN" w:bidi="ar-SA"/>
        </w:rPr>
      </w:pPr>
      <w:r>
        <w:rPr>
          <w:rFonts w:hint="default" w:ascii="Times New Roman" w:hAnsi="Times New Roman" w:eastAsia="方正仿宋_GB2312" w:cs="Times New Roman"/>
          <w:kern w:val="2"/>
          <w:sz w:val="32"/>
          <w:szCs w:val="32"/>
          <w:vertAlign w:val="baseline"/>
          <w:lang w:val="en-US" w:eastAsia="zh-CN" w:bidi="ar-SA"/>
        </w:rPr>
        <w:t>根据2022年度园区自查自纠反馈问题两项，园区管委会分别制定切实可行的整治工作方案，明确工作目标，时间节点及相关责任人，并将此项整治工作纳入2022年度湘阴高新区管委会创建“五好园区”十大专项行动之生态环境保护工作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kern w:val="2"/>
          <w:sz w:val="32"/>
          <w:szCs w:val="32"/>
          <w:vertAlign w:val="baseline"/>
          <w:lang w:val="en-US" w:eastAsia="zh-CN" w:bidi="ar-SA"/>
        </w:rPr>
      </w:pPr>
      <w:r>
        <w:rPr>
          <w:rFonts w:hint="default" w:ascii="Times New Roman" w:hAnsi="Times New Roman" w:eastAsia="方正仿宋_GB2312" w:cs="Times New Roman"/>
          <w:kern w:val="2"/>
          <w:sz w:val="32"/>
          <w:szCs w:val="32"/>
          <w:vertAlign w:val="baseline"/>
          <w:lang w:val="en-US" w:eastAsia="zh-CN" w:bidi="ar-SA"/>
        </w:rPr>
        <w:t>1、“居民安置小区和尚景学府雨污混流的问题。由于建设初期，居民安置小区雨水及生活污水管道共用，尚景学府虽然雨污进行了分流，但由于芙蓉北路箱涵原设计为雨污间隔分流，未完全隔离，暴雨季节造成雨污合流混流，情况严重时导致污水外溢。”目前已完成尚景学府及安置小区雨污分流整改工作，并进行竣工验收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kern w:val="2"/>
          <w:sz w:val="32"/>
          <w:szCs w:val="32"/>
          <w:vertAlign w:val="baseline"/>
          <w:lang w:val="en-US" w:eastAsia="zh-CN" w:bidi="ar-SA"/>
        </w:rPr>
      </w:pPr>
      <w:r>
        <w:rPr>
          <w:rFonts w:hint="default" w:ascii="Times New Roman" w:hAnsi="Times New Roman" w:eastAsia="方正仿宋_GB2312" w:cs="Times New Roman"/>
          <w:kern w:val="2"/>
          <w:sz w:val="32"/>
          <w:szCs w:val="32"/>
          <w:vertAlign w:val="baseline"/>
          <w:lang w:val="en-US" w:eastAsia="zh-CN" w:bidi="ar-SA"/>
        </w:rPr>
        <w:t>2、“黄金坝纳污塘需要整治问题。该黑臭水体，属历史性纳污塘，2021年4月份按照县政府、县环保局要求，对此黑臭水体采取了消毒、杀菌、除臭等一系列治标措施，消除了异味，但未从根本上解决问题。”园区采取生物防治办法，已完成黑臭水体整治工作，经过2022年度巡查及抽样检查，黑臭水体无反复。</w:t>
      </w:r>
    </w:p>
    <w:p>
      <w:pPr>
        <w:rPr>
          <w:rFonts w:hint="default" w:ascii="Times New Roman" w:hAnsi="Times New Roman" w:eastAsia="黑体" w:cs="Times New Roman"/>
          <w:szCs w:val="32"/>
        </w:rPr>
      </w:pPr>
      <w:bookmarkStart w:id="18" w:name="_Toc16643"/>
      <w:r>
        <w:rPr>
          <w:rFonts w:hint="default" w:ascii="Times New Roman" w:hAnsi="Times New Roman" w:eastAsia="黑体" w:cs="Times New Roman"/>
          <w:szCs w:val="32"/>
        </w:rPr>
        <w:br w:type="page"/>
      </w:r>
    </w:p>
    <w:p>
      <w:pPr>
        <w:pStyle w:val="15"/>
        <w:spacing w:after="0" w:line="600" w:lineRule="exact"/>
        <w:ind w:left="0" w:leftChars="0" w:firstLine="640"/>
        <w:outlineLvl w:val="0"/>
        <w:rPr>
          <w:rFonts w:hint="default" w:ascii="Times New Roman" w:hAnsi="Times New Roman" w:eastAsia="黑体" w:cs="Times New Roman"/>
          <w:szCs w:val="32"/>
        </w:rPr>
      </w:pPr>
      <w:r>
        <w:rPr>
          <w:rFonts w:hint="default" w:ascii="Times New Roman" w:hAnsi="Times New Roman" w:eastAsia="黑体" w:cs="Times New Roman"/>
          <w:szCs w:val="32"/>
        </w:rPr>
        <w:t>四、园区生态环境管理存在主要问题和难题</w:t>
      </w:r>
      <w:bookmarkEnd w:id="18"/>
    </w:p>
    <w:p>
      <w:pPr>
        <w:spacing w:line="560" w:lineRule="exact"/>
        <w:ind w:firstLine="640" w:firstLineChars="200"/>
        <w:contextualSpacing/>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年，园区环保工作虽然取得了一定成绩，但仍存在不足，主要表现在：</w:t>
      </w:r>
    </w:p>
    <w:p>
      <w:pPr>
        <w:pStyle w:val="27"/>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（一）隐患整改成效还不够明显</w:t>
      </w:r>
      <w:r>
        <w:rPr>
          <w:rFonts w:hint="default" w:ascii="Times New Roman" w:hAnsi="Times New Roman" w:eastAsia="楷体"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当前环保各项检查工作排查出的隐患问题整改有序推进，但还存在限期整改不落实、隐患整改质量不高的问题，主要体现在：一是企业主体责任落实难。整改中因环保责任意识不强、人员配备不到位、岗位职责落实不力等因素影响，消极整改、拖延整改的现象时常存在；二是整改投入保障难。企业自身因市场环境不佳、自身经营不善导致安全环保方面的资金投入也无法保障；三是整改堵点推进难。部分老企业在入园时进行的设计建设标准跟不上目前法律法规要求，受空间布局、土地制约、改造投入大等因素影响大。</w:t>
      </w:r>
    </w:p>
    <w:p>
      <w:pPr>
        <w:pStyle w:val="27"/>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（二）突发环境事件应急体系建设还不够健全。</w:t>
      </w:r>
      <w:r>
        <w:rPr>
          <w:rFonts w:hint="default" w:ascii="Times New Roman" w:hAnsi="Times New Roman" w:eastAsia="仿宋" w:cs="Times New Roman"/>
          <w:b w:val="0"/>
          <w:bCs w:val="0"/>
          <w:color w:val="auto"/>
          <w:sz w:val="32"/>
          <w:szCs w:val="32"/>
          <w:highlight w:val="none"/>
          <w:lang w:val="en-US" w:eastAsia="zh-CN"/>
        </w:rPr>
        <w:t>园区</w:t>
      </w:r>
      <w:r>
        <w:rPr>
          <w:rFonts w:hint="default" w:ascii="Times New Roman" w:hAnsi="Times New Roman" w:eastAsia="仿宋" w:cs="Times New Roman"/>
          <w:color w:val="auto"/>
          <w:sz w:val="32"/>
          <w:szCs w:val="32"/>
          <w:highlight w:val="none"/>
          <w:lang w:val="en-US" w:eastAsia="zh-CN"/>
        </w:rPr>
        <w:t>应急物资和应急救援主要依托园区各企业储备，应对突发环境事件能力有待进一步巩固和加强。</w:t>
      </w:r>
    </w:p>
    <w:p>
      <w:pPr>
        <w:rPr>
          <w:rFonts w:hint="default" w:ascii="Times New Roman" w:hAnsi="Times New Roman" w:eastAsia="黑体" w:cs="Times New Roman"/>
          <w:b w:val="0"/>
          <w:bCs w:val="0"/>
          <w:color w:val="auto"/>
          <w:kern w:val="2"/>
          <w:sz w:val="32"/>
          <w:szCs w:val="32"/>
          <w:highlight w:val="none"/>
        </w:rPr>
      </w:pPr>
      <w:bookmarkStart w:id="19" w:name="_Toc27962"/>
      <w:r>
        <w:rPr>
          <w:rFonts w:hint="default" w:ascii="Times New Roman" w:hAnsi="Times New Roman" w:eastAsia="黑体" w:cs="Times New Roman"/>
          <w:b w:val="0"/>
          <w:bCs w:val="0"/>
          <w:color w:val="auto"/>
          <w:kern w:val="2"/>
          <w:sz w:val="32"/>
          <w:szCs w:val="32"/>
          <w:highlight w:val="none"/>
        </w:rPr>
        <w:br w:type="page"/>
      </w:r>
    </w:p>
    <w:p>
      <w:pPr>
        <w:pStyle w:val="3"/>
        <w:spacing w:before="0" w:after="0" w:line="560" w:lineRule="exact"/>
        <w:ind w:firstLine="640" w:firstLineChars="200"/>
        <w:jc w:val="both"/>
        <w:rPr>
          <w:rFonts w:hint="default" w:ascii="Times New Roman" w:hAnsi="Times New Roman" w:eastAsia="黑体" w:cs="Times New Roman"/>
          <w:b w:val="0"/>
          <w:bCs w:val="0"/>
          <w:color w:val="auto"/>
          <w:kern w:val="2"/>
          <w:sz w:val="32"/>
          <w:szCs w:val="32"/>
          <w:highlight w:val="none"/>
        </w:rPr>
      </w:pPr>
      <w:r>
        <w:rPr>
          <w:rFonts w:hint="default" w:ascii="Times New Roman" w:hAnsi="Times New Roman" w:eastAsia="黑体" w:cs="Times New Roman"/>
          <w:b w:val="0"/>
          <w:bCs w:val="0"/>
          <w:color w:val="auto"/>
          <w:kern w:val="2"/>
          <w:sz w:val="32"/>
          <w:szCs w:val="32"/>
          <w:highlight w:val="none"/>
        </w:rPr>
        <w:t>五、下一步工作计划</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（一）坚定不移，持续进行环保排查。</w:t>
      </w:r>
      <w:r>
        <w:rPr>
          <w:rFonts w:hint="default" w:ascii="Times New Roman" w:hAnsi="Times New Roman" w:eastAsia="仿宋" w:cs="Times New Roman"/>
          <w:b w:val="0"/>
          <w:bCs w:val="0"/>
          <w:color w:val="auto"/>
          <w:kern w:val="2"/>
          <w:sz w:val="32"/>
          <w:szCs w:val="32"/>
          <w:highlight w:val="none"/>
          <w:lang w:val="en-US" w:eastAsia="zh-CN" w:bidi="ar-SA"/>
        </w:rPr>
        <w:t>环保排查工作对提升企业环境管理水平，提升园区环境质量水平效果明显，目前园区已形成问题清单汇编、整改措施建议、整改工作检查、问题销号备案的工作闭环及园区企业环保等级考核奖惩机制，下一步要根据历次排查园区各企业的共性问题不断优化排查方向和检查手段，持续维持园区环境质量高标准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（二）砥砺奋进，巩固完善配套设施建设。</w:t>
      </w:r>
      <w:r>
        <w:rPr>
          <w:rFonts w:hint="default" w:ascii="Times New Roman" w:hAnsi="Times New Roman" w:eastAsia="仿宋" w:cs="Times New Roman"/>
          <w:b w:val="0"/>
          <w:bCs w:val="0"/>
          <w:color w:val="auto"/>
          <w:kern w:val="2"/>
          <w:sz w:val="32"/>
          <w:szCs w:val="32"/>
          <w:highlight w:val="none"/>
          <w:lang w:val="en-US" w:eastAsia="zh-CN" w:bidi="ar-SA"/>
        </w:rPr>
        <w:t>稳步实施高新区综合信息平台优化升级，对小微站进行专业运营维护，推进智慧化工园区建设；强化园区环境保护重要节点的应急管控能力建设。加大环保应急物资采购，提升处置环保突发事件能力。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Times New Roman" w:hAnsi="Times New Roman" w:eastAsia="仿宋" w:cs="Times New Roman"/>
          <w:color w:val="auto"/>
          <w:highlight w:val="none"/>
        </w:rPr>
      </w:pPr>
      <w:r>
        <w:rPr>
          <w:rFonts w:hint="default" w:ascii="Times New Roman" w:hAnsi="Times New Roman" w:eastAsia="楷体" w:cs="Times New Roman"/>
          <w:b/>
          <w:bCs/>
          <w:color w:val="auto"/>
          <w:kern w:val="2"/>
          <w:sz w:val="32"/>
          <w:szCs w:val="32"/>
          <w:highlight w:val="none"/>
          <w:lang w:val="en-US" w:eastAsia="zh-CN" w:bidi="ar-SA"/>
        </w:rPr>
        <w:t>（三）常抓不懈，持续推进宣传教育引导。</w:t>
      </w:r>
      <w:r>
        <w:rPr>
          <w:rFonts w:hint="default" w:ascii="Times New Roman" w:hAnsi="Times New Roman" w:eastAsia="仿宋" w:cs="Times New Roman"/>
          <w:b w:val="0"/>
          <w:bCs w:val="0"/>
          <w:color w:val="auto"/>
          <w:kern w:val="2"/>
          <w:sz w:val="32"/>
          <w:szCs w:val="32"/>
          <w:highlight w:val="none"/>
          <w:lang w:val="en-US" w:eastAsia="zh-CN" w:bidi="ar-SA"/>
        </w:rPr>
        <w:t>引导企业经常性开展生态环境教育活动，组织企业负责人赴先进企业学习交流经验，加强企业职工特别是一线员工的环保知识培训；以微信朋友圈、公众号等平台为载体，向重点企业的管理人员精准推送环保相关法律知识、事故警示、科普知识等内容，不断提升宣传教育的精准性和有</w:t>
      </w:r>
      <w:r>
        <w:rPr>
          <w:rFonts w:hint="default" w:ascii="Times New Roman" w:hAnsi="Times New Roman" w:eastAsia="仿宋" w:cs="Times New Roman"/>
          <w:b w:val="0"/>
          <w:bCs w:val="0"/>
          <w:color w:val="auto"/>
          <w:kern w:val="2"/>
          <w:sz w:val="28"/>
          <w:szCs w:val="28"/>
          <w:highlight w:val="none"/>
          <w:lang w:val="en-US" w:eastAsia="zh-CN" w:bidi="ar-SA"/>
        </w:rPr>
        <w:t>效性，使企业形成环保工作“主人翁”意识。</w:t>
      </w:r>
    </w:p>
    <w:p>
      <w:pPr>
        <w:pStyle w:val="15"/>
        <w:spacing w:after="0" w:line="600" w:lineRule="exact"/>
        <w:ind w:left="560" w:firstLine="640"/>
        <w:rPr>
          <w:rFonts w:hint="default" w:ascii="Times New Roman" w:hAnsi="Times New Roman" w:eastAsia="仿宋_GB2312" w:cs="Times New Roman"/>
          <w:szCs w:val="32"/>
        </w:rPr>
      </w:pPr>
    </w:p>
    <w:p>
      <w:pPr>
        <w:pStyle w:val="15"/>
        <w:spacing w:after="0" w:line="600" w:lineRule="exact"/>
        <w:ind w:left="0" w:leftChars="0" w:firstLine="2240" w:firstLineChars="7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湖南湘阴高新技术产业开发区管理委员会</w:t>
      </w:r>
    </w:p>
    <w:p>
      <w:pPr>
        <w:pStyle w:val="15"/>
        <w:spacing w:after="0" w:line="600" w:lineRule="exact"/>
        <w:ind w:left="0" w:leftChars="0" w:firstLine="3840" w:firstLineChars="1200"/>
        <w:rPr>
          <w:rFonts w:hint="default" w:ascii="Times New Roman" w:hAnsi="Times New Roman" w:cs="Times New Roman"/>
        </w:rPr>
      </w:pPr>
      <w:r>
        <w:rPr>
          <w:rFonts w:hint="default" w:ascii="Times New Roman" w:hAnsi="Times New Roman" w:eastAsia="仿宋_GB2312" w:cs="Times New Roman"/>
          <w:szCs w:val="32"/>
          <w:lang w:val="en-US" w:eastAsia="zh-CN"/>
        </w:rPr>
        <w:t>2023</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24</w:t>
      </w:r>
      <w:r>
        <w:rPr>
          <w:rFonts w:hint="default" w:ascii="Times New Roman" w:hAnsi="Times New Roman" w:eastAsia="仿宋_GB2312" w:cs="Times New Roman"/>
          <w:szCs w:val="32"/>
        </w:rPr>
        <w:t>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1DE58F-1C8D-4B39-868D-0D8D51346C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EA196AA-1D40-434C-80AB-1258481A9D39}"/>
  </w:font>
  <w:font w:name="新宋体-18030">
    <w:altName w:val="宋体"/>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9D9D13DA-AFC0-422E-947F-EE1F8955E201}"/>
  </w:font>
  <w:font w:name="仿宋_GB2312">
    <w:panose1 w:val="02010609030101010101"/>
    <w:charset w:val="86"/>
    <w:family w:val="modern"/>
    <w:pitch w:val="default"/>
    <w:sig w:usb0="00000001" w:usb1="080E0000" w:usb2="00000000" w:usb3="00000000" w:csb0="00040000" w:csb1="00000000"/>
    <w:embedRegular r:id="rId4" w:fontKey="{749EB3A2-2238-4177-ACB5-3E0A8EDC7F94}"/>
  </w:font>
  <w:font w:name="楷体_GB2312">
    <w:altName w:val="楷体"/>
    <w:panose1 w:val="02010609030101010101"/>
    <w:charset w:val="86"/>
    <w:family w:val="modern"/>
    <w:pitch w:val="default"/>
    <w:sig w:usb0="00000000" w:usb1="00000000" w:usb2="00000000" w:usb3="00000000" w:csb0="00040000" w:csb1="00000000"/>
    <w:embedRegular r:id="rId5" w:fontKey="{156BAE0D-16AC-4863-A5BA-8645F8743453}"/>
  </w:font>
  <w:font w:name="方正仿宋_GB2312">
    <w:panose1 w:val="02000000000000000000"/>
    <w:charset w:val="86"/>
    <w:family w:val="auto"/>
    <w:pitch w:val="default"/>
    <w:sig w:usb0="A00002BF" w:usb1="184F6CFA" w:usb2="00000012" w:usb3="00000000" w:csb0="00040001" w:csb1="00000000"/>
    <w:embedRegular r:id="rId6" w:fontKey="{2948A4B1-FE84-4460-BA41-77C26E2972CA}"/>
  </w:font>
  <w:font w:name="方正楷体_GB2312">
    <w:panose1 w:val="02000000000000000000"/>
    <w:charset w:val="86"/>
    <w:family w:val="auto"/>
    <w:pitch w:val="default"/>
    <w:sig w:usb0="A00002BF" w:usb1="184F6CFA" w:usb2="00000012" w:usb3="00000000" w:csb0="00040001" w:csb1="00000000"/>
    <w:embedRegular r:id="rId7" w:fontKey="{2880255C-65B2-4E1F-8143-DC2D7461D5A2}"/>
  </w:font>
  <w:font w:name="楷体">
    <w:panose1 w:val="02010609060101010101"/>
    <w:charset w:val="86"/>
    <w:family w:val="auto"/>
    <w:pitch w:val="default"/>
    <w:sig w:usb0="800002BF" w:usb1="38CF7CFA" w:usb2="00000016" w:usb3="00000000" w:csb0="00040001" w:csb1="00000000"/>
    <w:embedRegular r:id="rId8" w:fontKey="{9ED104AA-2F12-4326-A0A7-087131D876A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35pt;margin-top:-1.5pt;height:144pt;width:144pt;mso-position-horizontal-relative:margin;mso-wrap-style:none;z-index:251659264;mso-width-relative:page;mso-height-relative:page;" filled="f" stroked="f" coordsize="21600,21600" o:gfxdata="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siYGN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82481"/>
    <w:multiLevelType w:val="singleLevel"/>
    <w:tmpl w:val="A3482481"/>
    <w:lvl w:ilvl="0" w:tentative="0">
      <w:start w:val="7"/>
      <w:numFmt w:val="chineseCounting"/>
      <w:suff w:val="nothing"/>
      <w:lvlText w:val="（%1）"/>
      <w:lvlJc w:val="left"/>
      <w:rPr>
        <w:rFonts w:hint="eastAsia"/>
      </w:rPr>
    </w:lvl>
  </w:abstractNum>
  <w:abstractNum w:abstractNumId="1">
    <w:nsid w:val="22405099"/>
    <w:multiLevelType w:val="singleLevel"/>
    <w:tmpl w:val="224050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4YzhkNjJlYTZiZjFhZGUyNzgzMjQ4NzZiZGYzMzMifQ=="/>
  </w:docVars>
  <w:rsids>
    <w:rsidRoot w:val="693C2374"/>
    <w:rsid w:val="0001067F"/>
    <w:rsid w:val="0013039A"/>
    <w:rsid w:val="002A44AB"/>
    <w:rsid w:val="003840DD"/>
    <w:rsid w:val="003A58D0"/>
    <w:rsid w:val="00507C33"/>
    <w:rsid w:val="00663C10"/>
    <w:rsid w:val="00754289"/>
    <w:rsid w:val="00821E1F"/>
    <w:rsid w:val="0084209C"/>
    <w:rsid w:val="00931A6C"/>
    <w:rsid w:val="00AE0FF3"/>
    <w:rsid w:val="00B859EA"/>
    <w:rsid w:val="00C06F60"/>
    <w:rsid w:val="00C23F09"/>
    <w:rsid w:val="00CE1C5A"/>
    <w:rsid w:val="00D57070"/>
    <w:rsid w:val="00E1456E"/>
    <w:rsid w:val="00EC595C"/>
    <w:rsid w:val="00F6794A"/>
    <w:rsid w:val="01064F2B"/>
    <w:rsid w:val="01B15A35"/>
    <w:rsid w:val="029E3B10"/>
    <w:rsid w:val="02AB7430"/>
    <w:rsid w:val="038E5BAD"/>
    <w:rsid w:val="03F2762C"/>
    <w:rsid w:val="04717B1E"/>
    <w:rsid w:val="047311DA"/>
    <w:rsid w:val="047C58E9"/>
    <w:rsid w:val="05842C8B"/>
    <w:rsid w:val="05C13357"/>
    <w:rsid w:val="068712F0"/>
    <w:rsid w:val="06E93149"/>
    <w:rsid w:val="07F51B03"/>
    <w:rsid w:val="0836436E"/>
    <w:rsid w:val="08ED4865"/>
    <w:rsid w:val="09410B6D"/>
    <w:rsid w:val="09460B86"/>
    <w:rsid w:val="09751B84"/>
    <w:rsid w:val="097729BE"/>
    <w:rsid w:val="0A05790E"/>
    <w:rsid w:val="0A94046D"/>
    <w:rsid w:val="0AA45A7D"/>
    <w:rsid w:val="0B135D3B"/>
    <w:rsid w:val="0B3278FB"/>
    <w:rsid w:val="0B83658B"/>
    <w:rsid w:val="0BEC5E1D"/>
    <w:rsid w:val="0C2C04A2"/>
    <w:rsid w:val="0C564B8B"/>
    <w:rsid w:val="0CD93363"/>
    <w:rsid w:val="0D9674C9"/>
    <w:rsid w:val="0D9F1707"/>
    <w:rsid w:val="0E295011"/>
    <w:rsid w:val="0E4C2759"/>
    <w:rsid w:val="0EEC2931"/>
    <w:rsid w:val="0FA84561"/>
    <w:rsid w:val="10BF690A"/>
    <w:rsid w:val="10C871A7"/>
    <w:rsid w:val="121F1281"/>
    <w:rsid w:val="12AD4D92"/>
    <w:rsid w:val="13911F08"/>
    <w:rsid w:val="13D210EE"/>
    <w:rsid w:val="14581B28"/>
    <w:rsid w:val="15C13F71"/>
    <w:rsid w:val="15C6490E"/>
    <w:rsid w:val="17A80971"/>
    <w:rsid w:val="18AE520C"/>
    <w:rsid w:val="1A044F04"/>
    <w:rsid w:val="1B413FE6"/>
    <w:rsid w:val="1C292900"/>
    <w:rsid w:val="1C3130B0"/>
    <w:rsid w:val="1CD42569"/>
    <w:rsid w:val="1DCC6F3C"/>
    <w:rsid w:val="1E740849"/>
    <w:rsid w:val="1EF35CF2"/>
    <w:rsid w:val="20254E1E"/>
    <w:rsid w:val="224234F6"/>
    <w:rsid w:val="22E1747D"/>
    <w:rsid w:val="232477FB"/>
    <w:rsid w:val="23884992"/>
    <w:rsid w:val="260203C6"/>
    <w:rsid w:val="26EA1516"/>
    <w:rsid w:val="2729195C"/>
    <w:rsid w:val="27853A64"/>
    <w:rsid w:val="27EC4FEA"/>
    <w:rsid w:val="283E3928"/>
    <w:rsid w:val="28D46EE9"/>
    <w:rsid w:val="28FC3160"/>
    <w:rsid w:val="29663FDA"/>
    <w:rsid w:val="29834A11"/>
    <w:rsid w:val="2B466E89"/>
    <w:rsid w:val="2BC1798A"/>
    <w:rsid w:val="2C153C84"/>
    <w:rsid w:val="2C4D09BB"/>
    <w:rsid w:val="2C914D52"/>
    <w:rsid w:val="2CDC087B"/>
    <w:rsid w:val="2D5959D5"/>
    <w:rsid w:val="2E9420CF"/>
    <w:rsid w:val="2FB66A0C"/>
    <w:rsid w:val="2FF801BD"/>
    <w:rsid w:val="30276546"/>
    <w:rsid w:val="302D6761"/>
    <w:rsid w:val="30A27764"/>
    <w:rsid w:val="30B36EE3"/>
    <w:rsid w:val="31060D18"/>
    <w:rsid w:val="314F610C"/>
    <w:rsid w:val="31811133"/>
    <w:rsid w:val="31D27F96"/>
    <w:rsid w:val="32257C7E"/>
    <w:rsid w:val="322B6C51"/>
    <w:rsid w:val="32CB0EFE"/>
    <w:rsid w:val="32D72624"/>
    <w:rsid w:val="33495FA8"/>
    <w:rsid w:val="33CD6FA7"/>
    <w:rsid w:val="34F55790"/>
    <w:rsid w:val="354E569D"/>
    <w:rsid w:val="355D6053"/>
    <w:rsid w:val="35C05A10"/>
    <w:rsid w:val="36722B95"/>
    <w:rsid w:val="388D433E"/>
    <w:rsid w:val="389D5FCD"/>
    <w:rsid w:val="38F816BA"/>
    <w:rsid w:val="39D32229"/>
    <w:rsid w:val="3A456D31"/>
    <w:rsid w:val="3A517BB0"/>
    <w:rsid w:val="3A8B60F9"/>
    <w:rsid w:val="3A937059"/>
    <w:rsid w:val="3AE81316"/>
    <w:rsid w:val="3B1B41FA"/>
    <w:rsid w:val="3B5B1AE2"/>
    <w:rsid w:val="3BA16C2B"/>
    <w:rsid w:val="3C8D133A"/>
    <w:rsid w:val="3D145917"/>
    <w:rsid w:val="3D3A1CBF"/>
    <w:rsid w:val="3DBB5D21"/>
    <w:rsid w:val="3E2E06F3"/>
    <w:rsid w:val="3E745E7E"/>
    <w:rsid w:val="3E75629B"/>
    <w:rsid w:val="3E9758FF"/>
    <w:rsid w:val="3E9D46F2"/>
    <w:rsid w:val="3EB9387F"/>
    <w:rsid w:val="3EC66B79"/>
    <w:rsid w:val="3FF646B9"/>
    <w:rsid w:val="409F3142"/>
    <w:rsid w:val="41110EDF"/>
    <w:rsid w:val="418A24BB"/>
    <w:rsid w:val="41B80372"/>
    <w:rsid w:val="42107FBA"/>
    <w:rsid w:val="444404C8"/>
    <w:rsid w:val="44520857"/>
    <w:rsid w:val="447F1E07"/>
    <w:rsid w:val="44911467"/>
    <w:rsid w:val="44C65E65"/>
    <w:rsid w:val="455010CD"/>
    <w:rsid w:val="459D51EB"/>
    <w:rsid w:val="45B729D3"/>
    <w:rsid w:val="46182D65"/>
    <w:rsid w:val="46637CB3"/>
    <w:rsid w:val="468B5408"/>
    <w:rsid w:val="470C36B7"/>
    <w:rsid w:val="47B93611"/>
    <w:rsid w:val="47C573AB"/>
    <w:rsid w:val="47E5777E"/>
    <w:rsid w:val="47EF0DBA"/>
    <w:rsid w:val="487330F7"/>
    <w:rsid w:val="49BA0408"/>
    <w:rsid w:val="4A215A12"/>
    <w:rsid w:val="4A2E0C0A"/>
    <w:rsid w:val="4AB5082A"/>
    <w:rsid w:val="4AF36920"/>
    <w:rsid w:val="4AFB0907"/>
    <w:rsid w:val="4B224C78"/>
    <w:rsid w:val="4B303B33"/>
    <w:rsid w:val="4BA10F44"/>
    <w:rsid w:val="4C364A27"/>
    <w:rsid w:val="4CA829DB"/>
    <w:rsid w:val="4CD13247"/>
    <w:rsid w:val="4CD21031"/>
    <w:rsid w:val="4D0B294D"/>
    <w:rsid w:val="4D4A09C1"/>
    <w:rsid w:val="4EDA65CD"/>
    <w:rsid w:val="4F3774E8"/>
    <w:rsid w:val="4F45647C"/>
    <w:rsid w:val="4F5D1255"/>
    <w:rsid w:val="4FA878D4"/>
    <w:rsid w:val="50E552FD"/>
    <w:rsid w:val="51334DA2"/>
    <w:rsid w:val="5206081A"/>
    <w:rsid w:val="524402FC"/>
    <w:rsid w:val="526C4173"/>
    <w:rsid w:val="543C7CEA"/>
    <w:rsid w:val="544C3297"/>
    <w:rsid w:val="54B1369C"/>
    <w:rsid w:val="54EC790A"/>
    <w:rsid w:val="55D7793C"/>
    <w:rsid w:val="569A4909"/>
    <w:rsid w:val="58447898"/>
    <w:rsid w:val="58CB48B9"/>
    <w:rsid w:val="58D940FC"/>
    <w:rsid w:val="596C1A59"/>
    <w:rsid w:val="59983A2A"/>
    <w:rsid w:val="59E25EF5"/>
    <w:rsid w:val="5A7F1191"/>
    <w:rsid w:val="5AAD2EC7"/>
    <w:rsid w:val="5B3B5C45"/>
    <w:rsid w:val="5BF55899"/>
    <w:rsid w:val="5CDD30C0"/>
    <w:rsid w:val="5CF73AAB"/>
    <w:rsid w:val="5D8879AB"/>
    <w:rsid w:val="5E7601B9"/>
    <w:rsid w:val="5EFA14E4"/>
    <w:rsid w:val="5F8B5ACB"/>
    <w:rsid w:val="5FAB23B3"/>
    <w:rsid w:val="5FAD0A1A"/>
    <w:rsid w:val="60230A8B"/>
    <w:rsid w:val="60336145"/>
    <w:rsid w:val="60A76ECF"/>
    <w:rsid w:val="61374F73"/>
    <w:rsid w:val="615E5AB6"/>
    <w:rsid w:val="622B40D1"/>
    <w:rsid w:val="6242621F"/>
    <w:rsid w:val="63454EBC"/>
    <w:rsid w:val="63625C8A"/>
    <w:rsid w:val="6363033E"/>
    <w:rsid w:val="650E3333"/>
    <w:rsid w:val="652F1B5B"/>
    <w:rsid w:val="66083B20"/>
    <w:rsid w:val="663051D8"/>
    <w:rsid w:val="66553DC2"/>
    <w:rsid w:val="66764B42"/>
    <w:rsid w:val="66870BCA"/>
    <w:rsid w:val="672C679B"/>
    <w:rsid w:val="67CE17D9"/>
    <w:rsid w:val="682E3DD9"/>
    <w:rsid w:val="68D363AD"/>
    <w:rsid w:val="68D816EA"/>
    <w:rsid w:val="691F4566"/>
    <w:rsid w:val="693C2374"/>
    <w:rsid w:val="69420295"/>
    <w:rsid w:val="69717AFC"/>
    <w:rsid w:val="69CC3FAA"/>
    <w:rsid w:val="6A371C59"/>
    <w:rsid w:val="6AAD2834"/>
    <w:rsid w:val="6AFA0286"/>
    <w:rsid w:val="6B9F7B4D"/>
    <w:rsid w:val="6BB202AC"/>
    <w:rsid w:val="6C7A260C"/>
    <w:rsid w:val="6CDD6519"/>
    <w:rsid w:val="6E10763F"/>
    <w:rsid w:val="6F716117"/>
    <w:rsid w:val="6FB16A4D"/>
    <w:rsid w:val="6FF02F7D"/>
    <w:rsid w:val="705F7015"/>
    <w:rsid w:val="70AA2866"/>
    <w:rsid w:val="717307F4"/>
    <w:rsid w:val="727B3304"/>
    <w:rsid w:val="72AA317B"/>
    <w:rsid w:val="7335253D"/>
    <w:rsid w:val="73832C25"/>
    <w:rsid w:val="73A31657"/>
    <w:rsid w:val="73C915E3"/>
    <w:rsid w:val="7431740E"/>
    <w:rsid w:val="750F72B9"/>
    <w:rsid w:val="758420D0"/>
    <w:rsid w:val="7640617E"/>
    <w:rsid w:val="777A48CE"/>
    <w:rsid w:val="791E5F99"/>
    <w:rsid w:val="798A033F"/>
    <w:rsid w:val="7A64497C"/>
    <w:rsid w:val="7AA54C22"/>
    <w:rsid w:val="7BB11BC2"/>
    <w:rsid w:val="7BE93BA3"/>
    <w:rsid w:val="7C4B6D41"/>
    <w:rsid w:val="7C583807"/>
    <w:rsid w:val="7D7B0DE0"/>
    <w:rsid w:val="7DBC60A2"/>
    <w:rsid w:val="7DD23F7C"/>
    <w:rsid w:val="7DF123D2"/>
    <w:rsid w:val="7DF87EAA"/>
    <w:rsid w:val="7E37433C"/>
    <w:rsid w:val="7FBD19DD"/>
    <w:rsid w:val="7FCD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3">
    <w:name w:val="heading 1"/>
    <w:basedOn w:val="1"/>
    <w:next w:val="1"/>
    <w:qFormat/>
    <w:uiPriority w:val="9"/>
    <w:pPr>
      <w:keepNext/>
      <w:keepLines/>
      <w:spacing w:before="240" w:after="240" w:line="480" w:lineRule="auto"/>
      <w:jc w:val="center"/>
      <w:outlineLvl w:val="0"/>
    </w:pPr>
    <w:rPr>
      <w:rFonts w:eastAsia="仿宋"/>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200" w:firstLineChars="200"/>
    </w:pPr>
  </w:style>
  <w:style w:type="paragraph" w:styleId="5">
    <w:name w:val="annotation text"/>
    <w:basedOn w:val="1"/>
    <w:semiHidden/>
    <w:unhideWhenUsed/>
    <w:qFormat/>
    <w:uiPriority w:val="99"/>
    <w:pPr>
      <w:jc w:val="left"/>
    </w:pPr>
  </w:style>
  <w:style w:type="paragraph" w:styleId="6">
    <w:name w:val="Body Text"/>
    <w:basedOn w:val="1"/>
    <w:next w:val="7"/>
    <w:link w:val="25"/>
    <w:qFormat/>
    <w:uiPriority w:val="0"/>
    <w:pPr>
      <w:spacing w:after="120"/>
    </w:pPr>
  </w:style>
  <w:style w:type="paragraph" w:customStyle="1" w:styleId="7">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8">
    <w:name w:val="Body Text Indent"/>
    <w:basedOn w:val="1"/>
    <w:unhideWhenUsed/>
    <w:qFormat/>
    <w:uiPriority w:val="99"/>
    <w:pPr>
      <w:spacing w:after="120"/>
      <w:ind w:left="420" w:leftChars="200"/>
    </w:pPr>
  </w:style>
  <w:style w:type="paragraph" w:styleId="9">
    <w:name w:val="Balloon Text"/>
    <w:basedOn w:val="1"/>
    <w:link w:val="24"/>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First Indent"/>
    <w:basedOn w:val="6"/>
    <w:link w:val="26"/>
    <w:qFormat/>
    <w:uiPriority w:val="0"/>
    <w:pPr>
      <w:ind w:firstLine="420" w:firstLineChars="100"/>
    </w:pPr>
  </w:style>
  <w:style w:type="paragraph" w:styleId="15">
    <w:name w:val="Body Text First Indent 2"/>
    <w:basedOn w:val="8"/>
    <w:qFormat/>
    <w:uiPriority w:val="0"/>
    <w:pPr>
      <w:ind w:firstLine="420" w:firstLineChars="200"/>
    </w:pPr>
    <w:rPr>
      <w:rFonts w:ascii="Calibri" w:hAnsi="Calibri" w:eastAsia="宋体" w:cs="Times New Roman"/>
      <w:sz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首行缩进1"/>
    <w:basedOn w:val="1"/>
    <w:qFormat/>
    <w:uiPriority w:val="0"/>
    <w:pPr>
      <w:spacing w:after="120"/>
      <w:ind w:firstLine="420" w:firstLineChars="100"/>
    </w:pPr>
  </w:style>
  <w:style w:type="paragraph" w:customStyle="1" w:styleId="20">
    <w:name w:val="表中字"/>
    <w:basedOn w:val="1"/>
    <w:qFormat/>
    <w:uiPriority w:val="0"/>
    <w:pPr>
      <w:jc w:val="center"/>
    </w:pPr>
    <w:rPr>
      <w:rFonts w:eastAsia="宋体"/>
      <w:sz w:val="24"/>
      <w:szCs w:val="21"/>
    </w:rPr>
  </w:style>
  <w:style w:type="paragraph" w:customStyle="1" w:styleId="21">
    <w:name w:val="表头"/>
    <w:basedOn w:val="1"/>
    <w:qFormat/>
    <w:uiPriority w:val="0"/>
    <w:pPr>
      <w:jc w:val="center"/>
    </w:pPr>
    <w:rPr>
      <w:rFonts w:eastAsia="宋体"/>
      <w:b/>
      <w:sz w:val="24"/>
      <w:szCs w:val="21"/>
    </w:rPr>
  </w:style>
  <w:style w:type="paragraph" w:customStyle="1" w:styleId="22">
    <w:name w:val="5号标题"/>
    <w:basedOn w:val="1"/>
    <w:qFormat/>
    <w:uiPriority w:val="0"/>
  </w:style>
  <w:style w:type="character" w:customStyle="1" w:styleId="23">
    <w:name w:val="页眉 字符"/>
    <w:basedOn w:val="18"/>
    <w:link w:val="11"/>
    <w:qFormat/>
    <w:uiPriority w:val="0"/>
    <w:rPr>
      <w:rFonts w:asciiTheme="minorHAnsi" w:hAnsiTheme="minorHAnsi" w:eastAsiaTheme="minorEastAsia" w:cstheme="minorBidi"/>
      <w:kern w:val="2"/>
      <w:sz w:val="18"/>
      <w:szCs w:val="18"/>
    </w:rPr>
  </w:style>
  <w:style w:type="character" w:customStyle="1" w:styleId="24">
    <w:name w:val="批注框文本 字符"/>
    <w:basedOn w:val="18"/>
    <w:link w:val="9"/>
    <w:qFormat/>
    <w:uiPriority w:val="0"/>
    <w:rPr>
      <w:rFonts w:asciiTheme="minorHAnsi" w:hAnsiTheme="minorHAnsi" w:eastAsiaTheme="minorEastAsia" w:cstheme="minorBidi"/>
      <w:kern w:val="2"/>
      <w:sz w:val="18"/>
      <w:szCs w:val="18"/>
    </w:rPr>
  </w:style>
  <w:style w:type="character" w:customStyle="1" w:styleId="25">
    <w:name w:val="正文文本 字符"/>
    <w:basedOn w:val="18"/>
    <w:link w:val="6"/>
    <w:qFormat/>
    <w:uiPriority w:val="0"/>
    <w:rPr>
      <w:rFonts w:asciiTheme="minorHAnsi" w:hAnsiTheme="minorHAnsi" w:eastAsiaTheme="minorEastAsia" w:cstheme="minorBidi"/>
      <w:kern w:val="2"/>
      <w:sz w:val="28"/>
      <w:szCs w:val="22"/>
    </w:rPr>
  </w:style>
  <w:style w:type="character" w:customStyle="1" w:styleId="26">
    <w:name w:val="正文文本首行缩进 字符"/>
    <w:basedOn w:val="25"/>
    <w:link w:val="14"/>
    <w:qFormat/>
    <w:uiPriority w:val="0"/>
    <w:rPr>
      <w:rFonts w:asciiTheme="minorHAnsi" w:hAnsiTheme="minorHAnsi" w:eastAsiaTheme="minorEastAsia" w:cstheme="minorBidi"/>
      <w:kern w:val="2"/>
      <w:sz w:val="28"/>
      <w:szCs w:val="22"/>
    </w:rPr>
  </w:style>
  <w:style w:type="paragraph" w:customStyle="1" w:styleId="27">
    <w:name w:val="AAA"/>
    <w:basedOn w:val="1"/>
    <w:qFormat/>
    <w:uiPriority w:val="0"/>
    <w:pPr>
      <w:spacing w:line="360" w:lineRule="auto"/>
      <w:ind w:firstLine="560" w:firstLineChars="200"/>
    </w:pPr>
    <w:rPr>
      <w:rFonts w:ascii="宋体" w:hAnsi="宋体" w:cs="宋体"/>
      <w:sz w:val="28"/>
      <w:szCs w:val="36"/>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15083</Words>
  <Characters>16647</Characters>
  <Lines>10</Lines>
  <Paragraphs>3</Paragraphs>
  <TotalTime>5</TotalTime>
  <ScaleCrop>false</ScaleCrop>
  <LinksUpToDate>false</LinksUpToDate>
  <CharactersWithSpaces>16763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2021-12-09T01:12:00Z</dcterms:created>
  <dc:creator>杨阳</dc:creator>
  <cp:lastModifiedBy>生态环境站</cp:lastModifiedBy>
  <dcterms:modified xsi:type="dcterms:W3CDTF">2023-03-10T00:48:19Z</dcterms:modified>
  <dc:title>××市省级以上园区××年度生态环境管理现状自评估报告</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95ECDA8A2D394F6D9DCA7B090D679E4C</vt:lpwstr>
  </property>
</Properties>
</file>