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仿宋_GB2312" w:hAnsi="仿宋_GB2312" w:eastAsia="仿宋_GB2312" w:cs="仿宋_GB2312"/>
          <w:sz w:val="36"/>
          <w:szCs w:val="36"/>
          <w:lang w:val="en-US" w:eastAsia="zh-CN"/>
        </w:rPr>
      </w:pPr>
      <w:r>
        <w:rPr>
          <w:rFonts w:hint="eastAsia" w:ascii="仿宋_GB2312" w:hAnsi="仿宋_GB2312" w:eastAsia="仿宋_GB2312" w:cs="仿宋_GB2312"/>
          <w:sz w:val="36"/>
          <w:szCs w:val="36"/>
          <w:lang w:val="en-US" w:eastAsia="zh-CN"/>
        </w:rPr>
        <w:t xml:space="preserve"> </w:t>
      </w: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hint="eastAsia" w:ascii="仿宋_GB2312" w:hAnsi="仿宋_GB2312" w:eastAsia="仿宋_GB2312" w:cs="仿宋_GB2312"/>
          <w:sz w:val="36"/>
          <w:szCs w:val="36"/>
        </w:rPr>
      </w:pPr>
    </w:p>
    <w:p>
      <w:pPr>
        <w:adjustRightInd w:val="0"/>
        <w:snapToGrid w:val="0"/>
        <w:jc w:val="center"/>
        <w:outlineLvl w:val="0"/>
        <w:rPr>
          <w:rFonts w:hint="eastAsia" w:ascii="方正小标宋_GBK" w:eastAsia="方正小标宋_GBK"/>
          <w:bCs/>
          <w:sz w:val="72"/>
          <w:szCs w:val="72"/>
        </w:rPr>
      </w:pPr>
      <w:bookmarkStart w:id="0" w:name="_Toc13576"/>
      <w:r>
        <w:rPr>
          <w:rFonts w:hint="eastAsia" w:ascii="方正小标宋_GBK" w:eastAsia="方正小标宋_GBK"/>
          <w:bCs/>
          <w:sz w:val="72"/>
          <w:szCs w:val="72"/>
        </w:rPr>
        <w:t>建设项目环境影响报告表</w:t>
      </w:r>
      <w:bookmarkEnd w:id="0"/>
    </w:p>
    <w:p>
      <w:pPr>
        <w:adjustRightInd w:val="0"/>
        <w:snapToGrid w:val="0"/>
        <w:spacing w:before="192" w:beforeLines="80"/>
        <w:jc w:val="center"/>
        <w:rPr>
          <w:rFonts w:hint="eastAsia" w:ascii="楷体_GB2312" w:eastAsia="楷体_GB2312"/>
          <w:bCs/>
          <w:sz w:val="48"/>
          <w:szCs w:val="48"/>
        </w:rPr>
      </w:pPr>
      <w:r>
        <w:rPr>
          <w:rFonts w:hint="eastAsia" w:ascii="楷体_GB2312" w:eastAsia="楷体_GB2312"/>
          <w:bCs/>
          <w:sz w:val="48"/>
          <w:szCs w:val="48"/>
        </w:rPr>
        <w:t>（污染影响类）</w:t>
      </w:r>
    </w:p>
    <w:p>
      <w:pPr>
        <w:adjustRightInd w:val="0"/>
        <w:snapToGrid w:val="0"/>
        <w:spacing w:line="288" w:lineRule="auto"/>
        <w:jc w:val="center"/>
        <w:outlineLvl w:val="9"/>
        <w:rPr>
          <w:rFonts w:ascii="华文仿宋" w:hAnsi="华文仿宋" w:eastAsia="华文仿宋" w:cs="华文仿宋"/>
          <w:color w:val="000000"/>
          <w:kern w:val="44"/>
          <w:sz w:val="44"/>
          <w:szCs w:val="44"/>
        </w:rPr>
      </w:pPr>
    </w:p>
    <w:p>
      <w:pPr>
        <w:jc w:val="center"/>
        <w:rPr>
          <w:rFonts w:eastAsia="仿宋"/>
          <w:sz w:val="52"/>
          <w:szCs w:val="52"/>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adjustRightInd w:val="0"/>
        <w:snapToGrid w:val="0"/>
        <w:spacing w:line="288" w:lineRule="auto"/>
        <w:ind w:firstLine="1040"/>
        <w:rPr>
          <w:rFonts w:hint="eastAsia" w:ascii="仿宋_GB2312" w:eastAsia="仿宋_GB2312"/>
          <w:sz w:val="36"/>
          <w:szCs w:val="36"/>
          <w:u w:val="single"/>
        </w:rPr>
      </w:pPr>
      <w:r>
        <w:rPr>
          <w:rFonts w:hint="eastAsia" w:ascii="仿宋_GB2312" w:eastAsia="仿宋_GB2312"/>
          <w:sz w:val="36"/>
          <w:szCs w:val="36"/>
        </w:rPr>
        <w:t xml:space="preserve">项目名称： </w:t>
      </w:r>
      <w:r>
        <w:rPr>
          <w:rFonts w:hint="eastAsia" w:ascii="仿宋_GB2312" w:eastAsia="仿宋_GB2312"/>
          <w:sz w:val="36"/>
          <w:szCs w:val="36"/>
          <w:u w:val="single"/>
          <w:lang w:val="en-US" w:eastAsia="zh-CN"/>
        </w:rPr>
        <w:t>城发月子中心及湘阴县妇女儿童医院（二期）配套设施建设项目</w:t>
      </w:r>
      <w:r>
        <w:rPr>
          <w:rFonts w:hint="eastAsia" w:ascii="仿宋_GB2312" w:eastAsia="仿宋_GB2312"/>
          <w:sz w:val="36"/>
          <w:szCs w:val="36"/>
          <w:u w:val="single"/>
        </w:rPr>
        <w:t xml:space="preserve">  </w:t>
      </w:r>
      <w:r>
        <w:rPr>
          <w:rFonts w:hint="eastAsia" w:ascii="仿宋_GB2312" w:eastAsia="仿宋_GB2312"/>
          <w:sz w:val="36"/>
          <w:szCs w:val="36"/>
          <w:u w:val="single"/>
          <w:lang w:val="en-US" w:eastAsia="zh-CN"/>
        </w:rPr>
        <w:t xml:space="preserve">        </w:t>
      </w:r>
      <w:r>
        <w:rPr>
          <w:rFonts w:hint="eastAsia" w:ascii="仿宋_GB2312" w:eastAsia="仿宋_GB2312"/>
          <w:sz w:val="36"/>
          <w:szCs w:val="36"/>
          <w:u w:val="single"/>
        </w:rPr>
        <w:t xml:space="preserve">    </w:t>
      </w:r>
    </w:p>
    <w:p>
      <w:pPr>
        <w:adjustRightInd w:val="0"/>
        <w:snapToGrid w:val="0"/>
        <w:spacing w:line="288" w:lineRule="auto"/>
        <w:ind w:firstLine="1040"/>
        <w:rPr>
          <w:rFonts w:ascii="仿宋_GB2312" w:eastAsia="仿宋_GB2312"/>
          <w:sz w:val="36"/>
          <w:szCs w:val="36"/>
          <w:u w:val="single"/>
        </w:rPr>
      </w:pPr>
      <w:r>
        <w:rPr>
          <w:rFonts w:hint="eastAsia" w:ascii="仿宋_GB2312" w:eastAsia="仿宋_GB2312"/>
          <w:sz w:val="36"/>
          <w:szCs w:val="36"/>
        </w:rPr>
        <w:t>建设单位（盖章）：</w:t>
      </w:r>
      <w:r>
        <w:rPr>
          <w:rFonts w:hint="eastAsia" w:ascii="仿宋_GB2312" w:eastAsia="仿宋_GB2312"/>
          <w:sz w:val="36"/>
          <w:szCs w:val="36"/>
          <w:u w:val="single"/>
          <w:lang w:val="en-US" w:eastAsia="zh-CN"/>
        </w:rPr>
        <w:t>湘阴县城市发展集团有限公司</w:t>
      </w:r>
      <w:r>
        <w:rPr>
          <w:rFonts w:hint="eastAsia" w:ascii="仿宋_GB2312" w:eastAsia="仿宋_GB2312"/>
          <w:sz w:val="36"/>
          <w:szCs w:val="36"/>
          <w:u w:val="single"/>
        </w:rPr>
        <w:t xml:space="preserve"> </w:t>
      </w:r>
    </w:p>
    <w:p>
      <w:pPr>
        <w:adjustRightInd w:val="0"/>
        <w:snapToGrid w:val="0"/>
        <w:spacing w:line="288" w:lineRule="auto"/>
        <w:ind w:firstLine="1040"/>
        <w:rPr>
          <w:rFonts w:hint="eastAsia" w:ascii="仿宋_GB2312" w:eastAsia="仿宋_GB2312"/>
          <w:sz w:val="36"/>
          <w:szCs w:val="36"/>
          <w:u w:val="single"/>
        </w:rPr>
      </w:pPr>
      <w:r>
        <w:rPr>
          <w:rFonts w:hint="eastAsia" w:ascii="仿宋_GB2312" w:eastAsia="仿宋_GB2312"/>
          <w:sz w:val="36"/>
          <w:szCs w:val="36"/>
        </w:rPr>
        <w:t>编制日期：</w:t>
      </w:r>
      <w:r>
        <w:rPr>
          <w:rFonts w:hint="eastAsia" w:ascii="仿宋_GB2312" w:eastAsia="仿宋_GB2312"/>
          <w:sz w:val="36"/>
          <w:szCs w:val="36"/>
          <w:u w:val="single"/>
        </w:rPr>
        <w:t xml:space="preserve"> </w:t>
      </w:r>
      <w:r>
        <w:rPr>
          <w:rFonts w:hint="eastAsia" w:ascii="仿宋_GB2312" w:eastAsia="仿宋_GB2312"/>
          <w:sz w:val="36"/>
          <w:szCs w:val="36"/>
          <w:u w:val="single"/>
          <w:lang w:val="en-US" w:eastAsia="zh-CN"/>
        </w:rPr>
        <w:t>2022年12月</w:t>
      </w:r>
      <w:r>
        <w:rPr>
          <w:rFonts w:ascii="仿宋_GB2312" w:eastAsia="仿宋_GB2312"/>
          <w:sz w:val="36"/>
          <w:szCs w:val="36"/>
          <w:u w:val="single"/>
        </w:rPr>
        <w:t xml:space="preserve">             </w:t>
      </w:r>
      <w:r>
        <w:rPr>
          <w:rFonts w:hint="eastAsia" w:ascii="仿宋_GB2312" w:eastAsia="仿宋_GB2312"/>
          <w:sz w:val="36"/>
          <w:szCs w:val="36"/>
          <w:u w:val="single"/>
          <w:lang w:val="en-US" w:eastAsia="zh-CN"/>
        </w:rPr>
        <w:t xml:space="preserve"> </w:t>
      </w:r>
      <w:r>
        <w:rPr>
          <w:rFonts w:ascii="仿宋_GB2312" w:eastAsia="仿宋_GB2312"/>
          <w:sz w:val="36"/>
          <w:szCs w:val="36"/>
          <w:u w:val="single"/>
        </w:rPr>
        <w:t xml:space="preserve">      </w:t>
      </w:r>
      <w:r>
        <w:rPr>
          <w:rFonts w:hint="eastAsia" w:ascii="仿宋_GB2312" w:eastAsia="仿宋_GB2312"/>
          <w:sz w:val="36"/>
          <w:szCs w:val="36"/>
          <w:u w:val="single"/>
        </w:rPr>
        <w:t xml:space="preserve"> </w:t>
      </w:r>
    </w:p>
    <w:p>
      <w:pPr>
        <w:adjustRightInd w:val="0"/>
        <w:snapToGrid w:val="0"/>
        <w:spacing w:line="288" w:lineRule="auto"/>
        <w:ind w:firstLine="1040"/>
        <w:rPr>
          <w:rFonts w:ascii="仿宋_GB2312" w:eastAsia="仿宋_GB2312"/>
          <w:sz w:val="36"/>
          <w:szCs w:val="36"/>
          <w:u w:val="single"/>
        </w:rPr>
      </w:pPr>
      <w:bookmarkStart w:id="1" w:name="_Hlk57884087"/>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hint="eastAsia" w:ascii="仿宋_GB2312" w:eastAsia="仿宋_GB2312"/>
          <w:sz w:val="36"/>
          <w:szCs w:val="36"/>
        </w:rPr>
      </w:pPr>
    </w:p>
    <w:p>
      <w:pPr>
        <w:adjustRightInd w:val="0"/>
        <w:snapToGrid w:val="0"/>
        <w:spacing w:line="288" w:lineRule="auto"/>
        <w:ind w:firstLine="1040"/>
        <w:rPr>
          <w:rFonts w:hint="eastAsia" w:ascii="仿宋_GB2312" w:eastAsia="仿宋_GB2312"/>
          <w:sz w:val="36"/>
          <w:szCs w:val="36"/>
        </w:rPr>
      </w:pPr>
    </w:p>
    <w:bookmarkEnd w:id="1"/>
    <w:p>
      <w:pPr>
        <w:adjustRightInd w:val="0"/>
        <w:snapToGrid w:val="0"/>
        <w:spacing w:line="288" w:lineRule="auto"/>
        <w:jc w:val="center"/>
        <w:outlineLvl w:val="0"/>
        <w:rPr>
          <w:rFonts w:hint="eastAsia" w:ascii="楷体_GB2312" w:eastAsia="楷体_GB2312"/>
          <w:sz w:val="36"/>
          <w:szCs w:val="36"/>
        </w:rPr>
      </w:pPr>
      <w:bookmarkStart w:id="2" w:name="_Toc20682"/>
      <w:r>
        <w:rPr>
          <w:rFonts w:hint="eastAsia" w:ascii="楷体_GB2312" w:eastAsia="楷体_GB2312"/>
          <w:sz w:val="36"/>
          <w:szCs w:val="36"/>
        </w:rPr>
        <w:t>中华人民共和国生态环境部制</w:t>
      </w:r>
      <w:bookmarkEnd w:id="2"/>
    </w:p>
    <w:p>
      <w:pPr>
        <w:adjustRightInd w:val="0"/>
        <w:snapToGrid w:val="0"/>
        <w:spacing w:line="288" w:lineRule="auto"/>
        <w:ind w:firstLine="1040"/>
        <w:rPr>
          <w:rFonts w:ascii="仿宋_GB2312" w:eastAsia="仿宋_GB2312"/>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22"/>
        <w:jc w:val="center"/>
        <w:outlineLvl w:val="0"/>
        <w:rPr>
          <w:rFonts w:hint="eastAsia" w:ascii="黑体" w:hAnsi="黑体" w:eastAsia="黑体"/>
          <w:snapToGrid w:val="0"/>
          <w:sz w:val="30"/>
          <w:szCs w:val="30"/>
        </w:rPr>
      </w:pPr>
      <w:bookmarkStart w:id="3" w:name="_Toc14403"/>
      <w:r>
        <w:rPr>
          <w:rFonts w:hint="eastAsia" w:ascii="黑体" w:hAnsi="黑体" w:eastAsia="黑体"/>
          <w:snapToGrid w:val="0"/>
          <w:sz w:val="30"/>
          <w:szCs w:val="30"/>
        </w:rPr>
        <w:t>一、建设项目基本情况</w:t>
      </w:r>
      <w:bookmarkEnd w:id="3"/>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135"/>
        <w:gridCol w:w="1884"/>
        <w:gridCol w:w="22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35" w:type="dxa"/>
            <w:noWrap w:val="0"/>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建设项目名称</w:t>
            </w:r>
          </w:p>
        </w:tc>
        <w:tc>
          <w:tcPr>
            <w:tcW w:w="6735" w:type="dxa"/>
            <w:gridSpan w:val="3"/>
            <w:noWrap w:val="0"/>
            <w:vAlign w:val="center"/>
          </w:tcPr>
          <w:p>
            <w:pPr>
              <w:adjustRightInd w:val="0"/>
              <w:snapToGrid w:val="0"/>
              <w:jc w:val="center"/>
              <w:rPr>
                <w:rFonts w:hint="default" w:ascii="宋体" w:hAnsi="宋体" w:eastAsia="宋体" w:cs="宋体"/>
                <w:szCs w:val="21"/>
                <w:lang w:val="en-US" w:eastAsia="zh-CN"/>
              </w:rPr>
            </w:pPr>
            <w:r>
              <w:rPr>
                <w:rFonts w:hint="eastAsia" w:ascii="宋体" w:hAnsi="宋体" w:cs="宋体"/>
                <w:szCs w:val="21"/>
                <w:lang w:val="en-US" w:eastAsia="zh-CN"/>
              </w:rPr>
              <w:t>城发月子中心及湘阴县妇女儿童医院（二期）配套设施建设项目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35" w:type="dxa"/>
            <w:noWrap w:val="0"/>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项目代码</w:t>
            </w:r>
          </w:p>
        </w:tc>
        <w:tc>
          <w:tcPr>
            <w:tcW w:w="6735" w:type="dxa"/>
            <w:gridSpan w:val="3"/>
            <w:noWrap w:val="0"/>
            <w:vAlign w:val="center"/>
          </w:tcPr>
          <w:p>
            <w:pPr>
              <w:adjustRightInd w:val="0"/>
              <w:snapToGrid w:val="0"/>
              <w:jc w:val="center"/>
              <w:rPr>
                <w:rFonts w:hint="default" w:ascii="宋体" w:hAnsi="宋体" w:eastAsia="宋体" w:cs="宋体"/>
                <w:szCs w:val="21"/>
                <w:lang w:val="en-US" w:eastAsia="zh-CN"/>
              </w:rPr>
            </w:pPr>
            <w:r>
              <w:rPr>
                <w:rFonts w:hint="default" w:ascii="Times New Roman" w:hAnsi="Times New Roman" w:cs="Times New Roman"/>
                <w:szCs w:val="21"/>
                <w:lang w:val="en-US" w:eastAsia="zh-CN"/>
              </w:rPr>
              <w:t>2209-430624-04-01-689456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35" w:type="dxa"/>
            <w:noWrap w:val="0"/>
            <w:tcMar>
              <w:top w:w="16" w:type="dxa"/>
              <w:left w:w="16" w:type="dxa"/>
              <w:right w:w="16" w:type="dxa"/>
            </w:tcMar>
            <w:vAlign w:val="center"/>
          </w:tcPr>
          <w:p>
            <w:pPr>
              <w:adjustRightInd w:val="0"/>
              <w:snapToGrid w:val="0"/>
              <w:jc w:val="center"/>
              <w:rPr>
                <w:rFonts w:hint="eastAsia" w:ascii="宋体" w:hAnsi="宋体" w:cs="宋体"/>
                <w:szCs w:val="21"/>
              </w:rPr>
            </w:pPr>
            <w:r>
              <w:rPr>
                <w:rFonts w:hint="eastAsia" w:ascii="宋体" w:hAnsi="宋体" w:cs="宋体"/>
                <w:szCs w:val="21"/>
              </w:rPr>
              <w:t>建设单位联系人</w:t>
            </w:r>
          </w:p>
        </w:tc>
        <w:tc>
          <w:tcPr>
            <w:tcW w:w="1884" w:type="dxa"/>
            <w:noWrap w:val="0"/>
            <w:vAlign w:val="center"/>
          </w:tcPr>
          <w:p>
            <w:pPr>
              <w:adjustRightInd w:val="0"/>
              <w:snapToGrid w:val="0"/>
              <w:jc w:val="center"/>
              <w:rPr>
                <w:rFonts w:hint="default" w:ascii="宋体" w:hAnsi="宋体" w:eastAsia="宋体" w:cs="宋体"/>
                <w:szCs w:val="21"/>
                <w:lang w:val="en-US" w:eastAsia="zh-CN"/>
              </w:rPr>
            </w:pPr>
            <w:r>
              <w:rPr>
                <w:rFonts w:hint="eastAsia" w:ascii="宋体" w:hAnsi="宋体" w:cs="宋体"/>
                <w:szCs w:val="21"/>
                <w:lang w:val="en-US" w:eastAsia="zh-CN"/>
              </w:rPr>
              <w:t>黄婷</w:t>
            </w:r>
          </w:p>
        </w:tc>
        <w:tc>
          <w:tcPr>
            <w:tcW w:w="2212" w:type="dxa"/>
            <w:noWrap w:val="0"/>
            <w:vAlign w:val="center"/>
          </w:tcPr>
          <w:p>
            <w:pPr>
              <w:adjustRightInd w:val="0"/>
              <w:snapToGrid w:val="0"/>
              <w:jc w:val="center"/>
              <w:rPr>
                <w:rFonts w:ascii="宋体" w:hAnsi="宋体" w:cs="宋体"/>
                <w:szCs w:val="21"/>
              </w:rPr>
            </w:pPr>
            <w:r>
              <w:rPr>
                <w:rFonts w:hint="eastAsia" w:ascii="宋体" w:hAnsi="宋体" w:cs="宋体"/>
                <w:szCs w:val="21"/>
              </w:rPr>
              <w:t>联系方式</w:t>
            </w:r>
          </w:p>
        </w:tc>
        <w:tc>
          <w:tcPr>
            <w:tcW w:w="2639" w:type="dxa"/>
            <w:noWrap w:val="0"/>
            <w:vAlign w:val="center"/>
          </w:tcPr>
          <w:p>
            <w:pPr>
              <w:adjustRightInd w:val="0"/>
              <w:snapToGrid w:val="0"/>
              <w:jc w:val="center"/>
              <w:rPr>
                <w:rFonts w:hint="default" w:ascii="宋体" w:hAnsi="宋体" w:eastAsia="宋体" w:cs="宋体"/>
                <w:szCs w:val="21"/>
                <w:lang w:val="en-US" w:eastAsia="zh-CN"/>
              </w:rPr>
            </w:pPr>
            <w:r>
              <w:rPr>
                <w:rFonts w:hint="default" w:ascii="Times New Roman" w:hAnsi="Times New Roman" w:cs="Times New Roman"/>
                <w:szCs w:val="21"/>
                <w:lang w:val="en-US" w:eastAsia="zh-CN"/>
              </w:rPr>
              <w:t>18229836739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35" w:type="dxa"/>
            <w:noWrap w:val="0"/>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建设地点</w:t>
            </w:r>
          </w:p>
        </w:tc>
        <w:tc>
          <w:tcPr>
            <w:tcW w:w="6735" w:type="dxa"/>
            <w:gridSpan w:val="3"/>
            <w:noWrap w:val="0"/>
            <w:vAlign w:val="center"/>
          </w:tcPr>
          <w:p>
            <w:pPr>
              <w:adjustRightInd w:val="0"/>
              <w:snapToGrid w:val="0"/>
              <w:jc w:val="center"/>
              <w:rPr>
                <w:rFonts w:ascii="宋体" w:hAnsi="宋体" w:cs="宋体"/>
                <w:szCs w:val="21"/>
              </w:rPr>
            </w:pPr>
            <w:r>
              <w:rPr>
                <w:rFonts w:hint="eastAsia" w:ascii="宋体" w:hAnsi="宋体" w:cs="宋体"/>
                <w:szCs w:val="21"/>
              </w:rPr>
              <w:t>湘阴县洋沙湖镇（原袁家铺镇）洋沙湖村（原友爱村）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35" w:type="dxa"/>
            <w:noWrap w:val="0"/>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地理坐标</w:t>
            </w:r>
          </w:p>
        </w:tc>
        <w:tc>
          <w:tcPr>
            <w:tcW w:w="6735" w:type="dxa"/>
            <w:gridSpan w:val="3"/>
            <w:noWrap w:val="0"/>
            <w:vAlign w:val="center"/>
          </w:tcPr>
          <w:p>
            <w:pPr>
              <w:jc w:val="center"/>
              <w:rPr>
                <w:rFonts w:hint="eastAsia" w:ascii="宋体" w:hAnsi="宋体" w:cs="宋体"/>
                <w:szCs w:val="21"/>
              </w:rPr>
            </w:pPr>
            <w:r>
              <w:rPr>
                <w:rFonts w:hint="default" w:ascii="Times New Roman" w:hAnsi="Times New Roman" w:cs="Times New Roman"/>
                <w:szCs w:val="21"/>
              </w:rPr>
              <w:t>（</w:t>
            </w:r>
            <w:r>
              <w:rPr>
                <w:rFonts w:hint="default" w:ascii="Times New Roman" w:hAnsi="Times New Roman" w:cs="Times New Roman"/>
                <w:szCs w:val="21"/>
                <w:lang w:val="en-US" w:eastAsia="zh-CN"/>
              </w:rPr>
              <w:t>E</w:t>
            </w:r>
            <w:r>
              <w:rPr>
                <w:rFonts w:hint="default" w:ascii="Times New Roman" w:hAnsi="Times New Roman" w:cs="Times New Roman"/>
                <w:szCs w:val="21"/>
                <w:u w:val="single"/>
                <w:lang w:val="en-US" w:eastAsia="zh-CN"/>
              </w:rPr>
              <w:t>112°54′51.38″</w:t>
            </w:r>
            <w:r>
              <w:rPr>
                <w:rFonts w:hint="default" w:ascii="Times New Roman" w:hAnsi="Times New Roman" w:cs="Times New Roman"/>
                <w:szCs w:val="21"/>
              </w:rPr>
              <w:t>，</w:t>
            </w:r>
            <w:r>
              <w:rPr>
                <w:rFonts w:hint="default" w:ascii="Times New Roman" w:hAnsi="Times New Roman" w:cs="Times New Roman"/>
                <w:szCs w:val="21"/>
                <w:lang w:val="en-US" w:eastAsia="zh-CN"/>
              </w:rPr>
              <w:t>N</w:t>
            </w:r>
            <w:r>
              <w:rPr>
                <w:rFonts w:hint="default" w:ascii="Times New Roman" w:hAnsi="Times New Roman" w:cs="Times New Roman"/>
                <w:szCs w:val="21"/>
                <w:u w:val="single"/>
                <w:lang w:val="en-US" w:eastAsia="zh-CN"/>
              </w:rPr>
              <w:t>28°39′37.09″</w:t>
            </w:r>
            <w:r>
              <w:rPr>
                <w:rFonts w:hint="default" w:ascii="Times New Roman" w:hAnsi="Times New Roman" w:cs="Times New Roman"/>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135" w:type="dxa"/>
            <w:noWrap w:val="0"/>
            <w:tcMar>
              <w:top w:w="16" w:type="dxa"/>
              <w:left w:w="16" w:type="dxa"/>
              <w:right w:w="16" w:type="dxa"/>
            </w:tcMar>
            <w:vAlign w:val="center"/>
          </w:tcPr>
          <w:p>
            <w:pPr>
              <w:adjustRightInd w:val="0"/>
              <w:snapToGrid w:val="0"/>
              <w:jc w:val="center"/>
              <w:rPr>
                <w:rFonts w:hint="eastAsia" w:ascii="宋体" w:hAnsi="宋体" w:cs="宋体"/>
                <w:szCs w:val="21"/>
              </w:rPr>
            </w:pPr>
            <w:r>
              <w:rPr>
                <w:rFonts w:hint="eastAsia" w:ascii="宋体" w:hAnsi="宋体" w:cs="宋体"/>
                <w:szCs w:val="21"/>
              </w:rPr>
              <w:t>国民经济</w:t>
            </w:r>
          </w:p>
          <w:p>
            <w:pPr>
              <w:adjustRightInd w:val="0"/>
              <w:snapToGrid w:val="0"/>
              <w:jc w:val="center"/>
              <w:rPr>
                <w:rFonts w:ascii="宋体" w:hAnsi="宋体" w:cs="宋体"/>
                <w:szCs w:val="21"/>
              </w:rPr>
            </w:pPr>
            <w:r>
              <w:rPr>
                <w:rFonts w:hint="eastAsia" w:ascii="宋体" w:hAnsi="宋体" w:cs="宋体"/>
                <w:szCs w:val="21"/>
              </w:rPr>
              <w:t>行业类别</w:t>
            </w:r>
          </w:p>
        </w:tc>
        <w:tc>
          <w:tcPr>
            <w:tcW w:w="1884" w:type="dxa"/>
            <w:noWrap w:val="0"/>
            <w:vAlign w:val="center"/>
          </w:tcPr>
          <w:p>
            <w:pPr>
              <w:adjustRightInd w:val="0"/>
              <w:snapToGrid w:val="0"/>
              <w:jc w:val="center"/>
              <w:rPr>
                <w:rFonts w:hint="default" w:ascii="Times New Roman" w:hAnsi="Times New Roman" w:eastAsia="宋体" w:cs="Times New Roman"/>
                <w:szCs w:val="21"/>
                <w:lang w:val="en-US" w:eastAsia="zh-CN"/>
              </w:rPr>
            </w:pPr>
            <w:r>
              <w:rPr>
                <w:rFonts w:hint="eastAsia" w:cs="Times New Roman"/>
                <w:sz w:val="21"/>
                <w:szCs w:val="21"/>
                <w:u w:val="single"/>
                <w:lang w:val="en-US" w:eastAsia="zh-CN"/>
              </w:rPr>
              <w:t>4430热力生产和供应</w:t>
            </w:r>
          </w:p>
        </w:tc>
        <w:tc>
          <w:tcPr>
            <w:tcW w:w="2212" w:type="dxa"/>
            <w:noWrap w:val="0"/>
            <w:vAlign w:val="center"/>
          </w:tcPr>
          <w:p>
            <w:pPr>
              <w:adjustRightInd w:val="0"/>
              <w:snapToGrid w:val="0"/>
              <w:jc w:val="center"/>
              <w:rPr>
                <w:rFonts w:hint="default" w:ascii="Times New Roman" w:hAnsi="Times New Roman" w:cs="Times New Roman"/>
                <w:szCs w:val="21"/>
              </w:rPr>
            </w:pPr>
            <w:bookmarkStart w:id="4" w:name="_Hlk49843745"/>
            <w:r>
              <w:rPr>
                <w:rFonts w:hint="default" w:ascii="Times New Roman" w:hAnsi="Times New Roman" w:cs="Times New Roman"/>
                <w:szCs w:val="21"/>
              </w:rPr>
              <w:t>建设项目</w:t>
            </w:r>
          </w:p>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行业类别</w:t>
            </w:r>
            <w:bookmarkEnd w:id="4"/>
          </w:p>
        </w:tc>
        <w:tc>
          <w:tcPr>
            <w:tcW w:w="2639" w:type="dxa"/>
            <w:noWrap w:val="0"/>
            <w:vAlign w:val="center"/>
          </w:tcPr>
          <w:p>
            <w:pPr>
              <w:widowControl/>
              <w:jc w:val="both"/>
              <w:rPr>
                <w:rFonts w:hint="default" w:ascii="Times New Roman" w:hAnsi="Times New Roman" w:eastAsia="宋体" w:cs="Times New Roman"/>
                <w:szCs w:val="21"/>
                <w:lang w:val="en-US" w:eastAsia="zh-CN"/>
              </w:rPr>
            </w:pPr>
            <w:r>
              <w:rPr>
                <w:rFonts w:hint="eastAsia" w:cs="Times New Roman"/>
                <w:sz w:val="21"/>
                <w:szCs w:val="21"/>
                <w:u w:val="single"/>
                <w:lang w:val="en-US" w:eastAsia="zh-CN" w:bidi="ar"/>
              </w:rPr>
              <w:t>四十一、电力、热力生产和供应业91-热力生产和供应工程（包括建设单位自建自用的供热工程）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135" w:type="dxa"/>
            <w:noWrap w:val="0"/>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建设性质</w:t>
            </w:r>
          </w:p>
        </w:tc>
        <w:tc>
          <w:tcPr>
            <w:tcW w:w="1884" w:type="dxa"/>
            <w:noWrap w:val="0"/>
            <w:vAlign w:val="center"/>
          </w:tcPr>
          <w:p>
            <w:pPr>
              <w:jc w:val="left"/>
              <w:rPr>
                <w:rFonts w:ascii="宋体" w:hAnsi="宋体" w:cs="宋体"/>
                <w:szCs w:val="21"/>
              </w:rPr>
            </w:pPr>
            <w:r>
              <w:rPr>
                <w:rFonts w:hint="eastAsia" w:ascii="宋体" w:hAnsi="宋体" w:cs="宋体"/>
                <w:szCs w:val="21"/>
                <w:lang w:eastAsia="zh-CN"/>
              </w:rPr>
              <w:t>☑</w:t>
            </w:r>
            <w:r>
              <w:rPr>
                <w:rFonts w:hint="eastAsia" w:ascii="宋体" w:hAnsi="宋体" w:cs="宋体"/>
                <w:szCs w:val="21"/>
              </w:rPr>
              <w:t>新建（迁建）</w:t>
            </w:r>
          </w:p>
          <w:p>
            <w:pPr>
              <w:jc w:val="left"/>
              <w:rPr>
                <w:rFonts w:hint="eastAsia" w:ascii="宋体" w:hAnsi="宋体" w:cs="宋体"/>
                <w:szCs w:val="21"/>
              </w:rPr>
            </w:pPr>
            <w:r>
              <w:rPr>
                <w:rFonts w:hint="eastAsia" w:ascii="宋体" w:hAnsi="宋体" w:cs="宋体"/>
                <w:szCs w:val="21"/>
              </w:rPr>
              <w:t>□改建</w:t>
            </w:r>
          </w:p>
          <w:p>
            <w:pPr>
              <w:jc w:val="left"/>
              <w:rPr>
                <w:rFonts w:hint="eastAsia" w:ascii="宋体" w:hAnsi="宋体" w:cs="宋体"/>
                <w:szCs w:val="21"/>
              </w:rPr>
            </w:pPr>
            <w:r>
              <w:rPr>
                <w:rFonts w:hint="eastAsia" w:ascii="宋体" w:hAnsi="宋体" w:cs="宋体"/>
                <w:szCs w:val="21"/>
              </w:rPr>
              <w:t>□扩建</w:t>
            </w:r>
          </w:p>
          <w:p>
            <w:pPr>
              <w:jc w:val="left"/>
              <w:rPr>
                <w:rFonts w:ascii="宋体" w:hAnsi="宋体" w:cs="宋体"/>
                <w:szCs w:val="21"/>
              </w:rPr>
            </w:pPr>
            <w:r>
              <w:rPr>
                <w:rFonts w:hint="eastAsia" w:ascii="宋体" w:hAnsi="宋体" w:cs="宋体"/>
                <w:szCs w:val="21"/>
              </w:rPr>
              <w:t>□技术改造</w:t>
            </w:r>
          </w:p>
        </w:tc>
        <w:tc>
          <w:tcPr>
            <w:tcW w:w="2212" w:type="dxa"/>
            <w:noWrap w:val="0"/>
            <w:vAlign w:val="center"/>
          </w:tcPr>
          <w:p>
            <w:pPr>
              <w:adjustRightInd w:val="0"/>
              <w:snapToGrid w:val="0"/>
              <w:jc w:val="center"/>
              <w:rPr>
                <w:rFonts w:hint="eastAsia" w:ascii="宋体" w:hAnsi="宋体" w:cs="宋体"/>
                <w:szCs w:val="21"/>
              </w:rPr>
            </w:pPr>
            <w:r>
              <w:rPr>
                <w:rFonts w:hint="eastAsia" w:ascii="宋体" w:hAnsi="宋体" w:cs="宋体"/>
                <w:szCs w:val="21"/>
              </w:rPr>
              <w:t>建设项目</w:t>
            </w:r>
          </w:p>
          <w:p>
            <w:pPr>
              <w:adjustRightInd w:val="0"/>
              <w:snapToGrid w:val="0"/>
              <w:jc w:val="center"/>
              <w:rPr>
                <w:rFonts w:ascii="宋体" w:hAnsi="宋体" w:cs="宋体"/>
                <w:szCs w:val="21"/>
              </w:rPr>
            </w:pPr>
            <w:r>
              <w:rPr>
                <w:rFonts w:hint="eastAsia" w:ascii="宋体" w:hAnsi="宋体" w:cs="宋体"/>
                <w:szCs w:val="21"/>
              </w:rPr>
              <w:t>申报情形</w:t>
            </w:r>
          </w:p>
        </w:tc>
        <w:tc>
          <w:tcPr>
            <w:tcW w:w="2639" w:type="dxa"/>
            <w:noWrap w:val="0"/>
            <w:vAlign w:val="center"/>
          </w:tcPr>
          <w:p>
            <w:pPr>
              <w:jc w:val="left"/>
              <w:rPr>
                <w:rFonts w:ascii="宋体" w:hAnsi="宋体" w:cs="宋体"/>
                <w:szCs w:val="21"/>
              </w:rPr>
            </w:pPr>
            <w:r>
              <w:rPr>
                <w:rFonts w:hint="eastAsia" w:ascii="宋体" w:hAnsi="宋体" w:cs="宋体"/>
                <w:szCs w:val="21"/>
                <w:lang w:eastAsia="zh-CN"/>
              </w:rPr>
              <w:t>☑</w:t>
            </w:r>
            <w:r>
              <w:rPr>
                <w:rFonts w:hint="eastAsia" w:ascii="宋体" w:hAnsi="宋体" w:cs="宋体"/>
                <w:szCs w:val="21"/>
              </w:rPr>
              <w:t>首次申报项目</w:t>
            </w:r>
            <w:r>
              <w:rPr>
                <w:rFonts w:ascii="宋体" w:hAnsi="宋体" w:cs="宋体"/>
                <w:szCs w:val="21"/>
              </w:rPr>
              <w:t xml:space="preserve">             </w:t>
            </w:r>
          </w:p>
          <w:p>
            <w:pPr>
              <w:jc w:val="left"/>
              <w:rPr>
                <w:rFonts w:ascii="宋体" w:hAnsi="宋体" w:cs="宋体"/>
                <w:szCs w:val="21"/>
              </w:rPr>
            </w:pPr>
            <w:r>
              <w:rPr>
                <w:rFonts w:hint="eastAsia" w:ascii="宋体" w:hAnsi="宋体" w:cs="宋体"/>
                <w:szCs w:val="21"/>
                <w:lang w:eastAsia="zh-CN"/>
              </w:rPr>
              <w:t>□</w:t>
            </w:r>
            <w:r>
              <w:rPr>
                <w:rFonts w:hint="eastAsia" w:ascii="宋体" w:hAnsi="宋体" w:cs="宋体"/>
                <w:szCs w:val="21"/>
              </w:rPr>
              <w:t>不予批准后再次申报项目</w:t>
            </w:r>
          </w:p>
          <w:p>
            <w:pPr>
              <w:jc w:val="left"/>
              <w:rPr>
                <w:rFonts w:ascii="宋体" w:hAnsi="宋体" w:cs="宋体"/>
                <w:szCs w:val="21"/>
              </w:rPr>
            </w:pPr>
            <w:r>
              <w:rPr>
                <w:rFonts w:hint="eastAsia" w:ascii="宋体" w:hAnsi="宋体" w:cs="宋体"/>
                <w:szCs w:val="21"/>
                <w:lang w:eastAsia="zh-CN"/>
              </w:rPr>
              <w:t>□</w:t>
            </w:r>
            <w:r>
              <w:rPr>
                <w:rFonts w:hint="eastAsia" w:ascii="宋体" w:hAnsi="宋体" w:cs="宋体"/>
                <w:szCs w:val="21"/>
              </w:rPr>
              <w:t>超五年重新审核项目</w:t>
            </w:r>
            <w:r>
              <w:rPr>
                <w:rFonts w:ascii="宋体" w:hAnsi="宋体" w:cs="宋体"/>
                <w:szCs w:val="21"/>
              </w:rPr>
              <w:t xml:space="preserve">     </w:t>
            </w:r>
          </w:p>
          <w:p>
            <w:pPr>
              <w:jc w:val="left"/>
              <w:rPr>
                <w:rFonts w:ascii="宋体" w:hAnsi="宋体" w:cs="宋体"/>
                <w:szCs w:val="21"/>
              </w:rPr>
            </w:pPr>
            <w:r>
              <w:rPr>
                <w:rFonts w:hint="eastAsia" w:ascii="宋体" w:hAnsi="宋体" w:cs="宋体"/>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135" w:type="dxa"/>
            <w:noWrap w:val="0"/>
            <w:tcMar>
              <w:top w:w="16" w:type="dxa"/>
              <w:left w:w="16" w:type="dxa"/>
              <w:right w:w="16" w:type="dxa"/>
            </w:tcMar>
            <w:vAlign w:val="center"/>
          </w:tcPr>
          <w:p>
            <w:pPr>
              <w:adjustRightInd w:val="0"/>
              <w:snapToGrid w:val="0"/>
              <w:jc w:val="center"/>
              <w:rPr>
                <w:rFonts w:hint="eastAsia" w:ascii="宋体" w:hAnsi="宋体" w:cs="宋体"/>
                <w:szCs w:val="21"/>
              </w:rPr>
            </w:pPr>
            <w:r>
              <w:rPr>
                <w:rFonts w:hint="eastAsia" w:ascii="宋体" w:hAnsi="宋体" w:cs="宋体"/>
                <w:szCs w:val="21"/>
              </w:rPr>
              <w:t>项目审批（核准</w:t>
            </w:r>
            <w:r>
              <w:rPr>
                <w:rFonts w:ascii="宋体" w:hAnsi="宋体" w:cs="宋体"/>
                <w:szCs w:val="21"/>
              </w:rPr>
              <w:t>/</w:t>
            </w:r>
          </w:p>
          <w:p>
            <w:pPr>
              <w:adjustRightInd w:val="0"/>
              <w:snapToGrid w:val="0"/>
              <w:jc w:val="center"/>
              <w:rPr>
                <w:rFonts w:ascii="宋体" w:hAnsi="宋体" w:cs="宋体"/>
                <w:szCs w:val="21"/>
              </w:rPr>
            </w:pPr>
            <w:r>
              <w:rPr>
                <w:rFonts w:hint="eastAsia" w:ascii="宋体" w:hAnsi="宋体" w:cs="宋体"/>
                <w:szCs w:val="21"/>
              </w:rPr>
              <w:t>备案）部门（选填）</w:t>
            </w:r>
          </w:p>
        </w:tc>
        <w:tc>
          <w:tcPr>
            <w:tcW w:w="1884" w:type="dxa"/>
            <w:noWrap w:val="0"/>
            <w:vAlign w:val="center"/>
          </w:tcPr>
          <w:p>
            <w:pPr>
              <w:adjustRightInd w:val="0"/>
              <w:snapToGrid w:val="0"/>
              <w:jc w:val="center"/>
              <w:rPr>
                <w:rFonts w:hint="default" w:ascii="宋体" w:hAnsi="宋体" w:eastAsia="宋体" w:cs="宋体"/>
                <w:szCs w:val="21"/>
                <w:lang w:val="en-US" w:eastAsia="zh-CN"/>
              </w:rPr>
            </w:pPr>
            <w:r>
              <w:rPr>
                <w:rFonts w:hint="eastAsia" w:ascii="宋体" w:hAnsi="宋体" w:cs="宋体"/>
                <w:szCs w:val="21"/>
                <w:lang w:val="en-US" w:eastAsia="zh-CN"/>
              </w:rPr>
              <w:t>湘阴县发展和改革局</w:t>
            </w:r>
          </w:p>
        </w:tc>
        <w:tc>
          <w:tcPr>
            <w:tcW w:w="2212" w:type="dxa"/>
            <w:noWrap w:val="0"/>
            <w:vAlign w:val="center"/>
          </w:tcPr>
          <w:p>
            <w:pPr>
              <w:adjustRightInd w:val="0"/>
              <w:snapToGrid w:val="0"/>
              <w:jc w:val="center"/>
              <w:rPr>
                <w:rFonts w:hint="eastAsia" w:ascii="宋体" w:hAnsi="宋体" w:cs="宋体"/>
                <w:szCs w:val="21"/>
              </w:rPr>
            </w:pPr>
            <w:r>
              <w:rPr>
                <w:rFonts w:hint="eastAsia" w:ascii="宋体" w:hAnsi="宋体" w:cs="宋体"/>
                <w:szCs w:val="21"/>
              </w:rPr>
              <w:t>项目审批（核准</w:t>
            </w:r>
            <w:r>
              <w:rPr>
                <w:rFonts w:ascii="宋体" w:hAnsi="宋体" w:cs="宋体"/>
                <w:szCs w:val="21"/>
              </w:rPr>
              <w:t>/</w:t>
            </w:r>
          </w:p>
          <w:p>
            <w:pPr>
              <w:adjustRightInd w:val="0"/>
              <w:snapToGrid w:val="0"/>
              <w:jc w:val="center"/>
              <w:rPr>
                <w:rFonts w:hint="eastAsia" w:ascii="宋体" w:hAnsi="宋体" w:cs="宋体"/>
                <w:szCs w:val="21"/>
              </w:rPr>
            </w:pPr>
            <w:r>
              <w:rPr>
                <w:rFonts w:hint="eastAsia" w:ascii="宋体" w:hAnsi="宋体" w:cs="宋体"/>
                <w:szCs w:val="21"/>
              </w:rPr>
              <w:t>备案）文号（选填）</w:t>
            </w:r>
          </w:p>
        </w:tc>
        <w:tc>
          <w:tcPr>
            <w:tcW w:w="2639" w:type="dxa"/>
            <w:noWrap w:val="0"/>
            <w:vAlign w:val="center"/>
          </w:tcPr>
          <w:p>
            <w:pPr>
              <w:adjustRightInd w:val="0"/>
              <w:snapToGrid w:val="0"/>
              <w:jc w:val="center"/>
              <w:rPr>
                <w:rFonts w:hint="default" w:ascii="宋体" w:hAnsi="宋体" w:eastAsia="宋体" w:cs="宋体"/>
                <w:szCs w:val="21"/>
                <w:lang w:val="en-US" w:eastAsia="zh-CN"/>
              </w:rPr>
            </w:pPr>
            <w:r>
              <w:rPr>
                <w:rFonts w:hint="default" w:ascii="Times New Roman" w:hAnsi="Times New Roman" w:cs="Times New Roman"/>
                <w:szCs w:val="21"/>
                <w:lang w:val="en-US" w:eastAsia="zh-CN"/>
              </w:rPr>
              <w:t>湘阴发改审〔2022〕210号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35" w:type="dxa"/>
            <w:noWrap w:val="0"/>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总投资（万元）</w:t>
            </w:r>
          </w:p>
        </w:tc>
        <w:tc>
          <w:tcPr>
            <w:tcW w:w="1884" w:type="dxa"/>
            <w:noWrap w:val="0"/>
            <w:vAlign w:val="center"/>
          </w:tcPr>
          <w:p>
            <w:pPr>
              <w:adjustRightInd w:val="0"/>
              <w:snapToGrid w:val="0"/>
              <w:jc w:val="center"/>
              <w:rPr>
                <w:rFonts w:hint="default" w:ascii="宋体" w:hAnsi="宋体" w:eastAsia="宋体" w:cs="宋体"/>
                <w:szCs w:val="21"/>
                <w:lang w:val="en-US" w:eastAsia="zh-CN"/>
              </w:rPr>
            </w:pPr>
            <w:r>
              <w:rPr>
                <w:rFonts w:hint="default" w:ascii="Times New Roman" w:hAnsi="Times New Roman" w:cs="Times New Roman"/>
                <w:szCs w:val="21"/>
                <w:lang w:val="en-US" w:eastAsia="zh-CN"/>
              </w:rPr>
              <w:t>4959.73</w:t>
            </w:r>
          </w:p>
        </w:tc>
        <w:tc>
          <w:tcPr>
            <w:tcW w:w="2212" w:type="dxa"/>
            <w:noWrap w:val="0"/>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环保投资（万元）</w:t>
            </w:r>
          </w:p>
        </w:tc>
        <w:tc>
          <w:tcPr>
            <w:tcW w:w="2639" w:type="dxa"/>
            <w:noWrap w:val="0"/>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217.49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35" w:type="dxa"/>
            <w:noWrap w:val="0"/>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环保投资占比（</w:t>
            </w:r>
            <w:r>
              <w:rPr>
                <w:rFonts w:hint="default" w:ascii="Times New Roman" w:hAnsi="Times New Roman" w:cs="Times New Roman"/>
                <w:szCs w:val="21"/>
              </w:rPr>
              <w:t>%</w:t>
            </w:r>
            <w:r>
              <w:rPr>
                <w:rFonts w:hint="eastAsia" w:ascii="宋体" w:hAnsi="宋体" w:cs="宋体"/>
                <w:szCs w:val="21"/>
              </w:rPr>
              <w:t>）</w:t>
            </w:r>
          </w:p>
        </w:tc>
        <w:tc>
          <w:tcPr>
            <w:tcW w:w="1884" w:type="dxa"/>
            <w:noWrap w:val="0"/>
            <w:vAlign w:val="center"/>
          </w:tcPr>
          <w:p>
            <w:pPr>
              <w:adjustRightInd w:val="0"/>
              <w:snapToGrid w:val="0"/>
              <w:jc w:val="center"/>
              <w:rPr>
                <w:rFonts w:hint="default" w:ascii="宋体" w:hAnsi="宋体" w:eastAsia="宋体" w:cs="宋体"/>
                <w:szCs w:val="21"/>
                <w:lang w:val="en-US" w:eastAsia="zh-CN"/>
              </w:rPr>
            </w:pPr>
            <w:r>
              <w:rPr>
                <w:rFonts w:hint="default" w:ascii="Times New Roman" w:hAnsi="Times New Roman" w:cs="Times New Roman"/>
                <w:szCs w:val="21"/>
                <w:lang w:val="en-US" w:eastAsia="zh-CN"/>
              </w:rPr>
              <w:t>4.38</w:t>
            </w:r>
          </w:p>
        </w:tc>
        <w:tc>
          <w:tcPr>
            <w:tcW w:w="2212" w:type="dxa"/>
            <w:noWrap w:val="0"/>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施工工期</w:t>
            </w:r>
          </w:p>
        </w:tc>
        <w:tc>
          <w:tcPr>
            <w:tcW w:w="2639" w:type="dxa"/>
            <w:noWrap w:val="0"/>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35" w:type="dxa"/>
            <w:noWrap w:val="0"/>
            <w:tcMar>
              <w:top w:w="16" w:type="dxa"/>
              <w:left w:w="16" w:type="dxa"/>
              <w:right w:w="16" w:type="dxa"/>
            </w:tcMar>
            <w:vAlign w:val="center"/>
          </w:tcPr>
          <w:p>
            <w:pPr>
              <w:adjustRightInd w:val="0"/>
              <w:snapToGrid w:val="0"/>
              <w:jc w:val="center"/>
              <w:rPr>
                <w:rFonts w:hint="eastAsia" w:ascii="宋体" w:hAnsi="宋体" w:cs="宋体"/>
                <w:szCs w:val="21"/>
              </w:rPr>
            </w:pPr>
            <w:r>
              <w:rPr>
                <w:rFonts w:hint="eastAsia" w:ascii="宋体" w:hAnsi="宋体" w:cs="宋体"/>
                <w:szCs w:val="21"/>
              </w:rPr>
              <w:t>是否开工建设</w:t>
            </w:r>
          </w:p>
        </w:tc>
        <w:tc>
          <w:tcPr>
            <w:tcW w:w="1884" w:type="dxa"/>
            <w:noWrap w:val="0"/>
            <w:vAlign w:val="center"/>
          </w:tcPr>
          <w:p>
            <w:pPr>
              <w:adjustRightInd w:val="0"/>
              <w:snapToGrid w:val="0"/>
              <w:rPr>
                <w:rFonts w:ascii="宋体" w:hAnsi="宋体" w:cs="宋体"/>
                <w:szCs w:val="21"/>
              </w:rPr>
            </w:pPr>
            <w:r>
              <w:rPr>
                <w:rFonts w:hint="eastAsia" w:ascii="宋体" w:hAnsi="宋体" w:cs="宋体"/>
                <w:szCs w:val="21"/>
                <w:lang w:eastAsia="zh-CN"/>
              </w:rPr>
              <w:t>☑</w:t>
            </w:r>
            <w:r>
              <w:rPr>
                <w:rFonts w:hint="eastAsia" w:ascii="宋体" w:hAnsi="宋体" w:cs="宋体"/>
                <w:szCs w:val="21"/>
              </w:rPr>
              <w:t>否</w:t>
            </w:r>
          </w:p>
          <w:p>
            <w:pPr>
              <w:adjustRightInd w:val="0"/>
              <w:snapToGrid w:val="0"/>
              <w:rPr>
                <w:rFonts w:ascii="宋体" w:hAnsi="宋体" w:cs="宋体"/>
                <w:szCs w:val="21"/>
              </w:rPr>
            </w:pPr>
            <w:r>
              <w:rPr>
                <w:rFonts w:hint="eastAsia" w:ascii="宋体" w:hAnsi="宋体" w:cs="宋体"/>
                <w:szCs w:val="21"/>
              </w:rPr>
              <w:t>□是：</w:t>
            </w:r>
            <w:r>
              <w:rPr>
                <w:rFonts w:hint="eastAsia" w:ascii="宋体" w:hAnsi="宋体" w:cs="宋体"/>
                <w:szCs w:val="21"/>
                <w:u w:val="single"/>
              </w:rPr>
              <w:t xml:space="preserve">             </w:t>
            </w:r>
          </w:p>
        </w:tc>
        <w:tc>
          <w:tcPr>
            <w:tcW w:w="2212" w:type="dxa"/>
            <w:noWrap w:val="0"/>
            <w:tcMar>
              <w:top w:w="16" w:type="dxa"/>
              <w:left w:w="16" w:type="dxa"/>
              <w:right w:w="16" w:type="dxa"/>
            </w:tcMar>
            <w:vAlign w:val="center"/>
          </w:tcPr>
          <w:p>
            <w:pPr>
              <w:adjustRightInd w:val="0"/>
              <w:snapToGrid w:val="0"/>
              <w:jc w:val="center"/>
              <w:rPr>
                <w:rFonts w:ascii="宋体" w:hAnsi="宋体" w:cs="宋体"/>
                <w:spacing w:val="-6"/>
                <w:szCs w:val="21"/>
              </w:rPr>
            </w:pPr>
            <w:r>
              <w:rPr>
                <w:rFonts w:hint="eastAsia" w:ascii="宋体" w:hAnsi="宋体" w:cs="宋体"/>
                <w:spacing w:val="-6"/>
                <w:szCs w:val="21"/>
              </w:rPr>
              <w:t>用地（用海）</w:t>
            </w:r>
          </w:p>
          <w:p>
            <w:pPr>
              <w:adjustRightInd w:val="0"/>
              <w:snapToGrid w:val="0"/>
              <w:jc w:val="center"/>
              <w:rPr>
                <w:rFonts w:hint="eastAsia" w:ascii="宋体" w:hAnsi="宋体" w:cs="宋体"/>
                <w:szCs w:val="21"/>
              </w:rPr>
            </w:pPr>
            <w:r>
              <w:rPr>
                <w:rFonts w:hint="eastAsia" w:ascii="宋体" w:hAnsi="宋体" w:cs="宋体"/>
                <w:spacing w:val="-6"/>
                <w:szCs w:val="21"/>
              </w:rPr>
              <w:t>面积</w:t>
            </w:r>
            <w:r>
              <w:rPr>
                <w:rFonts w:hint="default" w:ascii="Times New Roman" w:hAnsi="Times New Roman" w:cs="Times New Roman"/>
                <w:spacing w:val="-6"/>
                <w:szCs w:val="21"/>
              </w:rPr>
              <w:t>（m</w:t>
            </w:r>
            <w:r>
              <w:rPr>
                <w:rFonts w:hint="default" w:ascii="Times New Roman" w:hAnsi="Times New Roman" w:cs="Times New Roman"/>
                <w:spacing w:val="-6"/>
                <w:szCs w:val="21"/>
                <w:vertAlign w:val="superscript"/>
              </w:rPr>
              <w:t>2</w:t>
            </w:r>
            <w:r>
              <w:rPr>
                <w:rFonts w:hint="default" w:ascii="Times New Roman" w:hAnsi="Times New Roman" w:cs="Times New Roman"/>
                <w:spacing w:val="-6"/>
                <w:szCs w:val="21"/>
              </w:rPr>
              <w:t>）</w:t>
            </w:r>
          </w:p>
        </w:tc>
        <w:tc>
          <w:tcPr>
            <w:tcW w:w="2639" w:type="dxa"/>
            <w:noWrap w:val="0"/>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6998.54</w:t>
            </w:r>
            <w:r>
              <w:rPr>
                <w:rFonts w:hint="default" w:ascii="Times New Roman" w:hAnsi="Times New Roman" w:cs="Times New Roman"/>
                <w:spacing w:val="-6"/>
                <w:szCs w:val="21"/>
              </w:rPr>
              <w:t>m</w:t>
            </w:r>
            <w:r>
              <w:rPr>
                <w:rFonts w:hint="default" w:ascii="Times New Roman" w:hAnsi="Times New Roman" w:cs="Times New Roman"/>
                <w:spacing w:val="-6"/>
                <w:szCs w:val="21"/>
                <w:vertAlign w:val="superscript"/>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135" w:type="dxa"/>
            <w:noWrap w:val="0"/>
            <w:vAlign w:val="center"/>
          </w:tcPr>
          <w:p>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专项评价设置情况</w:t>
            </w:r>
          </w:p>
        </w:tc>
        <w:tc>
          <w:tcPr>
            <w:tcW w:w="6735" w:type="dxa"/>
            <w:gridSpan w:val="3"/>
            <w:noWrap w:val="0"/>
            <w:vAlign w:val="center"/>
          </w:tcPr>
          <w:p>
            <w:pPr>
              <w:autoSpaceDE w:val="0"/>
              <w:autoSpaceDN w:val="0"/>
              <w:adjustRightInd w:val="0"/>
              <w:snapToGrid w:val="0"/>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135" w:type="dxa"/>
            <w:noWrap w:val="0"/>
            <w:vAlign w:val="center"/>
          </w:tcPr>
          <w:p>
            <w:pPr>
              <w:autoSpaceDE w:val="0"/>
              <w:autoSpaceDN w:val="0"/>
              <w:adjustRightInd w:val="0"/>
              <w:snapToGrid w:val="0"/>
              <w:jc w:val="center"/>
              <w:rPr>
                <w:rFonts w:hint="eastAsia" w:ascii="宋体" w:hAnsi="宋体" w:cs="宋体"/>
                <w:kern w:val="0"/>
                <w:szCs w:val="21"/>
              </w:rPr>
            </w:pPr>
            <w:r>
              <w:rPr>
                <w:rFonts w:hint="eastAsia" w:ascii="宋体" w:hAnsi="宋体" w:cs="宋体"/>
                <w:szCs w:val="21"/>
              </w:rPr>
              <w:t>规划情况</w:t>
            </w:r>
          </w:p>
        </w:tc>
        <w:tc>
          <w:tcPr>
            <w:tcW w:w="6735" w:type="dxa"/>
            <w:gridSpan w:val="3"/>
            <w:noWrap w:val="0"/>
            <w:vAlign w:val="center"/>
          </w:tcPr>
          <w:p>
            <w:pPr>
              <w:autoSpaceDE w:val="0"/>
              <w:autoSpaceDN w:val="0"/>
              <w:adjustRightInd w:val="0"/>
              <w:snapToGrid w:val="0"/>
              <w:spacing w:line="360" w:lineRule="auto"/>
              <w:rPr>
                <w:rFonts w:hint="default" w:ascii="宋体" w:hAnsi="宋体" w:eastAsia="宋体" w:cs="宋体"/>
                <w:kern w:val="0"/>
                <w:sz w:val="24"/>
                <w:szCs w:val="24"/>
                <w:lang w:val="en-US" w:eastAsia="zh-CN"/>
              </w:rPr>
            </w:pPr>
            <w:r>
              <w:rPr>
                <w:rFonts w:hint="default" w:ascii="Times New Roman" w:hAnsi="Times New Roman" w:eastAsia="宋体" w:cs="Times New Roman"/>
                <w:sz w:val="24"/>
                <w:szCs w:val="24"/>
                <w:u w:val="single"/>
              </w:rPr>
              <w:t>规划文件名称：湘阴县医疗卫生服务体系规划（2016-2020）审批机关：湘阴县人民政府审批文件名称及文号：关于同意《湘阴县医疗卫生服务体系规划（2016-2020年）》的批复，湘阴政函﹝2016﹞196号</w:t>
            </w:r>
            <w:r>
              <w:rPr>
                <w:rFonts w:hint="eastAsia" w:cs="Times New Roman"/>
                <w:sz w:val="24"/>
                <w:szCs w:val="24"/>
                <w:u w:val="single"/>
                <w:lang w:eastAsia="zh-CN"/>
              </w:rPr>
              <w:t>。</w:t>
            </w:r>
            <w:r>
              <w:rPr>
                <w:rFonts w:hint="eastAsia" w:cs="Times New Roman"/>
                <w:sz w:val="24"/>
                <w:szCs w:val="24"/>
                <w:u w:val="single"/>
                <w:lang w:val="en-US" w:eastAsia="zh-CN"/>
              </w:rPr>
              <w:t>湘阴县暂未发布新的</w:t>
            </w:r>
            <w:r>
              <w:rPr>
                <w:rFonts w:hint="default" w:ascii="Times New Roman" w:hAnsi="Times New Roman" w:eastAsia="宋体" w:cs="Times New Roman"/>
                <w:sz w:val="24"/>
                <w:szCs w:val="24"/>
                <w:u w:val="single"/>
              </w:rPr>
              <w:t>医疗卫生服务体系规划</w:t>
            </w:r>
            <w:r>
              <w:rPr>
                <w:rFonts w:hint="eastAsia" w:cs="Times New Roman"/>
                <w:sz w:val="24"/>
                <w:szCs w:val="24"/>
                <w:u w:val="single"/>
                <w:lang w:eastAsia="zh-CN"/>
              </w:rPr>
              <w:t>，</w:t>
            </w:r>
            <w:r>
              <w:rPr>
                <w:rFonts w:hint="eastAsia" w:cs="Times New Roman"/>
                <w:sz w:val="24"/>
                <w:szCs w:val="24"/>
                <w:u w:val="single"/>
                <w:lang w:val="en-US" w:eastAsia="zh-CN"/>
              </w:rPr>
              <w:t>因此该医疗规划仍然有效。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135" w:type="dxa"/>
            <w:noWrap w:val="0"/>
            <w:vAlign w:val="center"/>
          </w:tcPr>
          <w:p>
            <w:pPr>
              <w:adjustRightInd w:val="0"/>
              <w:snapToGrid w:val="0"/>
              <w:jc w:val="center"/>
              <w:rPr>
                <w:rFonts w:ascii="宋体" w:hAnsi="宋体" w:cs="宋体"/>
                <w:szCs w:val="21"/>
              </w:rPr>
            </w:pPr>
            <w:r>
              <w:rPr>
                <w:rFonts w:hint="eastAsia" w:ascii="宋体" w:hAnsi="宋体" w:cs="宋体"/>
                <w:szCs w:val="21"/>
              </w:rPr>
              <w:t>规划环境影响</w:t>
            </w:r>
          </w:p>
          <w:p>
            <w:pPr>
              <w:adjustRightInd w:val="0"/>
              <w:snapToGrid w:val="0"/>
              <w:jc w:val="center"/>
              <w:rPr>
                <w:rFonts w:hint="eastAsia" w:ascii="宋体" w:hAnsi="宋体" w:cs="宋体"/>
                <w:kern w:val="0"/>
                <w:szCs w:val="21"/>
              </w:rPr>
            </w:pPr>
            <w:r>
              <w:rPr>
                <w:rFonts w:hint="eastAsia" w:ascii="宋体" w:hAnsi="宋体" w:cs="宋体"/>
                <w:szCs w:val="21"/>
              </w:rPr>
              <w:t>评价情况</w:t>
            </w:r>
          </w:p>
        </w:tc>
        <w:tc>
          <w:tcPr>
            <w:tcW w:w="6735" w:type="dxa"/>
            <w:gridSpan w:val="3"/>
            <w:noWrap w:val="0"/>
            <w:vAlign w:val="center"/>
          </w:tcPr>
          <w:p>
            <w:pPr>
              <w:autoSpaceDE w:val="0"/>
              <w:autoSpaceDN w:val="0"/>
              <w:adjustRightInd w:val="0"/>
              <w:snapToGrid w:val="0"/>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无</w:t>
            </w:r>
          </w:p>
        </w:tc>
      </w:tr>
    </w:tbl>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2"/>
        <w:gridCol w:w="845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47" w:hRule="atLeast"/>
          <w:jc w:val="center"/>
        </w:trPr>
        <w:tc>
          <w:tcPr>
            <w:tcW w:w="412" w:type="dxa"/>
            <w:noWrap w:val="0"/>
            <w:vAlign w:val="center"/>
          </w:tcPr>
          <w:p>
            <w:pPr>
              <w:autoSpaceDE w:val="0"/>
              <w:autoSpaceDN w:val="0"/>
              <w:adjustRightInd w:val="0"/>
              <w:snapToGrid w:val="0"/>
              <w:jc w:val="center"/>
              <w:rPr>
                <w:rFonts w:hint="eastAsia" w:ascii="宋体" w:hAnsi="宋体" w:cs="宋体"/>
                <w:kern w:val="0"/>
                <w:szCs w:val="21"/>
              </w:rPr>
            </w:pPr>
            <w:r>
              <w:rPr>
                <w:rFonts w:hint="eastAsia" w:ascii="宋体" w:hAnsi="宋体" w:cs="宋体"/>
                <w:kern w:val="0"/>
                <w:szCs w:val="21"/>
              </w:rPr>
              <w:t>规划及规划环境</w:t>
            </w:r>
          </w:p>
          <w:p>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影响评价符合性分析</w:t>
            </w:r>
          </w:p>
        </w:tc>
        <w:tc>
          <w:tcPr>
            <w:tcW w:w="8458" w:type="dxa"/>
            <w:noWrap w:val="0"/>
            <w:vAlign w:val="center"/>
          </w:tcPr>
          <w:p>
            <w:pPr>
              <w:keepNext w:val="0"/>
              <w:keepLines w:val="0"/>
              <w:pageBreakBefore w:val="0"/>
              <w:kinsoku/>
              <w:wordWrap/>
              <w:overflowPunct/>
              <w:topLinePunct w:val="0"/>
              <w:bidi w:val="0"/>
              <w:spacing w:line="360" w:lineRule="auto"/>
              <w:ind w:firstLine="480" w:firstLineChars="200"/>
              <w:jc w:val="both"/>
              <w:textAlignment w:val="auto"/>
              <w:rPr>
                <w:rFonts w:hint="default" w:ascii="Times New Roman" w:hAnsi="Times New Roman" w:eastAsia="宋体" w:cs="Times New Roman"/>
                <w:sz w:val="24"/>
                <w:szCs w:val="24"/>
                <w:u w:val="none"/>
              </w:rPr>
            </w:pPr>
            <w:r>
              <w:rPr>
                <w:rFonts w:hint="default" w:ascii="Times New Roman" w:hAnsi="Times New Roman" w:eastAsia="宋体" w:cs="Times New Roman"/>
                <w:sz w:val="24"/>
                <w:szCs w:val="24"/>
                <w:u w:val="none"/>
              </w:rPr>
              <w:t>项目建设与《湘阴县医疗卫生服务体系规划（2016-2020年）》相符性分析</w:t>
            </w:r>
          </w:p>
          <w:p>
            <w:pPr>
              <w:keepNext w:val="0"/>
              <w:keepLines w:val="0"/>
              <w:pageBreakBefore w:val="0"/>
              <w:numPr>
                <w:ilvl w:val="0"/>
                <w:numId w:val="3"/>
              </w:numPr>
              <w:kinsoku/>
              <w:wordWrap/>
              <w:overflowPunct/>
              <w:topLinePunct w:val="0"/>
              <w:bidi w:val="0"/>
              <w:spacing w:line="360" w:lineRule="auto"/>
              <w:ind w:firstLine="480" w:firstLineChars="200"/>
              <w:jc w:val="both"/>
              <w:textAlignment w:val="auto"/>
              <w:rPr>
                <w:rFonts w:hint="default" w:ascii="Times New Roman" w:hAnsi="Times New Roman" w:eastAsia="宋体" w:cs="Times New Roman"/>
                <w:sz w:val="24"/>
                <w:szCs w:val="24"/>
                <w:u w:val="none"/>
              </w:rPr>
            </w:pPr>
            <w:r>
              <w:rPr>
                <w:rFonts w:hint="default" w:ascii="Times New Roman" w:hAnsi="Times New Roman" w:eastAsia="宋体" w:cs="Times New Roman"/>
                <w:sz w:val="24"/>
                <w:szCs w:val="24"/>
                <w:u w:val="none"/>
              </w:rPr>
              <w:t>规划范围</w:t>
            </w:r>
          </w:p>
          <w:p>
            <w:pPr>
              <w:keepNext w:val="0"/>
              <w:keepLines w:val="0"/>
              <w:pageBreakBefore w:val="0"/>
              <w:numPr>
                <w:ilvl w:val="0"/>
                <w:numId w:val="0"/>
              </w:numPr>
              <w:kinsoku/>
              <w:wordWrap/>
              <w:overflowPunct/>
              <w:topLinePunct w:val="0"/>
              <w:bidi w:val="0"/>
              <w:spacing w:line="360" w:lineRule="auto"/>
              <w:ind w:firstLine="480" w:firstLineChars="200"/>
              <w:jc w:val="both"/>
              <w:textAlignment w:val="auto"/>
              <w:rPr>
                <w:rFonts w:hint="default" w:ascii="Times New Roman" w:hAnsi="Times New Roman" w:eastAsia="宋体" w:cs="Times New Roman"/>
                <w:sz w:val="24"/>
                <w:szCs w:val="24"/>
                <w:u w:val="none"/>
              </w:rPr>
            </w:pPr>
            <w:r>
              <w:rPr>
                <w:rFonts w:hint="default" w:ascii="Times New Roman" w:hAnsi="Times New Roman" w:eastAsia="宋体" w:cs="Times New Roman"/>
                <w:sz w:val="24"/>
                <w:szCs w:val="24"/>
                <w:u w:val="none"/>
              </w:rPr>
              <w:t>规划范围为湘阴县行政辖区，面积1581.5平方公里。包括14个乡镇，69.92万人口。14个乡镇：南湖镇、湘滨镇、新泉镇、岭北镇、文星镇、金龙镇、东塘镇、鹤龙湖镇、玉华镇、樟树镇、杨林寨乡、静河镇、六塘乡、三塘镇。</w:t>
            </w:r>
          </w:p>
          <w:p>
            <w:pPr>
              <w:keepNext w:val="0"/>
              <w:keepLines w:val="0"/>
              <w:pageBreakBefore w:val="0"/>
              <w:numPr>
                <w:ilvl w:val="0"/>
                <w:numId w:val="0"/>
              </w:numPr>
              <w:kinsoku/>
              <w:wordWrap/>
              <w:overflowPunct/>
              <w:topLinePunct w:val="0"/>
              <w:bidi w:val="0"/>
              <w:spacing w:line="360" w:lineRule="auto"/>
              <w:ind w:firstLine="480" w:firstLineChars="200"/>
              <w:jc w:val="both"/>
              <w:textAlignment w:val="auto"/>
              <w:rPr>
                <w:rFonts w:hint="default" w:ascii="Times New Roman" w:hAnsi="Times New Roman" w:eastAsia="宋体" w:cs="Times New Roman"/>
                <w:sz w:val="24"/>
                <w:szCs w:val="24"/>
                <w:u w:val="none"/>
              </w:rPr>
            </w:pPr>
            <w:r>
              <w:rPr>
                <w:rFonts w:hint="default" w:ascii="Times New Roman" w:hAnsi="Times New Roman" w:eastAsia="宋体" w:cs="Times New Roman"/>
                <w:sz w:val="24"/>
                <w:szCs w:val="24"/>
                <w:u w:val="none"/>
              </w:rPr>
              <w:t>本项目选址于湘阴县洋沙湖镇（原袁家铺镇）洋沙湖村（原友爱村）</w:t>
            </w:r>
            <w:r>
              <w:rPr>
                <w:rFonts w:hint="default" w:ascii="Times New Roman" w:hAnsi="Times New Roman" w:eastAsia="宋体" w:cs="Times New Roman"/>
                <w:sz w:val="24"/>
                <w:szCs w:val="24"/>
                <w:u w:val="none"/>
                <w:lang w:eastAsia="zh-CN"/>
              </w:rPr>
              <w:t>。</w:t>
            </w:r>
            <w:r>
              <w:rPr>
                <w:rFonts w:hint="default" w:ascii="Times New Roman" w:hAnsi="Times New Roman" w:eastAsia="宋体" w:cs="Times New Roman"/>
                <w:sz w:val="24"/>
                <w:szCs w:val="24"/>
                <w:u w:val="none"/>
                <w:lang w:val="en-US" w:eastAsia="zh-CN"/>
              </w:rPr>
              <w:t>2019年11月，湖南省民政厅批准湘阴县撤销文星镇，新设立洋沙湖镇，因此，本项目</w:t>
            </w:r>
            <w:r>
              <w:rPr>
                <w:rFonts w:hint="default" w:ascii="Times New Roman" w:hAnsi="Times New Roman" w:eastAsia="宋体" w:cs="Times New Roman"/>
                <w:sz w:val="24"/>
                <w:szCs w:val="24"/>
                <w:u w:val="none"/>
              </w:rPr>
              <w:t>在其规划范围内。</w:t>
            </w:r>
          </w:p>
          <w:p>
            <w:pPr>
              <w:keepNext w:val="0"/>
              <w:keepLines w:val="0"/>
              <w:pageBreakBefore w:val="0"/>
              <w:numPr>
                <w:ilvl w:val="0"/>
                <w:numId w:val="3"/>
              </w:numPr>
              <w:kinsoku/>
              <w:wordWrap/>
              <w:overflowPunct/>
              <w:topLinePunct w:val="0"/>
              <w:bidi w:val="0"/>
              <w:spacing w:line="360" w:lineRule="auto"/>
              <w:ind w:left="0" w:leftChars="0" w:firstLine="480" w:firstLineChars="200"/>
              <w:jc w:val="both"/>
              <w:textAlignment w:val="auto"/>
              <w:rPr>
                <w:rFonts w:hint="default" w:ascii="Times New Roman" w:hAnsi="Times New Roman" w:eastAsia="宋体" w:cs="Times New Roman"/>
                <w:sz w:val="24"/>
                <w:szCs w:val="24"/>
                <w:u w:val="none"/>
              </w:rPr>
            </w:pPr>
            <w:r>
              <w:rPr>
                <w:rFonts w:hint="default" w:ascii="Times New Roman" w:hAnsi="Times New Roman" w:eastAsia="宋体" w:cs="Times New Roman"/>
                <w:sz w:val="24"/>
                <w:szCs w:val="24"/>
                <w:u w:val="none"/>
              </w:rPr>
              <w:t>规划内容</w:t>
            </w:r>
          </w:p>
          <w:p>
            <w:pPr>
              <w:keepNext w:val="0"/>
              <w:keepLines w:val="0"/>
              <w:pageBreakBefore w:val="0"/>
              <w:numPr>
                <w:ilvl w:val="0"/>
                <w:numId w:val="0"/>
              </w:numPr>
              <w:kinsoku/>
              <w:wordWrap/>
              <w:overflowPunct/>
              <w:topLinePunct w:val="0"/>
              <w:bidi w:val="0"/>
              <w:spacing w:line="360" w:lineRule="auto"/>
              <w:ind w:leftChars="0" w:firstLine="480" w:firstLineChars="200"/>
              <w:jc w:val="both"/>
              <w:textAlignment w:val="auto"/>
              <w:rPr>
                <w:rFonts w:hint="default" w:ascii="Times New Roman" w:hAnsi="Times New Roman" w:eastAsia="宋体" w:cs="Times New Roman"/>
                <w:sz w:val="24"/>
                <w:szCs w:val="24"/>
                <w:u w:val="none"/>
              </w:rPr>
            </w:pPr>
            <w:r>
              <w:rPr>
                <w:rFonts w:hint="default" w:ascii="Times New Roman" w:hAnsi="Times New Roman" w:eastAsia="宋体" w:cs="Times New Roman"/>
                <w:sz w:val="24"/>
                <w:szCs w:val="24"/>
                <w:u w:val="none"/>
              </w:rPr>
              <w:t>规划内容包括医院、基层医疗卫生机构、专业公共卫生服务机构和其他医疗卫生机构。</w:t>
            </w:r>
          </w:p>
          <w:p>
            <w:pPr>
              <w:keepNext w:val="0"/>
              <w:keepLines w:val="0"/>
              <w:pageBreakBefore w:val="0"/>
              <w:numPr>
                <w:ilvl w:val="0"/>
                <w:numId w:val="0"/>
              </w:numPr>
              <w:kinsoku/>
              <w:wordWrap/>
              <w:overflowPunct/>
              <w:topLinePunct w:val="0"/>
              <w:bidi w:val="0"/>
              <w:spacing w:line="360" w:lineRule="auto"/>
              <w:ind w:firstLine="480" w:firstLineChars="200"/>
              <w:jc w:val="both"/>
              <w:textAlignment w:val="auto"/>
              <w:rPr>
                <w:rFonts w:hint="default" w:ascii="Times New Roman" w:hAnsi="Times New Roman" w:eastAsia="宋体" w:cs="Times New Roman"/>
                <w:sz w:val="24"/>
                <w:szCs w:val="24"/>
                <w:u w:val="none"/>
              </w:rPr>
            </w:pPr>
            <w:r>
              <w:rPr>
                <w:rFonts w:hint="default" w:ascii="Times New Roman" w:hAnsi="Times New Roman" w:eastAsia="宋体" w:cs="Times New Roman"/>
                <w:sz w:val="24"/>
                <w:szCs w:val="24"/>
                <w:u w:val="none"/>
              </w:rPr>
              <w:t>医院包括公立医院（县人民医院、县中医院、县第三人民医院、县妇幼保健院、康复医院）和社会办医院（综合医院和专科医院）。基层卫生机构包括乡镇（中心）卫生院、诊所和村卫生室。专业公共卫生机构包括疾病预防控制机构、卫生监督机构、精神卫生机构等。专业公共卫生机构和其他医疗机构不设病床。本项目属于</w:t>
            </w:r>
            <w:r>
              <w:rPr>
                <w:rFonts w:hint="default" w:ascii="Times New Roman" w:hAnsi="Times New Roman" w:eastAsia="宋体" w:cs="Times New Roman"/>
                <w:sz w:val="24"/>
                <w:szCs w:val="24"/>
                <w:u w:val="none"/>
                <w:lang w:val="en-US" w:eastAsia="zh-CN"/>
              </w:rPr>
              <w:t>公立医院</w:t>
            </w:r>
            <w:r>
              <w:rPr>
                <w:rFonts w:hint="default" w:ascii="Times New Roman" w:hAnsi="Times New Roman" w:eastAsia="宋体" w:cs="Times New Roman"/>
                <w:sz w:val="24"/>
                <w:szCs w:val="24"/>
                <w:u w:val="none"/>
              </w:rPr>
              <w:t>的县妇幼保健院。</w:t>
            </w:r>
          </w:p>
          <w:p>
            <w:pPr>
              <w:keepNext w:val="0"/>
              <w:keepLines w:val="0"/>
              <w:pageBreakBefore w:val="0"/>
              <w:numPr>
                <w:ilvl w:val="0"/>
                <w:numId w:val="3"/>
              </w:numPr>
              <w:kinsoku/>
              <w:wordWrap/>
              <w:overflowPunct/>
              <w:topLinePunct w:val="0"/>
              <w:bidi w:val="0"/>
              <w:spacing w:line="360" w:lineRule="auto"/>
              <w:ind w:left="0" w:leftChars="0" w:firstLine="480" w:firstLineChars="200"/>
              <w:jc w:val="both"/>
              <w:textAlignment w:val="auto"/>
              <w:rPr>
                <w:rFonts w:hint="default" w:ascii="Times New Roman" w:hAnsi="Times New Roman" w:eastAsia="宋体" w:cs="Times New Roman"/>
                <w:sz w:val="24"/>
                <w:szCs w:val="24"/>
                <w:u w:val="none"/>
              </w:rPr>
            </w:pPr>
            <w:r>
              <w:rPr>
                <w:rFonts w:hint="default" w:ascii="Times New Roman" w:hAnsi="Times New Roman" w:eastAsia="宋体" w:cs="Times New Roman"/>
                <w:sz w:val="24"/>
                <w:szCs w:val="24"/>
                <w:u w:val="none"/>
              </w:rPr>
              <w:t>社会办医院建设规划</w:t>
            </w:r>
          </w:p>
          <w:p>
            <w:pPr>
              <w:keepNext w:val="0"/>
              <w:keepLines w:val="0"/>
              <w:pageBreakBefore w:val="0"/>
              <w:numPr>
                <w:ilvl w:val="0"/>
                <w:numId w:val="4"/>
              </w:numPr>
              <w:kinsoku/>
              <w:wordWrap/>
              <w:overflowPunct/>
              <w:topLinePunct w:val="0"/>
              <w:bidi w:val="0"/>
              <w:spacing w:line="360" w:lineRule="auto"/>
              <w:ind w:leftChars="0" w:firstLine="480" w:firstLineChars="200"/>
              <w:jc w:val="both"/>
              <w:textAlignment w:val="auto"/>
              <w:rPr>
                <w:rFonts w:hint="default" w:ascii="Times New Roman" w:hAnsi="Times New Roman" w:eastAsia="宋体" w:cs="Times New Roman"/>
                <w:sz w:val="24"/>
                <w:szCs w:val="24"/>
                <w:u w:val="none"/>
              </w:rPr>
            </w:pPr>
            <w:r>
              <w:rPr>
                <w:rFonts w:hint="default" w:ascii="Times New Roman" w:hAnsi="Times New Roman" w:eastAsia="宋体" w:cs="Times New Roman"/>
                <w:sz w:val="24"/>
                <w:szCs w:val="24"/>
                <w:u w:val="none"/>
              </w:rPr>
              <w:t>鼓励社会办医向高端化、专科化发展。湘阴县社会办医疗资源丰富，作为医疗卫生服务体系不可或缺的组成部分，较好地满足了人民群众多层次、多元化医疗服务需求的有效途径。鼓励社会办医院提供基本医疗服务，与公立医院形成有序竞争；鼓励社会办医院提供高端服务，满足非基本需求；鼓励社会办医院提供走专科发展方向如精神科、口腔科、眼科专科、微创外科、康复、老年护理等紧缺服务，对公立医院形成补充。</w:t>
            </w:r>
          </w:p>
          <w:p>
            <w:pPr>
              <w:keepNext w:val="0"/>
              <w:keepLines w:val="0"/>
              <w:pageBreakBefore w:val="0"/>
              <w:numPr>
                <w:ilvl w:val="0"/>
                <w:numId w:val="4"/>
              </w:numPr>
              <w:kinsoku/>
              <w:wordWrap/>
              <w:overflowPunct/>
              <w:topLinePunct w:val="0"/>
              <w:bidi w:val="0"/>
              <w:spacing w:line="360" w:lineRule="auto"/>
              <w:ind w:left="0" w:leftChars="0" w:firstLine="480" w:firstLineChars="200"/>
              <w:jc w:val="both"/>
              <w:textAlignment w:val="auto"/>
              <w:rPr>
                <w:rFonts w:hint="default" w:ascii="Times New Roman" w:hAnsi="Times New Roman" w:eastAsia="宋体" w:cs="Times New Roman"/>
                <w:sz w:val="24"/>
                <w:szCs w:val="24"/>
                <w:u w:val="none"/>
              </w:rPr>
            </w:pPr>
            <w:r>
              <w:rPr>
                <w:rFonts w:hint="default" w:ascii="Times New Roman" w:hAnsi="Times New Roman" w:eastAsia="宋体" w:cs="Times New Roman"/>
                <w:sz w:val="24"/>
                <w:szCs w:val="24"/>
                <w:u w:val="none"/>
              </w:rPr>
              <w:t>为社会办医院预留空间。到2020年，按照每千常住人口不低于1.0张床位为社会办医院预留规划空间，同步预留诊疗科目设置和大型医用设备配置空间。鼓励社会力量举办中医类专科医院、康复医院、护理院（站）、口腔疾病、眼科、老年病和慢性病诊疗机构等各类医疗机构，优先支持举办非营利性医疗机构。引导社会办医院向高水平、规模化方向发展，发展专业性医院管理集团。支持社会办医院合理配备大型医用设备。加快办理审批手续，对具备相应资质的社会办医院，应按照规定予以批准，简化审批流程，提高审批效率。</w:t>
            </w:r>
          </w:p>
          <w:p>
            <w:pPr>
              <w:keepNext w:val="0"/>
              <w:keepLines w:val="0"/>
              <w:pageBreakBefore w:val="0"/>
              <w:numPr>
                <w:ilvl w:val="0"/>
                <w:numId w:val="4"/>
              </w:numPr>
              <w:kinsoku/>
              <w:wordWrap/>
              <w:overflowPunct/>
              <w:topLinePunct w:val="0"/>
              <w:bidi w:val="0"/>
              <w:spacing w:line="360" w:lineRule="auto"/>
              <w:ind w:left="0" w:leftChars="0" w:firstLine="480" w:firstLineChars="200"/>
              <w:jc w:val="both"/>
              <w:textAlignment w:val="auto"/>
              <w:rPr>
                <w:rFonts w:hint="default" w:ascii="Times New Roman" w:hAnsi="Times New Roman" w:eastAsia="宋体" w:cs="Times New Roman"/>
                <w:sz w:val="24"/>
                <w:szCs w:val="24"/>
                <w:u w:val="none"/>
              </w:rPr>
            </w:pPr>
            <w:r>
              <w:rPr>
                <w:rFonts w:hint="default" w:ascii="Times New Roman" w:hAnsi="Times New Roman" w:eastAsia="宋体" w:cs="Times New Roman"/>
                <w:sz w:val="24"/>
                <w:szCs w:val="24"/>
                <w:u w:val="none"/>
              </w:rPr>
              <w:t>社会办医发展项目。2016-2018年，完成精神病专科医院整体迁建项目建设，建筑面积14265</w:t>
            </w:r>
            <w:r>
              <w:rPr>
                <w:rFonts w:hint="eastAsia" w:cs="Times New Roman"/>
                <w:sz w:val="24"/>
                <w:szCs w:val="24"/>
                <w:u w:val="none"/>
                <w:lang w:eastAsia="zh-CN"/>
              </w:rPr>
              <w:t>平方米</w:t>
            </w:r>
            <w:r>
              <w:rPr>
                <w:rFonts w:hint="default" w:ascii="Times New Roman" w:hAnsi="Times New Roman" w:eastAsia="宋体" w:cs="Times New Roman"/>
                <w:sz w:val="24"/>
                <w:szCs w:val="24"/>
                <w:u w:val="none"/>
              </w:rPr>
              <w:t>，计划投资2367万元。2016-2020年，引导和支持社会资本转型1-2所老年护理、康复、医疗美容、临终关怀、医学检验等新兴和急需的健康服务机构、特需医疗服务机构。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u w:val="none"/>
              </w:rPr>
            </w:pPr>
            <w:r>
              <w:rPr>
                <w:rFonts w:hint="eastAsia" w:ascii="宋体" w:hAnsi="宋体" w:eastAsia="宋体" w:cs="宋体"/>
                <w:sz w:val="24"/>
                <w:szCs w:val="24"/>
                <w:lang w:val="en-US" w:eastAsia="zh-CN"/>
              </w:rPr>
              <w:t>项目的建设是湘阴县妇女儿童医院（二期）建设项目功能的完善和补充；迎合了国家全面两孩政策实施，满足地区妇女儿童医疗服务需求的需要；同时也加快了医院自身发展，提高综合竞争能力的需要。</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kern w:val="0"/>
                <w:sz w:val="24"/>
                <w:szCs w:val="24"/>
              </w:rPr>
            </w:pPr>
            <w:r>
              <w:rPr>
                <w:rFonts w:hint="default" w:ascii="Times New Roman" w:hAnsi="Times New Roman" w:eastAsia="宋体" w:cs="Times New Roman"/>
                <w:sz w:val="24"/>
                <w:szCs w:val="24"/>
                <w:u w:val="none"/>
              </w:rPr>
              <w:t>综上</w:t>
            </w:r>
            <w:r>
              <w:rPr>
                <w:rFonts w:hint="default" w:ascii="Times New Roman" w:hAnsi="Times New Roman" w:eastAsia="宋体" w:cs="Times New Roman"/>
                <w:sz w:val="24"/>
                <w:szCs w:val="24"/>
                <w:u w:val="none"/>
                <w:lang w:val="en-US" w:eastAsia="zh-CN"/>
              </w:rPr>
              <w:t>所述</w:t>
            </w:r>
            <w:r>
              <w:rPr>
                <w:rFonts w:hint="default" w:ascii="Times New Roman" w:hAnsi="Times New Roman" w:eastAsia="宋体" w:cs="Times New Roman"/>
                <w:sz w:val="24"/>
                <w:szCs w:val="24"/>
                <w:u w:val="none"/>
              </w:rPr>
              <w:t>，本项目建设与《湘阴县医疗卫生服务体系规划（2016-2020年）》相符。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412" w:type="dxa"/>
            <w:noWrap w:val="0"/>
            <w:vAlign w:val="center"/>
          </w:tcPr>
          <w:p>
            <w:pPr>
              <w:autoSpaceDE w:val="0"/>
              <w:autoSpaceDN w:val="0"/>
              <w:adjustRightInd w:val="0"/>
              <w:snapToGrid w:val="0"/>
              <w:jc w:val="center"/>
              <w:rPr>
                <w:rFonts w:hint="eastAsia" w:ascii="宋体" w:hAnsi="宋体" w:cs="宋体"/>
                <w:kern w:val="0"/>
                <w:szCs w:val="21"/>
              </w:rPr>
            </w:pPr>
            <w:r>
              <w:rPr>
                <w:rFonts w:hint="eastAsia" w:ascii="宋体" w:hAnsi="宋体" w:cs="宋体"/>
                <w:kern w:val="0"/>
                <w:szCs w:val="21"/>
              </w:rPr>
              <w:t>其他符合性分析</w:t>
            </w:r>
          </w:p>
        </w:tc>
        <w:tc>
          <w:tcPr>
            <w:tcW w:w="8458" w:type="dxa"/>
            <w:noWrap w:val="0"/>
            <w:vAlign w:val="center"/>
          </w:tcPr>
          <w:p>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sz w:val="24"/>
                <w:szCs w:val="24"/>
                <w:u w:val="none"/>
              </w:rPr>
            </w:pPr>
            <w:r>
              <w:rPr>
                <w:rFonts w:hint="eastAsia" w:ascii="宋体" w:hAnsi="宋体" w:eastAsia="宋体" w:cs="宋体"/>
                <w:b/>
                <w:sz w:val="24"/>
                <w:szCs w:val="24"/>
                <w:u w:val="none"/>
              </w:rPr>
              <w:t>1、产业政策符合性分析</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本项目</w:t>
            </w:r>
            <w:r>
              <w:rPr>
                <w:rFonts w:hint="eastAsia" w:cs="Times New Roman"/>
                <w:sz w:val="24"/>
                <w:szCs w:val="24"/>
                <w:u w:val="single"/>
                <w:lang w:val="en-US" w:eastAsia="zh-CN"/>
              </w:rPr>
              <w:t>为</w:t>
            </w:r>
            <w:r>
              <w:rPr>
                <w:rFonts w:hint="eastAsia" w:ascii="Times New Roman" w:hAnsi="Times New Roman" w:eastAsia="宋体" w:cs="Times New Roman"/>
                <w:sz w:val="24"/>
                <w:szCs w:val="24"/>
                <w:u w:val="single"/>
                <w:lang w:val="en-US" w:eastAsia="zh-CN"/>
              </w:rPr>
              <w:t>热力生产和供应工程</w:t>
            </w:r>
            <w:r>
              <w:rPr>
                <w:rFonts w:hint="default" w:ascii="Times New Roman" w:hAnsi="Times New Roman" w:eastAsia="宋体" w:cs="Times New Roman"/>
                <w:sz w:val="24"/>
                <w:szCs w:val="24"/>
                <w:u w:val="single"/>
              </w:rPr>
              <w:t>，根据《产业结构调整指导目录</w:t>
            </w:r>
            <w:r>
              <w:rPr>
                <w:rFonts w:hint="eastAsia" w:cs="Times New Roman"/>
                <w:sz w:val="24"/>
                <w:szCs w:val="24"/>
                <w:u w:val="single"/>
                <w:lang w:eastAsia="zh-CN"/>
              </w:rPr>
              <w:t>（</w:t>
            </w:r>
            <w:r>
              <w:rPr>
                <w:rFonts w:hint="default" w:ascii="Times New Roman" w:hAnsi="Times New Roman" w:eastAsia="宋体" w:cs="Times New Roman"/>
                <w:sz w:val="24"/>
                <w:szCs w:val="24"/>
                <w:u w:val="single"/>
              </w:rPr>
              <w:t>2019年本</w:t>
            </w:r>
            <w:r>
              <w:rPr>
                <w:rFonts w:hint="eastAsia" w:cs="Times New Roman"/>
                <w:sz w:val="24"/>
                <w:szCs w:val="24"/>
                <w:u w:val="single"/>
                <w:lang w:eastAsia="zh-CN"/>
              </w:rPr>
              <w:t>）</w:t>
            </w:r>
            <w:r>
              <w:rPr>
                <w:rFonts w:hint="default" w:ascii="Times New Roman" w:hAnsi="Times New Roman" w:eastAsia="宋体" w:cs="Times New Roman"/>
                <w:sz w:val="24"/>
                <w:szCs w:val="24"/>
                <w:u w:val="single"/>
              </w:rPr>
              <w:t>》</w:t>
            </w:r>
            <w:r>
              <w:rPr>
                <w:rFonts w:hint="eastAsia" w:cs="Times New Roman"/>
                <w:sz w:val="24"/>
                <w:szCs w:val="24"/>
                <w:u w:val="single"/>
                <w:lang w:eastAsia="zh-CN"/>
              </w:rPr>
              <w:t>，</w:t>
            </w:r>
            <w:r>
              <w:rPr>
                <w:rFonts w:hint="eastAsia" w:ascii="Times New Roman" w:hAnsi="Times New Roman" w:eastAsia="宋体" w:cs="Times New Roman"/>
                <w:sz w:val="24"/>
                <w:szCs w:val="24"/>
                <w:u w:val="single"/>
                <w:lang w:val="en-US" w:eastAsia="zh-CN"/>
              </w:rPr>
              <w:t>本项目不属于其中的限制类和禁止类项目</w:t>
            </w:r>
            <w:r>
              <w:rPr>
                <w:rFonts w:hint="default" w:ascii="Times New Roman" w:hAnsi="Times New Roman" w:eastAsia="宋体" w:cs="Times New Roman"/>
                <w:sz w:val="24"/>
                <w:szCs w:val="24"/>
                <w:u w:val="single"/>
              </w:rPr>
              <w:t>，</w:t>
            </w:r>
            <w:r>
              <w:rPr>
                <w:rFonts w:hint="eastAsia" w:eastAsia="宋体" w:cs="Times New Roman"/>
                <w:sz w:val="24"/>
                <w:szCs w:val="24"/>
                <w:u w:val="single"/>
                <w:lang w:val="en-US" w:eastAsia="zh-CN"/>
              </w:rPr>
              <w:t>为国家允许建设项目，</w:t>
            </w:r>
            <w:r>
              <w:rPr>
                <w:rFonts w:hint="default" w:ascii="Times New Roman" w:hAnsi="Times New Roman" w:eastAsia="宋体" w:cs="Times New Roman"/>
                <w:sz w:val="24"/>
                <w:szCs w:val="24"/>
                <w:u w:val="single"/>
              </w:rPr>
              <w:t>符合国家产业政策。</w:t>
            </w:r>
          </w:p>
          <w:p>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u w:val="none"/>
              </w:rPr>
            </w:pPr>
            <w:r>
              <w:rPr>
                <w:rFonts w:hint="eastAsia" w:ascii="宋体" w:hAnsi="宋体" w:eastAsia="宋体" w:cs="宋体"/>
                <w:b/>
                <w:sz w:val="24"/>
                <w:szCs w:val="24"/>
                <w:u w:val="none"/>
              </w:rPr>
              <w:t>2、</w:t>
            </w:r>
            <w:r>
              <w:rPr>
                <w:rFonts w:hint="eastAsia" w:ascii="宋体" w:hAnsi="宋体" w:eastAsia="宋体" w:cs="宋体"/>
                <w:b/>
                <w:bCs/>
                <w:sz w:val="24"/>
                <w:szCs w:val="24"/>
                <w:u w:val="none"/>
              </w:rPr>
              <w:t>项目选址的合理性分析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u w:val="none"/>
              </w:rPr>
            </w:pPr>
            <w:r>
              <w:rPr>
                <w:rFonts w:hint="eastAsia" w:ascii="宋体" w:hAnsi="宋体" w:eastAsia="宋体" w:cs="宋体"/>
                <w:sz w:val="24"/>
                <w:szCs w:val="24"/>
                <w:u w:val="single"/>
              </w:rPr>
              <w:t>本项目为</w:t>
            </w:r>
            <w:r>
              <w:rPr>
                <w:rFonts w:hint="eastAsia" w:ascii="Times New Roman" w:hAnsi="Times New Roman" w:eastAsia="宋体" w:cs="Times New Roman"/>
                <w:sz w:val="24"/>
                <w:szCs w:val="24"/>
                <w:u w:val="single"/>
                <w:lang w:val="en-US" w:eastAsia="zh-CN"/>
              </w:rPr>
              <w:t>热力生产和供应工程</w:t>
            </w:r>
            <w:r>
              <w:rPr>
                <w:rFonts w:hint="eastAsia" w:cs="Times New Roman"/>
                <w:sz w:val="24"/>
                <w:szCs w:val="24"/>
                <w:u w:val="single"/>
                <w:lang w:val="en-US" w:eastAsia="zh-CN"/>
              </w:rPr>
              <w:t>，为</w:t>
            </w:r>
            <w:r>
              <w:rPr>
                <w:rFonts w:hint="eastAsia" w:ascii="宋体" w:hAnsi="宋体" w:cs="宋体"/>
                <w:sz w:val="24"/>
                <w:szCs w:val="24"/>
                <w:u w:val="single"/>
                <w:lang w:val="en-US" w:eastAsia="zh-CN"/>
              </w:rPr>
              <w:t>城发月子中心和湘阴县妇女儿童医院（二期）配套</w:t>
            </w:r>
            <w:r>
              <w:rPr>
                <w:rFonts w:hint="eastAsia" w:eastAsia="宋体" w:cs="Times New Roman"/>
                <w:sz w:val="24"/>
                <w:szCs w:val="24"/>
                <w:u w:val="single"/>
                <w:lang w:val="en-US" w:eastAsia="zh-CN"/>
              </w:rPr>
              <w:t>建设</w:t>
            </w:r>
            <w:r>
              <w:rPr>
                <w:rFonts w:hint="eastAsia" w:ascii="宋体" w:hAnsi="宋体" w:eastAsia="宋体" w:cs="宋体"/>
                <w:sz w:val="24"/>
                <w:szCs w:val="24"/>
                <w:u w:val="single"/>
              </w:rPr>
              <w:t>项目，</w:t>
            </w:r>
            <w:r>
              <w:rPr>
                <w:rFonts w:hint="eastAsia" w:ascii="宋体" w:hAnsi="宋体" w:eastAsia="宋体" w:cs="宋体"/>
                <w:sz w:val="24"/>
              </w:rPr>
              <w:t>位于湘阴县洋沙湖镇（原袁家铺镇）洋沙湖村（原友爱村）</w:t>
            </w:r>
            <w:r>
              <w:rPr>
                <w:rFonts w:hint="eastAsia" w:ascii="宋体" w:hAnsi="宋体" w:cs="宋体"/>
                <w:sz w:val="24"/>
                <w:lang w:eastAsia="zh-CN"/>
              </w:rPr>
              <w:t>，</w:t>
            </w:r>
            <w:r>
              <w:rPr>
                <w:rFonts w:hint="eastAsia" w:ascii="宋体" w:hAnsi="宋体" w:cs="宋体"/>
                <w:sz w:val="24"/>
                <w:lang w:val="en-US" w:eastAsia="zh-CN"/>
              </w:rPr>
              <w:t>用地性质为医疗卫生用地</w:t>
            </w:r>
            <w:r>
              <w:rPr>
                <w:rFonts w:hint="eastAsia" w:ascii="宋体" w:hAnsi="宋体" w:cs="宋体"/>
                <w:sz w:val="24"/>
                <w:lang w:eastAsia="zh-CN"/>
              </w:rPr>
              <w:t>。</w:t>
            </w:r>
            <w:r>
              <w:rPr>
                <w:rFonts w:hint="eastAsia" w:ascii="宋体" w:hAnsi="宋体" w:eastAsia="宋体" w:cs="宋体"/>
                <w:sz w:val="24"/>
                <w:szCs w:val="24"/>
                <w:u w:val="none"/>
              </w:rPr>
              <w:t>该项目有利于加强基层医疗机构基础设施建设，切实为辖区内群众提供方便，提高人民群众就诊环境。而且，本项目不属于生产型企业，对项目涉及的敏感点的影响较小，因此选址符合要求。</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sz w:val="24"/>
                <w:szCs w:val="24"/>
                <w:u w:val="none"/>
              </w:rPr>
            </w:pPr>
            <w:r>
              <w:rPr>
                <w:rFonts w:hint="eastAsia" w:ascii="宋体" w:hAnsi="宋体" w:eastAsia="宋体" w:cs="宋体"/>
                <w:sz w:val="24"/>
                <w:szCs w:val="24"/>
                <w:u w:val="none"/>
              </w:rPr>
              <w:t>综上所述，项目不涉及饮用水源保护区、自然保护区和湿地公园等敏感区域，亦不在生态红线范围内；周边无工业企业；项目产生的废水、废气、噪声等，经环评提出的各项措施处理后，不会改变区域环境功能区划，不会对周边敏感点造成较大的环境影响。综上，本项目选址基本合理。</w:t>
            </w:r>
          </w:p>
          <w:p>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u w:val="none"/>
              </w:rPr>
            </w:pPr>
            <w:r>
              <w:rPr>
                <w:rFonts w:hint="eastAsia" w:ascii="宋体" w:hAnsi="宋体" w:cs="宋体"/>
                <w:b/>
                <w:bCs/>
                <w:sz w:val="24"/>
                <w:szCs w:val="24"/>
                <w:u w:val="none"/>
                <w:lang w:val="en-US" w:eastAsia="zh-CN"/>
              </w:rPr>
              <w:t>3、</w:t>
            </w:r>
            <w:r>
              <w:rPr>
                <w:rFonts w:hint="eastAsia" w:ascii="宋体" w:hAnsi="宋体" w:eastAsia="宋体" w:cs="宋体"/>
                <w:b/>
                <w:bCs/>
                <w:sz w:val="24"/>
                <w:szCs w:val="24"/>
                <w:u w:val="none"/>
              </w:rPr>
              <w:t>行业规划符合性分析</w:t>
            </w:r>
          </w:p>
          <w:p>
            <w:pPr>
              <w:bidi w:val="0"/>
              <w:spacing w:line="360" w:lineRule="auto"/>
              <w:ind w:firstLine="480" w:firstLineChars="200"/>
              <w:rPr>
                <w:rFonts w:hint="eastAsia"/>
                <w:sz w:val="24"/>
                <w:szCs w:val="24"/>
                <w:lang w:val="en-US" w:eastAsia="zh-CN"/>
              </w:rPr>
            </w:pPr>
            <w:r>
              <w:rPr>
                <w:rFonts w:hint="eastAsia" w:ascii="宋体" w:hAnsi="宋体" w:eastAsia="宋体" w:cs="宋体"/>
                <w:sz w:val="24"/>
                <w:szCs w:val="24"/>
                <w:u w:val="single"/>
              </w:rPr>
              <w:t>本项目</w:t>
            </w:r>
            <w:r>
              <w:rPr>
                <w:rFonts w:hint="eastAsia" w:cs="Times New Roman"/>
                <w:sz w:val="24"/>
                <w:szCs w:val="24"/>
                <w:u w:val="single"/>
                <w:lang w:val="en-US" w:eastAsia="zh-CN"/>
              </w:rPr>
              <w:t>为</w:t>
            </w:r>
            <w:r>
              <w:rPr>
                <w:rFonts w:hint="eastAsia" w:ascii="Times New Roman" w:hAnsi="Times New Roman" w:eastAsia="宋体" w:cs="Times New Roman"/>
                <w:sz w:val="24"/>
                <w:szCs w:val="24"/>
                <w:u w:val="single"/>
                <w:lang w:val="en-US" w:eastAsia="zh-CN"/>
              </w:rPr>
              <w:t>热力生产和供应工程</w:t>
            </w:r>
            <w:r>
              <w:rPr>
                <w:rFonts w:hint="default" w:ascii="Times New Roman" w:hAnsi="Times New Roman" w:eastAsia="宋体" w:cs="Times New Roman"/>
                <w:sz w:val="24"/>
                <w:szCs w:val="24"/>
                <w:u w:val="single"/>
              </w:rPr>
              <w:t>，</w:t>
            </w:r>
            <w:r>
              <w:rPr>
                <w:rFonts w:hint="eastAsia" w:ascii="宋体" w:hAnsi="宋体" w:eastAsia="宋体" w:cs="宋体"/>
                <w:sz w:val="24"/>
                <w:szCs w:val="24"/>
                <w:u w:val="single"/>
              </w:rPr>
              <w:t>为</w:t>
            </w:r>
            <w:r>
              <w:rPr>
                <w:rFonts w:hint="eastAsia" w:ascii="宋体" w:hAnsi="宋体" w:cs="宋体"/>
                <w:sz w:val="24"/>
                <w:szCs w:val="24"/>
                <w:u w:val="single"/>
                <w:lang w:val="en-US" w:eastAsia="zh-CN"/>
              </w:rPr>
              <w:t>城发月子中心和湘阴县妇女儿童医院（二期）配套</w:t>
            </w:r>
            <w:r>
              <w:rPr>
                <w:rFonts w:hint="eastAsia" w:eastAsia="宋体" w:cs="Times New Roman"/>
                <w:sz w:val="24"/>
                <w:szCs w:val="24"/>
                <w:u w:val="single"/>
                <w:lang w:val="en-US" w:eastAsia="zh-CN"/>
              </w:rPr>
              <w:t>建设</w:t>
            </w:r>
            <w:r>
              <w:rPr>
                <w:rFonts w:hint="eastAsia" w:ascii="宋体" w:hAnsi="宋体" w:eastAsia="宋体" w:cs="宋体"/>
                <w:sz w:val="24"/>
                <w:szCs w:val="24"/>
                <w:u w:val="single"/>
              </w:rPr>
              <w:t>项目，</w:t>
            </w:r>
            <w:r>
              <w:rPr>
                <w:rFonts w:hint="eastAsia"/>
                <w:sz w:val="24"/>
                <w:szCs w:val="24"/>
                <w:u w:val="single"/>
                <w:lang w:val="en-US" w:eastAsia="zh-CN"/>
              </w:rPr>
              <w:t>根据《湖南省岳阳市湘阴县医疗卫生服务体系规划（2016-2020）》，本项目符合湘阴县医疗卫生服务体系规划规划。</w:t>
            </w:r>
          </w:p>
          <w:p>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u w:val="none"/>
                <w:lang w:val="en-US" w:eastAsia="zh-CN"/>
              </w:rPr>
            </w:pPr>
            <w:r>
              <w:rPr>
                <w:rFonts w:hint="eastAsia" w:ascii="宋体" w:hAnsi="宋体" w:eastAsia="宋体" w:cs="宋体"/>
                <w:b/>
                <w:bCs/>
                <w:sz w:val="24"/>
                <w:szCs w:val="24"/>
                <w:u w:val="none"/>
                <w:lang w:val="en-US" w:eastAsia="zh-CN"/>
              </w:rPr>
              <w:t>4、本项目与《岳阳市人民政府关于实施岳阳市“三线一单”生态环境分区管控的意见（岳政发〔2021〕2号）》的相符性分析</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sz w:val="24"/>
                <w:szCs w:val="24"/>
                <w:u w:val="none"/>
              </w:rPr>
            </w:pPr>
            <w:r>
              <w:rPr>
                <w:rFonts w:hint="default" w:ascii="Times New Roman" w:hAnsi="Times New Roman" w:eastAsia="宋体" w:cs="Times New Roman"/>
                <w:sz w:val="24"/>
                <w:szCs w:val="24"/>
                <w:u w:val="none"/>
              </w:rPr>
              <w:t>2021年2月1日，岳阳市人民政府印发了《岳阳市人民政府关于实施岳阳市“三线一单”生态环境分区管控的意见（岳政发〔2021〕2号）》</w:t>
            </w:r>
            <w:r>
              <w:rPr>
                <w:rFonts w:hint="eastAsia" w:ascii="宋体" w:hAnsi="宋体" w:eastAsia="宋体" w:cs="宋体"/>
                <w:sz w:val="24"/>
                <w:szCs w:val="24"/>
                <w:u w:val="none"/>
              </w:rPr>
              <w:t>。</w:t>
            </w:r>
            <w:r>
              <w:rPr>
                <w:rFonts w:hint="eastAsia" w:ascii="宋体" w:hAnsi="宋体" w:eastAsia="宋体" w:cs="宋体"/>
                <w:b w:val="0"/>
                <w:bCs w:val="0"/>
                <w:sz w:val="24"/>
                <w:szCs w:val="24"/>
                <w:u w:val="none"/>
                <w:lang w:val="en-US" w:eastAsia="zh-CN"/>
              </w:rPr>
              <w:t>项目与岳阳市“三线一单管控图”位置关系详见附图五，</w:t>
            </w:r>
            <w:r>
              <w:rPr>
                <w:rFonts w:hint="eastAsia" w:ascii="宋体" w:hAnsi="宋体" w:eastAsia="宋体" w:cs="宋体"/>
                <w:b w:val="0"/>
                <w:bCs w:val="0"/>
                <w:sz w:val="24"/>
                <w:szCs w:val="24"/>
                <w:u w:val="single"/>
                <w:lang w:val="en-US" w:eastAsia="zh-CN"/>
              </w:rPr>
              <w:t>本项目位于湘阴县洋沙湖镇（原袁家铺镇）洋沙湖村（原友爱村），</w:t>
            </w:r>
            <w:r>
              <w:rPr>
                <w:rFonts w:hint="eastAsia" w:ascii="宋体" w:hAnsi="宋体" w:eastAsia="宋体" w:cs="宋体"/>
                <w:sz w:val="24"/>
                <w:szCs w:val="24"/>
                <w:u w:val="single"/>
              </w:rPr>
              <w:t>文件中对湘阴县</w:t>
            </w:r>
            <w:r>
              <w:rPr>
                <w:rFonts w:hint="eastAsia" w:ascii="宋体" w:hAnsi="宋体" w:eastAsia="宋体" w:cs="宋体"/>
                <w:b w:val="0"/>
                <w:bCs w:val="0"/>
                <w:sz w:val="24"/>
                <w:szCs w:val="24"/>
                <w:u w:val="single"/>
                <w:lang w:val="en-US" w:eastAsia="zh-CN"/>
              </w:rPr>
              <w:t>洋沙湖镇</w:t>
            </w:r>
            <w:r>
              <w:rPr>
                <w:rFonts w:hint="eastAsia" w:ascii="宋体" w:hAnsi="宋体" w:eastAsia="宋体" w:cs="宋体"/>
                <w:sz w:val="24"/>
                <w:szCs w:val="24"/>
                <w:u w:val="single"/>
              </w:rPr>
              <w:t>管控要求及符合性分析具体如下。</w:t>
            </w:r>
          </w:p>
          <w:p>
            <w:pPr>
              <w:jc w:val="center"/>
              <w:rPr>
                <w:rFonts w:hint="eastAsia" w:ascii="宋体" w:hAnsi="宋体" w:eastAsia="宋体" w:cs="宋体"/>
                <w:b/>
                <w:szCs w:val="21"/>
              </w:rPr>
            </w:pPr>
            <w:r>
              <w:rPr>
                <w:rFonts w:hint="eastAsia" w:ascii="宋体" w:hAnsi="宋体" w:eastAsia="宋体" w:cs="宋体"/>
                <w:b/>
                <w:szCs w:val="21"/>
              </w:rPr>
              <w:t>表1-1本项目与湘阴县文星镇环境管控单元生态环境准入清单符合性分析</w:t>
            </w:r>
          </w:p>
          <w:tbl>
            <w:tblPr>
              <w:tblStyle w:val="25"/>
              <w:tblW w:w="4998"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951"/>
              <w:gridCol w:w="1100"/>
              <w:gridCol w:w="2577"/>
              <w:gridCol w:w="358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07" w:hRule="atLeast"/>
                <w:jc w:val="center"/>
              </w:trPr>
              <w:tc>
                <w:tcPr>
                  <w:tcW w:w="579" w:type="pct"/>
                  <w:noWrap w:val="0"/>
                  <w:vAlign w:val="center"/>
                </w:tcPr>
                <w:p>
                  <w:pPr>
                    <w:pStyle w:val="2"/>
                    <w:spacing w:after="0" w:line="240" w:lineRule="auto"/>
                    <w:jc w:val="center"/>
                    <w:rPr>
                      <w:rFonts w:hint="eastAsia" w:ascii="宋体" w:hAnsi="宋体" w:eastAsia="宋体" w:cs="宋体"/>
                      <w:b/>
                      <w:sz w:val="21"/>
                      <w:szCs w:val="21"/>
                    </w:rPr>
                  </w:pPr>
                  <w:r>
                    <w:rPr>
                      <w:rFonts w:hint="eastAsia" w:ascii="宋体" w:hAnsi="宋体" w:eastAsia="宋体" w:cs="宋体"/>
                      <w:b/>
                      <w:sz w:val="21"/>
                      <w:szCs w:val="21"/>
                    </w:rPr>
                    <w:t>乡镇</w:t>
                  </w:r>
                </w:p>
              </w:tc>
              <w:tc>
                <w:tcPr>
                  <w:tcW w:w="670" w:type="pct"/>
                  <w:noWrap w:val="0"/>
                  <w:vAlign w:val="center"/>
                </w:tcPr>
                <w:p>
                  <w:pPr>
                    <w:pStyle w:val="2"/>
                    <w:spacing w:after="0" w:line="240" w:lineRule="auto"/>
                    <w:jc w:val="center"/>
                    <w:rPr>
                      <w:rFonts w:hint="eastAsia" w:ascii="宋体" w:hAnsi="宋体" w:eastAsia="宋体" w:cs="宋体"/>
                      <w:b/>
                      <w:sz w:val="21"/>
                      <w:szCs w:val="21"/>
                    </w:rPr>
                  </w:pPr>
                  <w:r>
                    <w:rPr>
                      <w:rFonts w:hint="eastAsia" w:ascii="宋体" w:hAnsi="宋体" w:eastAsia="宋体" w:cs="宋体"/>
                      <w:b/>
                      <w:sz w:val="21"/>
                      <w:szCs w:val="21"/>
                    </w:rPr>
                    <w:t>单元分类</w:t>
                  </w:r>
                </w:p>
              </w:tc>
              <w:tc>
                <w:tcPr>
                  <w:tcW w:w="1568" w:type="pct"/>
                  <w:tcBorders>
                    <w:right w:val="single" w:color="000000" w:sz="4" w:space="0"/>
                  </w:tcBorders>
                  <w:noWrap w:val="0"/>
                  <w:vAlign w:val="center"/>
                </w:tcPr>
                <w:p>
                  <w:pPr>
                    <w:pStyle w:val="2"/>
                    <w:spacing w:after="0" w:line="240" w:lineRule="auto"/>
                    <w:jc w:val="center"/>
                    <w:rPr>
                      <w:rFonts w:hint="eastAsia" w:ascii="宋体" w:hAnsi="宋体" w:eastAsia="宋体" w:cs="宋体"/>
                      <w:b/>
                      <w:sz w:val="21"/>
                      <w:szCs w:val="21"/>
                    </w:rPr>
                  </w:pPr>
                  <w:r>
                    <w:rPr>
                      <w:rFonts w:hint="eastAsia" w:ascii="宋体" w:hAnsi="宋体" w:eastAsia="宋体" w:cs="宋体"/>
                      <w:b/>
                      <w:sz w:val="21"/>
                      <w:szCs w:val="21"/>
                    </w:rPr>
                    <w:t>经济产业布局</w:t>
                  </w:r>
                </w:p>
              </w:tc>
              <w:tc>
                <w:tcPr>
                  <w:tcW w:w="2181" w:type="pct"/>
                  <w:tcBorders>
                    <w:left w:val="single" w:color="000000" w:sz="4" w:space="0"/>
                  </w:tcBorders>
                  <w:noWrap w:val="0"/>
                  <w:vAlign w:val="center"/>
                </w:tcPr>
                <w:p>
                  <w:pPr>
                    <w:pStyle w:val="2"/>
                    <w:spacing w:after="0" w:line="240" w:lineRule="auto"/>
                    <w:jc w:val="center"/>
                    <w:rPr>
                      <w:rFonts w:hint="eastAsia" w:ascii="宋体" w:hAnsi="宋体" w:eastAsia="宋体" w:cs="宋体"/>
                      <w:b/>
                      <w:sz w:val="21"/>
                      <w:szCs w:val="21"/>
                    </w:rPr>
                  </w:pPr>
                  <w:r>
                    <w:rPr>
                      <w:rFonts w:hint="eastAsia" w:ascii="宋体" w:hAnsi="宋体" w:eastAsia="宋体" w:cs="宋体"/>
                      <w:b/>
                      <w:sz w:val="21"/>
                      <w:szCs w:val="21"/>
                    </w:rPr>
                    <w:t>主要环境问题</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289" w:hRule="atLeast"/>
                <w:jc w:val="center"/>
              </w:trPr>
              <w:tc>
                <w:tcPr>
                  <w:tcW w:w="579" w:type="pct"/>
                  <w:noWrap w:val="0"/>
                  <w:vAlign w:val="center"/>
                </w:tcPr>
                <w:p>
                  <w:pPr>
                    <w:pStyle w:val="2"/>
                    <w:spacing w:after="0" w:line="240" w:lineRule="auto"/>
                    <w:jc w:val="both"/>
                    <w:rPr>
                      <w:rFonts w:hint="eastAsia" w:ascii="宋体" w:hAnsi="宋体" w:eastAsia="宋体" w:cs="宋体"/>
                      <w:sz w:val="21"/>
                      <w:szCs w:val="21"/>
                    </w:rPr>
                  </w:pPr>
                  <w:r>
                    <w:rPr>
                      <w:rFonts w:hint="eastAsia" w:ascii="宋体" w:hAnsi="宋体" w:eastAsia="宋体" w:cs="宋体"/>
                      <w:sz w:val="21"/>
                      <w:szCs w:val="21"/>
                      <w:lang w:val="en-US" w:eastAsia="zh-CN"/>
                    </w:rPr>
                    <w:t>洋沙湖镇</w:t>
                  </w:r>
                </w:p>
              </w:tc>
              <w:tc>
                <w:tcPr>
                  <w:tcW w:w="670" w:type="pct"/>
                  <w:noWrap w:val="0"/>
                  <w:vAlign w:val="center"/>
                </w:tcPr>
                <w:p>
                  <w:pPr>
                    <w:pStyle w:val="2"/>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重点管控单元</w:t>
                  </w:r>
                </w:p>
              </w:tc>
              <w:tc>
                <w:tcPr>
                  <w:tcW w:w="1568" w:type="pct"/>
                  <w:tcBorders>
                    <w:right w:val="single" w:color="000000" w:sz="4" w:space="0"/>
                  </w:tcBorders>
                  <w:noWrap w:val="0"/>
                  <w:vAlign w:val="center"/>
                </w:tcPr>
                <w:p>
                  <w:pPr>
                    <w:spacing w:line="240" w:lineRule="auto"/>
                    <w:jc w:val="both"/>
                    <w:rPr>
                      <w:rFonts w:hint="eastAsia" w:ascii="宋体" w:hAnsi="宋体" w:eastAsia="宋体" w:cs="宋体"/>
                      <w:kern w:val="0"/>
                      <w:sz w:val="21"/>
                      <w:szCs w:val="21"/>
                    </w:rPr>
                  </w:pPr>
                  <w:r>
                    <w:rPr>
                      <w:rFonts w:hint="eastAsia" w:ascii="宋体" w:hAnsi="宋体" w:eastAsia="宋体" w:cs="宋体"/>
                      <w:kern w:val="0"/>
                      <w:sz w:val="21"/>
                      <w:szCs w:val="21"/>
                    </w:rPr>
                    <w:t>文星镇：</w:t>
                  </w:r>
                  <w:r>
                    <w:rPr>
                      <w:rFonts w:hint="eastAsia" w:ascii="宋体" w:hAnsi="宋体" w:eastAsia="宋体" w:cs="宋体"/>
                      <w:sz w:val="21"/>
                      <w:szCs w:val="21"/>
                    </w:rPr>
                    <w:t>省会卫星城、县域中心</w:t>
                  </w:r>
                  <w:r>
                    <w:rPr>
                      <w:rFonts w:hint="eastAsia" w:ascii="宋体" w:hAnsi="宋体" w:cs="宋体"/>
                      <w:sz w:val="21"/>
                      <w:szCs w:val="21"/>
                      <w:lang w:eastAsia="zh-CN"/>
                    </w:rPr>
                    <w:t>；</w:t>
                  </w:r>
                  <w:r>
                    <w:rPr>
                      <w:rFonts w:hint="eastAsia" w:ascii="宋体" w:hAnsi="宋体" w:eastAsia="宋体" w:cs="宋体"/>
                      <w:sz w:val="21"/>
                      <w:szCs w:val="21"/>
                    </w:rPr>
                    <w:t>以绿色建材、新能源汽车为主导产业，辅以公共服务、商贸物流、滨湖旅游和食品加工等产业</w:t>
                  </w:r>
                </w:p>
              </w:tc>
              <w:tc>
                <w:tcPr>
                  <w:tcW w:w="2181" w:type="pct"/>
                  <w:tcBorders>
                    <w:left w:val="single" w:color="000000" w:sz="4" w:space="0"/>
                  </w:tcBorders>
                  <w:noWrap w:val="0"/>
                  <w:vAlign w:val="center"/>
                </w:tcPr>
                <w:p>
                  <w:pPr>
                    <w:spacing w:line="240" w:lineRule="auto"/>
                    <w:jc w:val="both"/>
                    <w:rPr>
                      <w:rFonts w:hint="eastAsia" w:ascii="宋体" w:hAnsi="宋体" w:eastAsia="宋体" w:cs="宋体"/>
                      <w:kern w:val="0"/>
                      <w:sz w:val="21"/>
                      <w:szCs w:val="21"/>
                    </w:rPr>
                  </w:pPr>
                  <w:r>
                    <w:rPr>
                      <w:rFonts w:hint="eastAsia" w:ascii="宋体" w:hAnsi="宋体" w:eastAsia="宋体" w:cs="宋体"/>
                      <w:sz w:val="21"/>
                      <w:szCs w:val="21"/>
                    </w:rPr>
                    <w:t>畜禽养殖等农业面源污染</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806" w:hRule="atLeast"/>
                <w:jc w:val="center"/>
              </w:trPr>
              <w:tc>
                <w:tcPr>
                  <w:tcW w:w="579" w:type="pct"/>
                  <w:noWrap w:val="0"/>
                  <w:vAlign w:val="center"/>
                </w:tcPr>
                <w:p>
                  <w:pPr>
                    <w:pStyle w:val="2"/>
                    <w:spacing w:after="0" w:line="240" w:lineRule="auto"/>
                    <w:jc w:val="center"/>
                    <w:rPr>
                      <w:rFonts w:hint="eastAsia" w:ascii="宋体" w:hAnsi="宋体" w:eastAsia="宋体" w:cs="宋体"/>
                      <w:b/>
                      <w:sz w:val="21"/>
                      <w:szCs w:val="21"/>
                    </w:rPr>
                  </w:pPr>
                  <w:r>
                    <w:rPr>
                      <w:rFonts w:hint="eastAsia" w:ascii="宋体" w:hAnsi="宋体" w:eastAsia="宋体" w:cs="宋体"/>
                      <w:b/>
                      <w:sz w:val="21"/>
                      <w:szCs w:val="21"/>
                    </w:rPr>
                    <w:t>主要属性</w:t>
                  </w:r>
                </w:p>
              </w:tc>
              <w:tc>
                <w:tcPr>
                  <w:tcW w:w="4420" w:type="pct"/>
                  <w:gridSpan w:val="3"/>
                  <w:noWrap w:val="0"/>
                  <w:vAlign w:val="center"/>
                </w:tcPr>
                <w:p>
                  <w:pPr>
                    <w:spacing w:line="240" w:lineRule="auto"/>
                    <w:jc w:val="both"/>
                    <w:rPr>
                      <w:rFonts w:hint="eastAsia" w:ascii="宋体" w:hAnsi="宋体" w:eastAsia="宋体" w:cs="宋体"/>
                      <w:sz w:val="21"/>
                      <w:szCs w:val="21"/>
                    </w:rPr>
                  </w:pPr>
                  <w:r>
                    <w:rPr>
                      <w:rFonts w:hint="eastAsia" w:ascii="宋体" w:hAnsi="宋体" w:eastAsia="宋体" w:cs="宋体"/>
                      <w:kern w:val="0"/>
                      <w:sz w:val="21"/>
                      <w:szCs w:val="21"/>
                      <w:lang w:val="en-US" w:eastAsia="zh-CN" w:bidi="ar-SA"/>
                    </w:rPr>
                    <w:t>洋沙湖镇</w:t>
                  </w:r>
                  <w:r>
                    <w:rPr>
                      <w:rFonts w:hint="eastAsia" w:ascii="宋体" w:hAnsi="宋体" w:eastAsia="宋体" w:cs="宋体"/>
                      <w:sz w:val="21"/>
                      <w:szCs w:val="21"/>
                    </w:rPr>
                    <w:t>：生态保护红线/一般生态空间/湖南湘阴横岭湖自然保护区/湘阴洋沙湖东湖国家湿地公园/湘阴县高新产业开发临港产业园（漕溪港）/湘阴县高新产业开发临港产业园（虞公港）/湘阴县高新产业开发区（洋沙湖工业园）/湘阴县污水厂/湘阴东湖超标断面/虞公庙超标断面/大气环境优先保护区/大气环境高排放重点管控区/大气环境受体敏感重点管控区/大气环境布局敏感重点管控区/土壤一般管控区/农用地污染风险重点管控区/农用地优先保护区/其他土壤重点管控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2" w:hRule="atLeast"/>
                <w:jc w:val="center"/>
              </w:trPr>
              <w:tc>
                <w:tcPr>
                  <w:tcW w:w="579" w:type="pct"/>
                  <w:noWrap w:val="0"/>
                  <w:vAlign w:val="center"/>
                </w:tcPr>
                <w:p>
                  <w:pPr>
                    <w:pStyle w:val="2"/>
                    <w:spacing w:after="0" w:line="240" w:lineRule="auto"/>
                    <w:jc w:val="center"/>
                    <w:rPr>
                      <w:rFonts w:hint="eastAsia" w:ascii="宋体" w:hAnsi="宋体" w:eastAsia="宋体" w:cs="宋体"/>
                      <w:b/>
                      <w:sz w:val="21"/>
                      <w:szCs w:val="21"/>
                    </w:rPr>
                  </w:pPr>
                  <w:r>
                    <w:rPr>
                      <w:rFonts w:hint="eastAsia" w:ascii="宋体" w:hAnsi="宋体" w:eastAsia="宋体" w:cs="宋体"/>
                      <w:b/>
                      <w:sz w:val="21"/>
                      <w:szCs w:val="21"/>
                    </w:rPr>
                    <w:t>管控维度</w:t>
                  </w:r>
                </w:p>
              </w:tc>
              <w:tc>
                <w:tcPr>
                  <w:tcW w:w="2239" w:type="pct"/>
                  <w:gridSpan w:val="2"/>
                  <w:tcBorders>
                    <w:right w:val="single" w:color="000000" w:sz="4" w:space="0"/>
                  </w:tcBorders>
                  <w:noWrap w:val="0"/>
                  <w:vAlign w:val="center"/>
                </w:tcPr>
                <w:p>
                  <w:pPr>
                    <w:autoSpaceDE w:val="0"/>
                    <w:autoSpaceDN w:val="0"/>
                    <w:adjustRightInd w:val="0"/>
                    <w:spacing w:line="240" w:lineRule="auto"/>
                    <w:jc w:val="center"/>
                    <w:rPr>
                      <w:rFonts w:hint="eastAsia" w:ascii="宋体" w:hAnsi="宋体" w:eastAsia="宋体" w:cs="宋体"/>
                      <w:b/>
                      <w:kern w:val="0"/>
                      <w:sz w:val="21"/>
                      <w:szCs w:val="21"/>
                    </w:rPr>
                  </w:pPr>
                  <w:r>
                    <w:rPr>
                      <w:rFonts w:hint="eastAsia" w:ascii="宋体" w:hAnsi="宋体" w:eastAsia="宋体" w:cs="宋体"/>
                      <w:b/>
                      <w:kern w:val="0"/>
                      <w:sz w:val="21"/>
                      <w:szCs w:val="21"/>
                    </w:rPr>
                    <w:t>管控要求</w:t>
                  </w:r>
                </w:p>
              </w:tc>
              <w:tc>
                <w:tcPr>
                  <w:tcW w:w="2181" w:type="pct"/>
                  <w:tcBorders>
                    <w:left w:val="single" w:color="000000" w:sz="4" w:space="0"/>
                  </w:tcBorders>
                  <w:noWrap w:val="0"/>
                  <w:vAlign w:val="center"/>
                </w:tcPr>
                <w:p>
                  <w:pPr>
                    <w:pStyle w:val="2"/>
                    <w:spacing w:after="0" w:line="240" w:lineRule="auto"/>
                    <w:jc w:val="center"/>
                    <w:rPr>
                      <w:rFonts w:hint="eastAsia" w:ascii="宋体" w:hAnsi="宋体" w:eastAsia="宋体" w:cs="宋体"/>
                      <w:b/>
                      <w:sz w:val="21"/>
                      <w:szCs w:val="21"/>
                    </w:rPr>
                  </w:pPr>
                  <w:r>
                    <w:rPr>
                      <w:rFonts w:hint="eastAsia" w:ascii="宋体" w:hAnsi="宋体" w:eastAsia="宋体" w:cs="宋体"/>
                      <w:b/>
                      <w:sz w:val="21"/>
                      <w:szCs w:val="21"/>
                    </w:rPr>
                    <w:t>符合性分析</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75" w:hRule="atLeast"/>
                <w:jc w:val="center"/>
              </w:trPr>
              <w:tc>
                <w:tcPr>
                  <w:tcW w:w="579" w:type="pct"/>
                  <w:noWrap w:val="0"/>
                  <w:vAlign w:val="center"/>
                </w:tcPr>
                <w:p>
                  <w:pPr>
                    <w:pStyle w:val="2"/>
                    <w:spacing w:after="0" w:line="240" w:lineRule="auto"/>
                    <w:jc w:val="center"/>
                    <w:rPr>
                      <w:rFonts w:hint="eastAsia" w:ascii="宋体" w:hAnsi="宋体" w:eastAsia="宋体" w:cs="宋体"/>
                      <w:b/>
                      <w:sz w:val="21"/>
                      <w:szCs w:val="21"/>
                    </w:rPr>
                  </w:pPr>
                  <w:r>
                    <w:rPr>
                      <w:rFonts w:hint="eastAsia" w:ascii="宋体" w:hAnsi="宋体" w:eastAsia="宋体" w:cs="宋体"/>
                      <w:b/>
                      <w:sz w:val="21"/>
                      <w:szCs w:val="21"/>
                    </w:rPr>
                    <w:t>空间布局元素</w:t>
                  </w:r>
                </w:p>
              </w:tc>
              <w:tc>
                <w:tcPr>
                  <w:tcW w:w="2239" w:type="pct"/>
                  <w:gridSpan w:val="2"/>
                  <w:noWrap w:val="0"/>
                  <w:vAlign w:val="center"/>
                </w:tcPr>
                <w:p>
                  <w:pPr>
                    <w:spacing w:line="240" w:lineRule="auto"/>
                    <w:jc w:val="both"/>
                    <w:rPr>
                      <w:rFonts w:hint="eastAsia" w:ascii="宋体" w:hAnsi="宋体" w:eastAsia="宋体" w:cs="宋体"/>
                      <w:sz w:val="21"/>
                      <w:szCs w:val="21"/>
                    </w:rPr>
                  </w:pPr>
                  <w:r>
                    <w:rPr>
                      <w:rFonts w:hint="eastAsia" w:ascii="宋体" w:hAnsi="宋体" w:eastAsia="宋体" w:cs="宋体"/>
                      <w:sz w:val="21"/>
                      <w:szCs w:val="21"/>
                    </w:rPr>
                    <w:t>1.1 严格执行养殖业禁养区、限养区、适养区的划分规定，严格把关养殖项目审批，不得在禁养区、限养区新批任何畜禽养殖项目；</w:t>
                  </w:r>
                </w:p>
                <w:p>
                  <w:pPr>
                    <w:pStyle w:val="2"/>
                    <w:spacing w:line="240" w:lineRule="auto"/>
                    <w:jc w:val="both"/>
                    <w:rPr>
                      <w:rFonts w:hint="eastAsia" w:ascii="宋体" w:hAnsi="宋体" w:eastAsia="宋体" w:cs="宋体"/>
                      <w:sz w:val="21"/>
                      <w:szCs w:val="21"/>
                    </w:rPr>
                  </w:pPr>
                  <w:r>
                    <w:rPr>
                      <w:rFonts w:hint="eastAsia" w:ascii="宋体" w:hAnsi="宋体" w:eastAsia="宋体" w:cs="宋体"/>
                      <w:sz w:val="21"/>
                      <w:szCs w:val="21"/>
                    </w:rPr>
                    <w:t>1.2 禁止露天焚烧垃圾和垃圾填埋，全面推行农村垃圾分类收集处理，逐步实现农村生活垃圾处理减量化、处置无害化、废物资源化；</w:t>
                  </w:r>
                </w:p>
              </w:tc>
              <w:tc>
                <w:tcPr>
                  <w:tcW w:w="2181" w:type="pct"/>
                  <w:noWrap w:val="0"/>
                  <w:vAlign w:val="center"/>
                </w:tcPr>
                <w:p>
                  <w:pPr>
                    <w:pStyle w:val="2"/>
                    <w:spacing w:after="0" w:line="240" w:lineRule="auto"/>
                    <w:jc w:val="both"/>
                    <w:rPr>
                      <w:rFonts w:hint="eastAsia" w:ascii="宋体" w:hAnsi="宋体" w:eastAsia="宋体" w:cs="宋体"/>
                      <w:sz w:val="21"/>
                      <w:szCs w:val="21"/>
                    </w:rPr>
                  </w:pPr>
                  <w:r>
                    <w:rPr>
                      <w:rFonts w:hint="eastAsia" w:ascii="宋体" w:hAnsi="宋体" w:eastAsia="宋体" w:cs="宋体"/>
                      <w:sz w:val="21"/>
                      <w:szCs w:val="21"/>
                      <w:u w:val="single"/>
                    </w:rPr>
                    <w:t>本项目为</w:t>
                  </w:r>
                  <w:r>
                    <w:rPr>
                      <w:rFonts w:hint="eastAsia" w:ascii="宋体" w:hAnsi="宋体" w:eastAsia="宋体" w:cs="宋体"/>
                      <w:sz w:val="21"/>
                      <w:szCs w:val="21"/>
                      <w:u w:val="single"/>
                      <w:lang w:val="en-US" w:eastAsia="zh-CN"/>
                    </w:rPr>
                    <w:t>城发月子中心和湘阴县妇女儿童医院（二期）配套建设</w:t>
                  </w:r>
                  <w:r>
                    <w:rPr>
                      <w:rFonts w:hint="eastAsia" w:ascii="宋体" w:hAnsi="宋体" w:eastAsia="宋体" w:cs="宋体"/>
                      <w:sz w:val="21"/>
                      <w:szCs w:val="21"/>
                      <w:u w:val="single"/>
                    </w:rPr>
                    <w:t>项目，不属于养殖业，也不包含露天焚烧垃圾和垃圾填埋。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75" w:hRule="atLeast"/>
                <w:jc w:val="center"/>
              </w:trPr>
              <w:tc>
                <w:tcPr>
                  <w:tcW w:w="579" w:type="pct"/>
                  <w:noWrap w:val="0"/>
                  <w:vAlign w:val="center"/>
                </w:tcPr>
                <w:p>
                  <w:pPr>
                    <w:pStyle w:val="2"/>
                    <w:spacing w:after="0" w:line="240" w:lineRule="auto"/>
                    <w:jc w:val="center"/>
                    <w:rPr>
                      <w:rFonts w:hint="eastAsia" w:ascii="宋体" w:hAnsi="宋体" w:eastAsia="宋体" w:cs="宋体"/>
                      <w:sz w:val="21"/>
                      <w:szCs w:val="21"/>
                    </w:rPr>
                  </w:pPr>
                  <w:r>
                    <w:rPr>
                      <w:rFonts w:hint="eastAsia" w:ascii="宋体" w:hAnsi="宋体" w:eastAsia="宋体" w:cs="宋体"/>
                      <w:b/>
                      <w:sz w:val="21"/>
                      <w:szCs w:val="21"/>
                    </w:rPr>
                    <w:t>污染物排放管控</w:t>
                  </w:r>
                </w:p>
              </w:tc>
              <w:tc>
                <w:tcPr>
                  <w:tcW w:w="2239" w:type="pct"/>
                  <w:gridSpan w:val="2"/>
                  <w:noWrap w:val="0"/>
                  <w:vAlign w:val="center"/>
                </w:tcPr>
                <w:p>
                  <w:pPr>
                    <w:spacing w:line="240" w:lineRule="auto"/>
                    <w:jc w:val="both"/>
                    <w:rPr>
                      <w:rFonts w:hint="eastAsia" w:ascii="宋体" w:hAnsi="宋体" w:eastAsia="宋体" w:cs="宋体"/>
                      <w:sz w:val="21"/>
                      <w:szCs w:val="21"/>
                    </w:rPr>
                  </w:pPr>
                  <w:r>
                    <w:rPr>
                      <w:rFonts w:hint="eastAsia" w:ascii="宋体" w:hAnsi="宋体" w:eastAsia="宋体" w:cs="宋体"/>
                      <w:sz w:val="21"/>
                      <w:szCs w:val="21"/>
                    </w:rPr>
                    <w:t>2.1 加强化肥、农药、农膜污染防治，引导农民减少化肥、农药使用量，积极推广有机肥使用、生物农药、振频杀虫、诱蛾灯杀虫等生态农业技术，控制农业面源污染；</w:t>
                  </w:r>
                </w:p>
                <w:p>
                  <w:pPr>
                    <w:spacing w:line="240" w:lineRule="auto"/>
                    <w:jc w:val="both"/>
                    <w:rPr>
                      <w:rFonts w:hint="eastAsia" w:ascii="宋体" w:hAnsi="宋体" w:eastAsia="宋体" w:cs="宋体"/>
                      <w:sz w:val="21"/>
                      <w:szCs w:val="21"/>
                    </w:rPr>
                  </w:pPr>
                  <w:r>
                    <w:rPr>
                      <w:rFonts w:hint="eastAsia" w:ascii="宋体" w:hAnsi="宋体" w:eastAsia="宋体" w:cs="宋体"/>
                      <w:sz w:val="21"/>
                      <w:szCs w:val="21"/>
                    </w:rPr>
                    <w:t>2.2 禁止秸秆焚烧，加强秸秆综合利用，鼓励农村采用清洁能源、可再生能源，从源头控制农村空气污染；</w:t>
                  </w:r>
                </w:p>
                <w:p>
                  <w:pPr>
                    <w:spacing w:line="240" w:lineRule="auto"/>
                    <w:jc w:val="both"/>
                    <w:rPr>
                      <w:rFonts w:hint="eastAsia" w:ascii="宋体" w:hAnsi="宋体" w:eastAsia="宋体" w:cs="宋体"/>
                      <w:sz w:val="21"/>
                      <w:szCs w:val="21"/>
                    </w:rPr>
                  </w:pPr>
                  <w:r>
                    <w:rPr>
                      <w:rFonts w:hint="eastAsia" w:ascii="宋体" w:hAnsi="宋体" w:eastAsia="宋体" w:cs="宋体"/>
                      <w:sz w:val="21"/>
                      <w:szCs w:val="21"/>
                    </w:rPr>
                    <w:t>2.3 强化配套，加快完善乡村两级垃圾处理基础设施，建设村（社区）垃圾定点收集池、垃圾堆积池、垃圾危险废物专用房屋（池）等基础设施，配备好垃圾车、保洁车等垃圾运输工具，农户配齐垃圾分类桶；</w:t>
                  </w:r>
                </w:p>
                <w:p>
                  <w:pPr>
                    <w:spacing w:line="240" w:lineRule="auto"/>
                    <w:jc w:val="both"/>
                    <w:rPr>
                      <w:rFonts w:hint="eastAsia" w:ascii="宋体" w:hAnsi="宋体" w:eastAsia="宋体" w:cs="宋体"/>
                      <w:sz w:val="21"/>
                      <w:szCs w:val="21"/>
                    </w:rPr>
                  </w:pPr>
                  <w:r>
                    <w:rPr>
                      <w:rFonts w:hint="eastAsia" w:ascii="宋体" w:hAnsi="宋体" w:eastAsia="宋体" w:cs="宋体"/>
                      <w:sz w:val="21"/>
                      <w:szCs w:val="21"/>
                    </w:rPr>
                    <w:t>2.4 畜禽养殖适养区以户为单位，采取雨污分流、粪污干湿分离、沼气（沉淀）综合选用等方式进行养殖污染治理；</w:t>
                  </w:r>
                </w:p>
                <w:p>
                  <w:pPr>
                    <w:spacing w:line="240" w:lineRule="auto"/>
                    <w:jc w:val="both"/>
                    <w:rPr>
                      <w:rFonts w:hint="eastAsia" w:ascii="宋体" w:hAnsi="宋体" w:eastAsia="宋体" w:cs="宋体"/>
                      <w:sz w:val="21"/>
                      <w:szCs w:val="21"/>
                    </w:rPr>
                  </w:pPr>
                  <w:r>
                    <w:rPr>
                      <w:rFonts w:hint="eastAsia" w:ascii="宋体" w:hAnsi="宋体" w:eastAsia="宋体" w:cs="宋体"/>
                      <w:sz w:val="21"/>
                      <w:szCs w:val="21"/>
                    </w:rPr>
                    <w:t>2.5 严格规范兽药、饲料及饲料添加剂的生产和使用，从源头防止兽药、饲料添加剂中的有害成分通过畜禽养殖废弃物还田对土壤造成的污染；</w:t>
                  </w:r>
                </w:p>
                <w:p>
                  <w:pPr>
                    <w:spacing w:line="240" w:lineRule="auto"/>
                    <w:jc w:val="both"/>
                    <w:rPr>
                      <w:rFonts w:hint="eastAsia" w:ascii="宋体" w:hAnsi="宋体" w:eastAsia="宋体" w:cs="宋体"/>
                      <w:sz w:val="21"/>
                      <w:szCs w:val="21"/>
                    </w:rPr>
                  </w:pPr>
                  <w:r>
                    <w:rPr>
                      <w:rFonts w:hint="eastAsia" w:ascii="宋体" w:hAnsi="宋体" w:eastAsia="宋体" w:cs="宋体"/>
                      <w:sz w:val="21"/>
                      <w:szCs w:val="21"/>
                    </w:rPr>
                    <w:t>2.6 畜禽粪污污染整治应按照“干湿分离+雨污分流”的要求，采用干清粪工艺和粪污生物发酵处理利用模式处理粪污，须配套建设堆粪场、粪污水贮存池和铺设排污管道。干粪运至堆粪场好氧发酵，粪渣、尿、污水通过排污管道排入粪污水贮存池（或沼气池）厌氧发酵，贮存池内的粪污水不得向外排放，应就地或转运至其他农用地消纳，并签订粪污消纳协议；</w:t>
                  </w:r>
                </w:p>
                <w:p>
                  <w:pPr>
                    <w:spacing w:line="240" w:lineRule="auto"/>
                    <w:jc w:val="both"/>
                    <w:rPr>
                      <w:rFonts w:hint="eastAsia" w:ascii="宋体" w:hAnsi="宋体" w:eastAsia="宋体" w:cs="宋体"/>
                      <w:sz w:val="21"/>
                      <w:szCs w:val="21"/>
                    </w:rPr>
                  </w:pPr>
                  <w:r>
                    <w:rPr>
                      <w:rFonts w:hint="eastAsia" w:ascii="宋体" w:hAnsi="宋体" w:eastAsia="宋体" w:cs="宋体"/>
                      <w:sz w:val="21"/>
                      <w:szCs w:val="21"/>
                    </w:rPr>
                    <w:t>2.7 加强房屋建筑与市政工程施工现场扬尘环境监管，积极推进绿色施工，建设工程施工现场必须全封闭设置围挡墙，严禁敞开式作业，施工现场道路、作业区、生活区必须进行地面硬化。将施工扬尘污染控制情况纳入建筑企业信用管理系统，作为招投标的重要依据。渣土运输车辆全部采取密闭措施，对重点建筑施工现场安装视频，实施在线监管。推行道路机械化清扫等低尘作业方式。各种煤堆、料堆应实现封闭储存或建设防风抑尘设施</w:t>
                  </w:r>
                </w:p>
              </w:tc>
              <w:tc>
                <w:tcPr>
                  <w:tcW w:w="2181" w:type="pct"/>
                  <w:noWrap w:val="0"/>
                  <w:vAlign w:val="center"/>
                </w:tcPr>
                <w:p>
                  <w:pPr>
                    <w:pStyle w:val="2"/>
                    <w:spacing w:after="0" w:line="240" w:lineRule="auto"/>
                    <w:jc w:val="both"/>
                    <w:rPr>
                      <w:rFonts w:hint="eastAsia" w:ascii="宋体" w:hAnsi="宋体" w:eastAsia="宋体" w:cs="宋体"/>
                      <w:sz w:val="21"/>
                      <w:szCs w:val="21"/>
                      <w:u w:val="single"/>
                    </w:rPr>
                  </w:pPr>
                  <w:r>
                    <w:rPr>
                      <w:rFonts w:hint="eastAsia" w:ascii="宋体" w:hAnsi="宋体" w:eastAsia="宋体" w:cs="宋体"/>
                      <w:sz w:val="21"/>
                      <w:szCs w:val="21"/>
                      <w:u w:val="single"/>
                    </w:rPr>
                    <w:t>项目产生的废水主要为</w:t>
                  </w:r>
                  <w:r>
                    <w:rPr>
                      <w:rFonts w:hint="eastAsia" w:ascii="宋体" w:hAnsi="宋体" w:cs="宋体"/>
                      <w:sz w:val="21"/>
                      <w:szCs w:val="21"/>
                      <w:u w:val="single"/>
                      <w:lang w:val="en-US" w:eastAsia="zh-CN"/>
                    </w:rPr>
                    <w:t>生活污水和少量的</w:t>
                  </w:r>
                  <w:r>
                    <w:rPr>
                      <w:rFonts w:hint="eastAsia" w:ascii="宋体" w:hAnsi="宋体" w:eastAsia="宋体" w:cs="宋体"/>
                      <w:sz w:val="21"/>
                      <w:szCs w:val="21"/>
                      <w:u w:val="single"/>
                    </w:rPr>
                    <w:t>医疗废水由排污管道汇总进入化粪池，经化粪池处理后</w:t>
                  </w:r>
                  <w:r>
                    <w:rPr>
                      <w:rFonts w:hint="eastAsia" w:ascii="宋体" w:hAnsi="宋体" w:cs="宋体"/>
                      <w:sz w:val="21"/>
                      <w:szCs w:val="21"/>
                      <w:u w:val="single"/>
                      <w:lang w:eastAsia="zh-CN"/>
                    </w:rPr>
                    <w:t>，</w:t>
                  </w:r>
                  <w:r>
                    <w:rPr>
                      <w:rFonts w:hint="eastAsia" w:ascii="宋体" w:hAnsi="宋体" w:cs="宋体"/>
                      <w:sz w:val="21"/>
                      <w:szCs w:val="21"/>
                      <w:u w:val="single"/>
                      <w:lang w:val="en-US" w:eastAsia="zh-CN"/>
                    </w:rPr>
                    <w:t>排入</w:t>
                  </w:r>
                  <w:r>
                    <w:rPr>
                      <w:rFonts w:hint="eastAsia" w:ascii="宋体" w:hAnsi="宋体" w:eastAsia="宋体" w:cs="宋体"/>
                      <w:sz w:val="21"/>
                      <w:szCs w:val="21"/>
                      <w:u w:val="single"/>
                      <w:lang w:val="en-US" w:eastAsia="zh-CN"/>
                    </w:rPr>
                    <w:t>湘阴县妇女儿童医院（二期）</w:t>
                  </w:r>
                  <w:r>
                    <w:rPr>
                      <w:rFonts w:hint="eastAsia" w:ascii="宋体" w:hAnsi="宋体" w:cs="宋体"/>
                      <w:sz w:val="21"/>
                      <w:szCs w:val="21"/>
                      <w:u w:val="single"/>
                      <w:lang w:val="en-US" w:eastAsia="zh-CN"/>
                    </w:rPr>
                    <w:t>一体化污水处理设备，</w:t>
                  </w:r>
                  <w:r>
                    <w:rPr>
                      <w:rFonts w:hint="eastAsia" w:ascii="宋体" w:hAnsi="宋体" w:eastAsia="宋体" w:cs="宋体"/>
                      <w:sz w:val="21"/>
                      <w:szCs w:val="21"/>
                      <w:u w:val="single"/>
                    </w:rPr>
                    <w:t>处理达标后进入西侧市政污水管网，经湘阴县第二污水处理厂处理后排入湘江。大气污染主要为</w:t>
                  </w:r>
                  <w:r>
                    <w:rPr>
                      <w:rFonts w:hint="eastAsia" w:ascii="宋体" w:hAnsi="宋体" w:cs="宋体"/>
                      <w:sz w:val="21"/>
                      <w:szCs w:val="21"/>
                      <w:u w:val="single"/>
                      <w:lang w:val="en-US" w:eastAsia="zh-CN"/>
                    </w:rPr>
                    <w:t>热水锅炉燃烧废气和食堂油烟</w:t>
                  </w:r>
                  <w:r>
                    <w:rPr>
                      <w:rFonts w:hint="eastAsia" w:ascii="宋体" w:hAnsi="宋体" w:eastAsia="宋体" w:cs="宋体"/>
                      <w:sz w:val="21"/>
                      <w:szCs w:val="21"/>
                      <w:u w:val="single"/>
                    </w:rPr>
                    <w:t>，采取措施后，项目产生的废水废气均得到有效控制，对周围环境影响较小。</w:t>
                  </w:r>
                </w:p>
                <w:p>
                  <w:pPr>
                    <w:pStyle w:val="2"/>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项目施工期加强房屋建筑与市政工程施工现场扬尘环境监管，积极推进绿色施工，建设工程施工现场全封闭设置围挡墙，施工现场道路、作业区、生活区进行地面硬化。将施工扬尘污染控制情况纳入建筑企业信用管理系统，作为招投标的重要依据。渣土运输车辆全部采取密闭措施，对重点建筑施工现场安装视频，实施在线监管。推行道路机械化清扫等低尘作业方式。各种料堆封闭储存或建设防风抑尘设施，采取措施后，项目施工期产生的废水废气固废均得到有效控制，对周围环境影响较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13" w:hRule="atLeast"/>
                <w:jc w:val="center"/>
              </w:trPr>
              <w:tc>
                <w:tcPr>
                  <w:tcW w:w="579" w:type="pct"/>
                  <w:noWrap w:val="0"/>
                  <w:vAlign w:val="center"/>
                </w:tcPr>
                <w:p>
                  <w:pPr>
                    <w:autoSpaceDE w:val="0"/>
                    <w:autoSpaceDN w:val="0"/>
                    <w:adjustRightInd w:val="0"/>
                    <w:spacing w:line="240" w:lineRule="auto"/>
                    <w:jc w:val="center"/>
                    <w:rPr>
                      <w:rFonts w:hint="eastAsia" w:ascii="宋体" w:hAnsi="宋体" w:eastAsia="宋体" w:cs="宋体"/>
                      <w:b/>
                      <w:sz w:val="21"/>
                      <w:szCs w:val="21"/>
                    </w:rPr>
                  </w:pPr>
                  <w:r>
                    <w:rPr>
                      <w:rFonts w:hint="eastAsia" w:ascii="宋体" w:hAnsi="宋体" w:eastAsia="宋体" w:cs="宋体"/>
                      <w:b/>
                      <w:kern w:val="0"/>
                      <w:sz w:val="21"/>
                      <w:szCs w:val="21"/>
                    </w:rPr>
                    <w:t>环境风险</w:t>
                  </w:r>
                  <w:r>
                    <w:rPr>
                      <w:rFonts w:hint="eastAsia" w:ascii="宋体" w:hAnsi="宋体" w:eastAsia="宋体" w:cs="宋体"/>
                      <w:b/>
                      <w:sz w:val="21"/>
                      <w:szCs w:val="21"/>
                    </w:rPr>
                    <w:t>防控</w:t>
                  </w:r>
                </w:p>
              </w:tc>
              <w:tc>
                <w:tcPr>
                  <w:tcW w:w="2239" w:type="pct"/>
                  <w:gridSpan w:val="2"/>
                  <w:noWrap w:val="0"/>
                  <w:vAlign w:val="center"/>
                </w:tcPr>
                <w:p>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3.1 加强农业投入品监管工作。建立农业投入品购买索证索票、经营台账制度，建立农药包装废弃物收集处理体系，对全县26种高毒农药定点经营单位实行全方位监控；</w:t>
                  </w:r>
                </w:p>
                <w:p>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3.2 制定实施受污染耕地安全利用方案，明确农艺调控、化学阻控、替代种植等安全利用的技术途径、技术要求、实施目标等主要内容，降低农产品重金属超标风险</w:t>
                  </w:r>
                </w:p>
                <w:p>
                  <w:pPr>
                    <w:spacing w:line="240" w:lineRule="auto"/>
                    <w:jc w:val="both"/>
                    <w:rPr>
                      <w:rFonts w:hint="eastAsia" w:ascii="宋体" w:hAnsi="宋体" w:eastAsia="宋体" w:cs="宋体"/>
                      <w:kern w:val="0"/>
                      <w:sz w:val="21"/>
                      <w:szCs w:val="21"/>
                    </w:rPr>
                  </w:pPr>
                  <w:r>
                    <w:rPr>
                      <w:rFonts w:hint="default" w:ascii="Times New Roman" w:hAnsi="Times New Roman" w:eastAsia="宋体" w:cs="Times New Roman"/>
                      <w:sz w:val="21"/>
                      <w:szCs w:val="21"/>
                    </w:rPr>
                    <w:t>3.3 定期开展土壤、地表水、地下水和空气环境监测；存在潜在污染扩散风险的场地，责令相关责任方制定环境风险管控方案；发现污染扩散的，及时采取污染物隔离、阻断等环境风险管控措施；</w:t>
                  </w:r>
                </w:p>
              </w:tc>
              <w:tc>
                <w:tcPr>
                  <w:tcW w:w="2181" w:type="pct"/>
                  <w:noWrap w:val="0"/>
                  <w:vAlign w:val="center"/>
                </w:tcPr>
                <w:p>
                  <w:pPr>
                    <w:pStyle w:val="2"/>
                    <w:spacing w:after="0" w:line="240" w:lineRule="auto"/>
                    <w:jc w:val="both"/>
                    <w:rPr>
                      <w:rFonts w:hint="eastAsia" w:ascii="宋体" w:hAnsi="宋体" w:eastAsia="宋体" w:cs="宋体"/>
                      <w:color w:val="FF0000"/>
                      <w:sz w:val="21"/>
                      <w:szCs w:val="21"/>
                    </w:rPr>
                  </w:pPr>
                  <w:r>
                    <w:rPr>
                      <w:rFonts w:hint="eastAsia" w:ascii="宋体" w:hAnsi="宋体" w:eastAsia="宋体" w:cs="宋体"/>
                      <w:sz w:val="21"/>
                      <w:szCs w:val="21"/>
                    </w:rPr>
                    <w:t>本项目不涉及重金属排放。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057" w:hRule="atLeast"/>
                <w:jc w:val="center"/>
              </w:trPr>
              <w:tc>
                <w:tcPr>
                  <w:tcW w:w="579" w:type="pct"/>
                  <w:noWrap w:val="0"/>
                  <w:vAlign w:val="center"/>
                </w:tcPr>
                <w:p>
                  <w:pPr>
                    <w:autoSpaceDE w:val="0"/>
                    <w:autoSpaceDN w:val="0"/>
                    <w:adjustRightInd w:val="0"/>
                    <w:spacing w:line="240" w:lineRule="auto"/>
                    <w:jc w:val="center"/>
                    <w:rPr>
                      <w:rFonts w:hint="eastAsia" w:ascii="宋体" w:hAnsi="宋体" w:eastAsia="宋体" w:cs="宋体"/>
                      <w:b/>
                      <w:kern w:val="0"/>
                      <w:sz w:val="21"/>
                      <w:szCs w:val="21"/>
                    </w:rPr>
                  </w:pPr>
                  <w:r>
                    <w:rPr>
                      <w:rFonts w:hint="eastAsia" w:ascii="宋体" w:hAnsi="宋体" w:eastAsia="宋体" w:cs="宋体"/>
                      <w:b/>
                      <w:kern w:val="0"/>
                      <w:sz w:val="21"/>
                      <w:szCs w:val="21"/>
                    </w:rPr>
                    <w:t>资源开发效率要求</w:t>
                  </w:r>
                </w:p>
              </w:tc>
              <w:tc>
                <w:tcPr>
                  <w:tcW w:w="2239" w:type="pct"/>
                  <w:gridSpan w:val="2"/>
                  <w:noWrap w:val="0"/>
                  <w:vAlign w:val="center"/>
                </w:tcPr>
                <w:p>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4.1水资源：2020年，湘阴县万元国内生产总值用水量75m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/万元，万元工业增加值用水量28m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/万元，农田灌溉水有效利用系数0.53；</w:t>
                  </w:r>
                </w:p>
                <w:p>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4.2 能源：湘阴县“十三五”能耗强度降低目标18.5%，“十三五”能耗控制目标20万吨标准煤。积极引导生活用燃煤的居民改用天然气、液化石油气等清洁能源，鼓励秸秆资源化、能源化利用；</w:t>
                  </w:r>
                </w:p>
                <w:p>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4.3 土地资源：</w:t>
                  </w:r>
                </w:p>
                <w:p>
                  <w:pPr>
                    <w:spacing w:line="240" w:lineRule="auto"/>
                    <w:jc w:val="both"/>
                    <w:rPr>
                      <w:rFonts w:hint="eastAsia" w:ascii="宋体" w:hAnsi="宋体" w:eastAsia="宋体" w:cs="宋体"/>
                      <w:kern w:val="0"/>
                      <w:sz w:val="21"/>
                      <w:szCs w:val="21"/>
                    </w:rPr>
                  </w:pPr>
                  <w:r>
                    <w:rPr>
                      <w:rFonts w:hint="eastAsia" w:ascii="Times New Roman" w:hAnsi="Times New Roman" w:eastAsia="宋体" w:cs="Times New Roman"/>
                      <w:sz w:val="21"/>
                      <w:szCs w:val="21"/>
                      <w:lang w:val="en-US" w:eastAsia="zh-CN"/>
                    </w:rPr>
                    <w:t>洋沙湖镇</w:t>
                  </w:r>
                  <w:r>
                    <w:rPr>
                      <w:rFonts w:hint="default" w:ascii="Times New Roman" w:hAnsi="Times New Roman" w:eastAsia="宋体" w:cs="Times New Roman"/>
                      <w:sz w:val="21"/>
                      <w:szCs w:val="21"/>
                    </w:rPr>
                    <w:t>：到2020年耕地保有量不低于4377.00公顷，基本农田保护面积不低于3624公顷；城乡建设用地规模控制在4160.66公顷以内，城镇工矿用地规模控制在3375.74以内。</w:t>
                  </w:r>
                </w:p>
              </w:tc>
              <w:tc>
                <w:tcPr>
                  <w:tcW w:w="2181" w:type="pct"/>
                  <w:noWrap w:val="0"/>
                  <w:vAlign w:val="center"/>
                </w:tcPr>
                <w:p>
                  <w:pPr>
                    <w:pStyle w:val="2"/>
                    <w:spacing w:after="0" w:line="240" w:lineRule="auto"/>
                    <w:jc w:val="both"/>
                    <w:rPr>
                      <w:rFonts w:hint="eastAsia" w:ascii="宋体" w:hAnsi="宋体" w:eastAsia="宋体" w:cs="宋体"/>
                      <w:color w:val="FF0000"/>
                      <w:sz w:val="21"/>
                      <w:szCs w:val="21"/>
                    </w:rPr>
                  </w:pPr>
                  <w:r>
                    <w:rPr>
                      <w:rFonts w:hint="eastAsia" w:ascii="宋体" w:hAnsi="宋体" w:eastAsia="宋体" w:cs="宋体"/>
                      <w:sz w:val="21"/>
                      <w:szCs w:val="21"/>
                      <w:u w:val="single"/>
                    </w:rPr>
                    <w:t>本项目用水</w:t>
                  </w:r>
                  <w:r>
                    <w:rPr>
                      <w:rFonts w:hint="eastAsia" w:ascii="宋体" w:hAnsi="宋体" w:cs="宋体"/>
                      <w:sz w:val="21"/>
                      <w:szCs w:val="21"/>
                      <w:u w:val="single"/>
                      <w:lang w:val="en-US" w:eastAsia="zh-CN"/>
                    </w:rPr>
                    <w:t>量</w:t>
                  </w:r>
                  <w:r>
                    <w:rPr>
                      <w:rFonts w:hint="eastAsia" w:ascii="宋体" w:hAnsi="宋体" w:eastAsia="宋体" w:cs="宋体"/>
                      <w:sz w:val="21"/>
                      <w:szCs w:val="21"/>
                      <w:u w:val="single"/>
                    </w:rPr>
                    <w:t>为</w:t>
                  </w:r>
                  <w:r>
                    <w:rPr>
                      <w:rFonts w:hint="eastAsia" w:cs="Times New Roman"/>
                      <w:sz w:val="21"/>
                      <w:szCs w:val="21"/>
                      <w:u w:val="single"/>
                      <w:lang w:val="en-US" w:eastAsia="zh-CN"/>
                    </w:rPr>
                    <w:t>85.15</w:t>
                  </w:r>
                  <w:r>
                    <w:rPr>
                      <w:rFonts w:hint="default" w:ascii="Times New Roman" w:hAnsi="Times New Roman" w:eastAsia="宋体" w:cs="Times New Roman"/>
                      <w:sz w:val="21"/>
                      <w:szCs w:val="21"/>
                      <w:u w:val="single"/>
                    </w:rPr>
                    <w:t>m</w:t>
                  </w:r>
                  <w:r>
                    <w:rPr>
                      <w:rFonts w:hint="default" w:ascii="Times New Roman" w:hAnsi="Times New Roman" w:eastAsia="宋体" w:cs="Times New Roman"/>
                      <w:sz w:val="21"/>
                      <w:szCs w:val="21"/>
                      <w:u w:val="single"/>
                      <w:vertAlign w:val="superscript"/>
                    </w:rPr>
                    <w:t>3</w:t>
                  </w:r>
                  <w:r>
                    <w:rPr>
                      <w:rFonts w:hint="default" w:ascii="Times New Roman" w:hAnsi="Times New Roman" w:eastAsia="宋体" w:cs="Times New Roman"/>
                      <w:sz w:val="21"/>
                      <w:szCs w:val="21"/>
                      <w:u w:val="single"/>
                    </w:rPr>
                    <w:t>/d</w:t>
                  </w:r>
                  <w:r>
                    <w:rPr>
                      <w:rFonts w:hint="eastAsia" w:ascii="宋体" w:hAnsi="宋体" w:eastAsia="宋体" w:cs="宋体"/>
                      <w:sz w:val="21"/>
                      <w:szCs w:val="21"/>
                      <w:u w:val="single"/>
                    </w:rPr>
                    <w:t>，</w:t>
                  </w:r>
                  <w:r>
                    <w:rPr>
                      <w:rFonts w:hint="eastAsia" w:ascii="宋体" w:hAnsi="宋体" w:eastAsia="宋体" w:cs="宋体"/>
                      <w:sz w:val="21"/>
                      <w:szCs w:val="21"/>
                      <w:u w:val="single"/>
                      <w:lang w:val="en-US" w:eastAsia="zh-CN"/>
                    </w:rPr>
                    <w:t>洋沙湖镇</w:t>
                  </w:r>
                  <w:r>
                    <w:rPr>
                      <w:rFonts w:hint="eastAsia" w:ascii="宋体" w:hAnsi="宋体" w:eastAsia="宋体" w:cs="宋体"/>
                      <w:sz w:val="21"/>
                      <w:szCs w:val="21"/>
                      <w:u w:val="single"/>
                    </w:rPr>
                    <w:t>可以满足用水需求。</w:t>
                  </w:r>
                </w:p>
              </w:tc>
            </w:tr>
          </w:tbl>
          <w:p>
            <w:pPr>
              <w:bidi w:val="0"/>
              <w:spacing w:line="240" w:lineRule="auto"/>
              <w:rPr>
                <w:rFonts w:hint="eastAsia"/>
                <w:sz w:val="24"/>
                <w:szCs w:val="24"/>
                <w:lang w:val="zh-CN"/>
              </w:rPr>
            </w:pPr>
          </w:p>
          <w:p>
            <w:pPr>
              <w:bidi w:val="0"/>
              <w:spacing w:line="360" w:lineRule="auto"/>
              <w:ind w:firstLine="480" w:firstLineChars="200"/>
              <w:rPr>
                <w:rFonts w:hint="eastAsia"/>
                <w:sz w:val="24"/>
                <w:szCs w:val="24"/>
                <w:lang w:val="zh-CN"/>
              </w:rPr>
            </w:pPr>
            <w:r>
              <w:rPr>
                <w:rFonts w:hint="eastAsia"/>
                <w:sz w:val="24"/>
                <w:szCs w:val="24"/>
                <w:lang w:val="zh-CN"/>
              </w:rPr>
              <w:t>综上所述，本项目符合</w:t>
            </w:r>
            <w:r>
              <w:rPr>
                <w:rFonts w:hint="eastAsia"/>
                <w:sz w:val="24"/>
                <w:szCs w:val="24"/>
              </w:rPr>
              <w:t>湘阴县文星镇</w:t>
            </w:r>
            <w:r>
              <w:rPr>
                <w:rFonts w:hint="eastAsia"/>
                <w:sz w:val="24"/>
                <w:szCs w:val="24"/>
                <w:lang w:val="zh-CN"/>
              </w:rPr>
              <w:t>生态环境准入清单相关要求。</w:t>
            </w:r>
          </w:p>
          <w:p>
            <w:pPr>
              <w:keepNext w:val="0"/>
              <w:keepLines w:val="0"/>
              <w:pageBreakBefore w:val="0"/>
              <w:kinsoku/>
              <w:wordWrap/>
              <w:overflowPunct/>
              <w:topLinePunct w:val="0"/>
              <w:autoSpaceDE/>
              <w:autoSpaceDN/>
              <w:bidi w:val="0"/>
              <w:adjustRightInd/>
              <w:spacing w:line="360" w:lineRule="auto"/>
              <w:ind w:firstLine="482" w:firstLineChars="200"/>
              <w:jc w:val="left"/>
              <w:textAlignment w:val="auto"/>
              <w:rPr>
                <w:rFonts w:hint="eastAsia" w:ascii="宋体" w:hAnsi="宋体" w:eastAsia="宋体" w:cs="宋体"/>
                <w:b/>
                <w:bCs/>
                <w:sz w:val="24"/>
              </w:rPr>
            </w:pPr>
            <w:r>
              <w:rPr>
                <w:rFonts w:hint="eastAsia" w:ascii="宋体" w:hAnsi="宋体" w:eastAsia="宋体" w:cs="宋体"/>
                <w:b/>
                <w:bCs/>
                <w:sz w:val="24"/>
              </w:rPr>
              <w:t>5、</w:t>
            </w:r>
            <w:r>
              <w:rPr>
                <w:rFonts w:hint="eastAsia" w:ascii="宋体" w:hAnsi="宋体" w:eastAsia="宋体" w:cs="宋体"/>
                <w:b/>
                <w:bCs/>
                <w:sz w:val="24"/>
                <w:lang w:val="zh-CN"/>
              </w:rPr>
              <w:t>本项目与</w:t>
            </w:r>
            <w:r>
              <w:rPr>
                <w:rFonts w:hint="eastAsia" w:ascii="宋体" w:hAnsi="宋体" w:eastAsia="宋体" w:cs="宋体"/>
                <w:b/>
                <w:bCs/>
                <w:sz w:val="24"/>
              </w:rPr>
              <w:t>《湖南省长江经济带发展负面清单实施细则（试行）》相符性分析</w:t>
            </w:r>
          </w:p>
          <w:p>
            <w:pPr>
              <w:bidi w:val="0"/>
              <w:spacing w:line="360" w:lineRule="auto"/>
              <w:ind w:firstLine="480" w:firstLineChars="200"/>
              <w:rPr>
                <w:rFonts w:hint="eastAsia"/>
                <w:sz w:val="24"/>
                <w:szCs w:val="24"/>
              </w:rPr>
            </w:pPr>
            <w:r>
              <w:rPr>
                <w:rFonts w:hint="eastAsia"/>
                <w:sz w:val="24"/>
                <w:szCs w:val="24"/>
                <w:lang w:val="zh-CN"/>
              </w:rPr>
              <w:t>本项目与</w:t>
            </w:r>
            <w:r>
              <w:rPr>
                <w:rFonts w:hint="eastAsia"/>
                <w:sz w:val="24"/>
                <w:szCs w:val="24"/>
              </w:rPr>
              <w:t>《湖南省长江经济带发展负面清单实施细则（试行）》相符性分析见下表：</w:t>
            </w:r>
          </w:p>
          <w:p>
            <w:pPr>
              <w:spacing w:line="240" w:lineRule="auto"/>
              <w:jc w:val="both"/>
              <w:rPr>
                <w:rFonts w:hint="eastAsia" w:ascii="宋体" w:hAnsi="宋体" w:eastAsia="宋体" w:cs="宋体"/>
                <w:b/>
                <w:bCs/>
                <w:szCs w:val="21"/>
              </w:rPr>
            </w:pPr>
            <w:r>
              <w:rPr>
                <w:rFonts w:hint="eastAsia" w:ascii="宋体" w:hAnsi="宋体" w:eastAsia="宋体" w:cs="宋体"/>
                <w:b/>
                <w:bCs/>
                <w:szCs w:val="21"/>
              </w:rPr>
              <w:t>表1-2项目与《湖南省长江经济带发展负面清单实施细则（试行）》的相符性分析表</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450"/>
              <w:gridCol w:w="4836"/>
              <w:gridCol w:w="2242"/>
              <w:gridCol w:w="684"/>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blHeader/>
              </w:trPr>
              <w:tc>
                <w:tcPr>
                  <w:tcW w:w="273" w:type="pct"/>
                  <w:noWrap/>
                  <w:vAlign w:val="center"/>
                </w:tcPr>
                <w:p>
                  <w:pPr>
                    <w:pStyle w:val="48"/>
                    <w:snapToGrid w:val="0"/>
                    <w:spacing w:line="240" w:lineRule="atLeast"/>
                    <w:jc w:val="center"/>
                    <w:rPr>
                      <w:rFonts w:hint="eastAsia" w:ascii="宋体" w:hAnsi="宋体" w:eastAsia="宋体" w:cs="宋体"/>
                      <w:b/>
                      <w:color w:val="auto"/>
                      <w:kern w:val="2"/>
                      <w:sz w:val="21"/>
                    </w:rPr>
                  </w:pPr>
                  <w:r>
                    <w:rPr>
                      <w:rFonts w:hint="eastAsia" w:ascii="宋体" w:hAnsi="宋体" w:eastAsia="宋体" w:cs="宋体"/>
                      <w:b/>
                      <w:color w:val="auto"/>
                      <w:kern w:val="2"/>
                      <w:sz w:val="21"/>
                    </w:rPr>
                    <w:t>序号</w:t>
                  </w:r>
                </w:p>
              </w:tc>
              <w:tc>
                <w:tcPr>
                  <w:tcW w:w="2944" w:type="pct"/>
                  <w:noWrap/>
                  <w:vAlign w:val="center"/>
                </w:tcPr>
                <w:p>
                  <w:pPr>
                    <w:pStyle w:val="48"/>
                    <w:snapToGrid w:val="0"/>
                    <w:spacing w:line="240" w:lineRule="atLeast"/>
                    <w:jc w:val="center"/>
                    <w:rPr>
                      <w:rFonts w:hint="eastAsia" w:ascii="宋体" w:hAnsi="宋体" w:eastAsia="宋体" w:cs="宋体"/>
                      <w:b/>
                      <w:color w:val="auto"/>
                      <w:kern w:val="2"/>
                      <w:sz w:val="21"/>
                    </w:rPr>
                  </w:pPr>
                  <w:r>
                    <w:rPr>
                      <w:rFonts w:hint="eastAsia" w:ascii="宋体" w:hAnsi="宋体" w:eastAsia="宋体" w:cs="宋体"/>
                      <w:b/>
                      <w:color w:val="auto"/>
                      <w:kern w:val="2"/>
                      <w:sz w:val="21"/>
                    </w:rPr>
                    <w:t>相关要求</w:t>
                  </w:r>
                </w:p>
              </w:tc>
              <w:tc>
                <w:tcPr>
                  <w:tcW w:w="1365" w:type="pct"/>
                  <w:noWrap/>
                  <w:vAlign w:val="center"/>
                </w:tcPr>
                <w:p>
                  <w:pPr>
                    <w:pStyle w:val="48"/>
                    <w:snapToGrid w:val="0"/>
                    <w:spacing w:line="240" w:lineRule="atLeast"/>
                    <w:jc w:val="center"/>
                    <w:rPr>
                      <w:rFonts w:hint="eastAsia" w:ascii="宋体" w:hAnsi="宋体" w:eastAsia="宋体" w:cs="宋体"/>
                      <w:b/>
                      <w:color w:val="auto"/>
                      <w:kern w:val="2"/>
                      <w:sz w:val="21"/>
                    </w:rPr>
                  </w:pPr>
                  <w:r>
                    <w:rPr>
                      <w:rFonts w:hint="eastAsia" w:ascii="宋体" w:hAnsi="宋体" w:eastAsia="宋体" w:cs="宋体"/>
                      <w:b/>
                      <w:color w:val="auto"/>
                      <w:kern w:val="2"/>
                      <w:sz w:val="21"/>
                    </w:rPr>
                    <w:t>项目情况</w:t>
                  </w:r>
                </w:p>
              </w:tc>
              <w:tc>
                <w:tcPr>
                  <w:tcW w:w="416" w:type="pct"/>
                  <w:noWrap/>
                  <w:vAlign w:val="center"/>
                </w:tcPr>
                <w:p>
                  <w:pPr>
                    <w:pStyle w:val="48"/>
                    <w:snapToGrid w:val="0"/>
                    <w:spacing w:line="240" w:lineRule="atLeast"/>
                    <w:jc w:val="center"/>
                    <w:rPr>
                      <w:rFonts w:hint="eastAsia" w:ascii="宋体" w:hAnsi="宋体" w:eastAsia="宋体" w:cs="宋体"/>
                      <w:b/>
                      <w:color w:val="auto"/>
                      <w:kern w:val="2"/>
                      <w:sz w:val="21"/>
                    </w:rPr>
                  </w:pPr>
                  <w:r>
                    <w:rPr>
                      <w:rFonts w:hint="eastAsia" w:ascii="宋体" w:hAnsi="宋体" w:eastAsia="宋体" w:cs="宋体"/>
                      <w:b/>
                      <w:color w:val="auto"/>
                      <w:kern w:val="2"/>
                      <w:sz w:val="21"/>
                    </w:rPr>
                    <w:t>符合性分析</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273" w:type="pct"/>
                  <w:noWrap/>
                  <w:vAlign w:val="center"/>
                </w:tcPr>
                <w:p>
                  <w:pPr>
                    <w:pStyle w:val="48"/>
                    <w:snapToGrid w:val="0"/>
                    <w:spacing w:line="240" w:lineRule="atLeast"/>
                    <w:jc w:val="center"/>
                    <w:rPr>
                      <w:rFonts w:hint="eastAsia" w:ascii="宋体" w:hAnsi="宋体" w:eastAsia="宋体" w:cs="宋体"/>
                      <w:color w:val="auto"/>
                      <w:kern w:val="2"/>
                      <w:sz w:val="21"/>
                    </w:rPr>
                  </w:pPr>
                  <w:r>
                    <w:rPr>
                      <w:rFonts w:hint="eastAsia" w:ascii="宋体" w:hAnsi="宋体" w:eastAsia="宋体" w:cs="宋体"/>
                      <w:color w:val="auto"/>
                      <w:kern w:val="2"/>
                      <w:sz w:val="21"/>
                    </w:rPr>
                    <w:t>1</w:t>
                  </w:r>
                </w:p>
              </w:tc>
              <w:tc>
                <w:tcPr>
                  <w:tcW w:w="2944" w:type="pct"/>
                  <w:noWrap/>
                  <w:vAlign w:val="center"/>
                </w:tcPr>
                <w:p>
                  <w:pPr>
                    <w:pStyle w:val="48"/>
                    <w:snapToGrid w:val="0"/>
                    <w:spacing w:line="240" w:lineRule="atLeast"/>
                    <w:jc w:val="left"/>
                    <w:rPr>
                      <w:rFonts w:hint="eastAsia" w:ascii="宋体" w:hAnsi="宋体" w:eastAsia="宋体" w:cs="宋体"/>
                      <w:color w:val="auto"/>
                      <w:kern w:val="2"/>
                      <w:sz w:val="21"/>
                    </w:rPr>
                  </w:pPr>
                  <w:r>
                    <w:rPr>
                      <w:rFonts w:hint="eastAsia" w:ascii="宋体" w:hAnsi="宋体" w:eastAsia="宋体" w:cs="宋体"/>
                      <w:color w:val="auto"/>
                      <w:kern w:val="2"/>
                      <w:sz w:val="21"/>
                    </w:rPr>
                    <w:t>第四条禁止在自然保护区核心区、缓冲区的岸线和河段范围内投资建设以下项目：</w:t>
                  </w:r>
                </w:p>
                <w:p>
                  <w:pPr>
                    <w:pStyle w:val="48"/>
                    <w:snapToGrid w:val="0"/>
                    <w:spacing w:line="240" w:lineRule="atLeast"/>
                    <w:jc w:val="left"/>
                    <w:rPr>
                      <w:rFonts w:hint="eastAsia" w:ascii="宋体" w:hAnsi="宋体" w:eastAsia="宋体" w:cs="宋体"/>
                      <w:color w:val="auto"/>
                      <w:kern w:val="2"/>
                      <w:sz w:val="21"/>
                    </w:rPr>
                  </w:pPr>
                  <w:r>
                    <w:rPr>
                      <w:rFonts w:hint="eastAsia" w:ascii="宋体" w:hAnsi="宋体" w:eastAsia="宋体" w:cs="宋体"/>
                      <w:color w:val="auto"/>
                      <w:kern w:val="2"/>
                      <w:sz w:val="21"/>
                    </w:rPr>
                    <w:t>（一）高尔夫球场开发、房地产开发、索道建设、会所建设等项目；</w:t>
                  </w:r>
                </w:p>
                <w:p>
                  <w:pPr>
                    <w:pStyle w:val="48"/>
                    <w:snapToGrid w:val="0"/>
                    <w:spacing w:line="240" w:lineRule="atLeast"/>
                    <w:jc w:val="left"/>
                    <w:rPr>
                      <w:rFonts w:hint="eastAsia" w:ascii="宋体" w:hAnsi="宋体" w:eastAsia="宋体" w:cs="宋体"/>
                      <w:color w:val="auto"/>
                      <w:kern w:val="2"/>
                      <w:sz w:val="21"/>
                    </w:rPr>
                  </w:pPr>
                  <w:r>
                    <w:rPr>
                      <w:rFonts w:hint="eastAsia" w:ascii="宋体" w:hAnsi="宋体" w:eastAsia="宋体" w:cs="宋体"/>
                      <w:color w:val="auto"/>
                      <w:kern w:val="2"/>
                      <w:sz w:val="21"/>
                    </w:rPr>
                    <w:t>（二）光伏发电、风力发电、火力发电建设项目；</w:t>
                  </w:r>
                </w:p>
                <w:p>
                  <w:pPr>
                    <w:pStyle w:val="48"/>
                    <w:snapToGrid w:val="0"/>
                    <w:spacing w:line="240" w:lineRule="atLeast"/>
                    <w:jc w:val="left"/>
                    <w:rPr>
                      <w:rFonts w:hint="eastAsia" w:ascii="宋体" w:hAnsi="宋体" w:eastAsia="宋体" w:cs="宋体"/>
                      <w:color w:val="auto"/>
                      <w:kern w:val="2"/>
                      <w:sz w:val="21"/>
                    </w:rPr>
                  </w:pPr>
                  <w:r>
                    <w:rPr>
                      <w:rFonts w:hint="eastAsia" w:ascii="宋体" w:hAnsi="宋体" w:eastAsia="宋体" w:cs="宋体"/>
                      <w:color w:val="auto"/>
                      <w:kern w:val="2"/>
                      <w:sz w:val="21"/>
                    </w:rPr>
                    <w:t>（三）社会资金进行商业性探矿勘查，以及不属于国家紧缺矿种资源的基础地质调查和矿产远景调查等公益性工作的设施建设；</w:t>
                  </w:r>
                </w:p>
                <w:p>
                  <w:pPr>
                    <w:pStyle w:val="48"/>
                    <w:snapToGrid w:val="0"/>
                    <w:spacing w:line="240" w:lineRule="atLeast"/>
                    <w:jc w:val="left"/>
                    <w:rPr>
                      <w:rFonts w:hint="eastAsia" w:ascii="宋体" w:hAnsi="宋体" w:eastAsia="宋体" w:cs="宋体"/>
                      <w:color w:val="auto"/>
                      <w:kern w:val="2"/>
                      <w:sz w:val="21"/>
                    </w:rPr>
                  </w:pPr>
                  <w:r>
                    <w:rPr>
                      <w:rFonts w:hint="eastAsia" w:ascii="宋体" w:hAnsi="宋体" w:eastAsia="宋体" w:cs="宋体"/>
                      <w:color w:val="auto"/>
                      <w:kern w:val="2"/>
                      <w:sz w:val="21"/>
                    </w:rPr>
                    <w:t>（四）野生动物驯养繁殖、展览基地建设项目；</w:t>
                  </w:r>
                </w:p>
                <w:p>
                  <w:pPr>
                    <w:pStyle w:val="48"/>
                    <w:snapToGrid w:val="0"/>
                    <w:spacing w:line="240" w:lineRule="atLeast"/>
                    <w:jc w:val="left"/>
                    <w:rPr>
                      <w:rFonts w:hint="eastAsia" w:ascii="宋体" w:hAnsi="宋体" w:eastAsia="宋体" w:cs="宋体"/>
                      <w:color w:val="auto"/>
                      <w:kern w:val="2"/>
                      <w:sz w:val="21"/>
                    </w:rPr>
                  </w:pPr>
                  <w:r>
                    <w:rPr>
                      <w:rFonts w:hint="eastAsia" w:ascii="宋体" w:hAnsi="宋体" w:eastAsia="宋体" w:cs="宋体"/>
                      <w:color w:val="auto"/>
                      <w:kern w:val="2"/>
                      <w:sz w:val="21"/>
                    </w:rPr>
                    <w:t>（五）污染环境、破坏自然资源或自然景观的建设设施；</w:t>
                  </w:r>
                </w:p>
                <w:p>
                  <w:pPr>
                    <w:pStyle w:val="48"/>
                    <w:snapToGrid w:val="0"/>
                    <w:spacing w:line="240" w:lineRule="atLeast"/>
                    <w:jc w:val="left"/>
                    <w:rPr>
                      <w:rFonts w:hint="eastAsia" w:ascii="宋体" w:hAnsi="宋体" w:eastAsia="宋体" w:cs="宋体"/>
                      <w:color w:val="auto"/>
                      <w:kern w:val="2"/>
                      <w:sz w:val="21"/>
                    </w:rPr>
                  </w:pPr>
                  <w:r>
                    <w:rPr>
                      <w:rFonts w:hint="eastAsia" w:ascii="宋体" w:hAnsi="宋体" w:eastAsia="宋体" w:cs="宋体"/>
                      <w:color w:val="auto"/>
                      <w:kern w:val="2"/>
                      <w:sz w:val="21"/>
                    </w:rPr>
                    <w:t>（六）对自然保护区主要保护对象产生重大影响、改变自然生态系统完整性、原真性、破坏自然景观的设施；</w:t>
                  </w:r>
                </w:p>
                <w:p>
                  <w:pPr>
                    <w:pStyle w:val="48"/>
                    <w:snapToGrid w:val="0"/>
                    <w:spacing w:line="240" w:lineRule="atLeast"/>
                    <w:jc w:val="left"/>
                    <w:rPr>
                      <w:rFonts w:hint="eastAsia" w:ascii="宋体" w:hAnsi="宋体" w:eastAsia="宋体" w:cs="宋体"/>
                      <w:color w:val="auto"/>
                      <w:kern w:val="2"/>
                      <w:sz w:val="21"/>
                    </w:rPr>
                  </w:pPr>
                  <w:r>
                    <w:rPr>
                      <w:rFonts w:hint="eastAsia" w:ascii="宋体" w:hAnsi="宋体" w:eastAsia="宋体" w:cs="宋体"/>
                      <w:color w:val="auto"/>
                      <w:kern w:val="2"/>
                      <w:sz w:val="21"/>
                    </w:rPr>
                    <w:t>（七）其他不符合自然保护区主体功能定位和国家禁止的设施。</w:t>
                  </w:r>
                </w:p>
              </w:tc>
              <w:tc>
                <w:tcPr>
                  <w:tcW w:w="1365" w:type="pct"/>
                  <w:noWrap/>
                  <w:vAlign w:val="center"/>
                </w:tcPr>
                <w:p>
                  <w:pPr>
                    <w:pStyle w:val="48"/>
                    <w:snapToGrid w:val="0"/>
                    <w:spacing w:line="240" w:lineRule="atLeast"/>
                    <w:jc w:val="left"/>
                    <w:rPr>
                      <w:rFonts w:hint="eastAsia" w:ascii="宋体" w:hAnsi="宋体" w:eastAsia="宋体" w:cs="宋体"/>
                      <w:color w:val="auto"/>
                      <w:kern w:val="2"/>
                      <w:sz w:val="21"/>
                    </w:rPr>
                  </w:pPr>
                  <w:r>
                    <w:rPr>
                      <w:rFonts w:hint="eastAsia" w:ascii="宋体" w:hAnsi="宋体" w:eastAsia="宋体" w:cs="宋体"/>
                      <w:color w:val="auto"/>
                      <w:kern w:val="2"/>
                      <w:sz w:val="21"/>
                    </w:rPr>
                    <w:t>本项目选址不在自然保护区核心区、缓冲区的岸线和河段范围。</w:t>
                  </w:r>
                </w:p>
              </w:tc>
              <w:tc>
                <w:tcPr>
                  <w:tcW w:w="416" w:type="pct"/>
                  <w:noWrap/>
                  <w:vAlign w:val="center"/>
                </w:tcPr>
                <w:p>
                  <w:pPr>
                    <w:pStyle w:val="48"/>
                    <w:snapToGrid w:val="0"/>
                    <w:spacing w:line="240" w:lineRule="atLeast"/>
                    <w:jc w:val="left"/>
                    <w:rPr>
                      <w:rFonts w:hint="eastAsia" w:ascii="宋体" w:hAnsi="宋体" w:eastAsia="宋体" w:cs="宋体"/>
                      <w:color w:val="auto"/>
                      <w:kern w:val="2"/>
                      <w:sz w:val="21"/>
                    </w:rPr>
                  </w:pPr>
                  <w:r>
                    <w:rPr>
                      <w:rFonts w:hint="eastAsia" w:ascii="宋体" w:hAnsi="宋体" w:eastAsia="宋体" w:cs="宋体"/>
                      <w:color w:val="auto"/>
                      <w:kern w:val="2"/>
                      <w:sz w:val="21"/>
                    </w:rPr>
                    <w:t>相符</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273" w:type="pct"/>
                  <w:noWrap/>
                  <w:vAlign w:val="center"/>
                </w:tcPr>
                <w:p>
                  <w:pPr>
                    <w:pStyle w:val="48"/>
                    <w:snapToGrid w:val="0"/>
                    <w:spacing w:line="240" w:lineRule="atLeast"/>
                    <w:jc w:val="center"/>
                    <w:rPr>
                      <w:rFonts w:hint="eastAsia" w:ascii="宋体" w:hAnsi="宋体" w:eastAsia="宋体" w:cs="宋体"/>
                      <w:color w:val="auto"/>
                      <w:kern w:val="2"/>
                      <w:sz w:val="21"/>
                    </w:rPr>
                  </w:pPr>
                  <w:r>
                    <w:rPr>
                      <w:rFonts w:hint="eastAsia" w:ascii="宋体" w:hAnsi="宋体" w:eastAsia="宋体" w:cs="宋体"/>
                      <w:color w:val="auto"/>
                      <w:kern w:val="2"/>
                      <w:sz w:val="21"/>
                    </w:rPr>
                    <w:t>2</w:t>
                  </w:r>
                </w:p>
              </w:tc>
              <w:tc>
                <w:tcPr>
                  <w:tcW w:w="2944" w:type="pct"/>
                  <w:noWrap/>
                  <w:vAlign w:val="center"/>
                </w:tcPr>
                <w:p>
                  <w:pPr>
                    <w:pStyle w:val="48"/>
                    <w:snapToGrid w:val="0"/>
                    <w:spacing w:line="240" w:lineRule="atLeast"/>
                    <w:jc w:val="left"/>
                    <w:rPr>
                      <w:rFonts w:hint="eastAsia" w:ascii="宋体" w:hAnsi="宋体" w:eastAsia="宋体" w:cs="宋体"/>
                      <w:color w:val="auto"/>
                      <w:kern w:val="2"/>
                      <w:sz w:val="21"/>
                    </w:rPr>
                  </w:pPr>
                  <w:r>
                    <w:rPr>
                      <w:rFonts w:hint="eastAsia" w:ascii="宋体" w:hAnsi="宋体" w:eastAsia="宋体" w:cs="宋体"/>
                      <w:color w:val="auto"/>
                      <w:kern w:val="2"/>
                      <w:sz w:val="21"/>
                    </w:rPr>
                    <w:t>第六条禁止违反风景名胜区规划，在风景名胜区内设立各类开发区和在核心景区内建设宾馆、招待所、培训中心、疗养院以及与风景名胜资源保护无关的其他建筑物；已经建设的，应当按照风景名胜区规划，逐步迁出。</w:t>
                  </w:r>
                </w:p>
              </w:tc>
              <w:tc>
                <w:tcPr>
                  <w:tcW w:w="1365" w:type="pct"/>
                  <w:noWrap/>
                  <w:vAlign w:val="center"/>
                </w:tcPr>
                <w:p>
                  <w:pPr>
                    <w:pStyle w:val="48"/>
                    <w:snapToGrid w:val="0"/>
                    <w:spacing w:line="240" w:lineRule="atLeast"/>
                    <w:jc w:val="left"/>
                    <w:rPr>
                      <w:rFonts w:hint="eastAsia" w:ascii="宋体" w:hAnsi="宋体" w:eastAsia="宋体" w:cs="宋体"/>
                      <w:color w:val="auto"/>
                      <w:kern w:val="2"/>
                      <w:sz w:val="21"/>
                    </w:rPr>
                  </w:pPr>
                  <w:r>
                    <w:rPr>
                      <w:rFonts w:hint="eastAsia" w:ascii="宋体" w:hAnsi="宋体" w:eastAsia="宋体" w:cs="宋体"/>
                      <w:color w:val="auto"/>
                      <w:kern w:val="2"/>
                      <w:sz w:val="21"/>
                    </w:rPr>
                    <w:t>本项目选址不在风景名胜区内。</w:t>
                  </w:r>
                </w:p>
              </w:tc>
              <w:tc>
                <w:tcPr>
                  <w:tcW w:w="416" w:type="pct"/>
                  <w:noWrap/>
                  <w:vAlign w:val="center"/>
                </w:tcPr>
                <w:p>
                  <w:pPr>
                    <w:pStyle w:val="48"/>
                    <w:snapToGrid w:val="0"/>
                    <w:spacing w:line="240" w:lineRule="atLeast"/>
                    <w:jc w:val="left"/>
                    <w:rPr>
                      <w:rFonts w:hint="eastAsia" w:ascii="宋体" w:hAnsi="宋体" w:eastAsia="宋体" w:cs="宋体"/>
                      <w:color w:val="auto"/>
                      <w:kern w:val="2"/>
                      <w:sz w:val="21"/>
                    </w:rPr>
                  </w:pPr>
                  <w:r>
                    <w:rPr>
                      <w:rFonts w:hint="eastAsia" w:ascii="宋体" w:hAnsi="宋体" w:eastAsia="宋体" w:cs="宋体"/>
                      <w:color w:val="auto"/>
                      <w:kern w:val="2"/>
                      <w:sz w:val="21"/>
                    </w:rPr>
                    <w:t>相符</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273" w:type="pct"/>
                  <w:noWrap/>
                  <w:vAlign w:val="center"/>
                </w:tcPr>
                <w:p>
                  <w:pPr>
                    <w:pStyle w:val="48"/>
                    <w:snapToGrid w:val="0"/>
                    <w:spacing w:line="240" w:lineRule="atLeast"/>
                    <w:jc w:val="center"/>
                    <w:rPr>
                      <w:rFonts w:hint="eastAsia" w:ascii="宋体" w:hAnsi="宋体" w:eastAsia="宋体" w:cs="宋体"/>
                      <w:color w:val="auto"/>
                      <w:kern w:val="2"/>
                      <w:sz w:val="21"/>
                    </w:rPr>
                  </w:pPr>
                  <w:r>
                    <w:rPr>
                      <w:rFonts w:hint="eastAsia" w:ascii="宋体" w:hAnsi="宋体" w:eastAsia="宋体" w:cs="宋体"/>
                      <w:color w:val="auto"/>
                      <w:kern w:val="2"/>
                      <w:sz w:val="21"/>
                    </w:rPr>
                    <w:t>3</w:t>
                  </w:r>
                </w:p>
              </w:tc>
              <w:tc>
                <w:tcPr>
                  <w:tcW w:w="2944" w:type="pct"/>
                  <w:noWrap/>
                  <w:vAlign w:val="center"/>
                </w:tcPr>
                <w:p>
                  <w:pPr>
                    <w:pStyle w:val="48"/>
                    <w:snapToGrid w:val="0"/>
                    <w:spacing w:line="240" w:lineRule="atLeast"/>
                    <w:jc w:val="left"/>
                    <w:rPr>
                      <w:rFonts w:hint="eastAsia" w:ascii="宋体" w:hAnsi="宋体" w:eastAsia="宋体" w:cs="宋体"/>
                      <w:color w:val="auto"/>
                      <w:kern w:val="2"/>
                      <w:sz w:val="21"/>
                    </w:rPr>
                  </w:pPr>
                  <w:r>
                    <w:rPr>
                      <w:rFonts w:hint="eastAsia" w:ascii="宋体" w:hAnsi="宋体" w:eastAsia="宋体" w:cs="宋体"/>
                      <w:color w:val="auto"/>
                      <w:kern w:val="2"/>
                      <w:sz w:val="21"/>
                    </w:rPr>
                    <w:t>第七条 饮用水水源一级保护区内禁止新建、改建、扩建与供水设施和保护水源无关的建设项目；禁止向水域排放污水，已设置的排污口必须拆除；不得设置与供水需要无关的码头，禁止停靠船舶；禁止堆置和存放工业废渣、城市垃圾、粪便和其它废弃物；禁止设置油库；禁止使用含磷洗涤剂、化肥、农药；禁止建设养殖场、禁止网箱养殖、旅游等可能污染饮用水水体的投资建设项目。</w:t>
                  </w:r>
                </w:p>
                <w:p>
                  <w:pPr>
                    <w:pStyle w:val="48"/>
                    <w:snapToGrid w:val="0"/>
                    <w:spacing w:line="240" w:lineRule="atLeast"/>
                    <w:jc w:val="left"/>
                    <w:rPr>
                      <w:rFonts w:hint="eastAsia" w:ascii="宋体" w:hAnsi="宋体" w:eastAsia="宋体" w:cs="宋体"/>
                      <w:color w:val="auto"/>
                      <w:kern w:val="2"/>
                      <w:sz w:val="21"/>
                    </w:rPr>
                  </w:pPr>
                  <w:r>
                    <w:rPr>
                      <w:rFonts w:hint="eastAsia" w:ascii="宋体" w:hAnsi="宋体" w:eastAsia="宋体" w:cs="宋体"/>
                      <w:color w:val="auto"/>
                      <w:kern w:val="2"/>
                      <w:sz w:val="21"/>
                    </w:rPr>
                    <w:t>第八条 饮用水水源二级保护区内禁止新建、改建、扩建向水体排放污染物的投资建设项目。原有排污口依法拆除或关闭。禁止设立装卸垃圾、粪便、油类和有毒物品的码头。</w:t>
                  </w:r>
                </w:p>
              </w:tc>
              <w:tc>
                <w:tcPr>
                  <w:tcW w:w="1365" w:type="pct"/>
                  <w:noWrap/>
                  <w:vAlign w:val="center"/>
                </w:tcPr>
                <w:p>
                  <w:pPr>
                    <w:pStyle w:val="48"/>
                    <w:snapToGrid w:val="0"/>
                    <w:spacing w:line="240" w:lineRule="atLeast"/>
                    <w:jc w:val="left"/>
                    <w:rPr>
                      <w:rFonts w:hint="eastAsia" w:ascii="宋体" w:hAnsi="宋体" w:eastAsia="宋体" w:cs="宋体"/>
                      <w:color w:val="auto"/>
                      <w:kern w:val="2"/>
                      <w:sz w:val="21"/>
                    </w:rPr>
                  </w:pPr>
                  <w:r>
                    <w:rPr>
                      <w:rFonts w:hint="eastAsia" w:ascii="宋体" w:hAnsi="宋体" w:eastAsia="宋体" w:cs="宋体"/>
                      <w:color w:val="auto"/>
                      <w:kern w:val="2"/>
                      <w:sz w:val="21"/>
                    </w:rPr>
                    <w:t>本项目选址不在饮用水水源保护区。</w:t>
                  </w:r>
                </w:p>
              </w:tc>
              <w:tc>
                <w:tcPr>
                  <w:tcW w:w="416" w:type="pct"/>
                  <w:noWrap/>
                  <w:vAlign w:val="center"/>
                </w:tcPr>
                <w:p>
                  <w:pPr>
                    <w:pStyle w:val="48"/>
                    <w:snapToGrid w:val="0"/>
                    <w:spacing w:line="240" w:lineRule="atLeast"/>
                    <w:jc w:val="left"/>
                    <w:rPr>
                      <w:rFonts w:hint="eastAsia" w:ascii="宋体" w:hAnsi="宋体" w:eastAsia="宋体" w:cs="宋体"/>
                      <w:color w:val="auto"/>
                      <w:kern w:val="2"/>
                      <w:sz w:val="21"/>
                    </w:rPr>
                  </w:pPr>
                  <w:r>
                    <w:rPr>
                      <w:rFonts w:hint="eastAsia" w:ascii="宋体" w:hAnsi="宋体" w:eastAsia="宋体" w:cs="宋体"/>
                      <w:color w:val="auto"/>
                      <w:kern w:val="2"/>
                      <w:sz w:val="21"/>
                    </w:rPr>
                    <w:t>相符</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273" w:type="pct"/>
                  <w:noWrap/>
                  <w:vAlign w:val="center"/>
                </w:tcPr>
                <w:p>
                  <w:pPr>
                    <w:pStyle w:val="48"/>
                    <w:snapToGrid w:val="0"/>
                    <w:spacing w:line="240" w:lineRule="atLeast"/>
                    <w:jc w:val="center"/>
                    <w:rPr>
                      <w:rFonts w:hint="eastAsia" w:ascii="宋体" w:hAnsi="宋体" w:eastAsia="宋体" w:cs="宋体"/>
                      <w:color w:val="auto"/>
                      <w:kern w:val="2"/>
                      <w:sz w:val="21"/>
                    </w:rPr>
                  </w:pPr>
                  <w:r>
                    <w:rPr>
                      <w:rFonts w:hint="eastAsia" w:ascii="宋体" w:hAnsi="宋体" w:eastAsia="宋体" w:cs="宋体"/>
                      <w:color w:val="auto"/>
                      <w:kern w:val="2"/>
                      <w:sz w:val="21"/>
                    </w:rPr>
                    <w:t>4</w:t>
                  </w:r>
                </w:p>
              </w:tc>
              <w:tc>
                <w:tcPr>
                  <w:tcW w:w="2944" w:type="pct"/>
                  <w:noWrap/>
                  <w:vAlign w:val="center"/>
                </w:tcPr>
                <w:p>
                  <w:pPr>
                    <w:pStyle w:val="48"/>
                    <w:snapToGrid w:val="0"/>
                    <w:spacing w:line="240" w:lineRule="atLeast"/>
                    <w:jc w:val="left"/>
                    <w:rPr>
                      <w:rFonts w:hint="eastAsia" w:ascii="宋体" w:hAnsi="宋体" w:eastAsia="宋体" w:cs="宋体"/>
                      <w:color w:val="auto"/>
                      <w:kern w:val="2"/>
                      <w:sz w:val="21"/>
                    </w:rPr>
                  </w:pPr>
                  <w:r>
                    <w:rPr>
                      <w:rFonts w:hint="eastAsia" w:ascii="宋体" w:hAnsi="宋体" w:eastAsia="宋体" w:cs="宋体"/>
                      <w:color w:val="auto"/>
                      <w:kern w:val="2"/>
                      <w:sz w:val="21"/>
                    </w:rPr>
                    <w:t>第九条禁止在水产种质资源保护区内新建排污口、从事围湖造田造地等投资建设项目。</w:t>
                  </w:r>
                </w:p>
              </w:tc>
              <w:tc>
                <w:tcPr>
                  <w:tcW w:w="1365" w:type="pct"/>
                  <w:noWrap/>
                  <w:vAlign w:val="center"/>
                </w:tcPr>
                <w:p>
                  <w:pPr>
                    <w:pStyle w:val="48"/>
                    <w:snapToGrid w:val="0"/>
                    <w:spacing w:line="240" w:lineRule="atLeast"/>
                    <w:jc w:val="left"/>
                    <w:rPr>
                      <w:rFonts w:hint="eastAsia" w:ascii="宋体" w:hAnsi="宋体" w:eastAsia="宋体" w:cs="宋体"/>
                      <w:color w:val="auto"/>
                      <w:kern w:val="2"/>
                      <w:sz w:val="21"/>
                    </w:rPr>
                  </w:pPr>
                  <w:r>
                    <w:rPr>
                      <w:rFonts w:hint="eastAsia" w:ascii="宋体" w:hAnsi="宋体" w:eastAsia="宋体" w:cs="宋体"/>
                      <w:color w:val="auto"/>
                      <w:kern w:val="2"/>
                      <w:sz w:val="21"/>
                    </w:rPr>
                    <w:t>本项目选址不在水产种质资源保护区内。</w:t>
                  </w:r>
                </w:p>
              </w:tc>
              <w:tc>
                <w:tcPr>
                  <w:tcW w:w="416" w:type="pct"/>
                  <w:noWrap/>
                  <w:vAlign w:val="center"/>
                </w:tcPr>
                <w:p>
                  <w:pPr>
                    <w:pStyle w:val="48"/>
                    <w:snapToGrid w:val="0"/>
                    <w:spacing w:line="240" w:lineRule="atLeast"/>
                    <w:jc w:val="left"/>
                    <w:rPr>
                      <w:rFonts w:hint="eastAsia" w:ascii="宋体" w:hAnsi="宋体" w:eastAsia="宋体" w:cs="宋体"/>
                      <w:color w:val="auto"/>
                      <w:kern w:val="2"/>
                      <w:sz w:val="21"/>
                    </w:rPr>
                  </w:pPr>
                  <w:r>
                    <w:rPr>
                      <w:rFonts w:hint="eastAsia" w:ascii="宋体" w:hAnsi="宋体" w:eastAsia="宋体" w:cs="宋体"/>
                      <w:color w:val="auto"/>
                      <w:kern w:val="2"/>
                      <w:sz w:val="21"/>
                    </w:rPr>
                    <w:t>相符</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273" w:type="pct"/>
                  <w:noWrap/>
                  <w:vAlign w:val="center"/>
                </w:tcPr>
                <w:p>
                  <w:pPr>
                    <w:pStyle w:val="48"/>
                    <w:snapToGrid w:val="0"/>
                    <w:spacing w:line="240" w:lineRule="atLeast"/>
                    <w:jc w:val="center"/>
                    <w:rPr>
                      <w:rFonts w:hint="eastAsia" w:ascii="宋体" w:hAnsi="宋体" w:eastAsia="宋体" w:cs="宋体"/>
                      <w:color w:val="auto"/>
                      <w:kern w:val="2"/>
                      <w:sz w:val="21"/>
                    </w:rPr>
                  </w:pPr>
                  <w:r>
                    <w:rPr>
                      <w:rFonts w:hint="eastAsia" w:ascii="宋体" w:hAnsi="宋体" w:eastAsia="宋体" w:cs="宋体"/>
                      <w:color w:val="auto"/>
                      <w:kern w:val="2"/>
                      <w:sz w:val="21"/>
                    </w:rPr>
                    <w:t>5</w:t>
                  </w:r>
                </w:p>
              </w:tc>
              <w:tc>
                <w:tcPr>
                  <w:tcW w:w="2944" w:type="pct"/>
                  <w:noWrap/>
                  <w:vAlign w:val="center"/>
                </w:tcPr>
                <w:p>
                  <w:pPr>
                    <w:pStyle w:val="48"/>
                    <w:snapToGrid w:val="0"/>
                    <w:spacing w:line="240" w:lineRule="atLeast"/>
                    <w:jc w:val="left"/>
                    <w:rPr>
                      <w:rFonts w:hint="eastAsia" w:ascii="宋体" w:hAnsi="宋体" w:eastAsia="宋体" w:cs="宋体"/>
                      <w:color w:val="auto"/>
                      <w:kern w:val="2"/>
                      <w:sz w:val="21"/>
                    </w:rPr>
                  </w:pPr>
                  <w:r>
                    <w:rPr>
                      <w:rFonts w:hint="eastAsia" w:ascii="宋体" w:hAnsi="宋体" w:eastAsia="宋体" w:cs="宋体"/>
                      <w:color w:val="auto"/>
                      <w:kern w:val="2"/>
                      <w:sz w:val="21"/>
                    </w:rPr>
                    <w:t>第十条禁止在国家湿地公园范围内开（围）垦湿地、挖沙、采矿等，《中华人民共和国防洪法》规定的紧急防汛期采取的紧急措施除外。</w:t>
                  </w:r>
                </w:p>
                <w:p>
                  <w:pPr>
                    <w:pStyle w:val="48"/>
                    <w:snapToGrid w:val="0"/>
                    <w:spacing w:line="240" w:lineRule="atLeast"/>
                    <w:jc w:val="left"/>
                    <w:rPr>
                      <w:rFonts w:hint="eastAsia" w:ascii="宋体" w:hAnsi="宋体" w:eastAsia="宋体" w:cs="宋体"/>
                      <w:color w:val="auto"/>
                      <w:kern w:val="2"/>
                      <w:sz w:val="21"/>
                    </w:rPr>
                  </w:pPr>
                  <w:r>
                    <w:rPr>
                      <w:rFonts w:hint="eastAsia" w:ascii="宋体" w:hAnsi="宋体" w:eastAsia="宋体" w:cs="宋体"/>
                      <w:color w:val="auto"/>
                      <w:kern w:val="2"/>
                      <w:sz w:val="21"/>
                    </w:rPr>
                    <w:t>第十一条禁止在国家湿地公园范围内从事房地产、度假村、高尔夫球场、风力发电、光伏发电等任何不符合主体功能定位的投资建设项目。</w:t>
                  </w:r>
                </w:p>
              </w:tc>
              <w:tc>
                <w:tcPr>
                  <w:tcW w:w="1365" w:type="pct"/>
                  <w:noWrap/>
                  <w:vAlign w:val="center"/>
                </w:tcPr>
                <w:p>
                  <w:pPr>
                    <w:pStyle w:val="48"/>
                    <w:snapToGrid w:val="0"/>
                    <w:spacing w:line="240" w:lineRule="atLeast"/>
                    <w:jc w:val="left"/>
                    <w:rPr>
                      <w:rFonts w:hint="eastAsia" w:ascii="宋体" w:hAnsi="宋体" w:eastAsia="宋体" w:cs="宋体"/>
                      <w:color w:val="auto"/>
                      <w:kern w:val="2"/>
                      <w:sz w:val="21"/>
                    </w:rPr>
                  </w:pPr>
                  <w:r>
                    <w:rPr>
                      <w:rFonts w:hint="eastAsia" w:ascii="宋体" w:hAnsi="宋体" w:eastAsia="宋体" w:cs="宋体"/>
                      <w:color w:val="auto"/>
                      <w:kern w:val="2"/>
                      <w:sz w:val="21"/>
                    </w:rPr>
                    <w:t>本项目选址不在国家湿地公园内。</w:t>
                  </w:r>
                </w:p>
              </w:tc>
              <w:tc>
                <w:tcPr>
                  <w:tcW w:w="416" w:type="pct"/>
                  <w:noWrap/>
                  <w:vAlign w:val="center"/>
                </w:tcPr>
                <w:p>
                  <w:pPr>
                    <w:pStyle w:val="48"/>
                    <w:snapToGrid w:val="0"/>
                    <w:spacing w:line="240" w:lineRule="atLeast"/>
                    <w:jc w:val="left"/>
                    <w:rPr>
                      <w:rFonts w:hint="eastAsia" w:ascii="宋体" w:hAnsi="宋体" w:eastAsia="宋体" w:cs="宋体"/>
                      <w:color w:val="auto"/>
                      <w:kern w:val="2"/>
                      <w:sz w:val="21"/>
                    </w:rPr>
                  </w:pPr>
                  <w:r>
                    <w:rPr>
                      <w:rFonts w:hint="eastAsia" w:ascii="宋体" w:hAnsi="宋体" w:eastAsia="宋体" w:cs="宋体"/>
                      <w:color w:val="auto"/>
                      <w:kern w:val="2"/>
                      <w:sz w:val="21"/>
                    </w:rPr>
                    <w:t>相符</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273" w:type="pct"/>
                  <w:noWrap/>
                  <w:vAlign w:val="center"/>
                </w:tcPr>
                <w:p>
                  <w:pPr>
                    <w:pStyle w:val="48"/>
                    <w:snapToGrid w:val="0"/>
                    <w:spacing w:line="240" w:lineRule="atLeast"/>
                    <w:jc w:val="center"/>
                    <w:rPr>
                      <w:rFonts w:hint="eastAsia" w:ascii="宋体" w:hAnsi="宋体" w:eastAsia="宋体" w:cs="宋体"/>
                      <w:color w:val="auto"/>
                      <w:kern w:val="2"/>
                      <w:sz w:val="21"/>
                    </w:rPr>
                  </w:pPr>
                  <w:r>
                    <w:rPr>
                      <w:rFonts w:hint="eastAsia" w:ascii="宋体" w:hAnsi="宋体" w:eastAsia="宋体" w:cs="宋体"/>
                      <w:color w:val="auto"/>
                      <w:kern w:val="2"/>
                      <w:sz w:val="21"/>
                    </w:rPr>
                    <w:t>6</w:t>
                  </w:r>
                </w:p>
              </w:tc>
              <w:tc>
                <w:tcPr>
                  <w:tcW w:w="2944" w:type="pct"/>
                  <w:noWrap/>
                  <w:vAlign w:val="center"/>
                </w:tcPr>
                <w:p>
                  <w:pPr>
                    <w:pStyle w:val="48"/>
                    <w:snapToGrid w:val="0"/>
                    <w:spacing w:line="240" w:lineRule="atLeast"/>
                    <w:jc w:val="left"/>
                    <w:rPr>
                      <w:rFonts w:hint="eastAsia" w:ascii="宋体" w:hAnsi="宋体" w:eastAsia="宋体" w:cs="宋体"/>
                      <w:color w:val="auto"/>
                      <w:kern w:val="2"/>
                      <w:sz w:val="21"/>
                    </w:rPr>
                  </w:pPr>
                  <w:r>
                    <w:rPr>
                      <w:rFonts w:hint="eastAsia" w:ascii="宋体" w:hAnsi="宋体" w:eastAsia="宋体" w:cs="宋体"/>
                      <w:color w:val="auto"/>
                      <w:kern w:val="2"/>
                      <w:sz w:val="21"/>
                    </w:rPr>
                    <w:t>第十五条禁止在生态保护红线和永久基本农田范围内投资建设除国家重大战略资源勘查项目、生态保护修复和环境治理项目、重大基础设施项目、军事国防项目以及农牧民基本生产生活等必要的民生项目以外的项目。</w:t>
                  </w:r>
                </w:p>
              </w:tc>
              <w:tc>
                <w:tcPr>
                  <w:tcW w:w="1365" w:type="pct"/>
                  <w:noWrap/>
                  <w:vAlign w:val="center"/>
                </w:tcPr>
                <w:p>
                  <w:pPr>
                    <w:pStyle w:val="48"/>
                    <w:snapToGrid w:val="0"/>
                    <w:spacing w:line="240" w:lineRule="atLeast"/>
                    <w:jc w:val="left"/>
                    <w:rPr>
                      <w:rFonts w:hint="eastAsia" w:ascii="宋体" w:hAnsi="宋体" w:eastAsia="宋体" w:cs="宋体"/>
                      <w:color w:val="auto"/>
                      <w:kern w:val="2"/>
                      <w:sz w:val="21"/>
                    </w:rPr>
                  </w:pPr>
                  <w:r>
                    <w:rPr>
                      <w:rFonts w:hint="eastAsia" w:ascii="宋体" w:hAnsi="宋体" w:eastAsia="宋体" w:cs="宋体"/>
                      <w:color w:val="auto"/>
                      <w:kern w:val="2"/>
                      <w:sz w:val="21"/>
                    </w:rPr>
                    <w:t>本项目选址不在生态保护红线和永久基本农田范围内。</w:t>
                  </w:r>
                </w:p>
              </w:tc>
              <w:tc>
                <w:tcPr>
                  <w:tcW w:w="416" w:type="pct"/>
                  <w:noWrap/>
                  <w:vAlign w:val="center"/>
                </w:tcPr>
                <w:p>
                  <w:pPr>
                    <w:pStyle w:val="48"/>
                    <w:snapToGrid w:val="0"/>
                    <w:spacing w:line="240" w:lineRule="atLeast"/>
                    <w:jc w:val="left"/>
                    <w:rPr>
                      <w:rFonts w:hint="eastAsia" w:ascii="宋体" w:hAnsi="宋体" w:eastAsia="宋体" w:cs="宋体"/>
                      <w:color w:val="auto"/>
                      <w:kern w:val="2"/>
                      <w:sz w:val="21"/>
                    </w:rPr>
                  </w:pPr>
                  <w:r>
                    <w:rPr>
                      <w:rFonts w:hint="eastAsia" w:ascii="宋体" w:hAnsi="宋体" w:eastAsia="宋体" w:cs="宋体"/>
                      <w:color w:val="auto"/>
                      <w:kern w:val="2"/>
                      <w:sz w:val="21"/>
                    </w:rPr>
                    <w:t>相符</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273" w:type="pct"/>
                  <w:noWrap/>
                  <w:vAlign w:val="center"/>
                </w:tcPr>
                <w:p>
                  <w:pPr>
                    <w:pStyle w:val="48"/>
                    <w:snapToGrid w:val="0"/>
                    <w:spacing w:line="240" w:lineRule="atLeast"/>
                    <w:jc w:val="center"/>
                    <w:rPr>
                      <w:rFonts w:hint="eastAsia" w:ascii="宋体" w:hAnsi="宋体" w:eastAsia="宋体" w:cs="宋体"/>
                      <w:color w:val="auto"/>
                      <w:kern w:val="2"/>
                      <w:sz w:val="21"/>
                    </w:rPr>
                  </w:pPr>
                  <w:r>
                    <w:rPr>
                      <w:rFonts w:hint="eastAsia" w:ascii="宋体" w:hAnsi="宋体" w:eastAsia="宋体" w:cs="宋体"/>
                      <w:color w:val="auto"/>
                      <w:kern w:val="2"/>
                      <w:sz w:val="21"/>
                    </w:rPr>
                    <w:t>7</w:t>
                  </w:r>
                </w:p>
              </w:tc>
              <w:tc>
                <w:tcPr>
                  <w:tcW w:w="2944" w:type="pct"/>
                  <w:noWrap/>
                  <w:vAlign w:val="center"/>
                </w:tcPr>
                <w:p>
                  <w:pPr>
                    <w:pStyle w:val="48"/>
                    <w:snapToGrid w:val="0"/>
                    <w:spacing w:line="240" w:lineRule="atLeast"/>
                    <w:jc w:val="left"/>
                    <w:rPr>
                      <w:rFonts w:hint="eastAsia" w:ascii="宋体" w:hAnsi="宋体" w:eastAsia="宋体" w:cs="宋体"/>
                      <w:color w:val="auto"/>
                      <w:kern w:val="2"/>
                      <w:sz w:val="21"/>
                    </w:rPr>
                  </w:pPr>
                  <w:r>
                    <w:rPr>
                      <w:rFonts w:hint="eastAsia" w:ascii="宋体" w:hAnsi="宋体" w:eastAsia="宋体" w:cs="宋体"/>
                      <w:color w:val="auto"/>
                      <w:kern w:val="2"/>
                      <w:sz w:val="21"/>
                    </w:rPr>
                    <w:t>第十八条禁止在长江干支流（长江干流湖南段、湘江沅江</w:t>
                  </w:r>
                  <w:r>
                    <w:rPr>
                      <w:rFonts w:hint="eastAsia" w:hAnsi="宋体" w:cs="宋体"/>
                      <w:color w:val="auto"/>
                      <w:kern w:val="2"/>
                      <w:sz w:val="21"/>
                      <w:lang w:eastAsia="zh-CN"/>
                    </w:rPr>
                    <w:t>干流</w:t>
                  </w:r>
                  <w:r>
                    <w:rPr>
                      <w:rFonts w:hint="eastAsia" w:ascii="宋体" w:hAnsi="宋体" w:eastAsia="宋体" w:cs="宋体"/>
                      <w:color w:val="auto"/>
                      <w:kern w:val="2"/>
                      <w:sz w:val="21"/>
                    </w:rPr>
                    <w:t>及洞庭湖）岸线1公里范围（指长江干支流岸线边界向陆域纵深1公里，边界指水利部门河道管理范围边界）内新建、扩建化工园区和化工项目。禁止在《中国开发区审核公告目录》公布的园区或省人民政府批准设立的园区外新建、扩建钢铁、石化、化工、焦化、建材、有色等高污染项目。</w:t>
                  </w:r>
                </w:p>
              </w:tc>
              <w:tc>
                <w:tcPr>
                  <w:tcW w:w="1365" w:type="pct"/>
                  <w:noWrap/>
                  <w:vAlign w:val="center"/>
                </w:tcPr>
                <w:p>
                  <w:pPr>
                    <w:pStyle w:val="48"/>
                    <w:snapToGrid w:val="0"/>
                    <w:spacing w:line="240" w:lineRule="atLeast"/>
                    <w:jc w:val="left"/>
                    <w:rPr>
                      <w:rFonts w:hint="eastAsia" w:ascii="宋体" w:hAnsi="宋体" w:eastAsia="宋体" w:cs="宋体"/>
                      <w:color w:val="auto"/>
                      <w:kern w:val="2"/>
                      <w:sz w:val="21"/>
                    </w:rPr>
                  </w:pPr>
                  <w:r>
                    <w:rPr>
                      <w:rFonts w:hint="eastAsia" w:ascii="宋体" w:hAnsi="宋体" w:eastAsia="宋体" w:cs="宋体"/>
                      <w:color w:val="auto"/>
                      <w:kern w:val="2"/>
                      <w:sz w:val="21"/>
                    </w:rPr>
                    <w:t>本项目选址不在长江干支流（长江干流湖南段、湘江沅江</w:t>
                  </w:r>
                  <w:r>
                    <w:rPr>
                      <w:rFonts w:hint="eastAsia" w:hAnsi="宋体" w:cs="宋体"/>
                      <w:color w:val="auto"/>
                      <w:kern w:val="2"/>
                      <w:sz w:val="21"/>
                      <w:lang w:eastAsia="zh-CN"/>
                    </w:rPr>
                    <w:t>干流</w:t>
                  </w:r>
                  <w:r>
                    <w:rPr>
                      <w:rFonts w:hint="eastAsia" w:ascii="宋体" w:hAnsi="宋体" w:eastAsia="宋体" w:cs="宋体"/>
                      <w:color w:val="auto"/>
                      <w:kern w:val="2"/>
                      <w:sz w:val="21"/>
                    </w:rPr>
                    <w:t>及洞庭湖）岸线1公里范围内。</w:t>
                  </w:r>
                </w:p>
              </w:tc>
              <w:tc>
                <w:tcPr>
                  <w:tcW w:w="416" w:type="pct"/>
                  <w:noWrap/>
                  <w:vAlign w:val="center"/>
                </w:tcPr>
                <w:p>
                  <w:pPr>
                    <w:pStyle w:val="48"/>
                    <w:snapToGrid w:val="0"/>
                    <w:spacing w:line="240" w:lineRule="atLeast"/>
                    <w:jc w:val="left"/>
                    <w:rPr>
                      <w:rFonts w:hint="eastAsia" w:ascii="宋体" w:hAnsi="宋体" w:eastAsia="宋体" w:cs="宋体"/>
                      <w:color w:val="auto"/>
                      <w:kern w:val="2"/>
                      <w:sz w:val="21"/>
                    </w:rPr>
                  </w:pPr>
                  <w:r>
                    <w:rPr>
                      <w:rFonts w:hint="eastAsia" w:ascii="宋体" w:hAnsi="宋体" w:eastAsia="宋体" w:cs="宋体"/>
                      <w:color w:val="auto"/>
                      <w:kern w:val="2"/>
                      <w:sz w:val="21"/>
                    </w:rPr>
                    <w:t>相符</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273" w:type="pct"/>
                  <w:noWrap/>
                  <w:vAlign w:val="center"/>
                </w:tcPr>
                <w:p>
                  <w:pPr>
                    <w:pStyle w:val="48"/>
                    <w:snapToGrid w:val="0"/>
                    <w:spacing w:line="240" w:lineRule="atLeast"/>
                    <w:jc w:val="center"/>
                    <w:rPr>
                      <w:rFonts w:hint="eastAsia" w:ascii="宋体" w:hAnsi="宋体" w:eastAsia="宋体" w:cs="宋体"/>
                      <w:color w:val="auto"/>
                      <w:kern w:val="2"/>
                      <w:sz w:val="21"/>
                    </w:rPr>
                  </w:pPr>
                  <w:r>
                    <w:rPr>
                      <w:rFonts w:hint="eastAsia" w:ascii="宋体" w:hAnsi="宋体" w:eastAsia="宋体" w:cs="宋体"/>
                      <w:color w:val="auto"/>
                      <w:kern w:val="2"/>
                      <w:sz w:val="21"/>
                    </w:rPr>
                    <w:t>8</w:t>
                  </w:r>
                </w:p>
              </w:tc>
              <w:tc>
                <w:tcPr>
                  <w:tcW w:w="2944" w:type="pct"/>
                  <w:noWrap/>
                  <w:vAlign w:val="center"/>
                </w:tcPr>
                <w:p>
                  <w:pPr>
                    <w:pStyle w:val="48"/>
                    <w:snapToGrid w:val="0"/>
                    <w:spacing w:line="240" w:lineRule="atLeast"/>
                    <w:jc w:val="left"/>
                    <w:rPr>
                      <w:rFonts w:hint="eastAsia" w:ascii="宋体" w:hAnsi="宋体" w:eastAsia="宋体" w:cs="宋体"/>
                      <w:color w:val="auto"/>
                      <w:kern w:val="2"/>
                      <w:sz w:val="21"/>
                    </w:rPr>
                  </w:pPr>
                  <w:r>
                    <w:rPr>
                      <w:rFonts w:hint="eastAsia" w:ascii="宋体" w:hAnsi="宋体" w:eastAsia="宋体" w:cs="宋体"/>
                      <w:color w:val="auto"/>
                      <w:kern w:val="2"/>
                      <w:sz w:val="21"/>
                    </w:rPr>
                    <w:t>第十九条禁止新建、扩建不符合国家石化、现代煤化工等产业布局规划的项目。</w:t>
                  </w:r>
                </w:p>
                <w:p>
                  <w:pPr>
                    <w:pStyle w:val="48"/>
                    <w:snapToGrid w:val="0"/>
                    <w:spacing w:line="240" w:lineRule="atLeast"/>
                    <w:jc w:val="left"/>
                    <w:rPr>
                      <w:rFonts w:hint="eastAsia" w:ascii="宋体" w:hAnsi="宋体" w:eastAsia="宋体" w:cs="宋体"/>
                      <w:color w:val="auto"/>
                      <w:kern w:val="2"/>
                      <w:sz w:val="21"/>
                    </w:rPr>
                  </w:pPr>
                  <w:r>
                    <w:rPr>
                      <w:rFonts w:hint="eastAsia" w:ascii="宋体" w:hAnsi="宋体" w:eastAsia="宋体" w:cs="宋体"/>
                      <w:color w:val="auto"/>
                      <w:kern w:val="2"/>
                      <w:sz w:val="21"/>
                    </w:rPr>
                    <w:t>第二十条新建乙烯、对二甲苯（PX）、二苯基甲烷二异氰酸酯（MDI）等石化项目由省人民政府投资主管部门按照国家批准的石化产业规划布局方案核准。未列入国家批准的相关规划的新建乙烯、对二甲苯（PX）、二苯基甲烷二异氰酸酯（MDI）项目，禁止建设。</w:t>
                  </w:r>
                </w:p>
                <w:p>
                  <w:pPr>
                    <w:pStyle w:val="48"/>
                    <w:snapToGrid w:val="0"/>
                    <w:spacing w:line="240" w:lineRule="atLeast"/>
                    <w:jc w:val="left"/>
                    <w:rPr>
                      <w:rFonts w:hint="eastAsia" w:ascii="宋体" w:hAnsi="宋体" w:eastAsia="宋体" w:cs="宋体"/>
                      <w:color w:val="auto"/>
                      <w:kern w:val="2"/>
                      <w:sz w:val="21"/>
                    </w:rPr>
                  </w:pPr>
                  <w:r>
                    <w:rPr>
                      <w:rFonts w:hint="eastAsia" w:ascii="宋体" w:hAnsi="宋体" w:eastAsia="宋体" w:cs="宋体"/>
                      <w:color w:val="auto"/>
                      <w:kern w:val="2"/>
                      <w:sz w:val="21"/>
                    </w:rPr>
                    <w:t>第二十一条新建煤制烯烃、煤制对二甲苯（PX）等煤化工项目，依法依规按程序核准。新建年产超过100万吨的煤制甲醇项目，由省人民政府投资主管部门依法核准。其余项目禁止建设。</w:t>
                  </w:r>
                </w:p>
              </w:tc>
              <w:tc>
                <w:tcPr>
                  <w:tcW w:w="1365" w:type="pct"/>
                  <w:noWrap/>
                  <w:vAlign w:val="center"/>
                </w:tcPr>
                <w:p>
                  <w:pPr>
                    <w:pStyle w:val="48"/>
                    <w:snapToGrid w:val="0"/>
                    <w:spacing w:line="240" w:lineRule="atLeast"/>
                    <w:jc w:val="left"/>
                    <w:rPr>
                      <w:rFonts w:hint="default" w:ascii="宋体" w:hAnsi="宋体" w:eastAsia="宋体" w:cs="宋体"/>
                      <w:color w:val="auto"/>
                      <w:kern w:val="2"/>
                      <w:sz w:val="21"/>
                      <w:lang w:val="en-US" w:eastAsia="zh-CN"/>
                    </w:rPr>
                  </w:pPr>
                  <w:r>
                    <w:rPr>
                      <w:rFonts w:hint="eastAsia" w:ascii="宋体" w:hAnsi="宋体" w:eastAsia="宋体" w:cs="宋体"/>
                      <w:color w:val="auto"/>
                      <w:sz w:val="21"/>
                      <w:u w:val="single"/>
                    </w:rPr>
                    <w:t>本项目</w:t>
                  </w:r>
                  <w:r>
                    <w:rPr>
                      <w:rFonts w:hint="eastAsia" w:hAnsi="宋体" w:cs="宋体"/>
                      <w:color w:val="auto"/>
                      <w:sz w:val="21"/>
                      <w:u w:val="single"/>
                      <w:lang w:val="en-US" w:eastAsia="zh-CN"/>
                    </w:rPr>
                    <w:t>为</w:t>
                  </w:r>
                  <w:r>
                    <w:rPr>
                      <w:rFonts w:hint="eastAsia" w:ascii="宋体" w:hAnsi="宋体" w:eastAsia="宋体" w:cs="宋体"/>
                      <w:color w:val="auto"/>
                      <w:kern w:val="2"/>
                      <w:sz w:val="21"/>
                      <w:szCs w:val="21"/>
                      <w:u w:val="single"/>
                      <w:lang w:val="en-US" w:eastAsia="zh-CN" w:bidi="ar-SA"/>
                    </w:rPr>
                    <w:t>热力生产和供应工程</w:t>
                  </w:r>
                  <w:r>
                    <w:rPr>
                      <w:rFonts w:hint="eastAsia" w:hAnsi="宋体" w:cs="宋体"/>
                      <w:color w:val="auto"/>
                      <w:sz w:val="21"/>
                      <w:u w:val="single"/>
                      <w:lang w:eastAsia="zh-CN"/>
                    </w:rPr>
                    <w:t>。</w:t>
                  </w:r>
                  <w:r>
                    <w:rPr>
                      <w:rFonts w:hint="eastAsia" w:hAnsi="宋体" w:cs="宋体"/>
                      <w:color w:val="auto"/>
                      <w:sz w:val="21"/>
                      <w:u w:val="single"/>
                      <w:lang w:val="en-US" w:eastAsia="zh-CN"/>
                    </w:rPr>
                    <w:t>不属于禁止新建、扩建类项目。</w:t>
                  </w:r>
                </w:p>
              </w:tc>
              <w:tc>
                <w:tcPr>
                  <w:tcW w:w="416" w:type="pct"/>
                  <w:noWrap/>
                  <w:vAlign w:val="center"/>
                </w:tcPr>
                <w:p>
                  <w:pPr>
                    <w:pStyle w:val="48"/>
                    <w:snapToGrid w:val="0"/>
                    <w:spacing w:line="240" w:lineRule="atLeast"/>
                    <w:jc w:val="left"/>
                    <w:rPr>
                      <w:rFonts w:hint="eastAsia" w:ascii="宋体" w:hAnsi="宋体" w:eastAsia="宋体" w:cs="宋体"/>
                      <w:color w:val="auto"/>
                      <w:kern w:val="2"/>
                      <w:sz w:val="21"/>
                    </w:rPr>
                  </w:pPr>
                  <w:r>
                    <w:rPr>
                      <w:rFonts w:hint="eastAsia" w:ascii="宋体" w:hAnsi="宋体" w:eastAsia="宋体" w:cs="宋体"/>
                      <w:color w:val="auto"/>
                      <w:kern w:val="2"/>
                      <w:sz w:val="21"/>
                    </w:rPr>
                    <w:t>相符</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273" w:type="pct"/>
                  <w:noWrap/>
                  <w:vAlign w:val="center"/>
                </w:tcPr>
                <w:p>
                  <w:pPr>
                    <w:pStyle w:val="48"/>
                    <w:snapToGrid w:val="0"/>
                    <w:spacing w:line="240" w:lineRule="atLeast"/>
                    <w:jc w:val="center"/>
                    <w:rPr>
                      <w:rFonts w:hint="eastAsia" w:ascii="宋体" w:hAnsi="宋体" w:eastAsia="宋体" w:cs="宋体"/>
                      <w:color w:val="auto"/>
                      <w:kern w:val="2"/>
                      <w:sz w:val="21"/>
                    </w:rPr>
                  </w:pPr>
                  <w:r>
                    <w:rPr>
                      <w:rFonts w:hint="eastAsia" w:ascii="宋体" w:hAnsi="宋体" w:eastAsia="宋体" w:cs="宋体"/>
                      <w:color w:val="auto"/>
                      <w:kern w:val="2"/>
                      <w:sz w:val="21"/>
                    </w:rPr>
                    <w:t>9</w:t>
                  </w:r>
                </w:p>
              </w:tc>
              <w:tc>
                <w:tcPr>
                  <w:tcW w:w="2944" w:type="pct"/>
                  <w:noWrap/>
                  <w:vAlign w:val="center"/>
                </w:tcPr>
                <w:p>
                  <w:pPr>
                    <w:pStyle w:val="48"/>
                    <w:snapToGrid w:val="0"/>
                    <w:spacing w:line="240" w:lineRule="atLeast"/>
                    <w:jc w:val="left"/>
                    <w:rPr>
                      <w:rFonts w:hint="eastAsia" w:ascii="宋体" w:hAnsi="宋体" w:eastAsia="宋体" w:cs="宋体"/>
                      <w:color w:val="auto"/>
                      <w:kern w:val="2"/>
                      <w:sz w:val="21"/>
                    </w:rPr>
                  </w:pPr>
                  <w:r>
                    <w:rPr>
                      <w:rFonts w:hint="eastAsia" w:ascii="宋体" w:hAnsi="宋体" w:eastAsia="宋体" w:cs="宋体"/>
                      <w:color w:val="auto"/>
                      <w:kern w:val="2"/>
                      <w:sz w:val="21"/>
                    </w:rPr>
                    <w:t>第二十二条禁止新建、扩建法律法规和相关政策明令禁止的落后产能项目；对不符合要求的落后产能项目，依法依规退出。</w:t>
                  </w:r>
                </w:p>
              </w:tc>
              <w:tc>
                <w:tcPr>
                  <w:tcW w:w="1365" w:type="pct"/>
                  <w:noWrap/>
                  <w:vAlign w:val="center"/>
                </w:tcPr>
                <w:p>
                  <w:pPr>
                    <w:pStyle w:val="48"/>
                    <w:snapToGrid w:val="0"/>
                    <w:spacing w:line="240" w:lineRule="atLeast"/>
                    <w:jc w:val="left"/>
                    <w:rPr>
                      <w:rFonts w:hint="eastAsia" w:ascii="宋体" w:hAnsi="宋体" w:eastAsia="宋体" w:cs="宋体"/>
                      <w:color w:val="auto"/>
                      <w:kern w:val="2"/>
                      <w:sz w:val="21"/>
                    </w:rPr>
                  </w:pPr>
                  <w:r>
                    <w:rPr>
                      <w:rFonts w:hint="eastAsia" w:ascii="宋体" w:hAnsi="宋体" w:eastAsia="宋体" w:cs="宋体"/>
                      <w:color w:val="auto"/>
                      <w:sz w:val="21"/>
                    </w:rPr>
                    <w:t>本项目</w:t>
                  </w:r>
                  <w:r>
                    <w:rPr>
                      <w:rFonts w:hint="eastAsia" w:ascii="宋体" w:hAnsi="宋体" w:eastAsia="宋体" w:cs="宋体"/>
                      <w:color w:val="auto"/>
                      <w:kern w:val="2"/>
                      <w:sz w:val="21"/>
                    </w:rPr>
                    <w:t>不属于落后产能项目。</w:t>
                  </w:r>
                </w:p>
              </w:tc>
              <w:tc>
                <w:tcPr>
                  <w:tcW w:w="416" w:type="pct"/>
                  <w:noWrap/>
                  <w:vAlign w:val="center"/>
                </w:tcPr>
                <w:p>
                  <w:pPr>
                    <w:pStyle w:val="48"/>
                    <w:snapToGrid w:val="0"/>
                    <w:spacing w:line="240" w:lineRule="atLeast"/>
                    <w:jc w:val="left"/>
                    <w:rPr>
                      <w:rFonts w:hint="eastAsia" w:ascii="宋体" w:hAnsi="宋体" w:eastAsia="宋体" w:cs="宋体"/>
                      <w:color w:val="auto"/>
                      <w:kern w:val="2"/>
                      <w:sz w:val="21"/>
                    </w:rPr>
                  </w:pPr>
                  <w:r>
                    <w:rPr>
                      <w:rFonts w:hint="eastAsia" w:ascii="宋体" w:hAnsi="宋体" w:eastAsia="宋体" w:cs="宋体"/>
                      <w:color w:val="auto"/>
                      <w:kern w:val="2"/>
                      <w:sz w:val="21"/>
                    </w:rPr>
                    <w:t>相符</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273" w:type="pct"/>
                  <w:noWrap/>
                  <w:vAlign w:val="center"/>
                </w:tcPr>
                <w:p>
                  <w:pPr>
                    <w:pStyle w:val="48"/>
                    <w:snapToGrid w:val="0"/>
                    <w:spacing w:line="240" w:lineRule="atLeast"/>
                    <w:jc w:val="center"/>
                    <w:rPr>
                      <w:rFonts w:hint="eastAsia" w:ascii="宋体" w:hAnsi="宋体" w:eastAsia="宋体" w:cs="宋体"/>
                      <w:color w:val="auto"/>
                      <w:kern w:val="2"/>
                      <w:sz w:val="21"/>
                    </w:rPr>
                  </w:pPr>
                  <w:r>
                    <w:rPr>
                      <w:rFonts w:hint="eastAsia" w:ascii="宋体" w:hAnsi="宋体" w:eastAsia="宋体" w:cs="宋体"/>
                      <w:color w:val="auto"/>
                      <w:kern w:val="2"/>
                      <w:sz w:val="21"/>
                    </w:rPr>
                    <w:t>10</w:t>
                  </w:r>
                </w:p>
              </w:tc>
              <w:tc>
                <w:tcPr>
                  <w:tcW w:w="2944" w:type="pct"/>
                  <w:noWrap/>
                  <w:vAlign w:val="center"/>
                </w:tcPr>
                <w:p>
                  <w:pPr>
                    <w:pStyle w:val="48"/>
                    <w:snapToGrid w:val="0"/>
                    <w:spacing w:line="240" w:lineRule="atLeast"/>
                    <w:jc w:val="left"/>
                    <w:rPr>
                      <w:rFonts w:hint="eastAsia" w:ascii="宋体" w:hAnsi="宋体" w:eastAsia="宋体" w:cs="宋体"/>
                      <w:color w:val="auto"/>
                      <w:kern w:val="2"/>
                      <w:sz w:val="21"/>
                    </w:rPr>
                  </w:pPr>
                  <w:r>
                    <w:rPr>
                      <w:rFonts w:hint="eastAsia" w:ascii="宋体" w:hAnsi="宋体" w:eastAsia="宋体" w:cs="宋体"/>
                      <w:color w:val="auto"/>
                      <w:kern w:val="2"/>
                      <w:sz w:val="21"/>
                    </w:rPr>
                    <w:t>第二十三条对最新版《产业结构调整指导目录》中限制类的新建项目，禁止投资；对淘汰类项目，禁止投资。</w:t>
                  </w:r>
                </w:p>
                <w:p>
                  <w:pPr>
                    <w:pStyle w:val="48"/>
                    <w:snapToGrid w:val="0"/>
                    <w:spacing w:line="240" w:lineRule="atLeast"/>
                    <w:jc w:val="left"/>
                    <w:rPr>
                      <w:rFonts w:hint="eastAsia" w:ascii="宋体" w:hAnsi="宋体" w:eastAsia="宋体" w:cs="宋体"/>
                      <w:color w:val="auto"/>
                      <w:kern w:val="2"/>
                      <w:sz w:val="21"/>
                    </w:rPr>
                  </w:pPr>
                  <w:r>
                    <w:rPr>
                      <w:rFonts w:hint="eastAsia" w:ascii="宋体" w:hAnsi="宋体" w:eastAsia="宋体" w:cs="宋体"/>
                      <w:color w:val="auto"/>
                      <w:kern w:val="2"/>
                      <w:sz w:val="21"/>
                    </w:rPr>
                    <w:t>国家级重点生态功能区，要严格执行国家重点生态功能区产业准入负面清单。</w:t>
                  </w:r>
                </w:p>
              </w:tc>
              <w:tc>
                <w:tcPr>
                  <w:tcW w:w="1365" w:type="pct"/>
                  <w:noWrap/>
                  <w:vAlign w:val="center"/>
                </w:tcPr>
                <w:p>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kern w:val="2"/>
                      <w:sz w:val="21"/>
                    </w:rPr>
                  </w:pPr>
                  <w:r>
                    <w:rPr>
                      <w:rFonts w:hint="default" w:ascii="宋体" w:hAnsi="宋体" w:eastAsia="宋体" w:cs="宋体"/>
                      <w:color w:val="auto"/>
                      <w:kern w:val="2"/>
                      <w:sz w:val="21"/>
                      <w:szCs w:val="21"/>
                      <w:u w:val="single"/>
                      <w:lang w:val="en-US" w:eastAsia="zh-CN" w:bidi="ar-SA"/>
                    </w:rPr>
                    <w:t>本项目</w:t>
                  </w:r>
                  <w:r>
                    <w:rPr>
                      <w:rFonts w:hint="eastAsia" w:ascii="宋体" w:hAnsi="宋体" w:eastAsia="宋体" w:cs="宋体"/>
                      <w:color w:val="auto"/>
                      <w:kern w:val="2"/>
                      <w:sz w:val="21"/>
                      <w:szCs w:val="21"/>
                      <w:u w:val="single"/>
                      <w:lang w:val="en-US" w:eastAsia="zh-CN" w:bidi="ar-SA"/>
                    </w:rPr>
                    <w:t>为热力生产和供应工程</w:t>
                  </w:r>
                  <w:r>
                    <w:rPr>
                      <w:rFonts w:hint="default" w:ascii="宋体" w:hAnsi="宋体" w:eastAsia="宋体" w:cs="宋体"/>
                      <w:color w:val="auto"/>
                      <w:kern w:val="2"/>
                      <w:sz w:val="21"/>
                      <w:szCs w:val="21"/>
                      <w:u w:val="single"/>
                      <w:lang w:val="en-US" w:eastAsia="zh-CN" w:bidi="ar-SA"/>
                    </w:rPr>
                    <w:t>，根据《产业结构调整指导目录</w:t>
                  </w:r>
                  <w:r>
                    <w:rPr>
                      <w:rFonts w:hint="eastAsia" w:ascii="宋体" w:hAnsi="宋体" w:eastAsia="宋体" w:cs="宋体"/>
                      <w:color w:val="auto"/>
                      <w:kern w:val="2"/>
                      <w:sz w:val="21"/>
                      <w:szCs w:val="21"/>
                      <w:u w:val="single"/>
                      <w:lang w:val="en-US" w:eastAsia="zh-CN" w:bidi="ar-SA"/>
                    </w:rPr>
                    <w:t>（</w:t>
                  </w:r>
                  <w:r>
                    <w:rPr>
                      <w:rFonts w:hint="default" w:ascii="宋体" w:hAnsi="宋体" w:eastAsia="宋体" w:cs="宋体"/>
                      <w:color w:val="auto"/>
                      <w:kern w:val="2"/>
                      <w:sz w:val="21"/>
                      <w:szCs w:val="21"/>
                      <w:u w:val="single"/>
                      <w:lang w:val="en-US" w:eastAsia="zh-CN" w:bidi="ar-SA"/>
                    </w:rPr>
                    <w:t>2019年本</w:t>
                  </w:r>
                  <w:r>
                    <w:rPr>
                      <w:rFonts w:hint="eastAsia" w:ascii="宋体" w:hAnsi="宋体" w:eastAsia="宋体" w:cs="宋体"/>
                      <w:color w:val="auto"/>
                      <w:kern w:val="2"/>
                      <w:sz w:val="21"/>
                      <w:szCs w:val="21"/>
                      <w:u w:val="single"/>
                      <w:lang w:val="en-US" w:eastAsia="zh-CN" w:bidi="ar-SA"/>
                    </w:rPr>
                    <w:t>）</w:t>
                  </w:r>
                  <w:r>
                    <w:rPr>
                      <w:rFonts w:hint="default" w:ascii="宋体" w:hAnsi="宋体" w:eastAsia="宋体" w:cs="宋体"/>
                      <w:color w:val="auto"/>
                      <w:kern w:val="2"/>
                      <w:sz w:val="21"/>
                      <w:szCs w:val="21"/>
                      <w:u w:val="single"/>
                      <w:lang w:val="en-US" w:eastAsia="zh-CN" w:bidi="ar-SA"/>
                    </w:rPr>
                    <w:t>》</w:t>
                  </w:r>
                  <w:r>
                    <w:rPr>
                      <w:rFonts w:hint="eastAsia" w:ascii="宋体" w:hAnsi="宋体" w:eastAsia="宋体" w:cs="宋体"/>
                      <w:color w:val="auto"/>
                      <w:kern w:val="2"/>
                      <w:sz w:val="21"/>
                      <w:szCs w:val="21"/>
                      <w:u w:val="single"/>
                      <w:lang w:val="en-US" w:eastAsia="zh-CN" w:bidi="ar-SA"/>
                    </w:rPr>
                    <w:t>，本项目不属于其中的限制类和禁止类项目</w:t>
                  </w:r>
                  <w:r>
                    <w:rPr>
                      <w:rFonts w:hint="default" w:ascii="宋体" w:hAnsi="宋体" w:eastAsia="宋体" w:cs="宋体"/>
                      <w:color w:val="auto"/>
                      <w:kern w:val="2"/>
                      <w:sz w:val="21"/>
                      <w:szCs w:val="21"/>
                      <w:u w:val="single"/>
                      <w:lang w:val="en-US" w:eastAsia="zh-CN" w:bidi="ar-SA"/>
                    </w:rPr>
                    <w:t>，</w:t>
                  </w:r>
                  <w:r>
                    <w:rPr>
                      <w:rFonts w:hint="eastAsia" w:ascii="宋体" w:hAnsi="宋体" w:eastAsia="宋体" w:cs="宋体"/>
                      <w:color w:val="auto"/>
                      <w:kern w:val="2"/>
                      <w:sz w:val="21"/>
                      <w:szCs w:val="21"/>
                      <w:u w:val="single"/>
                      <w:lang w:val="en-US" w:eastAsia="zh-CN" w:bidi="ar-SA"/>
                    </w:rPr>
                    <w:t>为国家允许建设项目，</w:t>
                  </w:r>
                  <w:r>
                    <w:rPr>
                      <w:rFonts w:hint="default" w:ascii="宋体" w:hAnsi="宋体" w:eastAsia="宋体" w:cs="宋体"/>
                      <w:color w:val="auto"/>
                      <w:kern w:val="2"/>
                      <w:sz w:val="21"/>
                      <w:szCs w:val="21"/>
                      <w:u w:val="single"/>
                      <w:lang w:val="en-US" w:eastAsia="zh-CN" w:bidi="ar-SA"/>
                    </w:rPr>
                    <w:t>符合国家产业政策。</w:t>
                  </w:r>
                </w:p>
              </w:tc>
              <w:tc>
                <w:tcPr>
                  <w:tcW w:w="416" w:type="pct"/>
                  <w:noWrap/>
                  <w:vAlign w:val="center"/>
                </w:tcPr>
                <w:p>
                  <w:pPr>
                    <w:pStyle w:val="48"/>
                    <w:snapToGrid w:val="0"/>
                    <w:spacing w:line="240" w:lineRule="atLeast"/>
                    <w:jc w:val="left"/>
                    <w:rPr>
                      <w:rFonts w:hint="eastAsia" w:ascii="宋体" w:hAnsi="宋体" w:eastAsia="宋体" w:cs="宋体"/>
                      <w:color w:val="auto"/>
                      <w:kern w:val="2"/>
                      <w:sz w:val="21"/>
                    </w:rPr>
                  </w:pPr>
                  <w:r>
                    <w:rPr>
                      <w:rFonts w:hint="eastAsia" w:ascii="宋体" w:hAnsi="宋体" w:eastAsia="宋体" w:cs="宋体"/>
                      <w:color w:val="auto"/>
                      <w:kern w:val="2"/>
                      <w:sz w:val="21"/>
                    </w:rPr>
                    <w:t>相符</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273" w:type="pct"/>
                  <w:noWrap/>
                  <w:vAlign w:val="center"/>
                </w:tcPr>
                <w:p>
                  <w:pPr>
                    <w:pStyle w:val="48"/>
                    <w:snapToGrid w:val="0"/>
                    <w:spacing w:line="240" w:lineRule="atLeast"/>
                    <w:jc w:val="center"/>
                    <w:rPr>
                      <w:rFonts w:hint="eastAsia" w:ascii="宋体" w:hAnsi="宋体" w:eastAsia="宋体" w:cs="宋体"/>
                      <w:color w:val="auto"/>
                      <w:kern w:val="2"/>
                      <w:sz w:val="21"/>
                    </w:rPr>
                  </w:pPr>
                  <w:r>
                    <w:rPr>
                      <w:rFonts w:hint="eastAsia" w:ascii="宋体" w:hAnsi="宋体" w:eastAsia="宋体" w:cs="宋体"/>
                      <w:color w:val="auto"/>
                      <w:kern w:val="2"/>
                      <w:sz w:val="21"/>
                    </w:rPr>
                    <w:t>11</w:t>
                  </w:r>
                </w:p>
              </w:tc>
              <w:tc>
                <w:tcPr>
                  <w:tcW w:w="2944" w:type="pct"/>
                  <w:noWrap/>
                  <w:vAlign w:val="center"/>
                </w:tcPr>
                <w:p>
                  <w:pPr>
                    <w:pStyle w:val="48"/>
                    <w:snapToGrid w:val="0"/>
                    <w:spacing w:line="240" w:lineRule="atLeast"/>
                    <w:jc w:val="left"/>
                    <w:rPr>
                      <w:rFonts w:hint="eastAsia" w:ascii="宋体" w:hAnsi="宋体" w:eastAsia="宋体" w:cs="宋体"/>
                      <w:color w:val="auto"/>
                      <w:kern w:val="2"/>
                      <w:sz w:val="21"/>
                    </w:rPr>
                  </w:pPr>
                  <w:r>
                    <w:rPr>
                      <w:rFonts w:hint="eastAsia" w:ascii="宋体" w:hAnsi="宋体" w:eastAsia="宋体" w:cs="宋体"/>
                      <w:color w:val="auto"/>
                      <w:kern w:val="2"/>
                      <w:sz w:val="21"/>
                    </w:rPr>
                    <w:t>第二十四条禁止新建、扩建不符合国家产能置换要求的严重过剩产能行业（钢铁、水泥、电解铝、平板玻璃、船舶等行业）的项目。</w:t>
                  </w:r>
                </w:p>
              </w:tc>
              <w:tc>
                <w:tcPr>
                  <w:tcW w:w="1365" w:type="pct"/>
                  <w:noWrap/>
                  <w:vAlign w:val="center"/>
                </w:tcPr>
                <w:p>
                  <w:pPr>
                    <w:pStyle w:val="48"/>
                    <w:snapToGrid w:val="0"/>
                    <w:spacing w:line="240" w:lineRule="atLeast"/>
                    <w:jc w:val="left"/>
                    <w:rPr>
                      <w:rFonts w:hint="eastAsia" w:ascii="宋体" w:hAnsi="宋体" w:eastAsia="宋体" w:cs="宋体"/>
                      <w:color w:val="auto"/>
                      <w:kern w:val="2"/>
                      <w:sz w:val="21"/>
                    </w:rPr>
                  </w:pPr>
                  <w:r>
                    <w:rPr>
                      <w:rFonts w:hint="eastAsia" w:ascii="宋体" w:hAnsi="宋体" w:eastAsia="宋体" w:cs="宋体"/>
                      <w:color w:val="auto"/>
                      <w:kern w:val="2"/>
                      <w:sz w:val="21"/>
                      <w:u w:val="single"/>
                    </w:rPr>
                    <w:t>本项目为</w:t>
                  </w:r>
                  <w:r>
                    <w:rPr>
                      <w:rFonts w:hint="eastAsia" w:ascii="宋体" w:hAnsi="宋体" w:eastAsia="宋体" w:cs="宋体"/>
                      <w:color w:val="auto"/>
                      <w:kern w:val="2"/>
                      <w:sz w:val="21"/>
                      <w:u w:val="single"/>
                      <w:lang w:val="en-US" w:eastAsia="zh-CN"/>
                    </w:rPr>
                    <w:t>热力生产和供应工程</w:t>
                  </w:r>
                  <w:r>
                    <w:rPr>
                      <w:rFonts w:hint="eastAsia" w:ascii="宋体" w:hAnsi="宋体" w:eastAsia="宋体" w:cs="宋体"/>
                      <w:color w:val="auto"/>
                      <w:kern w:val="2"/>
                      <w:sz w:val="21"/>
                      <w:u w:val="single"/>
                    </w:rPr>
                    <w:t>，不属于国家产能置换要求的严重过剩产能行业（钢铁、水泥、电解铝、平板玻璃、船舶等行业）的项目。</w:t>
                  </w:r>
                </w:p>
              </w:tc>
              <w:tc>
                <w:tcPr>
                  <w:tcW w:w="416" w:type="pct"/>
                  <w:noWrap/>
                  <w:vAlign w:val="center"/>
                </w:tcPr>
                <w:p>
                  <w:pPr>
                    <w:pStyle w:val="48"/>
                    <w:snapToGrid w:val="0"/>
                    <w:spacing w:line="240" w:lineRule="atLeast"/>
                    <w:jc w:val="left"/>
                    <w:rPr>
                      <w:rFonts w:hint="eastAsia" w:ascii="宋体" w:hAnsi="宋体" w:eastAsia="宋体" w:cs="宋体"/>
                      <w:color w:val="auto"/>
                      <w:kern w:val="2"/>
                      <w:sz w:val="21"/>
                    </w:rPr>
                  </w:pPr>
                  <w:r>
                    <w:rPr>
                      <w:rFonts w:hint="eastAsia" w:ascii="宋体" w:hAnsi="宋体" w:eastAsia="宋体" w:cs="宋体"/>
                      <w:color w:val="auto"/>
                      <w:kern w:val="2"/>
                      <w:sz w:val="21"/>
                    </w:rPr>
                    <w:t>相符</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273" w:type="pct"/>
                  <w:noWrap/>
                  <w:vAlign w:val="center"/>
                </w:tcPr>
                <w:p>
                  <w:pPr>
                    <w:pStyle w:val="48"/>
                    <w:snapToGrid w:val="0"/>
                    <w:spacing w:line="240" w:lineRule="atLeast"/>
                    <w:jc w:val="center"/>
                    <w:rPr>
                      <w:rFonts w:hint="eastAsia" w:ascii="宋体" w:hAnsi="宋体" w:eastAsia="宋体" w:cs="宋体"/>
                      <w:color w:val="auto"/>
                      <w:kern w:val="2"/>
                      <w:sz w:val="21"/>
                    </w:rPr>
                  </w:pPr>
                  <w:r>
                    <w:rPr>
                      <w:rFonts w:hint="eastAsia" w:ascii="宋体" w:hAnsi="宋体" w:eastAsia="宋体" w:cs="宋体"/>
                      <w:color w:val="auto"/>
                      <w:kern w:val="2"/>
                      <w:sz w:val="21"/>
                    </w:rPr>
                    <w:t>12</w:t>
                  </w:r>
                </w:p>
              </w:tc>
              <w:tc>
                <w:tcPr>
                  <w:tcW w:w="2944" w:type="pct"/>
                  <w:noWrap/>
                  <w:vAlign w:val="center"/>
                </w:tcPr>
                <w:p>
                  <w:pPr>
                    <w:pStyle w:val="48"/>
                    <w:snapToGrid w:val="0"/>
                    <w:spacing w:line="240" w:lineRule="atLeast"/>
                    <w:jc w:val="left"/>
                    <w:rPr>
                      <w:rFonts w:hint="eastAsia" w:ascii="宋体" w:hAnsi="宋体" w:eastAsia="宋体" w:cs="宋体"/>
                      <w:color w:val="auto"/>
                      <w:kern w:val="2"/>
                      <w:sz w:val="21"/>
                    </w:rPr>
                  </w:pPr>
                  <w:r>
                    <w:rPr>
                      <w:rFonts w:hint="eastAsia" w:ascii="宋体" w:hAnsi="宋体" w:eastAsia="宋体" w:cs="宋体"/>
                      <w:color w:val="auto"/>
                      <w:kern w:val="2"/>
                      <w:sz w:val="21"/>
                    </w:rPr>
                    <w:t>第二十五条各级各部门不得以任何名义、任何方式办理产能严重过剩行业新增产能项目的建设审批手续，对确有必要新增产能的，必须严格执行产能置换实施办法，实施减量或等量置换，依法依规办理有关手续。</w:t>
                  </w:r>
                </w:p>
                <w:p>
                  <w:pPr>
                    <w:pStyle w:val="48"/>
                    <w:snapToGrid w:val="0"/>
                    <w:spacing w:line="240" w:lineRule="atLeast"/>
                    <w:jc w:val="left"/>
                    <w:rPr>
                      <w:rFonts w:hint="eastAsia" w:ascii="宋体" w:hAnsi="宋体" w:eastAsia="宋体" w:cs="宋体"/>
                      <w:color w:val="auto"/>
                      <w:kern w:val="2"/>
                      <w:sz w:val="21"/>
                    </w:rPr>
                  </w:pPr>
                  <w:r>
                    <w:rPr>
                      <w:rFonts w:hint="eastAsia" w:ascii="宋体" w:hAnsi="宋体" w:eastAsia="宋体" w:cs="宋体"/>
                      <w:color w:val="auto"/>
                      <w:kern w:val="2"/>
                      <w:sz w:val="21"/>
                    </w:rPr>
                    <w:t>第二十六条高污染项目应严格按照环境保护综合名录等有关要求执行。</w:t>
                  </w:r>
                </w:p>
              </w:tc>
              <w:tc>
                <w:tcPr>
                  <w:tcW w:w="1365" w:type="pct"/>
                  <w:noWrap/>
                  <w:vAlign w:val="center"/>
                </w:tcPr>
                <w:p>
                  <w:pPr>
                    <w:pStyle w:val="48"/>
                    <w:snapToGrid w:val="0"/>
                    <w:spacing w:line="240" w:lineRule="atLeast"/>
                    <w:jc w:val="left"/>
                    <w:rPr>
                      <w:rFonts w:hint="eastAsia" w:ascii="宋体" w:hAnsi="宋体" w:eastAsia="宋体" w:cs="宋体"/>
                      <w:color w:val="auto"/>
                      <w:kern w:val="2"/>
                      <w:sz w:val="21"/>
                    </w:rPr>
                  </w:pPr>
                  <w:r>
                    <w:rPr>
                      <w:rFonts w:hint="eastAsia" w:ascii="宋体" w:hAnsi="宋体" w:eastAsia="宋体" w:cs="宋体"/>
                      <w:color w:val="auto"/>
                      <w:sz w:val="21"/>
                      <w:u w:val="single"/>
                    </w:rPr>
                    <w:t>本项目</w:t>
                  </w:r>
                  <w:r>
                    <w:rPr>
                      <w:rFonts w:hint="eastAsia" w:ascii="宋体" w:hAnsi="宋体" w:eastAsia="宋体" w:cs="宋体"/>
                      <w:color w:val="auto"/>
                      <w:kern w:val="2"/>
                      <w:sz w:val="21"/>
                      <w:u w:val="single"/>
                    </w:rPr>
                    <w:t>为</w:t>
                  </w:r>
                  <w:r>
                    <w:rPr>
                      <w:rFonts w:hint="eastAsia" w:ascii="宋体" w:hAnsi="宋体" w:eastAsia="宋体" w:cs="宋体"/>
                      <w:color w:val="auto"/>
                      <w:kern w:val="2"/>
                      <w:sz w:val="21"/>
                      <w:u w:val="single"/>
                      <w:lang w:val="en-US" w:eastAsia="zh-CN"/>
                    </w:rPr>
                    <w:t>热力生产和供应工程</w:t>
                  </w:r>
                  <w:r>
                    <w:rPr>
                      <w:rFonts w:hint="eastAsia" w:ascii="宋体" w:hAnsi="宋体" w:eastAsia="宋体" w:cs="宋体"/>
                      <w:color w:val="auto"/>
                      <w:kern w:val="2"/>
                      <w:sz w:val="21"/>
                      <w:u w:val="single"/>
                    </w:rPr>
                    <w:t>，不属于产能过剩行业，也不属于高污染项目。</w:t>
                  </w:r>
                </w:p>
              </w:tc>
              <w:tc>
                <w:tcPr>
                  <w:tcW w:w="416" w:type="pct"/>
                  <w:noWrap/>
                  <w:vAlign w:val="center"/>
                </w:tcPr>
                <w:p>
                  <w:pPr>
                    <w:pStyle w:val="48"/>
                    <w:snapToGrid w:val="0"/>
                    <w:spacing w:line="240" w:lineRule="atLeast"/>
                    <w:jc w:val="left"/>
                    <w:rPr>
                      <w:rFonts w:hint="eastAsia" w:ascii="宋体" w:hAnsi="宋体" w:eastAsia="宋体" w:cs="宋体"/>
                      <w:color w:val="auto"/>
                      <w:kern w:val="2"/>
                      <w:sz w:val="21"/>
                    </w:rPr>
                  </w:pPr>
                  <w:r>
                    <w:rPr>
                      <w:rFonts w:hint="eastAsia" w:ascii="宋体" w:hAnsi="宋体" w:eastAsia="宋体" w:cs="宋体"/>
                      <w:color w:val="auto"/>
                      <w:kern w:val="2"/>
                      <w:sz w:val="21"/>
                    </w:rPr>
                    <w:t>相符</w:t>
                  </w:r>
                </w:p>
              </w:tc>
            </w:tr>
          </w:tbl>
          <w:p>
            <w:pPr>
              <w:spacing w:line="240" w:lineRule="auto"/>
              <w:ind w:firstLine="480" w:firstLineChars="200"/>
              <w:jc w:val="left"/>
              <w:rPr>
                <w:rFonts w:hint="eastAsia" w:ascii="宋体" w:hAnsi="宋体" w:eastAsia="宋体" w:cs="宋体"/>
                <w:sz w:val="24"/>
              </w:rPr>
            </w:pPr>
          </w:p>
          <w:p>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综上所述，本项目位于湘阴县洋沙湖镇（原袁家铺镇）洋沙湖村（原友爱村）进行建设，不在自然保护区、风景名胜区、饮用水源保护区、水产种质资源保护区、国家湿地公园、长江干支流（长江干流湖南段、湘江沅江</w:t>
            </w:r>
            <w:r>
              <w:rPr>
                <w:rFonts w:hint="eastAsia" w:ascii="宋体" w:hAnsi="宋体" w:cs="宋体"/>
                <w:sz w:val="24"/>
                <w:lang w:eastAsia="zh-CN"/>
              </w:rPr>
              <w:t>干流</w:t>
            </w:r>
            <w:r>
              <w:rPr>
                <w:rFonts w:hint="eastAsia" w:ascii="宋体" w:hAnsi="宋体" w:eastAsia="宋体" w:cs="宋体"/>
                <w:sz w:val="24"/>
              </w:rPr>
              <w:t>及洞庭湖）岸线1公里范围内。</w:t>
            </w:r>
            <w:r>
              <w:rPr>
                <w:rFonts w:hint="eastAsia" w:ascii="宋体" w:hAnsi="宋体" w:eastAsia="宋体" w:cs="宋体"/>
                <w:sz w:val="24"/>
                <w:highlight w:val="none"/>
                <w:u w:val="single"/>
              </w:rPr>
              <w:t>项目为</w:t>
            </w:r>
            <w:r>
              <w:rPr>
                <w:rFonts w:hint="eastAsia" w:ascii="宋体" w:hAnsi="宋体" w:cs="宋体"/>
                <w:sz w:val="24"/>
                <w:szCs w:val="24"/>
                <w:u w:val="single"/>
                <w:lang w:val="en-US" w:eastAsia="zh-CN"/>
              </w:rPr>
              <w:t>城发月子中心和湘阴县妇女儿童医院（二期）配套</w:t>
            </w:r>
            <w:r>
              <w:rPr>
                <w:rFonts w:hint="eastAsia" w:eastAsia="宋体" w:cs="Times New Roman"/>
                <w:sz w:val="24"/>
                <w:szCs w:val="24"/>
                <w:u w:val="single"/>
                <w:lang w:val="en-US" w:eastAsia="zh-CN"/>
              </w:rPr>
              <w:t>建设</w:t>
            </w:r>
            <w:r>
              <w:rPr>
                <w:rFonts w:hint="eastAsia" w:ascii="宋体" w:hAnsi="宋体" w:eastAsia="宋体" w:cs="宋体"/>
                <w:sz w:val="24"/>
                <w:szCs w:val="24"/>
                <w:u w:val="single"/>
              </w:rPr>
              <w:t>项目</w:t>
            </w:r>
            <w:r>
              <w:rPr>
                <w:rFonts w:hint="eastAsia" w:ascii="宋体" w:hAnsi="宋体" w:eastAsia="宋体" w:cs="宋体"/>
                <w:sz w:val="24"/>
                <w:u w:val="single"/>
              </w:rPr>
              <w:t>，不属于石化、煤化工、落后产能、产能过剩项目，</w:t>
            </w:r>
            <w:r>
              <w:rPr>
                <w:rFonts w:hint="eastAsia" w:ascii="Times New Roman" w:hAnsi="Times New Roman" w:eastAsia="宋体" w:cs="Times New Roman"/>
                <w:sz w:val="24"/>
                <w:szCs w:val="24"/>
                <w:u w:val="single"/>
                <w:lang w:val="en-US" w:eastAsia="zh-CN"/>
              </w:rPr>
              <w:t>本项目不属于</w:t>
            </w:r>
            <w:r>
              <w:rPr>
                <w:rFonts w:hint="eastAsia" w:ascii="宋体" w:hAnsi="宋体" w:eastAsia="宋体" w:cs="宋体"/>
                <w:sz w:val="24"/>
                <w:u w:val="single"/>
              </w:rPr>
              <w:t>《产业结构调整指导目录（2019年本）》</w:t>
            </w:r>
            <w:r>
              <w:rPr>
                <w:rFonts w:hint="eastAsia" w:ascii="Times New Roman" w:hAnsi="Times New Roman" w:eastAsia="宋体" w:cs="Times New Roman"/>
                <w:sz w:val="24"/>
                <w:szCs w:val="24"/>
                <w:u w:val="single"/>
                <w:lang w:val="en-US" w:eastAsia="zh-CN"/>
              </w:rPr>
              <w:t>中的限制类和禁止类项目</w:t>
            </w:r>
            <w:r>
              <w:rPr>
                <w:rFonts w:hint="default" w:ascii="Times New Roman" w:hAnsi="Times New Roman" w:eastAsia="宋体" w:cs="Times New Roman"/>
                <w:sz w:val="24"/>
                <w:szCs w:val="24"/>
                <w:u w:val="single"/>
              </w:rPr>
              <w:t>，</w:t>
            </w:r>
            <w:r>
              <w:rPr>
                <w:rFonts w:hint="eastAsia" w:eastAsia="宋体" w:cs="Times New Roman"/>
                <w:sz w:val="24"/>
                <w:szCs w:val="24"/>
                <w:u w:val="single"/>
                <w:lang w:val="en-US" w:eastAsia="zh-CN"/>
              </w:rPr>
              <w:t>为国家允许建设项目，</w:t>
            </w:r>
            <w:r>
              <w:rPr>
                <w:rFonts w:hint="default" w:ascii="Times New Roman" w:hAnsi="Times New Roman" w:eastAsia="宋体" w:cs="Times New Roman"/>
                <w:sz w:val="24"/>
                <w:szCs w:val="24"/>
                <w:u w:val="single"/>
              </w:rPr>
              <w:t>符合国家产业政策。</w:t>
            </w:r>
            <w:r>
              <w:rPr>
                <w:rFonts w:hint="eastAsia" w:ascii="宋体" w:hAnsi="宋体" w:eastAsia="宋体" w:cs="宋体"/>
                <w:sz w:val="24"/>
                <w:u w:val="single"/>
              </w:rPr>
              <w:t>符合国家产业政策。</w:t>
            </w:r>
            <w:r>
              <w:rPr>
                <w:rFonts w:hint="eastAsia" w:ascii="宋体" w:hAnsi="宋体" w:eastAsia="宋体" w:cs="宋体"/>
                <w:sz w:val="24"/>
              </w:rPr>
              <w:t>本项目选址不在国家重点生态功能区内。故本项目符合《湖南长江经济带发展负面清单实施细则（试行）》相关要求。</w:t>
            </w:r>
          </w:p>
          <w:p>
            <w:pPr>
              <w:keepNext w:val="0"/>
              <w:keepLines w:val="0"/>
              <w:pageBreakBefore w:val="0"/>
              <w:widowControl w:val="0"/>
              <w:tabs>
                <w:tab w:val="left" w:pos="6180"/>
              </w:tabs>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综上所述，项目建设符合“三线一单”的相关要求。</w:t>
            </w:r>
          </w:p>
          <w:p>
            <w:pPr>
              <w:keepNext w:val="0"/>
              <w:keepLines w:val="0"/>
              <w:pageBreakBefore w:val="0"/>
              <w:widowControl w:val="0"/>
              <w:numPr>
                <w:ilvl w:val="0"/>
                <w:numId w:val="5"/>
              </w:numPr>
              <w:tabs>
                <w:tab w:val="left" w:pos="6180"/>
              </w:tabs>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u w:val="none"/>
                <w:lang w:val="en-US" w:eastAsia="zh-CN"/>
              </w:rPr>
            </w:pPr>
            <w:r>
              <w:rPr>
                <w:rFonts w:hint="eastAsia" w:ascii="宋体" w:hAnsi="宋体" w:eastAsia="宋体" w:cs="宋体"/>
                <w:b/>
                <w:bCs/>
                <w:sz w:val="24"/>
                <w:szCs w:val="24"/>
                <w:u w:val="none"/>
                <w:lang w:val="en-US" w:eastAsia="zh-CN"/>
              </w:rPr>
              <w:t>平面布局合理性分析</w:t>
            </w:r>
          </w:p>
          <w:p>
            <w:pPr>
              <w:keepNext w:val="0"/>
              <w:keepLines w:val="0"/>
              <w:pageBreakBefore w:val="0"/>
              <w:widowControl/>
              <w:suppressLineNumbers w:val="0"/>
              <w:kinsoku/>
              <w:wordWrap/>
              <w:overflowPunct/>
              <w:topLinePunct w:val="0"/>
              <w:bidi w:val="0"/>
              <w:spacing w:line="360" w:lineRule="auto"/>
              <w:ind w:firstLine="480" w:firstLineChars="200"/>
              <w:jc w:val="both"/>
              <w:textAlignment w:val="auto"/>
              <w:rPr>
                <w:rFonts w:hint="eastAsia" w:ascii="宋体" w:hAnsi="宋体" w:eastAsia="宋体" w:cs="宋体"/>
                <w:sz w:val="24"/>
                <w:szCs w:val="24"/>
                <w:u w:val="single"/>
              </w:rPr>
            </w:pPr>
            <w:r>
              <w:rPr>
                <w:rFonts w:hint="eastAsia" w:ascii="宋体" w:hAnsi="宋体" w:eastAsia="宋体" w:cs="宋体"/>
                <w:sz w:val="24"/>
                <w:szCs w:val="24"/>
                <w:u w:val="single"/>
              </w:rPr>
              <w:t>本项目西侧临芙蓉大道，为项目服务区域内的主要交通道路，南侧为次要交通道路。项目的主出入口设置于南侧次要道路上，次出入口设置在西侧芙蓉大道辅路上。用地西侧为医疗保健功能区，主入口西侧为发热门诊，独立于院内布置，与院内建筑及相邻地块建筑的间距均大于20米，设置独立出入口。医疗综合楼居中设置门诊出入口，左侧为急诊出入口，就近设置救护车辆停车区域。</w:t>
            </w:r>
            <w:r>
              <w:rPr>
                <w:rFonts w:hint="eastAsia" w:ascii="宋体" w:hAnsi="宋体" w:eastAsia="宋体" w:cs="宋体"/>
                <w:color w:val="000000"/>
                <w:kern w:val="0"/>
                <w:sz w:val="24"/>
                <w:szCs w:val="24"/>
                <w:u w:val="single"/>
                <w:lang w:val="en-US" w:eastAsia="zh-CN" w:bidi="ar"/>
              </w:rPr>
              <w:t>月子中心地上五层，设置有中心供应室、后勤库房、办公用房、月子中心等功能空间。月子中心北侧为食堂，地上三层，一层为食堂，二层为办公用房（职工活动用房），三层为大会议室。地块东侧为锅炉房、垃圾收集压缩站、医疗垃圾暂存间等配套服务用房，与主要功能区适当分隔，减少干扰。地块医疗污水处理站设置在西侧场地较低处，续接地块化粪池出口，为地上一体化污水处理设备。</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ascii="宋体" w:hAnsi="宋体" w:cs="宋体"/>
                <w:kern w:val="0"/>
                <w:szCs w:val="21"/>
              </w:rPr>
            </w:pPr>
            <w:r>
              <w:rPr>
                <w:rFonts w:hint="eastAsia" w:ascii="宋体" w:hAnsi="宋体" w:eastAsia="宋体" w:cs="宋体"/>
                <w:i w:val="0"/>
                <w:iCs w:val="0"/>
                <w:kern w:val="0"/>
                <w:sz w:val="24"/>
                <w:szCs w:val="24"/>
                <w:u w:val="single"/>
                <w:lang w:val="en-US" w:eastAsia="zh-CN"/>
              </w:rPr>
              <w:t>综上所述，本项目总体上功能分区合理，各种流线组织清晰。从环境保护角度，总体平面布局合理，</w:t>
            </w:r>
            <w:r>
              <w:rPr>
                <w:rFonts w:hint="eastAsia" w:ascii="宋体" w:hAnsi="宋体" w:eastAsia="宋体" w:cs="宋体"/>
                <w:i w:val="0"/>
                <w:iCs w:val="0"/>
                <w:sz w:val="24"/>
                <w:szCs w:val="24"/>
                <w:u w:val="single"/>
              </w:rPr>
              <w:t>项目总平面布置见附图7。</w:t>
            </w:r>
          </w:p>
        </w:tc>
      </w:tr>
    </w:tbl>
    <w:p>
      <w:pPr>
        <w:spacing w:line="360" w:lineRule="auto"/>
        <w:outlineLvl w:val="9"/>
        <w:rPr>
          <w:rFonts w:eastAsia="黑体"/>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22"/>
        <w:jc w:val="center"/>
        <w:outlineLvl w:val="0"/>
        <w:rPr>
          <w:rFonts w:ascii="黑体" w:hAnsi="黑体" w:eastAsia="黑体"/>
          <w:snapToGrid w:val="0"/>
          <w:sz w:val="30"/>
          <w:szCs w:val="30"/>
        </w:rPr>
      </w:pPr>
      <w:bookmarkStart w:id="5" w:name="_Toc20176"/>
      <w:r>
        <w:rPr>
          <w:rFonts w:hint="eastAsia" w:ascii="黑体" w:hAnsi="黑体" w:eastAsia="黑体"/>
          <w:snapToGrid w:val="0"/>
          <w:sz w:val="30"/>
          <w:szCs w:val="30"/>
        </w:rPr>
        <w:t>二、建设项目工程分析</w:t>
      </w:r>
      <w:bookmarkEnd w:id="5"/>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3"/>
        <w:gridCol w:w="86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79" w:hRule="atLeast"/>
          <w:jc w:val="center"/>
        </w:trPr>
        <w:tc>
          <w:tcPr>
            <w:tcW w:w="823" w:type="dxa"/>
            <w:noWrap w:val="0"/>
            <w:vAlign w:val="center"/>
          </w:tcPr>
          <w:p>
            <w:pPr>
              <w:pStyle w:val="22"/>
              <w:adjustRightInd w:val="0"/>
              <w:snapToGrid w:val="0"/>
              <w:spacing w:before="0" w:beforeAutospacing="0" w:after="0" w:afterAutospacing="0"/>
              <w:jc w:val="center"/>
              <w:rPr>
                <w:rFonts w:cs="宋体"/>
                <w:sz w:val="21"/>
                <w:szCs w:val="21"/>
              </w:rPr>
            </w:pPr>
            <w:r>
              <w:rPr>
                <w:rFonts w:hint="eastAsia" w:cs="宋体"/>
                <w:sz w:val="21"/>
                <w:szCs w:val="21"/>
              </w:rPr>
              <w:t>建设内容</w:t>
            </w:r>
          </w:p>
        </w:tc>
        <w:tc>
          <w:tcPr>
            <w:tcW w:w="8161"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一、项目由来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城发月子中心及湘阴县妇女儿童医院（二期）配套设施建设项目规划选址位于湘阴县洋沙湖镇（原袁家铺镇），芙蓉大道东侧。地块南与知源学校隔路相望，东邻望滨公园，北侧地块未建设。项目基地分为两大功能区块，用地西侧为医疗保健功能区，主入口西侧为发热门诊，独立于院内布置，与院内建筑及相邻地块建筑的间距均大于</w:t>
            </w:r>
            <w:r>
              <w:rPr>
                <w:rFonts w:hint="default" w:ascii="Times New Roman" w:hAnsi="Times New Roman" w:eastAsia="宋体" w:cs="Times New Roman"/>
                <w:sz w:val="24"/>
                <w:szCs w:val="24"/>
                <w:lang w:val="en-US" w:eastAsia="zh-CN"/>
              </w:rPr>
              <w:t>20</w:t>
            </w:r>
            <w:r>
              <w:rPr>
                <w:rFonts w:hint="eastAsia" w:ascii="宋体" w:hAnsi="宋体" w:eastAsia="宋体" w:cs="宋体"/>
                <w:sz w:val="24"/>
                <w:szCs w:val="24"/>
                <w:lang w:val="en-US" w:eastAsia="zh-CN"/>
              </w:rPr>
              <w:t>米，设置独立出入口。由主入口进入医院内，月子中心大楼设置于建设用地东侧，月子中心大楼周边设置停车广场空间，为就诊人群就近停车提供便利。</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u w:val="single"/>
                <w:lang w:val="en-US" w:eastAsia="zh-CN"/>
              </w:rPr>
            </w:pPr>
            <w:r>
              <w:rPr>
                <w:rFonts w:hint="default" w:ascii="Times New Roman" w:hAnsi="Times New Roman" w:eastAsia="宋体" w:cs="Times New Roman"/>
                <w:sz w:val="24"/>
                <w:szCs w:val="24"/>
                <w:lang w:val="en-US" w:eastAsia="zh-CN"/>
              </w:rPr>
              <w:t>项目规划净用地面积6998.54</w:t>
            </w:r>
            <w:r>
              <w:rPr>
                <w:rFonts w:hint="default" w:ascii="Times New Roman" w:hAnsi="Times New Roman" w:cs="Times New Roman"/>
                <w:sz w:val="24"/>
                <w:szCs w:val="24"/>
                <w:lang w:val="en-US" w:eastAsia="zh-CN"/>
              </w:rPr>
              <w:t>m</w:t>
            </w:r>
            <w:r>
              <w:rPr>
                <w:rFonts w:hint="default" w:ascii="Times New Roman" w:hAnsi="Times New Roman" w:cs="Times New Roman"/>
                <w:sz w:val="24"/>
                <w:szCs w:val="24"/>
                <w:vertAlign w:val="superscript"/>
                <w:lang w:val="en-US" w:eastAsia="zh-CN"/>
              </w:rPr>
              <w:t>2</w:t>
            </w:r>
            <w:r>
              <w:rPr>
                <w:rFonts w:hint="default" w:ascii="Times New Roman" w:hAnsi="Times New Roman" w:eastAsia="宋体" w:cs="Times New Roman"/>
                <w:sz w:val="24"/>
                <w:szCs w:val="24"/>
                <w:lang w:val="en-US" w:eastAsia="zh-CN"/>
              </w:rPr>
              <w:t>，总建筑面积6907.95</w:t>
            </w:r>
            <w:r>
              <w:rPr>
                <w:rFonts w:hint="default" w:ascii="Times New Roman" w:hAnsi="Times New Roman" w:cs="Times New Roman"/>
                <w:sz w:val="24"/>
                <w:szCs w:val="24"/>
                <w:lang w:val="en-US" w:eastAsia="zh-CN"/>
              </w:rPr>
              <w:t>m</w:t>
            </w:r>
            <w:r>
              <w:rPr>
                <w:rFonts w:hint="default" w:ascii="Times New Roman" w:hAnsi="Times New Roman" w:cs="Times New Roman"/>
                <w:sz w:val="24"/>
                <w:szCs w:val="24"/>
                <w:vertAlign w:val="superscript"/>
                <w:lang w:val="en-US" w:eastAsia="zh-CN"/>
              </w:rPr>
              <w:t>2</w:t>
            </w:r>
            <w:r>
              <w:rPr>
                <w:rFonts w:hint="default" w:ascii="Times New Roman" w:hAnsi="Times New Roman" w:eastAsia="宋体" w:cs="Times New Roman"/>
                <w:sz w:val="24"/>
                <w:szCs w:val="24"/>
                <w:lang w:val="en-US" w:eastAsia="zh-CN"/>
              </w:rPr>
              <w:t>，其中月子中心5132.03</w:t>
            </w:r>
            <w:r>
              <w:rPr>
                <w:rFonts w:hint="default" w:ascii="Times New Roman" w:hAnsi="Times New Roman" w:cs="Times New Roman"/>
                <w:sz w:val="24"/>
                <w:szCs w:val="24"/>
                <w:lang w:val="en-US" w:eastAsia="zh-CN"/>
              </w:rPr>
              <w:t>m</w:t>
            </w:r>
            <w:r>
              <w:rPr>
                <w:rFonts w:hint="default" w:ascii="Times New Roman" w:hAnsi="Times New Roman" w:cs="Times New Roman"/>
                <w:sz w:val="24"/>
                <w:szCs w:val="24"/>
                <w:vertAlign w:val="superscript"/>
                <w:lang w:val="en-US" w:eastAsia="zh-CN"/>
              </w:rPr>
              <w:t>2</w:t>
            </w:r>
            <w:r>
              <w:rPr>
                <w:rFonts w:hint="eastAsia" w:cs="Times New Roman"/>
                <w:sz w:val="24"/>
                <w:szCs w:val="24"/>
                <w:vertAlign w:val="baseline"/>
                <w:lang w:val="en-US" w:eastAsia="zh-CN"/>
              </w:rPr>
              <w:t>（设计床位43个）</w:t>
            </w:r>
            <w:r>
              <w:rPr>
                <w:rFonts w:hint="default" w:ascii="Times New Roman" w:hAnsi="Times New Roman" w:eastAsia="宋体" w:cs="Times New Roman"/>
                <w:sz w:val="24"/>
                <w:szCs w:val="24"/>
                <w:lang w:val="en-US" w:eastAsia="zh-CN"/>
              </w:rPr>
              <w:t>，食堂</w:t>
            </w:r>
            <w:r>
              <w:rPr>
                <w:rFonts w:hint="eastAsia" w:cs="Times New Roman"/>
                <w:sz w:val="24"/>
                <w:szCs w:val="24"/>
                <w:lang w:val="en-US" w:eastAsia="zh-CN"/>
              </w:rPr>
              <w:t>、大会议室</w:t>
            </w:r>
            <w:r>
              <w:rPr>
                <w:rFonts w:hint="default" w:ascii="Times New Roman" w:hAnsi="Times New Roman" w:eastAsia="宋体" w:cs="Times New Roman"/>
                <w:sz w:val="24"/>
                <w:szCs w:val="24"/>
                <w:lang w:val="en-US" w:eastAsia="zh-CN"/>
              </w:rPr>
              <w:t>1447.92</w:t>
            </w:r>
            <w:r>
              <w:rPr>
                <w:rFonts w:hint="default" w:ascii="Times New Roman" w:hAnsi="Times New Roman" w:cs="Times New Roman"/>
                <w:sz w:val="24"/>
                <w:szCs w:val="24"/>
                <w:lang w:val="en-US" w:eastAsia="zh-CN"/>
              </w:rPr>
              <w:t>m</w:t>
            </w:r>
            <w:r>
              <w:rPr>
                <w:rFonts w:hint="default" w:ascii="Times New Roman" w:hAnsi="Times New Roman" w:cs="Times New Roman"/>
                <w:sz w:val="24"/>
                <w:szCs w:val="24"/>
                <w:vertAlign w:val="superscript"/>
                <w:lang w:val="en-US" w:eastAsia="zh-CN"/>
              </w:rPr>
              <w:t>2</w:t>
            </w:r>
            <w:r>
              <w:rPr>
                <w:rFonts w:hint="eastAsia" w:cs="Times New Roman"/>
                <w:sz w:val="24"/>
                <w:szCs w:val="24"/>
                <w:lang w:val="en-US" w:eastAsia="zh-CN"/>
              </w:rPr>
              <w:t>，</w:t>
            </w:r>
            <w:r>
              <w:rPr>
                <w:rFonts w:hint="eastAsia" w:ascii="宋体" w:hAnsi="宋体" w:eastAsia="宋体" w:cs="宋体"/>
                <w:sz w:val="24"/>
                <w:szCs w:val="24"/>
                <w:lang w:val="en-US" w:eastAsia="zh-CN"/>
              </w:rPr>
              <w:t>垃圾站及医疗垃圾暂存间</w:t>
            </w:r>
            <w:r>
              <w:rPr>
                <w:rFonts w:hint="eastAsia" w:cs="Times New Roman"/>
                <w:sz w:val="24"/>
                <w:szCs w:val="24"/>
                <w:lang w:val="en-US" w:eastAsia="zh-CN"/>
              </w:rPr>
              <w:t>146</w:t>
            </w:r>
            <w:r>
              <w:rPr>
                <w:rFonts w:hint="default" w:ascii="Times New Roman" w:hAnsi="Times New Roman" w:cs="Times New Roman"/>
                <w:sz w:val="24"/>
                <w:szCs w:val="24"/>
                <w:lang w:val="en-US" w:eastAsia="zh-CN"/>
              </w:rPr>
              <w:t>m</w:t>
            </w:r>
            <w:r>
              <w:rPr>
                <w:rFonts w:hint="default" w:ascii="Times New Roman" w:hAnsi="Times New Roman" w:cs="Times New Roman"/>
                <w:sz w:val="24"/>
                <w:szCs w:val="24"/>
                <w:vertAlign w:val="superscript"/>
                <w:lang w:val="en-US" w:eastAsia="zh-CN"/>
              </w:rPr>
              <w:t>2</w:t>
            </w:r>
            <w:r>
              <w:rPr>
                <w:rFonts w:hint="default" w:ascii="Times New Roman" w:hAnsi="Times New Roman" w:eastAsia="宋体" w:cs="Times New Roman"/>
                <w:sz w:val="24"/>
                <w:szCs w:val="24"/>
                <w:lang w:val="en-US" w:eastAsia="zh-CN"/>
              </w:rPr>
              <w:t>，锅炉房232.00</w:t>
            </w:r>
            <w:r>
              <w:rPr>
                <w:rFonts w:hint="default" w:ascii="Times New Roman" w:hAnsi="Times New Roman" w:cs="Times New Roman"/>
                <w:sz w:val="24"/>
                <w:szCs w:val="24"/>
                <w:lang w:val="en-US" w:eastAsia="zh-CN"/>
              </w:rPr>
              <w:t>m</w:t>
            </w:r>
            <w:r>
              <w:rPr>
                <w:rFonts w:hint="default" w:ascii="Times New Roman" w:hAnsi="Times New Roman" w:cs="Times New Roman"/>
                <w:sz w:val="24"/>
                <w:szCs w:val="24"/>
                <w:vertAlign w:val="superscript"/>
                <w:lang w:val="en-US" w:eastAsia="zh-CN"/>
              </w:rPr>
              <w:t>2</w:t>
            </w:r>
            <w:r>
              <w:rPr>
                <w:rFonts w:hint="default" w:ascii="Times New Roman" w:hAnsi="Times New Roman" w:eastAsia="宋体" w:cs="Times New Roman"/>
                <w:sz w:val="24"/>
                <w:szCs w:val="24"/>
                <w:lang w:val="en-US" w:eastAsia="zh-CN"/>
              </w:rPr>
              <w:t>。为</w:t>
            </w:r>
            <w:r>
              <w:rPr>
                <w:rFonts w:hint="eastAsia" w:ascii="宋体" w:hAnsi="宋体" w:eastAsia="宋体" w:cs="宋体"/>
                <w:sz w:val="24"/>
                <w:szCs w:val="24"/>
                <w:lang w:val="en-US" w:eastAsia="zh-CN"/>
              </w:rPr>
              <w:t>提升湘阴县妇幼保健院服务质量和医疗水平，迎合妇幼健康服务发展需求，</w:t>
            </w:r>
            <w:r>
              <w:rPr>
                <w:rFonts w:hint="eastAsia" w:ascii="宋体" w:hAnsi="宋体" w:cs="宋体"/>
                <w:sz w:val="24"/>
                <w:szCs w:val="24"/>
                <w:u w:val="single"/>
                <w:lang w:val="en-US" w:eastAsia="zh-CN"/>
              </w:rPr>
              <w:t>根据</w:t>
            </w:r>
            <w:r>
              <w:rPr>
                <w:rFonts w:hint="eastAsia" w:ascii="宋体" w:hAnsi="宋体" w:eastAsia="宋体" w:cs="宋体"/>
                <w:sz w:val="24"/>
                <w:szCs w:val="24"/>
                <w:u w:val="single"/>
                <w:lang w:val="en-US" w:eastAsia="zh-CN"/>
              </w:rPr>
              <w:t>湘阴县人民政府</w:t>
            </w:r>
            <w:r>
              <w:rPr>
                <w:rFonts w:hint="eastAsia" w:ascii="宋体" w:hAnsi="宋体" w:cs="宋体"/>
                <w:sz w:val="24"/>
                <w:szCs w:val="24"/>
                <w:u w:val="single"/>
                <w:lang w:val="en-US" w:eastAsia="zh-CN"/>
              </w:rPr>
              <w:t>县长办公会议纪要（第9次），会议强调，</w:t>
            </w:r>
            <w:r>
              <w:rPr>
                <w:rFonts w:hint="eastAsia" w:ascii="宋体" w:hAnsi="宋体" w:eastAsia="宋体" w:cs="宋体"/>
                <w:sz w:val="24"/>
                <w:szCs w:val="24"/>
                <w:u w:val="single"/>
                <w:lang w:val="en-US" w:eastAsia="zh-CN"/>
              </w:rPr>
              <w:t>湘阴县妇女儿童医院（二期）</w:t>
            </w:r>
            <w:r>
              <w:rPr>
                <w:rFonts w:hint="eastAsia" w:ascii="宋体" w:hAnsi="宋体" w:cs="宋体"/>
                <w:sz w:val="24"/>
                <w:szCs w:val="24"/>
                <w:u w:val="single"/>
                <w:lang w:val="en-US" w:eastAsia="zh-CN"/>
              </w:rPr>
              <w:t>新建既是全县重点工程</w:t>
            </w:r>
            <w:r>
              <w:rPr>
                <w:rFonts w:hint="eastAsia" w:ascii="宋体" w:hAnsi="宋体" w:eastAsia="宋体" w:cs="宋体"/>
                <w:sz w:val="24"/>
                <w:szCs w:val="24"/>
                <w:u w:val="single"/>
                <w:lang w:val="en-US" w:eastAsia="zh-CN"/>
              </w:rPr>
              <w:t>，</w:t>
            </w:r>
            <w:r>
              <w:rPr>
                <w:rFonts w:hint="eastAsia" w:ascii="宋体" w:hAnsi="宋体" w:cs="宋体"/>
                <w:sz w:val="24"/>
                <w:szCs w:val="24"/>
                <w:u w:val="single"/>
                <w:lang w:val="en-US" w:eastAsia="zh-CN"/>
              </w:rPr>
              <w:t>也是民生实事项目。</w:t>
            </w:r>
            <w:r>
              <w:rPr>
                <w:rFonts w:hint="eastAsia" w:ascii="宋体" w:hAnsi="宋体" w:eastAsia="宋体" w:cs="宋体"/>
                <w:sz w:val="24"/>
                <w:szCs w:val="24"/>
                <w:u w:val="single"/>
                <w:lang w:val="en-US" w:eastAsia="zh-CN"/>
              </w:rPr>
              <w:t>月子中心作为湘阴县妇女儿童医院（二期）</w:t>
            </w:r>
            <w:r>
              <w:rPr>
                <w:rFonts w:hint="eastAsia" w:ascii="宋体" w:hAnsi="宋体" w:cs="宋体"/>
                <w:sz w:val="24"/>
                <w:szCs w:val="24"/>
                <w:u w:val="single"/>
                <w:lang w:val="en-US" w:eastAsia="zh-CN"/>
              </w:rPr>
              <w:t>的子项目，</w:t>
            </w:r>
            <w:r>
              <w:rPr>
                <w:rFonts w:hint="eastAsia" w:ascii="宋体" w:hAnsi="宋体" w:eastAsia="宋体" w:cs="宋体"/>
                <w:sz w:val="24"/>
                <w:szCs w:val="24"/>
                <w:u w:val="single"/>
                <w:lang w:val="en-US" w:eastAsia="zh-CN"/>
              </w:rPr>
              <w:t>湘阴县城市发展集团有限公司积极响应政府号召，组织实施城发月子中心及湘阴县妇女儿童医院（二期）配套设施建设项目，项目建设</w:t>
            </w:r>
            <w:r>
              <w:rPr>
                <w:rFonts w:hint="eastAsia" w:ascii="宋体" w:hAnsi="宋体" w:cs="宋体"/>
                <w:sz w:val="24"/>
                <w:szCs w:val="24"/>
                <w:u w:val="single"/>
                <w:lang w:val="en-US" w:eastAsia="zh-CN"/>
              </w:rPr>
              <w:t>成为</w:t>
            </w:r>
            <w:r>
              <w:rPr>
                <w:rFonts w:hint="eastAsia" w:ascii="宋体" w:hAnsi="宋体" w:eastAsia="宋体" w:cs="宋体"/>
                <w:sz w:val="24"/>
                <w:szCs w:val="24"/>
                <w:u w:val="single"/>
                <w:lang w:val="en-US" w:eastAsia="zh-CN"/>
              </w:rPr>
              <w:t>一所设施齐全、环境优美、服务一流的，覆盖备孕、孕期、产后全过程的县级妇幼健康服务机构。针对湘阴县母婴护理、孕产妇及妇女健康体检等妇幼保健延伸产业空白，打造集产后护理康复、孕婴知识教育、儿童保健、儿童健康管理等服务于一体的“一站式”妇幼健康服务机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sz w:val="24"/>
                <w:szCs w:val="24"/>
                <w:u w:val="single"/>
                <w:lang w:val="en-US" w:eastAsia="zh-CN"/>
              </w:rPr>
            </w:pPr>
            <w:r>
              <w:rPr>
                <w:rFonts w:hint="eastAsia" w:ascii="宋体" w:hAnsi="宋体" w:eastAsia="宋体" w:cs="宋体"/>
                <w:sz w:val="24"/>
                <w:szCs w:val="24"/>
                <w:u w:val="single"/>
                <w:lang w:val="en-US" w:eastAsia="zh-CN"/>
              </w:rPr>
              <w:t>项目的建设是湘阴县妇女儿童医院（二期）建设项目功能的完善和补充；</w:t>
            </w:r>
            <w:r>
              <w:rPr>
                <w:rFonts w:hint="eastAsia" w:ascii="宋体" w:hAnsi="宋体" w:cs="宋体"/>
                <w:sz w:val="24"/>
                <w:szCs w:val="24"/>
                <w:u w:val="single"/>
                <w:lang w:val="en-US" w:eastAsia="zh-CN"/>
              </w:rPr>
              <w:t>包括新建两台</w:t>
            </w:r>
            <w:r>
              <w:rPr>
                <w:rFonts w:hint="eastAsia"/>
                <w:sz w:val="24"/>
                <w:u w:val="single"/>
                <w:lang w:val="en-US" w:eastAsia="zh-CN"/>
              </w:rPr>
              <w:t>1.163MW</w:t>
            </w:r>
            <w:r>
              <w:rPr>
                <w:rFonts w:hint="eastAsia" w:ascii="宋体" w:hAnsi="宋体" w:cs="宋体"/>
                <w:sz w:val="24"/>
                <w:szCs w:val="24"/>
                <w:u w:val="single"/>
                <w:lang w:val="en-US" w:eastAsia="zh-CN"/>
              </w:rPr>
              <w:t>燃气热水锅炉为</w:t>
            </w:r>
            <w:r>
              <w:rPr>
                <w:rFonts w:hint="eastAsia" w:ascii="宋体" w:hAnsi="宋体" w:eastAsia="宋体" w:cs="宋体"/>
                <w:sz w:val="24"/>
                <w:szCs w:val="24"/>
                <w:u w:val="single"/>
                <w:lang w:val="en-US" w:eastAsia="zh-CN"/>
              </w:rPr>
              <w:t>湘阴县妇女儿童医院（二期）和城发月子中心供热水。同时项目的建设迎合了国家全面两孩政策实施，满足地区妇女儿童医疗服务需求的需要；也加快了医院自身发展，提高综合竞争能力的需要。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综上所述，</w:t>
            </w:r>
            <w:r>
              <w:rPr>
                <w:rFonts w:hint="eastAsia" w:ascii="宋体" w:hAnsi="宋体" w:eastAsia="宋体" w:cs="宋体"/>
                <w:sz w:val="24"/>
                <w:szCs w:val="24"/>
                <w:lang w:val="en-US" w:eastAsia="zh-CN"/>
              </w:rPr>
              <w:t>本项目</w:t>
            </w:r>
            <w:r>
              <w:rPr>
                <w:rFonts w:hint="eastAsia" w:ascii="宋体" w:hAnsi="宋体" w:eastAsia="宋体" w:cs="宋体"/>
                <w:sz w:val="24"/>
                <w:szCs w:val="24"/>
                <w:u w:val="none"/>
                <w:lang w:val="en-US" w:eastAsia="zh-CN"/>
              </w:rPr>
              <w:t>使湘阴县妇女儿童医院（二期）</w:t>
            </w:r>
            <w:r>
              <w:rPr>
                <w:rFonts w:hint="eastAsia" w:ascii="宋体" w:hAnsi="宋体" w:eastAsia="宋体" w:cs="宋体"/>
                <w:sz w:val="24"/>
                <w:szCs w:val="24"/>
                <w:lang w:val="en-US" w:eastAsia="zh-CN"/>
              </w:rPr>
              <w:t>的服务水平得到提升，就医环境明显改善，更好地满足广大妇女儿童保健的需要，发挥出医院的保健、医疗能力。同时，为医院创品牌、树形象、扩大影响力打下良好的基础，促进医院的进一步发展。</w:t>
            </w:r>
            <w:r>
              <w:rPr>
                <w:rFonts w:hint="eastAsia" w:ascii="宋体" w:hAnsi="宋体" w:cs="宋体"/>
                <w:sz w:val="24"/>
                <w:szCs w:val="24"/>
                <w:lang w:val="en-US" w:eastAsia="zh-CN"/>
              </w:rPr>
              <w:t>因此，</w:t>
            </w:r>
            <w:r>
              <w:rPr>
                <w:rFonts w:hint="eastAsia" w:ascii="宋体" w:hAnsi="宋体" w:eastAsia="宋体" w:cs="宋体"/>
                <w:sz w:val="24"/>
                <w:szCs w:val="24"/>
                <w:u w:val="single"/>
                <w:lang w:val="en-US" w:eastAsia="zh-CN"/>
              </w:rPr>
              <w:t>城发月子中心及湘阴县妇女儿童医院（二期）配套设施建设项目</w:t>
            </w:r>
            <w:r>
              <w:rPr>
                <w:rFonts w:hint="eastAsia" w:ascii="宋体" w:hAnsi="宋体" w:eastAsia="宋体" w:cs="宋体"/>
                <w:sz w:val="24"/>
                <w:szCs w:val="24"/>
              </w:rPr>
              <w:t>的建设是十分必要的。</w:t>
            </w:r>
            <w:r>
              <w:rPr>
                <w:rFonts w:hint="eastAsia" w:ascii="宋体" w:hAnsi="宋体" w:cs="宋体"/>
                <w:sz w:val="24"/>
                <w:szCs w:val="24"/>
                <w:lang w:val="en-US" w:eastAsia="zh-CN"/>
              </w:rPr>
              <w:t>项目建成后，移交湘阴县妇女儿童医院（二期）运营。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受</w:t>
            </w:r>
            <w:r>
              <w:rPr>
                <w:rFonts w:hint="eastAsia" w:ascii="宋体" w:hAnsi="宋体" w:cs="宋体"/>
                <w:sz w:val="24"/>
                <w:szCs w:val="24"/>
                <w:lang w:val="en-US" w:eastAsia="zh-CN"/>
              </w:rPr>
              <w:t>湘阴县城市发展集团有限公司</w:t>
            </w:r>
            <w:r>
              <w:rPr>
                <w:rFonts w:hint="eastAsia" w:ascii="宋体" w:hAnsi="宋体" w:eastAsia="宋体" w:cs="宋体"/>
                <w:sz w:val="24"/>
                <w:szCs w:val="24"/>
              </w:rPr>
              <w:t>委托，湖南湘尚环境服务有限公司承担了本项目的环境影响评价工作。依据《</w:t>
            </w:r>
            <w:r>
              <w:rPr>
                <w:rFonts w:hint="default" w:ascii="Times New Roman" w:hAnsi="Times New Roman" w:eastAsia="宋体" w:cs="Times New Roman"/>
                <w:sz w:val="24"/>
                <w:szCs w:val="24"/>
              </w:rPr>
              <w:t>中华人民共和国环境保护法》、《中华人民共和国环境影响评价法》、国务院令第682号《建</w:t>
            </w:r>
            <w:r>
              <w:rPr>
                <w:rFonts w:hint="eastAsia" w:ascii="宋体" w:hAnsi="宋体" w:eastAsia="宋体" w:cs="宋体"/>
                <w:sz w:val="24"/>
                <w:szCs w:val="24"/>
              </w:rPr>
              <w:t>设项目环境保护管理条例》以及《建设项目环境影响评价分类管理名</w:t>
            </w:r>
            <w:r>
              <w:rPr>
                <w:rFonts w:hint="default" w:ascii="Times New Roman" w:hAnsi="Times New Roman" w:eastAsia="宋体" w:cs="Times New Roman"/>
                <w:sz w:val="24"/>
                <w:szCs w:val="24"/>
              </w:rPr>
              <w:t>录》（2021版），</w:t>
            </w:r>
            <w:r>
              <w:rPr>
                <w:rFonts w:hint="default" w:ascii="Times New Roman" w:hAnsi="Times New Roman" w:eastAsia="宋体" w:cs="Times New Roman"/>
                <w:sz w:val="24"/>
                <w:szCs w:val="24"/>
                <w:u w:val="single"/>
              </w:rPr>
              <w:t>本项目</w:t>
            </w:r>
            <w:r>
              <w:rPr>
                <w:rFonts w:hint="eastAsia" w:ascii="宋体" w:hAnsi="宋体" w:cs="宋体"/>
                <w:sz w:val="24"/>
                <w:szCs w:val="24"/>
                <w:u w:val="single"/>
                <w:lang w:val="en-US" w:eastAsia="zh-CN"/>
              </w:rPr>
              <w:t>新建两台</w:t>
            </w:r>
            <w:r>
              <w:rPr>
                <w:rFonts w:hint="eastAsia"/>
                <w:sz w:val="24"/>
                <w:u w:val="single"/>
                <w:lang w:val="en-US" w:eastAsia="zh-CN"/>
              </w:rPr>
              <w:t>1.163MW</w:t>
            </w:r>
            <w:r>
              <w:rPr>
                <w:rFonts w:hint="eastAsia" w:ascii="宋体" w:hAnsi="宋体" w:cs="宋体"/>
                <w:sz w:val="24"/>
                <w:szCs w:val="24"/>
                <w:u w:val="single"/>
                <w:lang w:val="en-US" w:eastAsia="zh-CN"/>
              </w:rPr>
              <w:t>燃气热水锅炉，</w:t>
            </w:r>
            <w:r>
              <w:rPr>
                <w:rFonts w:hint="default" w:ascii="Times New Roman" w:hAnsi="Times New Roman" w:eastAsia="宋体" w:cs="Times New Roman"/>
                <w:sz w:val="24"/>
                <w:szCs w:val="24"/>
                <w:u w:val="single"/>
              </w:rPr>
              <w:t>属于分类管理名录中“四十</w:t>
            </w:r>
            <w:r>
              <w:rPr>
                <w:rFonts w:hint="eastAsia" w:cs="Times New Roman"/>
                <w:sz w:val="24"/>
                <w:szCs w:val="24"/>
                <w:u w:val="single"/>
                <w:lang w:val="en-US" w:eastAsia="zh-CN"/>
              </w:rPr>
              <w:t>一</w:t>
            </w:r>
            <w:r>
              <w:rPr>
                <w:rFonts w:hint="default" w:ascii="Times New Roman" w:hAnsi="Times New Roman" w:eastAsia="宋体" w:cs="Times New Roman"/>
                <w:sz w:val="24"/>
                <w:szCs w:val="24"/>
                <w:u w:val="single"/>
              </w:rPr>
              <w:t>、</w:t>
            </w:r>
            <w:r>
              <w:rPr>
                <w:rFonts w:hint="eastAsia" w:cs="Times New Roman"/>
                <w:sz w:val="24"/>
                <w:szCs w:val="24"/>
                <w:u w:val="single"/>
                <w:lang w:val="en-US" w:eastAsia="zh-CN"/>
              </w:rPr>
              <w:t>电力、热力生产和供应业；91热力生产和供应工程（包括建设单位自建自用的供热工程）；天然气锅炉总容量1吨/小时（0.7MW）以上的</w:t>
            </w:r>
            <w:r>
              <w:rPr>
                <w:rFonts w:hint="default" w:ascii="Times New Roman" w:hAnsi="Times New Roman" w:eastAsia="宋体" w:cs="Times New Roman"/>
                <w:sz w:val="24"/>
                <w:szCs w:val="24"/>
                <w:u w:val="single"/>
              </w:rPr>
              <w:t>”</w:t>
            </w:r>
            <w:r>
              <w:rPr>
                <w:rFonts w:hint="default" w:ascii="Times New Roman" w:hAnsi="Times New Roman" w:eastAsia="宋体" w:cs="Times New Roman"/>
                <w:sz w:val="24"/>
                <w:szCs w:val="24"/>
              </w:rPr>
              <w:t>。综合以上，需编制环境影响报告表。我公司在接受委托后，对建设地进行了现场踏勘、调查，收集了有关该项目的资料，结合建设项目的具体内容，根据国家环保法规、标准和环境影响评价技术导则编制了本项目环境影响报告表。</w:t>
            </w:r>
          </w:p>
          <w:p>
            <w:pPr>
              <w:pStyle w:val="17"/>
              <w:keepNext w:val="0"/>
              <w:keepLines w:val="0"/>
              <w:pageBreakBefore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二</w:t>
            </w:r>
            <w:r>
              <w:rPr>
                <w:rFonts w:hint="eastAsia" w:ascii="宋体" w:hAnsi="宋体" w:eastAsia="宋体" w:cs="宋体"/>
                <w:sz w:val="24"/>
                <w:szCs w:val="24"/>
              </w:rPr>
              <w:t>、项目概况</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outlineLvl w:val="1"/>
              <w:rPr>
                <w:rFonts w:hint="default" w:ascii="宋体" w:hAnsi="宋体" w:eastAsia="宋体" w:cs="宋体"/>
                <w:sz w:val="24"/>
                <w:szCs w:val="24"/>
                <w:lang w:val="en-US"/>
              </w:rPr>
            </w:pPr>
            <w:r>
              <w:rPr>
                <w:rFonts w:hint="eastAsia" w:ascii="宋体" w:hAnsi="宋体" w:cs="宋体"/>
                <w:sz w:val="24"/>
                <w:szCs w:val="24"/>
                <w:lang w:val="en-US" w:eastAsia="zh-CN"/>
              </w:rPr>
              <w:t>为</w:t>
            </w:r>
            <w:r>
              <w:rPr>
                <w:rFonts w:hint="eastAsia" w:ascii="宋体" w:hAnsi="宋体" w:eastAsia="宋体" w:cs="宋体"/>
                <w:sz w:val="24"/>
                <w:szCs w:val="24"/>
                <w:lang w:val="en-US" w:eastAsia="zh-CN"/>
              </w:rPr>
              <w:t>适配</w:t>
            </w:r>
            <w:r>
              <w:rPr>
                <w:rFonts w:hint="eastAsia" w:ascii="宋体" w:hAnsi="宋体" w:cs="宋体"/>
                <w:sz w:val="24"/>
                <w:szCs w:val="24"/>
                <w:lang w:val="en-US" w:eastAsia="zh-CN"/>
              </w:rPr>
              <w:t>湘阴县妇女儿童医院（二期）</w:t>
            </w:r>
            <w:r>
              <w:rPr>
                <w:rFonts w:hint="eastAsia" w:ascii="宋体" w:hAnsi="宋体" w:eastAsia="宋体" w:cs="宋体"/>
                <w:sz w:val="24"/>
                <w:szCs w:val="24"/>
                <w:lang w:val="en-US" w:eastAsia="zh-CN"/>
              </w:rPr>
              <w:t>功能需求，结合市场化需要，进一步满足孕产妇的产后需求，提升月子舒适度，配套建设月子服务中心、</w:t>
            </w:r>
            <w:r>
              <w:rPr>
                <w:rFonts w:hint="eastAsia" w:ascii="宋体" w:hAnsi="宋体" w:cs="宋体"/>
                <w:sz w:val="24"/>
                <w:szCs w:val="24"/>
                <w:lang w:val="en-US" w:eastAsia="zh-CN"/>
              </w:rPr>
              <w:t>食堂、</w:t>
            </w:r>
            <w:r>
              <w:rPr>
                <w:rFonts w:hint="eastAsia" w:ascii="宋体" w:hAnsi="宋体" w:eastAsia="宋体" w:cs="宋体"/>
                <w:sz w:val="24"/>
                <w:szCs w:val="24"/>
                <w:lang w:val="en-US" w:eastAsia="zh-CN"/>
              </w:rPr>
              <w:t>锅炉房</w:t>
            </w:r>
            <w:r>
              <w:rPr>
                <w:rFonts w:hint="eastAsia" w:ascii="宋体" w:hAnsi="宋体" w:cs="宋体"/>
                <w:sz w:val="24"/>
                <w:szCs w:val="24"/>
                <w:lang w:val="en-US" w:eastAsia="zh-CN"/>
              </w:rPr>
              <w:t>等</w:t>
            </w:r>
            <w:r>
              <w:rPr>
                <w:rFonts w:hint="eastAsia" w:ascii="宋体" w:hAnsi="宋体" w:eastAsia="宋体" w:cs="宋体"/>
                <w:sz w:val="24"/>
                <w:szCs w:val="24"/>
                <w:lang w:val="en-US" w:eastAsia="zh-CN"/>
              </w:rPr>
              <w:t>。月子服务中心楼一层为中心供应室、后勤仓库、药库。二层为行政办公楼层，三至五层为月子服务中心。屋面设置室外活动场地，局部采用绿化种植屋面。在月子中心北侧设置食堂，地上三层，一层为营养食堂及职工食堂，二层为职工活动用房，三层为大会议室。东侧设置垃圾站及医疗垃圾暂存间。</w:t>
            </w:r>
          </w:p>
          <w:p>
            <w:pPr>
              <w:jc w:val="center"/>
              <w:rPr>
                <w:rFonts w:hint="eastAsia"/>
              </w:rPr>
            </w:pPr>
            <w:r>
              <w:rPr>
                <w:rFonts w:hint="eastAsia"/>
                <w:b/>
                <w:bCs/>
              </w:rPr>
              <w:t>表</w:t>
            </w:r>
            <w:r>
              <w:rPr>
                <w:rFonts w:hint="eastAsia"/>
                <w:b/>
                <w:bCs/>
                <w:lang w:val="en-US" w:eastAsia="zh-CN"/>
              </w:rPr>
              <w:t xml:space="preserve"> </w:t>
            </w:r>
            <w:r>
              <w:rPr>
                <w:rFonts w:hint="eastAsia"/>
                <w:b/>
                <w:bCs/>
              </w:rPr>
              <w:t>2-1 项目主要经济技术指标一览表</w:t>
            </w:r>
          </w:p>
          <w:tbl>
            <w:tblPr>
              <w:tblStyle w:val="25"/>
              <w:tblW w:w="4998" w:type="pct"/>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autofit"/>
              <w:tblCellMar>
                <w:top w:w="0" w:type="dxa"/>
                <w:left w:w="0" w:type="dxa"/>
                <w:bottom w:w="0" w:type="dxa"/>
                <w:right w:w="0" w:type="dxa"/>
              </w:tblCellMar>
            </w:tblPr>
            <w:tblGrid>
              <w:gridCol w:w="668"/>
              <w:gridCol w:w="2668"/>
              <w:gridCol w:w="1336"/>
              <w:gridCol w:w="1651"/>
              <w:gridCol w:w="2065"/>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398" w:type="pct"/>
                  <w:vMerge w:val="restart"/>
                  <w:noWrap w:val="0"/>
                  <w:vAlign w:val="center"/>
                </w:tcPr>
                <w:p>
                  <w:pPr>
                    <w:bidi w:val="0"/>
                    <w:jc w:val="center"/>
                    <w:rPr>
                      <w:rFonts w:hint="eastAsia"/>
                      <w:u w:val="single"/>
                    </w:rPr>
                  </w:pPr>
                  <w:r>
                    <w:rPr>
                      <w:rFonts w:hint="eastAsia"/>
                      <w:u w:val="single"/>
                    </w:rPr>
                    <w:t>序号</w:t>
                  </w:r>
                </w:p>
              </w:tc>
              <w:tc>
                <w:tcPr>
                  <w:tcW w:w="1590" w:type="pct"/>
                  <w:noWrap w:val="0"/>
                  <w:vAlign w:val="center"/>
                </w:tcPr>
                <w:p>
                  <w:pPr>
                    <w:bidi w:val="0"/>
                    <w:jc w:val="center"/>
                    <w:rPr>
                      <w:rFonts w:hint="eastAsia"/>
                      <w:u w:val="single"/>
                    </w:rPr>
                  </w:pPr>
                  <w:r>
                    <w:rPr>
                      <w:rFonts w:hint="eastAsia"/>
                      <w:u w:val="single"/>
                    </w:rPr>
                    <w:t>地块经济技术指标</w:t>
                  </w:r>
                </w:p>
              </w:tc>
              <w:tc>
                <w:tcPr>
                  <w:tcW w:w="796" w:type="pct"/>
                  <w:vMerge w:val="restart"/>
                  <w:noWrap w:val="0"/>
                  <w:vAlign w:val="center"/>
                </w:tcPr>
                <w:p>
                  <w:pPr>
                    <w:bidi w:val="0"/>
                    <w:jc w:val="center"/>
                    <w:rPr>
                      <w:rFonts w:hint="eastAsia"/>
                      <w:u w:val="single"/>
                    </w:rPr>
                  </w:pPr>
                  <w:r>
                    <w:rPr>
                      <w:rFonts w:hint="eastAsia"/>
                      <w:u w:val="single"/>
                    </w:rPr>
                    <w:t>单位</w:t>
                  </w:r>
                </w:p>
              </w:tc>
              <w:tc>
                <w:tcPr>
                  <w:tcW w:w="984" w:type="pct"/>
                  <w:vMerge w:val="restart"/>
                  <w:noWrap w:val="0"/>
                  <w:vAlign w:val="center"/>
                </w:tcPr>
                <w:p>
                  <w:pPr>
                    <w:bidi w:val="0"/>
                    <w:jc w:val="center"/>
                    <w:rPr>
                      <w:rFonts w:hint="eastAsia"/>
                      <w:u w:val="single"/>
                    </w:rPr>
                  </w:pPr>
                  <w:r>
                    <w:rPr>
                      <w:rFonts w:hint="eastAsia"/>
                      <w:u w:val="single"/>
                    </w:rPr>
                    <w:t>数据</w:t>
                  </w:r>
                </w:p>
              </w:tc>
              <w:tc>
                <w:tcPr>
                  <w:tcW w:w="1230" w:type="pct"/>
                  <w:vMerge w:val="restart"/>
                  <w:noWrap w:val="0"/>
                  <w:vAlign w:val="center"/>
                </w:tcPr>
                <w:p>
                  <w:pPr>
                    <w:bidi w:val="0"/>
                    <w:jc w:val="center"/>
                    <w:rPr>
                      <w:rFonts w:hint="eastAsia"/>
                      <w:u w:val="single"/>
                    </w:rPr>
                  </w:pPr>
                  <w:r>
                    <w:rPr>
                      <w:rFonts w:hint="eastAsia"/>
                      <w:u w:val="single"/>
                    </w:rPr>
                    <w:t>备注</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398" w:type="pct"/>
                  <w:vMerge w:val="continue"/>
                  <w:noWrap w:val="0"/>
                  <w:vAlign w:val="center"/>
                </w:tcPr>
                <w:p>
                  <w:pPr>
                    <w:bidi w:val="0"/>
                    <w:jc w:val="center"/>
                    <w:rPr>
                      <w:rFonts w:hint="eastAsia"/>
                      <w:u w:val="single"/>
                    </w:rPr>
                  </w:pPr>
                </w:p>
              </w:tc>
              <w:tc>
                <w:tcPr>
                  <w:tcW w:w="1590" w:type="pct"/>
                  <w:noWrap w:val="0"/>
                  <w:vAlign w:val="center"/>
                </w:tcPr>
                <w:p>
                  <w:pPr>
                    <w:bidi w:val="0"/>
                    <w:jc w:val="center"/>
                    <w:rPr>
                      <w:rFonts w:hint="eastAsia"/>
                      <w:u w:val="single"/>
                    </w:rPr>
                  </w:pPr>
                  <w:r>
                    <w:rPr>
                      <w:rFonts w:hint="eastAsia"/>
                      <w:u w:val="single"/>
                    </w:rPr>
                    <w:t>名称</w:t>
                  </w:r>
                </w:p>
              </w:tc>
              <w:tc>
                <w:tcPr>
                  <w:tcW w:w="796" w:type="pct"/>
                  <w:vMerge w:val="continue"/>
                  <w:noWrap w:val="0"/>
                  <w:vAlign w:val="center"/>
                </w:tcPr>
                <w:p>
                  <w:pPr>
                    <w:bidi w:val="0"/>
                    <w:jc w:val="center"/>
                    <w:rPr>
                      <w:rFonts w:hint="eastAsia"/>
                      <w:u w:val="single"/>
                    </w:rPr>
                  </w:pPr>
                </w:p>
              </w:tc>
              <w:tc>
                <w:tcPr>
                  <w:tcW w:w="984" w:type="pct"/>
                  <w:vMerge w:val="continue"/>
                  <w:noWrap w:val="0"/>
                  <w:vAlign w:val="center"/>
                </w:tcPr>
                <w:p>
                  <w:pPr>
                    <w:bidi w:val="0"/>
                    <w:jc w:val="center"/>
                    <w:rPr>
                      <w:rFonts w:hint="eastAsia"/>
                      <w:u w:val="single"/>
                    </w:rPr>
                  </w:pPr>
                </w:p>
              </w:tc>
              <w:tc>
                <w:tcPr>
                  <w:tcW w:w="1230" w:type="pct"/>
                  <w:vMerge w:val="continue"/>
                  <w:noWrap w:val="0"/>
                  <w:vAlign w:val="center"/>
                </w:tcPr>
                <w:p>
                  <w:pPr>
                    <w:bidi w:val="0"/>
                    <w:jc w:val="center"/>
                    <w:rPr>
                      <w:rFonts w:hint="eastAsia"/>
                      <w:u w:val="single"/>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398" w:type="pct"/>
                  <w:noWrap w:val="0"/>
                  <w:vAlign w:val="center"/>
                </w:tcPr>
                <w:p>
                  <w:pPr>
                    <w:bidi w:val="0"/>
                    <w:jc w:val="center"/>
                    <w:rPr>
                      <w:rFonts w:hint="eastAsia"/>
                      <w:u w:val="single"/>
                    </w:rPr>
                  </w:pPr>
                  <w:r>
                    <w:rPr>
                      <w:rFonts w:hint="eastAsia"/>
                      <w:u w:val="single"/>
                    </w:rPr>
                    <w:t>1</w:t>
                  </w:r>
                </w:p>
              </w:tc>
              <w:tc>
                <w:tcPr>
                  <w:tcW w:w="1590" w:type="pct"/>
                  <w:noWrap w:val="0"/>
                  <w:vAlign w:val="center"/>
                </w:tcPr>
                <w:p>
                  <w:pPr>
                    <w:bidi w:val="0"/>
                    <w:jc w:val="center"/>
                    <w:rPr>
                      <w:rFonts w:hint="eastAsia"/>
                      <w:u w:val="single"/>
                    </w:rPr>
                  </w:pPr>
                  <w:r>
                    <w:rPr>
                      <w:rFonts w:hint="eastAsia"/>
                      <w:u w:val="single"/>
                    </w:rPr>
                    <w:t>总用地面积</w:t>
                  </w:r>
                </w:p>
              </w:tc>
              <w:tc>
                <w:tcPr>
                  <w:tcW w:w="796" w:type="pct"/>
                  <w:noWrap w:val="0"/>
                  <w:vAlign w:val="center"/>
                </w:tcPr>
                <w:p>
                  <w:pPr>
                    <w:bidi w:val="0"/>
                    <w:jc w:val="center"/>
                    <w:rPr>
                      <w:rFonts w:hint="eastAsia"/>
                      <w:u w:val="single"/>
                    </w:rPr>
                  </w:pPr>
                  <w:r>
                    <w:rPr>
                      <w:rFonts w:hint="eastAsia"/>
                      <w:u w:val="single"/>
                    </w:rPr>
                    <w:t>m</w:t>
                  </w:r>
                  <w:r>
                    <w:rPr>
                      <w:rFonts w:hint="eastAsia"/>
                      <w:u w:val="single"/>
                      <w:vertAlign w:val="superscript"/>
                    </w:rPr>
                    <w:t>2</w:t>
                  </w:r>
                </w:p>
              </w:tc>
              <w:tc>
                <w:tcPr>
                  <w:tcW w:w="984" w:type="pct"/>
                  <w:noWrap w:val="0"/>
                  <w:vAlign w:val="center"/>
                </w:tcPr>
                <w:p>
                  <w:pPr>
                    <w:bidi w:val="0"/>
                    <w:jc w:val="center"/>
                    <w:rPr>
                      <w:rFonts w:hint="default"/>
                      <w:u w:val="single"/>
                      <w:lang w:val="en-US" w:eastAsia="zh-CN"/>
                    </w:rPr>
                  </w:pPr>
                  <w:r>
                    <w:rPr>
                      <w:rFonts w:hint="eastAsia"/>
                      <w:u w:val="single"/>
                      <w:lang w:val="en-US" w:eastAsia="zh-CN"/>
                    </w:rPr>
                    <w:t>6998.54</w:t>
                  </w:r>
                </w:p>
              </w:tc>
              <w:tc>
                <w:tcPr>
                  <w:tcW w:w="1230" w:type="pct"/>
                  <w:noWrap w:val="0"/>
                  <w:vAlign w:val="center"/>
                </w:tcPr>
                <w:p>
                  <w:pPr>
                    <w:bidi w:val="0"/>
                    <w:jc w:val="center"/>
                    <w:rPr>
                      <w:rFonts w:hint="eastAsia"/>
                      <w:u w:val="single"/>
                      <w:lang w:val="en-US" w:eastAsia="zh-CN"/>
                    </w:rPr>
                  </w:pPr>
                  <w:r>
                    <w:rPr>
                      <w:rFonts w:hint="eastAsia"/>
                      <w:u w:val="singl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398" w:type="pct"/>
                  <w:noWrap w:val="0"/>
                  <w:vAlign w:val="center"/>
                </w:tcPr>
                <w:p>
                  <w:pPr>
                    <w:bidi w:val="0"/>
                    <w:jc w:val="center"/>
                    <w:rPr>
                      <w:rFonts w:hint="eastAsia"/>
                      <w:u w:val="single"/>
                    </w:rPr>
                  </w:pPr>
                  <w:r>
                    <w:rPr>
                      <w:rFonts w:hint="eastAsia"/>
                      <w:u w:val="single"/>
                    </w:rPr>
                    <w:t>2</w:t>
                  </w:r>
                </w:p>
              </w:tc>
              <w:tc>
                <w:tcPr>
                  <w:tcW w:w="1590" w:type="pct"/>
                  <w:noWrap w:val="0"/>
                  <w:vAlign w:val="center"/>
                </w:tcPr>
                <w:p>
                  <w:pPr>
                    <w:bidi w:val="0"/>
                    <w:jc w:val="center"/>
                    <w:rPr>
                      <w:rFonts w:hint="eastAsia"/>
                      <w:u w:val="single"/>
                    </w:rPr>
                  </w:pPr>
                  <w:r>
                    <w:rPr>
                      <w:rFonts w:hint="eastAsia"/>
                      <w:u w:val="single"/>
                    </w:rPr>
                    <w:t>规划净用地面积</w:t>
                  </w:r>
                </w:p>
              </w:tc>
              <w:tc>
                <w:tcPr>
                  <w:tcW w:w="796" w:type="pct"/>
                  <w:noWrap w:val="0"/>
                  <w:vAlign w:val="center"/>
                </w:tcPr>
                <w:p>
                  <w:pPr>
                    <w:bidi w:val="0"/>
                    <w:jc w:val="center"/>
                    <w:rPr>
                      <w:rFonts w:hint="eastAsia"/>
                      <w:u w:val="single"/>
                    </w:rPr>
                  </w:pPr>
                  <w:r>
                    <w:rPr>
                      <w:rFonts w:hint="eastAsia"/>
                      <w:u w:val="single"/>
                    </w:rPr>
                    <w:t>m</w:t>
                  </w:r>
                  <w:r>
                    <w:rPr>
                      <w:rFonts w:hint="eastAsia"/>
                      <w:u w:val="single"/>
                      <w:vertAlign w:val="superscript"/>
                    </w:rPr>
                    <w:t>2</w:t>
                  </w:r>
                </w:p>
              </w:tc>
              <w:tc>
                <w:tcPr>
                  <w:tcW w:w="984" w:type="pct"/>
                  <w:noWrap w:val="0"/>
                  <w:vAlign w:val="center"/>
                </w:tcPr>
                <w:p>
                  <w:pPr>
                    <w:bidi w:val="0"/>
                    <w:jc w:val="center"/>
                    <w:rPr>
                      <w:rFonts w:hint="eastAsia"/>
                      <w:u w:val="single"/>
                      <w:lang w:val="en-US" w:eastAsia="zh-CN"/>
                    </w:rPr>
                  </w:pPr>
                  <w:r>
                    <w:rPr>
                      <w:rFonts w:hint="eastAsia"/>
                      <w:u w:val="single"/>
                      <w:lang w:val="en-US" w:eastAsia="zh-CN"/>
                    </w:rPr>
                    <w:t>6998.54</w:t>
                  </w:r>
                </w:p>
              </w:tc>
              <w:tc>
                <w:tcPr>
                  <w:tcW w:w="1230" w:type="pct"/>
                  <w:noWrap w:val="0"/>
                  <w:vAlign w:val="center"/>
                </w:tcPr>
                <w:p>
                  <w:pPr>
                    <w:bidi w:val="0"/>
                    <w:jc w:val="center"/>
                    <w:rPr>
                      <w:rFonts w:hint="eastAsia"/>
                      <w:u w:val="single"/>
                      <w:lang w:val="en-US" w:eastAsia="zh-CN"/>
                    </w:rPr>
                  </w:pPr>
                  <w:r>
                    <w:rPr>
                      <w:rFonts w:hint="eastAsia"/>
                      <w:u w:val="singl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398" w:type="pct"/>
                  <w:noWrap w:val="0"/>
                  <w:vAlign w:val="center"/>
                </w:tcPr>
                <w:p>
                  <w:pPr>
                    <w:bidi w:val="0"/>
                    <w:jc w:val="center"/>
                    <w:rPr>
                      <w:rFonts w:hint="eastAsia"/>
                      <w:u w:val="single"/>
                    </w:rPr>
                  </w:pPr>
                  <w:r>
                    <w:rPr>
                      <w:rFonts w:hint="eastAsia"/>
                      <w:u w:val="single"/>
                    </w:rPr>
                    <w:t>3</w:t>
                  </w:r>
                </w:p>
              </w:tc>
              <w:tc>
                <w:tcPr>
                  <w:tcW w:w="1590" w:type="pct"/>
                  <w:noWrap w:val="0"/>
                  <w:vAlign w:val="center"/>
                </w:tcPr>
                <w:p>
                  <w:pPr>
                    <w:bidi w:val="0"/>
                    <w:jc w:val="center"/>
                    <w:rPr>
                      <w:rFonts w:hint="eastAsia"/>
                      <w:u w:val="single"/>
                    </w:rPr>
                  </w:pPr>
                  <w:r>
                    <w:rPr>
                      <w:rFonts w:hint="eastAsia"/>
                      <w:u w:val="single"/>
                    </w:rPr>
                    <w:t>总建筑面积</w:t>
                  </w:r>
                </w:p>
              </w:tc>
              <w:tc>
                <w:tcPr>
                  <w:tcW w:w="796" w:type="pct"/>
                  <w:noWrap w:val="0"/>
                  <w:vAlign w:val="center"/>
                </w:tcPr>
                <w:p>
                  <w:pPr>
                    <w:bidi w:val="0"/>
                    <w:jc w:val="center"/>
                    <w:rPr>
                      <w:rFonts w:hint="eastAsia"/>
                      <w:u w:val="single"/>
                    </w:rPr>
                  </w:pPr>
                  <w:r>
                    <w:rPr>
                      <w:rFonts w:hint="eastAsia"/>
                      <w:u w:val="single"/>
                    </w:rPr>
                    <w:t>m</w:t>
                  </w:r>
                  <w:r>
                    <w:rPr>
                      <w:rFonts w:hint="eastAsia"/>
                      <w:u w:val="single"/>
                      <w:vertAlign w:val="superscript"/>
                    </w:rPr>
                    <w:t>2</w:t>
                  </w:r>
                </w:p>
              </w:tc>
              <w:tc>
                <w:tcPr>
                  <w:tcW w:w="984" w:type="pct"/>
                  <w:noWrap w:val="0"/>
                  <w:vAlign w:val="center"/>
                </w:tcPr>
                <w:p>
                  <w:pPr>
                    <w:bidi w:val="0"/>
                    <w:jc w:val="center"/>
                    <w:rPr>
                      <w:rFonts w:hint="eastAsia"/>
                      <w:u w:val="single"/>
                      <w:lang w:val="en-US" w:eastAsia="zh-CN"/>
                    </w:rPr>
                  </w:pPr>
                  <w:r>
                    <w:rPr>
                      <w:rFonts w:hint="eastAsia"/>
                      <w:u w:val="single"/>
                      <w:lang w:val="en-US" w:eastAsia="zh-CN"/>
                    </w:rPr>
                    <w:t>6907.95</w:t>
                  </w:r>
                </w:p>
              </w:tc>
              <w:tc>
                <w:tcPr>
                  <w:tcW w:w="1230" w:type="pct"/>
                  <w:noWrap w:val="0"/>
                  <w:vAlign w:val="center"/>
                </w:tcPr>
                <w:p>
                  <w:pPr>
                    <w:bidi w:val="0"/>
                    <w:jc w:val="center"/>
                    <w:rPr>
                      <w:rFonts w:hint="eastAsia"/>
                      <w:u w:val="single"/>
                      <w:lang w:val="en-US" w:eastAsia="zh-CN"/>
                    </w:rPr>
                  </w:pPr>
                  <w:r>
                    <w:rPr>
                      <w:rFonts w:hint="eastAsia"/>
                      <w:u w:val="singl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398" w:type="pct"/>
                  <w:noWrap w:val="0"/>
                  <w:vAlign w:val="center"/>
                </w:tcPr>
                <w:p>
                  <w:pPr>
                    <w:bidi w:val="0"/>
                    <w:jc w:val="center"/>
                    <w:rPr>
                      <w:rFonts w:hint="eastAsia"/>
                      <w:u w:val="single"/>
                    </w:rPr>
                  </w:pPr>
                  <w:r>
                    <w:rPr>
                      <w:rFonts w:hint="eastAsia"/>
                      <w:u w:val="single"/>
                    </w:rPr>
                    <w:t>4</w:t>
                  </w:r>
                </w:p>
              </w:tc>
              <w:tc>
                <w:tcPr>
                  <w:tcW w:w="1590" w:type="pct"/>
                  <w:noWrap w:val="0"/>
                  <w:vAlign w:val="center"/>
                </w:tcPr>
                <w:p>
                  <w:pPr>
                    <w:bidi w:val="0"/>
                    <w:jc w:val="center"/>
                    <w:rPr>
                      <w:rFonts w:hint="eastAsia"/>
                      <w:u w:val="single"/>
                    </w:rPr>
                  </w:pPr>
                  <w:r>
                    <w:rPr>
                      <w:rFonts w:hint="eastAsia"/>
                      <w:u w:val="single"/>
                    </w:rPr>
                    <w:t>地上建筑面积</w:t>
                  </w:r>
                </w:p>
              </w:tc>
              <w:tc>
                <w:tcPr>
                  <w:tcW w:w="796" w:type="pct"/>
                  <w:noWrap w:val="0"/>
                  <w:vAlign w:val="center"/>
                </w:tcPr>
                <w:p>
                  <w:pPr>
                    <w:bidi w:val="0"/>
                    <w:jc w:val="center"/>
                    <w:rPr>
                      <w:rFonts w:hint="eastAsia"/>
                      <w:u w:val="single"/>
                    </w:rPr>
                  </w:pPr>
                  <w:r>
                    <w:rPr>
                      <w:rFonts w:hint="eastAsia"/>
                      <w:u w:val="single"/>
                    </w:rPr>
                    <w:t>m</w:t>
                  </w:r>
                  <w:r>
                    <w:rPr>
                      <w:rFonts w:hint="eastAsia"/>
                      <w:u w:val="single"/>
                      <w:vertAlign w:val="superscript"/>
                    </w:rPr>
                    <w:t>2</w:t>
                  </w:r>
                </w:p>
              </w:tc>
              <w:tc>
                <w:tcPr>
                  <w:tcW w:w="984" w:type="pct"/>
                  <w:noWrap w:val="0"/>
                  <w:vAlign w:val="center"/>
                </w:tcPr>
                <w:p>
                  <w:pPr>
                    <w:bidi w:val="0"/>
                    <w:jc w:val="center"/>
                    <w:rPr>
                      <w:rFonts w:hint="eastAsia"/>
                      <w:u w:val="single"/>
                      <w:lang w:val="en-US" w:eastAsia="zh-CN"/>
                    </w:rPr>
                  </w:pPr>
                  <w:r>
                    <w:rPr>
                      <w:rFonts w:hint="eastAsia"/>
                      <w:u w:val="single"/>
                      <w:lang w:val="en-US" w:eastAsia="zh-CN"/>
                    </w:rPr>
                    <w:t>6907.95</w:t>
                  </w:r>
                </w:p>
              </w:tc>
              <w:tc>
                <w:tcPr>
                  <w:tcW w:w="1230" w:type="pct"/>
                  <w:noWrap w:val="0"/>
                  <w:vAlign w:val="center"/>
                </w:tcPr>
                <w:p>
                  <w:pPr>
                    <w:bidi w:val="0"/>
                    <w:jc w:val="center"/>
                    <w:rPr>
                      <w:rFonts w:hint="eastAsia"/>
                      <w:u w:val="single"/>
                    </w:rPr>
                  </w:pPr>
                  <w:r>
                    <w:rPr>
                      <w:rFonts w:hint="eastAsia"/>
                      <w:u w:val="single"/>
                    </w:rPr>
                    <w:t>计容建筑面积</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398" w:type="pct"/>
                  <w:vMerge w:val="restart"/>
                  <w:noWrap w:val="0"/>
                  <w:vAlign w:val="center"/>
                </w:tcPr>
                <w:p>
                  <w:pPr>
                    <w:bidi w:val="0"/>
                    <w:jc w:val="center"/>
                    <w:rPr>
                      <w:rFonts w:hint="eastAsia"/>
                      <w:u w:val="single"/>
                    </w:rPr>
                  </w:pPr>
                  <w:r>
                    <w:rPr>
                      <w:rFonts w:hint="eastAsia"/>
                      <w:u w:val="single"/>
                    </w:rPr>
                    <w:t>其中</w:t>
                  </w:r>
                </w:p>
              </w:tc>
              <w:tc>
                <w:tcPr>
                  <w:tcW w:w="1590" w:type="pct"/>
                  <w:noWrap w:val="0"/>
                  <w:vAlign w:val="center"/>
                </w:tcPr>
                <w:p>
                  <w:pPr>
                    <w:bidi w:val="0"/>
                    <w:jc w:val="center"/>
                    <w:rPr>
                      <w:rFonts w:hint="eastAsia"/>
                      <w:u w:val="single"/>
                      <w:lang w:val="en-US" w:eastAsia="zh-CN"/>
                    </w:rPr>
                  </w:pPr>
                  <w:r>
                    <w:rPr>
                      <w:rFonts w:hint="eastAsia"/>
                      <w:u w:val="single"/>
                      <w:lang w:val="en-US" w:eastAsia="zh-CN"/>
                    </w:rPr>
                    <w:t>月子中心、办公</w:t>
                  </w:r>
                </w:p>
              </w:tc>
              <w:tc>
                <w:tcPr>
                  <w:tcW w:w="796" w:type="pct"/>
                  <w:noWrap w:val="0"/>
                  <w:vAlign w:val="center"/>
                </w:tcPr>
                <w:p>
                  <w:pPr>
                    <w:bidi w:val="0"/>
                    <w:jc w:val="center"/>
                    <w:rPr>
                      <w:rFonts w:hint="eastAsia"/>
                      <w:u w:val="single"/>
                    </w:rPr>
                  </w:pPr>
                  <w:r>
                    <w:rPr>
                      <w:rFonts w:hint="eastAsia"/>
                      <w:u w:val="single"/>
                    </w:rPr>
                    <w:t>m</w:t>
                  </w:r>
                  <w:r>
                    <w:rPr>
                      <w:rFonts w:hint="eastAsia"/>
                      <w:u w:val="single"/>
                      <w:vertAlign w:val="superscript"/>
                    </w:rPr>
                    <w:t>2</w:t>
                  </w:r>
                </w:p>
              </w:tc>
              <w:tc>
                <w:tcPr>
                  <w:tcW w:w="984" w:type="pct"/>
                  <w:noWrap w:val="0"/>
                  <w:vAlign w:val="center"/>
                </w:tcPr>
                <w:p>
                  <w:pPr>
                    <w:bidi w:val="0"/>
                    <w:jc w:val="center"/>
                    <w:rPr>
                      <w:rFonts w:hint="eastAsia"/>
                      <w:u w:val="single"/>
                      <w:lang w:val="en-US" w:eastAsia="zh-CN"/>
                    </w:rPr>
                  </w:pPr>
                  <w:r>
                    <w:rPr>
                      <w:rFonts w:hint="eastAsia"/>
                      <w:u w:val="single"/>
                      <w:lang w:val="en-US" w:eastAsia="zh-CN"/>
                    </w:rPr>
                    <w:t>5132.03</w:t>
                  </w:r>
                </w:p>
              </w:tc>
              <w:tc>
                <w:tcPr>
                  <w:tcW w:w="1230" w:type="pct"/>
                  <w:noWrap w:val="0"/>
                  <w:vAlign w:val="center"/>
                </w:tcPr>
                <w:p>
                  <w:pPr>
                    <w:bidi w:val="0"/>
                    <w:jc w:val="center"/>
                    <w:rPr>
                      <w:rFonts w:hint="eastAsia"/>
                      <w:u w:val="single"/>
                      <w:lang w:val="en-US" w:eastAsia="zh-CN"/>
                    </w:rPr>
                  </w:pPr>
                  <w:r>
                    <w:rPr>
                      <w:rFonts w:hint="eastAsia"/>
                      <w:u w:val="singl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398" w:type="pct"/>
                  <w:vMerge w:val="continue"/>
                  <w:noWrap w:val="0"/>
                  <w:vAlign w:val="center"/>
                </w:tcPr>
                <w:p>
                  <w:pPr>
                    <w:bidi w:val="0"/>
                    <w:jc w:val="center"/>
                    <w:rPr>
                      <w:rFonts w:hint="eastAsia"/>
                      <w:u w:val="single"/>
                    </w:rPr>
                  </w:pPr>
                </w:p>
              </w:tc>
              <w:tc>
                <w:tcPr>
                  <w:tcW w:w="1590" w:type="pct"/>
                  <w:noWrap w:val="0"/>
                  <w:vAlign w:val="center"/>
                </w:tcPr>
                <w:p>
                  <w:pPr>
                    <w:bidi w:val="0"/>
                    <w:jc w:val="center"/>
                    <w:rPr>
                      <w:rFonts w:hint="eastAsia"/>
                      <w:u w:val="single"/>
                      <w:lang w:val="en-US" w:eastAsia="zh-CN"/>
                    </w:rPr>
                  </w:pPr>
                  <w:r>
                    <w:rPr>
                      <w:rFonts w:hint="eastAsia"/>
                      <w:u w:val="single"/>
                      <w:lang w:val="en-US" w:eastAsia="zh-CN"/>
                    </w:rPr>
                    <w:t>食堂、大会议室</w:t>
                  </w:r>
                </w:p>
              </w:tc>
              <w:tc>
                <w:tcPr>
                  <w:tcW w:w="796" w:type="pct"/>
                  <w:noWrap w:val="0"/>
                  <w:vAlign w:val="center"/>
                </w:tcPr>
                <w:p>
                  <w:pPr>
                    <w:bidi w:val="0"/>
                    <w:jc w:val="center"/>
                    <w:rPr>
                      <w:rFonts w:hint="eastAsia"/>
                      <w:u w:val="single"/>
                    </w:rPr>
                  </w:pPr>
                  <w:r>
                    <w:rPr>
                      <w:rFonts w:hint="eastAsia"/>
                      <w:u w:val="single"/>
                    </w:rPr>
                    <w:t>m</w:t>
                  </w:r>
                  <w:r>
                    <w:rPr>
                      <w:rFonts w:hint="eastAsia"/>
                      <w:u w:val="single"/>
                      <w:vertAlign w:val="superscript"/>
                    </w:rPr>
                    <w:t>2</w:t>
                  </w:r>
                </w:p>
              </w:tc>
              <w:tc>
                <w:tcPr>
                  <w:tcW w:w="984" w:type="pct"/>
                  <w:noWrap w:val="0"/>
                  <w:vAlign w:val="center"/>
                </w:tcPr>
                <w:p>
                  <w:pPr>
                    <w:bidi w:val="0"/>
                    <w:jc w:val="center"/>
                    <w:rPr>
                      <w:rFonts w:hint="eastAsia"/>
                      <w:u w:val="single"/>
                      <w:lang w:val="en-US" w:eastAsia="zh-CN"/>
                    </w:rPr>
                  </w:pPr>
                  <w:r>
                    <w:rPr>
                      <w:rFonts w:hint="eastAsia"/>
                      <w:u w:val="single"/>
                      <w:lang w:val="en-US" w:eastAsia="zh-CN"/>
                    </w:rPr>
                    <w:t>1447.92</w:t>
                  </w:r>
                </w:p>
              </w:tc>
              <w:tc>
                <w:tcPr>
                  <w:tcW w:w="1230" w:type="pct"/>
                  <w:noWrap w:val="0"/>
                  <w:vAlign w:val="center"/>
                </w:tcPr>
                <w:p>
                  <w:pPr>
                    <w:bidi w:val="0"/>
                    <w:jc w:val="center"/>
                    <w:rPr>
                      <w:rFonts w:hint="eastAsia"/>
                      <w:u w:val="single"/>
                      <w:lang w:val="en-US" w:eastAsia="zh-CN"/>
                    </w:rPr>
                  </w:pPr>
                  <w:r>
                    <w:rPr>
                      <w:rFonts w:hint="eastAsia"/>
                      <w:u w:val="singl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398" w:type="pct"/>
                  <w:vMerge w:val="continue"/>
                  <w:noWrap w:val="0"/>
                  <w:vAlign w:val="center"/>
                </w:tcPr>
                <w:p>
                  <w:pPr>
                    <w:bidi w:val="0"/>
                    <w:jc w:val="center"/>
                    <w:rPr>
                      <w:rFonts w:hint="eastAsia"/>
                      <w:u w:val="single"/>
                    </w:rPr>
                  </w:pPr>
                </w:p>
              </w:tc>
              <w:tc>
                <w:tcPr>
                  <w:tcW w:w="1590" w:type="pct"/>
                  <w:noWrap w:val="0"/>
                  <w:vAlign w:val="center"/>
                </w:tcPr>
                <w:p>
                  <w:pPr>
                    <w:bidi w:val="0"/>
                    <w:jc w:val="center"/>
                    <w:rPr>
                      <w:rFonts w:hint="default"/>
                      <w:u w:val="single"/>
                      <w:lang w:val="en-US" w:eastAsia="zh-CN"/>
                    </w:rPr>
                  </w:pPr>
                  <w:r>
                    <w:rPr>
                      <w:rFonts w:hint="eastAsia"/>
                      <w:u w:val="single"/>
                      <w:lang w:val="en-US" w:eastAsia="zh-CN"/>
                    </w:rPr>
                    <w:t>垃圾站、医疗垃圾暂存间</w:t>
                  </w:r>
                  <w:r>
                    <w:rPr>
                      <w:rFonts w:hint="eastAsia"/>
                      <w:sz w:val="21"/>
                      <w:szCs w:val="21"/>
                      <w:u w:val="single"/>
                      <w:lang w:val="en-US" w:eastAsia="zh-CN"/>
                    </w:rPr>
                    <w:t>、</w:t>
                  </w:r>
                  <w:r>
                    <w:rPr>
                      <w:rFonts w:hint="eastAsia" w:eastAsia="宋体"/>
                      <w:sz w:val="21"/>
                      <w:szCs w:val="21"/>
                      <w:u w:val="single"/>
                      <w:lang w:val="en-US" w:eastAsia="zh-CN"/>
                    </w:rPr>
                    <w:t>一般固废暂存间</w:t>
                  </w:r>
                </w:p>
              </w:tc>
              <w:tc>
                <w:tcPr>
                  <w:tcW w:w="796" w:type="pct"/>
                  <w:noWrap w:val="0"/>
                  <w:vAlign w:val="center"/>
                </w:tcPr>
                <w:p>
                  <w:pPr>
                    <w:bidi w:val="0"/>
                    <w:jc w:val="center"/>
                    <w:rPr>
                      <w:rFonts w:hint="eastAsia"/>
                      <w:u w:val="single"/>
                    </w:rPr>
                  </w:pPr>
                  <w:r>
                    <w:rPr>
                      <w:rFonts w:hint="eastAsia"/>
                      <w:u w:val="single"/>
                    </w:rPr>
                    <w:t>m</w:t>
                  </w:r>
                  <w:r>
                    <w:rPr>
                      <w:rFonts w:hint="eastAsia"/>
                      <w:u w:val="single"/>
                      <w:vertAlign w:val="superscript"/>
                    </w:rPr>
                    <w:t>2</w:t>
                  </w:r>
                </w:p>
              </w:tc>
              <w:tc>
                <w:tcPr>
                  <w:tcW w:w="984" w:type="pct"/>
                  <w:noWrap w:val="0"/>
                  <w:vAlign w:val="center"/>
                </w:tcPr>
                <w:p>
                  <w:pPr>
                    <w:bidi w:val="0"/>
                    <w:jc w:val="center"/>
                    <w:rPr>
                      <w:rFonts w:hint="default"/>
                      <w:u w:val="single"/>
                      <w:lang w:val="en-US" w:eastAsia="zh-CN"/>
                    </w:rPr>
                  </w:pPr>
                  <w:r>
                    <w:rPr>
                      <w:rFonts w:hint="eastAsia"/>
                      <w:u w:val="single"/>
                      <w:lang w:val="en-US" w:eastAsia="zh-CN"/>
                    </w:rPr>
                    <w:t>146.00</w:t>
                  </w:r>
                </w:p>
              </w:tc>
              <w:tc>
                <w:tcPr>
                  <w:tcW w:w="1230" w:type="pct"/>
                  <w:noWrap w:val="0"/>
                  <w:vAlign w:val="center"/>
                </w:tcPr>
                <w:p>
                  <w:pPr>
                    <w:bidi w:val="0"/>
                    <w:jc w:val="center"/>
                    <w:rPr>
                      <w:rFonts w:hint="eastAsia"/>
                      <w:u w:val="single"/>
                      <w:lang w:val="en-US" w:eastAsia="zh-CN"/>
                    </w:rPr>
                  </w:pPr>
                  <w:r>
                    <w:rPr>
                      <w:rFonts w:hint="eastAsia"/>
                      <w:u w:val="singl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398" w:type="pct"/>
                  <w:vMerge w:val="continue"/>
                  <w:noWrap w:val="0"/>
                  <w:vAlign w:val="center"/>
                </w:tcPr>
                <w:p>
                  <w:pPr>
                    <w:bidi w:val="0"/>
                    <w:jc w:val="center"/>
                    <w:rPr>
                      <w:rFonts w:hint="eastAsia"/>
                      <w:u w:val="single"/>
                    </w:rPr>
                  </w:pPr>
                </w:p>
              </w:tc>
              <w:tc>
                <w:tcPr>
                  <w:tcW w:w="1590" w:type="pct"/>
                  <w:noWrap w:val="0"/>
                  <w:vAlign w:val="center"/>
                </w:tcPr>
                <w:p>
                  <w:pPr>
                    <w:bidi w:val="0"/>
                    <w:jc w:val="center"/>
                    <w:rPr>
                      <w:rFonts w:hint="eastAsia"/>
                      <w:u w:val="single"/>
                      <w:lang w:val="en-US" w:eastAsia="zh-CN"/>
                    </w:rPr>
                  </w:pPr>
                  <w:r>
                    <w:rPr>
                      <w:rFonts w:hint="eastAsia"/>
                      <w:u w:val="single"/>
                      <w:lang w:val="en-US" w:eastAsia="zh-CN"/>
                    </w:rPr>
                    <w:t>锅炉房</w:t>
                  </w:r>
                </w:p>
              </w:tc>
              <w:tc>
                <w:tcPr>
                  <w:tcW w:w="796" w:type="pct"/>
                  <w:noWrap w:val="0"/>
                  <w:vAlign w:val="center"/>
                </w:tcPr>
                <w:p>
                  <w:pPr>
                    <w:bidi w:val="0"/>
                    <w:jc w:val="center"/>
                    <w:rPr>
                      <w:rFonts w:hint="eastAsia"/>
                      <w:u w:val="single"/>
                    </w:rPr>
                  </w:pPr>
                  <w:r>
                    <w:rPr>
                      <w:rFonts w:hint="eastAsia"/>
                      <w:u w:val="single"/>
                    </w:rPr>
                    <w:t>m</w:t>
                  </w:r>
                  <w:r>
                    <w:rPr>
                      <w:rFonts w:hint="eastAsia"/>
                      <w:u w:val="single"/>
                      <w:vertAlign w:val="superscript"/>
                    </w:rPr>
                    <w:t>2</w:t>
                  </w:r>
                </w:p>
              </w:tc>
              <w:tc>
                <w:tcPr>
                  <w:tcW w:w="984" w:type="pct"/>
                  <w:noWrap w:val="0"/>
                  <w:vAlign w:val="center"/>
                </w:tcPr>
                <w:p>
                  <w:pPr>
                    <w:bidi w:val="0"/>
                    <w:jc w:val="center"/>
                    <w:rPr>
                      <w:rFonts w:hint="eastAsia"/>
                      <w:u w:val="single"/>
                      <w:lang w:val="en-US" w:eastAsia="zh-CN"/>
                    </w:rPr>
                  </w:pPr>
                  <w:r>
                    <w:rPr>
                      <w:rFonts w:hint="eastAsia"/>
                      <w:u w:val="single"/>
                      <w:lang w:val="en-US" w:eastAsia="zh-CN"/>
                    </w:rPr>
                    <w:t>232.00</w:t>
                  </w:r>
                </w:p>
              </w:tc>
              <w:tc>
                <w:tcPr>
                  <w:tcW w:w="1230" w:type="pct"/>
                  <w:noWrap w:val="0"/>
                  <w:vAlign w:val="center"/>
                </w:tcPr>
                <w:p>
                  <w:pPr>
                    <w:bidi w:val="0"/>
                    <w:jc w:val="center"/>
                    <w:rPr>
                      <w:rFonts w:hint="eastAsia"/>
                      <w:u w:val="single"/>
                      <w:lang w:val="en-US" w:eastAsia="zh-CN"/>
                    </w:rPr>
                  </w:pPr>
                  <w:r>
                    <w:rPr>
                      <w:rFonts w:hint="eastAsia"/>
                      <w:u w:val="singl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398" w:type="pct"/>
                  <w:noWrap w:val="0"/>
                  <w:vAlign w:val="center"/>
                </w:tcPr>
                <w:p>
                  <w:pPr>
                    <w:bidi w:val="0"/>
                    <w:jc w:val="center"/>
                    <w:rPr>
                      <w:rFonts w:hint="eastAsia"/>
                      <w:u w:val="single"/>
                    </w:rPr>
                  </w:pPr>
                  <w:r>
                    <w:rPr>
                      <w:rFonts w:hint="eastAsia"/>
                      <w:u w:val="single"/>
                    </w:rPr>
                    <w:t>5</w:t>
                  </w:r>
                </w:p>
              </w:tc>
              <w:tc>
                <w:tcPr>
                  <w:tcW w:w="1590" w:type="pct"/>
                  <w:noWrap w:val="0"/>
                  <w:vAlign w:val="center"/>
                </w:tcPr>
                <w:p>
                  <w:pPr>
                    <w:bidi w:val="0"/>
                    <w:jc w:val="center"/>
                    <w:rPr>
                      <w:rFonts w:hint="eastAsia"/>
                      <w:u w:val="single"/>
                    </w:rPr>
                  </w:pPr>
                  <w:r>
                    <w:rPr>
                      <w:rFonts w:hint="eastAsia"/>
                      <w:u w:val="single"/>
                    </w:rPr>
                    <w:t>地下建筑面积</w:t>
                  </w:r>
                </w:p>
              </w:tc>
              <w:tc>
                <w:tcPr>
                  <w:tcW w:w="796" w:type="pct"/>
                  <w:noWrap w:val="0"/>
                  <w:vAlign w:val="center"/>
                </w:tcPr>
                <w:p>
                  <w:pPr>
                    <w:bidi w:val="0"/>
                    <w:jc w:val="center"/>
                    <w:rPr>
                      <w:rFonts w:hint="eastAsia"/>
                      <w:u w:val="single"/>
                    </w:rPr>
                  </w:pPr>
                  <w:r>
                    <w:rPr>
                      <w:rFonts w:hint="eastAsia"/>
                      <w:u w:val="single"/>
                    </w:rPr>
                    <w:t>m</w:t>
                  </w:r>
                  <w:r>
                    <w:rPr>
                      <w:rFonts w:hint="eastAsia"/>
                      <w:u w:val="single"/>
                      <w:vertAlign w:val="superscript"/>
                    </w:rPr>
                    <w:t>2</w:t>
                  </w:r>
                </w:p>
              </w:tc>
              <w:tc>
                <w:tcPr>
                  <w:tcW w:w="984" w:type="pct"/>
                  <w:noWrap w:val="0"/>
                  <w:vAlign w:val="center"/>
                </w:tcPr>
                <w:p>
                  <w:pPr>
                    <w:bidi w:val="0"/>
                    <w:jc w:val="center"/>
                    <w:rPr>
                      <w:rFonts w:hint="eastAsia"/>
                      <w:u w:val="single"/>
                      <w:lang w:val="en-US" w:eastAsia="zh-CN"/>
                    </w:rPr>
                  </w:pPr>
                  <w:r>
                    <w:rPr>
                      <w:rFonts w:hint="eastAsia"/>
                      <w:u w:val="single"/>
                      <w:lang w:val="en-US" w:eastAsia="zh-CN"/>
                    </w:rPr>
                    <w:t>0.00</w:t>
                  </w:r>
                </w:p>
              </w:tc>
              <w:tc>
                <w:tcPr>
                  <w:tcW w:w="1230" w:type="pct"/>
                  <w:noWrap w:val="0"/>
                  <w:vAlign w:val="center"/>
                </w:tcPr>
                <w:p>
                  <w:pPr>
                    <w:bidi w:val="0"/>
                    <w:jc w:val="center"/>
                    <w:rPr>
                      <w:rFonts w:hint="eastAsia"/>
                      <w:u w:val="single"/>
                    </w:rPr>
                  </w:pPr>
                  <w:r>
                    <w:rPr>
                      <w:rFonts w:hint="eastAsia"/>
                      <w:u w:val="single"/>
                    </w:rPr>
                    <w:t>不计容建筑面积</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398" w:type="pct"/>
                  <w:noWrap w:val="0"/>
                  <w:vAlign w:val="center"/>
                </w:tcPr>
                <w:p>
                  <w:pPr>
                    <w:bidi w:val="0"/>
                    <w:jc w:val="center"/>
                    <w:rPr>
                      <w:rFonts w:hint="eastAsia"/>
                      <w:u w:val="single"/>
                    </w:rPr>
                  </w:pPr>
                  <w:r>
                    <w:rPr>
                      <w:rFonts w:hint="eastAsia"/>
                      <w:u w:val="single"/>
                    </w:rPr>
                    <w:t>6</w:t>
                  </w:r>
                </w:p>
              </w:tc>
              <w:tc>
                <w:tcPr>
                  <w:tcW w:w="1590" w:type="pct"/>
                  <w:noWrap w:val="0"/>
                  <w:vAlign w:val="center"/>
                </w:tcPr>
                <w:p>
                  <w:pPr>
                    <w:bidi w:val="0"/>
                    <w:jc w:val="center"/>
                    <w:rPr>
                      <w:rFonts w:hint="eastAsia"/>
                      <w:u w:val="single"/>
                    </w:rPr>
                  </w:pPr>
                  <w:r>
                    <w:rPr>
                      <w:rFonts w:hint="eastAsia"/>
                      <w:u w:val="single"/>
                    </w:rPr>
                    <w:t>容积率</w:t>
                  </w:r>
                </w:p>
              </w:tc>
              <w:tc>
                <w:tcPr>
                  <w:tcW w:w="796" w:type="pct"/>
                  <w:noWrap w:val="0"/>
                  <w:vAlign w:val="center"/>
                </w:tcPr>
                <w:p>
                  <w:pPr>
                    <w:bidi w:val="0"/>
                    <w:jc w:val="center"/>
                    <w:rPr>
                      <w:rFonts w:hint="default"/>
                      <w:u w:val="single"/>
                      <w:lang w:val="en-US" w:eastAsia="zh-CN"/>
                    </w:rPr>
                  </w:pPr>
                  <w:r>
                    <w:rPr>
                      <w:rFonts w:hint="eastAsia"/>
                      <w:u w:val="single"/>
                      <w:lang w:val="en-US" w:eastAsia="zh-CN"/>
                    </w:rPr>
                    <w:t>%</w:t>
                  </w:r>
                </w:p>
              </w:tc>
              <w:tc>
                <w:tcPr>
                  <w:tcW w:w="984" w:type="pct"/>
                  <w:noWrap w:val="0"/>
                  <w:vAlign w:val="center"/>
                </w:tcPr>
                <w:p>
                  <w:pPr>
                    <w:bidi w:val="0"/>
                    <w:jc w:val="center"/>
                    <w:rPr>
                      <w:rFonts w:hint="eastAsia"/>
                      <w:u w:val="single"/>
                      <w:lang w:val="en-US" w:eastAsia="zh-CN"/>
                    </w:rPr>
                  </w:pPr>
                  <w:r>
                    <w:rPr>
                      <w:rFonts w:hint="eastAsia"/>
                      <w:u w:val="single"/>
                      <w:lang w:val="en-US" w:eastAsia="zh-CN"/>
                    </w:rPr>
                    <w:t>0.99</w:t>
                  </w:r>
                </w:p>
              </w:tc>
              <w:tc>
                <w:tcPr>
                  <w:tcW w:w="1230" w:type="pct"/>
                  <w:noWrap w:val="0"/>
                  <w:vAlign w:val="center"/>
                </w:tcPr>
                <w:p>
                  <w:pPr>
                    <w:bidi w:val="0"/>
                    <w:jc w:val="center"/>
                    <w:rPr>
                      <w:rFonts w:hint="eastAsia"/>
                      <w:u w:val="single"/>
                      <w:lang w:val="en-US" w:eastAsia="zh-CN"/>
                    </w:rPr>
                  </w:pPr>
                  <w:r>
                    <w:rPr>
                      <w:rFonts w:hint="eastAsia"/>
                      <w:u w:val="singl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398" w:type="pct"/>
                  <w:noWrap w:val="0"/>
                  <w:vAlign w:val="center"/>
                </w:tcPr>
                <w:p>
                  <w:pPr>
                    <w:bidi w:val="0"/>
                    <w:jc w:val="center"/>
                    <w:rPr>
                      <w:rFonts w:hint="eastAsia"/>
                      <w:u w:val="single"/>
                    </w:rPr>
                  </w:pPr>
                  <w:r>
                    <w:rPr>
                      <w:rFonts w:hint="eastAsia"/>
                      <w:u w:val="single"/>
                    </w:rPr>
                    <w:t>7</w:t>
                  </w:r>
                </w:p>
              </w:tc>
              <w:tc>
                <w:tcPr>
                  <w:tcW w:w="1590" w:type="pct"/>
                  <w:noWrap w:val="0"/>
                  <w:vAlign w:val="center"/>
                </w:tcPr>
                <w:p>
                  <w:pPr>
                    <w:bidi w:val="0"/>
                    <w:jc w:val="center"/>
                    <w:rPr>
                      <w:rFonts w:hint="eastAsia"/>
                      <w:u w:val="single"/>
                    </w:rPr>
                  </w:pPr>
                  <w:r>
                    <w:rPr>
                      <w:rFonts w:hint="eastAsia"/>
                      <w:u w:val="single"/>
                    </w:rPr>
                    <w:t>建筑占地面积</w:t>
                  </w:r>
                </w:p>
              </w:tc>
              <w:tc>
                <w:tcPr>
                  <w:tcW w:w="796" w:type="pct"/>
                  <w:noWrap w:val="0"/>
                  <w:vAlign w:val="center"/>
                </w:tcPr>
                <w:p>
                  <w:pPr>
                    <w:bidi w:val="0"/>
                    <w:jc w:val="center"/>
                    <w:rPr>
                      <w:rFonts w:hint="eastAsia"/>
                      <w:u w:val="single"/>
                    </w:rPr>
                  </w:pPr>
                  <w:r>
                    <w:rPr>
                      <w:rFonts w:hint="eastAsia"/>
                      <w:u w:val="single"/>
                    </w:rPr>
                    <w:t>m</w:t>
                  </w:r>
                  <w:r>
                    <w:rPr>
                      <w:rFonts w:hint="eastAsia"/>
                      <w:u w:val="single"/>
                      <w:vertAlign w:val="superscript"/>
                    </w:rPr>
                    <w:t>2</w:t>
                  </w:r>
                </w:p>
              </w:tc>
              <w:tc>
                <w:tcPr>
                  <w:tcW w:w="984" w:type="pct"/>
                  <w:noWrap w:val="0"/>
                  <w:vAlign w:val="center"/>
                </w:tcPr>
                <w:p>
                  <w:pPr>
                    <w:bidi w:val="0"/>
                    <w:jc w:val="center"/>
                    <w:rPr>
                      <w:rFonts w:hint="eastAsia"/>
                      <w:u w:val="single"/>
                      <w:lang w:val="en-US" w:eastAsia="zh-CN"/>
                    </w:rPr>
                  </w:pPr>
                  <w:r>
                    <w:rPr>
                      <w:rFonts w:hint="eastAsia"/>
                      <w:u w:val="single"/>
                      <w:lang w:val="en-US" w:eastAsia="zh-CN"/>
                    </w:rPr>
                    <w:t>1842.54</w:t>
                  </w:r>
                </w:p>
              </w:tc>
              <w:tc>
                <w:tcPr>
                  <w:tcW w:w="1230" w:type="pct"/>
                  <w:noWrap w:val="0"/>
                  <w:vAlign w:val="center"/>
                </w:tcPr>
                <w:p>
                  <w:pPr>
                    <w:bidi w:val="0"/>
                    <w:jc w:val="center"/>
                    <w:rPr>
                      <w:rFonts w:hint="eastAsia"/>
                      <w:u w:val="single"/>
                      <w:lang w:val="en-US" w:eastAsia="zh-CN"/>
                    </w:rPr>
                  </w:pPr>
                  <w:r>
                    <w:rPr>
                      <w:rFonts w:hint="eastAsia"/>
                      <w:u w:val="singl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98" w:type="pct"/>
                  <w:noWrap w:val="0"/>
                  <w:vAlign w:val="center"/>
                </w:tcPr>
                <w:p>
                  <w:pPr>
                    <w:bidi w:val="0"/>
                    <w:jc w:val="center"/>
                    <w:rPr>
                      <w:rFonts w:hint="eastAsia"/>
                      <w:u w:val="single"/>
                    </w:rPr>
                  </w:pPr>
                  <w:r>
                    <w:rPr>
                      <w:rFonts w:hint="eastAsia"/>
                      <w:u w:val="single"/>
                    </w:rPr>
                    <w:t>8</w:t>
                  </w:r>
                </w:p>
              </w:tc>
              <w:tc>
                <w:tcPr>
                  <w:tcW w:w="1590" w:type="pct"/>
                  <w:noWrap w:val="0"/>
                  <w:vAlign w:val="center"/>
                </w:tcPr>
                <w:p>
                  <w:pPr>
                    <w:bidi w:val="0"/>
                    <w:jc w:val="center"/>
                    <w:rPr>
                      <w:rFonts w:hint="eastAsia"/>
                      <w:u w:val="single"/>
                    </w:rPr>
                  </w:pPr>
                  <w:r>
                    <w:rPr>
                      <w:rFonts w:hint="eastAsia"/>
                      <w:u w:val="single"/>
                    </w:rPr>
                    <w:t>道路广场面积</w:t>
                  </w:r>
                </w:p>
              </w:tc>
              <w:tc>
                <w:tcPr>
                  <w:tcW w:w="796" w:type="pct"/>
                  <w:noWrap w:val="0"/>
                  <w:vAlign w:val="center"/>
                </w:tcPr>
                <w:p>
                  <w:pPr>
                    <w:bidi w:val="0"/>
                    <w:jc w:val="center"/>
                    <w:rPr>
                      <w:rFonts w:hint="eastAsia"/>
                      <w:u w:val="single"/>
                    </w:rPr>
                  </w:pPr>
                  <w:r>
                    <w:rPr>
                      <w:rFonts w:hint="eastAsia"/>
                      <w:u w:val="single"/>
                    </w:rPr>
                    <w:t>m</w:t>
                  </w:r>
                  <w:r>
                    <w:rPr>
                      <w:rFonts w:hint="eastAsia"/>
                      <w:u w:val="single"/>
                      <w:vertAlign w:val="superscript"/>
                    </w:rPr>
                    <w:t>2</w:t>
                  </w:r>
                </w:p>
              </w:tc>
              <w:tc>
                <w:tcPr>
                  <w:tcW w:w="984" w:type="pct"/>
                  <w:noWrap w:val="0"/>
                  <w:vAlign w:val="center"/>
                </w:tcPr>
                <w:p>
                  <w:pPr>
                    <w:bidi w:val="0"/>
                    <w:jc w:val="center"/>
                    <w:rPr>
                      <w:rFonts w:hint="eastAsia"/>
                      <w:u w:val="single"/>
                      <w:lang w:val="en-US" w:eastAsia="zh-CN"/>
                    </w:rPr>
                  </w:pPr>
                  <w:r>
                    <w:rPr>
                      <w:rFonts w:hint="eastAsia"/>
                      <w:u w:val="single"/>
                      <w:lang w:val="en-US" w:eastAsia="zh-CN"/>
                    </w:rPr>
                    <w:t>2744.06</w:t>
                  </w:r>
                </w:p>
              </w:tc>
              <w:tc>
                <w:tcPr>
                  <w:tcW w:w="1230" w:type="pct"/>
                  <w:noWrap w:val="0"/>
                  <w:vAlign w:val="center"/>
                </w:tcPr>
                <w:p>
                  <w:pPr>
                    <w:bidi w:val="0"/>
                    <w:jc w:val="center"/>
                    <w:rPr>
                      <w:rFonts w:hint="eastAsia"/>
                      <w:u w:val="single"/>
                      <w:lang w:val="en-US" w:eastAsia="zh-CN"/>
                    </w:rPr>
                  </w:pPr>
                  <w:r>
                    <w:rPr>
                      <w:rFonts w:hint="eastAsia"/>
                      <w:u w:val="singl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398" w:type="pct"/>
                  <w:noWrap w:val="0"/>
                  <w:vAlign w:val="center"/>
                </w:tcPr>
                <w:p>
                  <w:pPr>
                    <w:bidi w:val="0"/>
                    <w:jc w:val="center"/>
                    <w:rPr>
                      <w:rFonts w:hint="eastAsia"/>
                      <w:u w:val="single"/>
                    </w:rPr>
                  </w:pPr>
                  <w:r>
                    <w:rPr>
                      <w:rFonts w:hint="eastAsia"/>
                      <w:u w:val="single"/>
                    </w:rPr>
                    <w:t>9</w:t>
                  </w:r>
                </w:p>
              </w:tc>
              <w:tc>
                <w:tcPr>
                  <w:tcW w:w="1590" w:type="pct"/>
                  <w:noWrap w:val="0"/>
                  <w:vAlign w:val="center"/>
                </w:tcPr>
                <w:p>
                  <w:pPr>
                    <w:bidi w:val="0"/>
                    <w:jc w:val="center"/>
                    <w:rPr>
                      <w:rFonts w:hint="eastAsia"/>
                      <w:u w:val="single"/>
                    </w:rPr>
                  </w:pPr>
                  <w:r>
                    <w:rPr>
                      <w:rFonts w:hint="eastAsia"/>
                      <w:u w:val="single"/>
                    </w:rPr>
                    <w:t>建筑密度</w:t>
                  </w:r>
                </w:p>
              </w:tc>
              <w:tc>
                <w:tcPr>
                  <w:tcW w:w="796" w:type="pct"/>
                  <w:noWrap w:val="0"/>
                  <w:vAlign w:val="center"/>
                </w:tcPr>
                <w:p>
                  <w:pPr>
                    <w:bidi w:val="0"/>
                    <w:jc w:val="center"/>
                    <w:rPr>
                      <w:rFonts w:hint="eastAsia"/>
                      <w:u w:val="single"/>
                    </w:rPr>
                  </w:pPr>
                  <w:r>
                    <w:rPr>
                      <w:rFonts w:hint="eastAsia"/>
                      <w:u w:val="single"/>
                    </w:rPr>
                    <w:t>%</w:t>
                  </w:r>
                </w:p>
              </w:tc>
              <w:tc>
                <w:tcPr>
                  <w:tcW w:w="984" w:type="pct"/>
                  <w:noWrap w:val="0"/>
                  <w:vAlign w:val="center"/>
                </w:tcPr>
                <w:p>
                  <w:pPr>
                    <w:bidi w:val="0"/>
                    <w:jc w:val="center"/>
                    <w:rPr>
                      <w:rFonts w:hint="eastAsia"/>
                      <w:u w:val="single"/>
                      <w:lang w:val="en-US" w:eastAsia="zh-CN"/>
                    </w:rPr>
                  </w:pPr>
                  <w:r>
                    <w:rPr>
                      <w:rFonts w:hint="eastAsia"/>
                      <w:u w:val="single"/>
                      <w:lang w:val="en-US" w:eastAsia="zh-CN"/>
                    </w:rPr>
                    <w:t>26.33</w:t>
                  </w:r>
                </w:p>
              </w:tc>
              <w:tc>
                <w:tcPr>
                  <w:tcW w:w="1230" w:type="pct"/>
                  <w:noWrap w:val="0"/>
                  <w:vAlign w:val="center"/>
                </w:tcPr>
                <w:p>
                  <w:pPr>
                    <w:bidi w:val="0"/>
                    <w:jc w:val="center"/>
                    <w:rPr>
                      <w:rFonts w:hint="eastAsia"/>
                      <w:u w:val="single"/>
                      <w:lang w:val="en-US" w:eastAsia="zh-CN"/>
                    </w:rPr>
                  </w:pPr>
                  <w:r>
                    <w:rPr>
                      <w:rFonts w:hint="eastAsia"/>
                      <w:u w:val="singl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398" w:type="pct"/>
                  <w:noWrap w:val="0"/>
                  <w:vAlign w:val="center"/>
                </w:tcPr>
                <w:p>
                  <w:pPr>
                    <w:bidi w:val="0"/>
                    <w:jc w:val="center"/>
                    <w:rPr>
                      <w:rFonts w:hint="eastAsia"/>
                      <w:u w:val="single"/>
                    </w:rPr>
                  </w:pPr>
                  <w:r>
                    <w:rPr>
                      <w:rFonts w:hint="eastAsia"/>
                      <w:u w:val="single"/>
                    </w:rPr>
                    <w:t>10</w:t>
                  </w:r>
                </w:p>
              </w:tc>
              <w:tc>
                <w:tcPr>
                  <w:tcW w:w="1590" w:type="pct"/>
                  <w:noWrap w:val="0"/>
                  <w:vAlign w:val="center"/>
                </w:tcPr>
                <w:p>
                  <w:pPr>
                    <w:bidi w:val="0"/>
                    <w:jc w:val="center"/>
                    <w:rPr>
                      <w:rFonts w:hint="eastAsia"/>
                      <w:u w:val="single"/>
                    </w:rPr>
                  </w:pPr>
                  <w:r>
                    <w:rPr>
                      <w:rFonts w:hint="eastAsia"/>
                      <w:u w:val="single"/>
                    </w:rPr>
                    <w:t>绿地面积</w:t>
                  </w:r>
                </w:p>
              </w:tc>
              <w:tc>
                <w:tcPr>
                  <w:tcW w:w="796" w:type="pct"/>
                  <w:noWrap w:val="0"/>
                  <w:vAlign w:val="center"/>
                </w:tcPr>
                <w:p>
                  <w:pPr>
                    <w:bidi w:val="0"/>
                    <w:jc w:val="center"/>
                    <w:rPr>
                      <w:rFonts w:hint="eastAsia"/>
                      <w:u w:val="single"/>
                    </w:rPr>
                  </w:pPr>
                  <w:r>
                    <w:rPr>
                      <w:rFonts w:hint="eastAsia"/>
                      <w:u w:val="single"/>
                    </w:rPr>
                    <w:t>m</w:t>
                  </w:r>
                  <w:r>
                    <w:rPr>
                      <w:rFonts w:hint="eastAsia"/>
                      <w:u w:val="single"/>
                      <w:vertAlign w:val="superscript"/>
                    </w:rPr>
                    <w:t>2</w:t>
                  </w:r>
                </w:p>
              </w:tc>
              <w:tc>
                <w:tcPr>
                  <w:tcW w:w="984" w:type="pct"/>
                  <w:noWrap w:val="0"/>
                  <w:vAlign w:val="center"/>
                </w:tcPr>
                <w:p>
                  <w:pPr>
                    <w:bidi w:val="0"/>
                    <w:jc w:val="center"/>
                    <w:rPr>
                      <w:rFonts w:hint="eastAsia"/>
                      <w:u w:val="single"/>
                      <w:lang w:val="en-US" w:eastAsia="zh-CN"/>
                    </w:rPr>
                  </w:pPr>
                  <w:r>
                    <w:rPr>
                      <w:rFonts w:hint="eastAsia"/>
                      <w:u w:val="single"/>
                      <w:lang w:val="en-US" w:eastAsia="zh-CN"/>
                    </w:rPr>
                    <w:t>2411.28</w:t>
                  </w:r>
                </w:p>
              </w:tc>
              <w:tc>
                <w:tcPr>
                  <w:tcW w:w="1230" w:type="pct"/>
                  <w:noWrap w:val="0"/>
                  <w:vAlign w:val="center"/>
                </w:tcPr>
                <w:p>
                  <w:pPr>
                    <w:bidi w:val="0"/>
                    <w:jc w:val="center"/>
                    <w:rPr>
                      <w:rFonts w:hint="eastAsia"/>
                      <w:u w:val="single"/>
                      <w:lang w:val="en-US" w:eastAsia="zh-CN"/>
                    </w:rPr>
                  </w:pPr>
                  <w:r>
                    <w:rPr>
                      <w:rFonts w:hint="eastAsia"/>
                      <w:u w:val="singl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398" w:type="pct"/>
                  <w:noWrap w:val="0"/>
                  <w:vAlign w:val="center"/>
                </w:tcPr>
                <w:p>
                  <w:pPr>
                    <w:bidi w:val="0"/>
                    <w:jc w:val="center"/>
                    <w:rPr>
                      <w:rFonts w:hint="eastAsia"/>
                      <w:u w:val="single"/>
                    </w:rPr>
                  </w:pPr>
                  <w:r>
                    <w:rPr>
                      <w:rFonts w:hint="eastAsia"/>
                      <w:u w:val="single"/>
                    </w:rPr>
                    <w:t>11</w:t>
                  </w:r>
                </w:p>
              </w:tc>
              <w:tc>
                <w:tcPr>
                  <w:tcW w:w="1590" w:type="pct"/>
                  <w:noWrap w:val="0"/>
                  <w:vAlign w:val="center"/>
                </w:tcPr>
                <w:p>
                  <w:pPr>
                    <w:bidi w:val="0"/>
                    <w:jc w:val="center"/>
                    <w:rPr>
                      <w:rFonts w:hint="eastAsia"/>
                      <w:u w:val="single"/>
                    </w:rPr>
                  </w:pPr>
                  <w:r>
                    <w:rPr>
                      <w:rFonts w:hint="eastAsia"/>
                      <w:u w:val="single"/>
                    </w:rPr>
                    <w:t>绿地率</w:t>
                  </w:r>
                </w:p>
              </w:tc>
              <w:tc>
                <w:tcPr>
                  <w:tcW w:w="796" w:type="pct"/>
                  <w:noWrap w:val="0"/>
                  <w:vAlign w:val="center"/>
                </w:tcPr>
                <w:p>
                  <w:pPr>
                    <w:bidi w:val="0"/>
                    <w:jc w:val="center"/>
                    <w:rPr>
                      <w:rFonts w:hint="eastAsia"/>
                      <w:u w:val="single"/>
                    </w:rPr>
                  </w:pPr>
                  <w:r>
                    <w:rPr>
                      <w:rFonts w:hint="eastAsia"/>
                      <w:u w:val="single"/>
                    </w:rPr>
                    <w:t>%</w:t>
                  </w:r>
                </w:p>
              </w:tc>
              <w:tc>
                <w:tcPr>
                  <w:tcW w:w="984" w:type="pct"/>
                  <w:noWrap w:val="0"/>
                  <w:vAlign w:val="center"/>
                </w:tcPr>
                <w:p>
                  <w:pPr>
                    <w:bidi w:val="0"/>
                    <w:jc w:val="center"/>
                    <w:rPr>
                      <w:rFonts w:hint="eastAsia"/>
                      <w:u w:val="single"/>
                      <w:lang w:val="en-US" w:eastAsia="zh-CN"/>
                    </w:rPr>
                  </w:pPr>
                  <w:r>
                    <w:rPr>
                      <w:rFonts w:hint="eastAsia"/>
                      <w:u w:val="single"/>
                      <w:lang w:val="en-US" w:eastAsia="zh-CN"/>
                    </w:rPr>
                    <w:t>34.46</w:t>
                  </w:r>
                </w:p>
              </w:tc>
              <w:tc>
                <w:tcPr>
                  <w:tcW w:w="1230" w:type="pct"/>
                  <w:noWrap w:val="0"/>
                  <w:vAlign w:val="center"/>
                </w:tcPr>
                <w:p>
                  <w:pPr>
                    <w:bidi w:val="0"/>
                    <w:jc w:val="center"/>
                    <w:rPr>
                      <w:rFonts w:hint="eastAsia"/>
                      <w:u w:val="single"/>
                      <w:lang w:val="en-US" w:eastAsia="zh-CN"/>
                    </w:rPr>
                  </w:pPr>
                  <w:r>
                    <w:rPr>
                      <w:rFonts w:hint="eastAsia"/>
                      <w:u w:val="singl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398" w:type="pct"/>
                  <w:noWrap w:val="0"/>
                  <w:vAlign w:val="center"/>
                </w:tcPr>
                <w:p>
                  <w:pPr>
                    <w:bidi w:val="0"/>
                    <w:jc w:val="center"/>
                    <w:rPr>
                      <w:rFonts w:hint="eastAsia"/>
                      <w:u w:val="single"/>
                    </w:rPr>
                  </w:pPr>
                  <w:r>
                    <w:rPr>
                      <w:rFonts w:hint="eastAsia"/>
                      <w:u w:val="single"/>
                    </w:rPr>
                    <w:t>12</w:t>
                  </w:r>
                </w:p>
              </w:tc>
              <w:tc>
                <w:tcPr>
                  <w:tcW w:w="1590" w:type="pct"/>
                  <w:noWrap w:val="0"/>
                  <w:vAlign w:val="center"/>
                </w:tcPr>
                <w:p>
                  <w:pPr>
                    <w:bidi w:val="0"/>
                    <w:jc w:val="center"/>
                    <w:rPr>
                      <w:rFonts w:hint="eastAsia"/>
                      <w:u w:val="single"/>
                    </w:rPr>
                  </w:pPr>
                  <w:r>
                    <w:rPr>
                      <w:rFonts w:hint="eastAsia"/>
                      <w:u w:val="single"/>
                    </w:rPr>
                    <w:t>床位数</w:t>
                  </w:r>
                </w:p>
              </w:tc>
              <w:tc>
                <w:tcPr>
                  <w:tcW w:w="796" w:type="pct"/>
                  <w:noWrap w:val="0"/>
                  <w:vAlign w:val="center"/>
                </w:tcPr>
                <w:p>
                  <w:pPr>
                    <w:bidi w:val="0"/>
                    <w:jc w:val="center"/>
                    <w:rPr>
                      <w:rFonts w:hint="eastAsia"/>
                      <w:u w:val="single"/>
                      <w:lang w:eastAsia="zh-CN"/>
                    </w:rPr>
                  </w:pPr>
                  <w:r>
                    <w:rPr>
                      <w:rFonts w:hint="eastAsia"/>
                      <w:u w:val="single"/>
                      <w:lang w:val="en-US" w:eastAsia="zh-CN"/>
                    </w:rPr>
                    <w:t>床</w:t>
                  </w:r>
                </w:p>
              </w:tc>
              <w:tc>
                <w:tcPr>
                  <w:tcW w:w="984" w:type="pct"/>
                  <w:noWrap w:val="0"/>
                  <w:vAlign w:val="center"/>
                </w:tcPr>
                <w:p>
                  <w:pPr>
                    <w:bidi w:val="0"/>
                    <w:jc w:val="center"/>
                    <w:rPr>
                      <w:rFonts w:hint="default"/>
                      <w:u w:val="single"/>
                      <w:lang w:val="en-US" w:eastAsia="zh-CN"/>
                    </w:rPr>
                  </w:pPr>
                  <w:r>
                    <w:rPr>
                      <w:rFonts w:hint="eastAsia"/>
                      <w:u w:val="single"/>
                      <w:lang w:val="en-US" w:eastAsia="zh-CN"/>
                    </w:rPr>
                    <w:t>43</w:t>
                  </w:r>
                </w:p>
              </w:tc>
              <w:tc>
                <w:tcPr>
                  <w:tcW w:w="1230" w:type="pct"/>
                  <w:noWrap w:val="0"/>
                  <w:vAlign w:val="center"/>
                </w:tcPr>
                <w:p>
                  <w:pPr>
                    <w:bidi w:val="0"/>
                    <w:jc w:val="center"/>
                    <w:rPr>
                      <w:rFonts w:hint="eastAsia"/>
                      <w:u w:val="single"/>
                      <w:lang w:val="en-US" w:eastAsia="zh-CN"/>
                    </w:rPr>
                  </w:pPr>
                  <w:r>
                    <w:rPr>
                      <w:rFonts w:hint="eastAsia"/>
                      <w:u w:val="singl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398" w:type="pct"/>
                  <w:noWrap w:val="0"/>
                  <w:vAlign w:val="center"/>
                </w:tcPr>
                <w:p>
                  <w:pPr>
                    <w:bidi w:val="0"/>
                    <w:jc w:val="center"/>
                    <w:rPr>
                      <w:rFonts w:hint="eastAsia"/>
                      <w:u w:val="single"/>
                    </w:rPr>
                  </w:pPr>
                  <w:r>
                    <w:rPr>
                      <w:rFonts w:hint="eastAsia"/>
                      <w:u w:val="single"/>
                      <w:lang w:val="en-US" w:eastAsia="zh-CN"/>
                    </w:rPr>
                    <w:t>14</w:t>
                  </w:r>
                </w:p>
              </w:tc>
              <w:tc>
                <w:tcPr>
                  <w:tcW w:w="1590" w:type="pct"/>
                  <w:noWrap w:val="0"/>
                  <w:vAlign w:val="center"/>
                </w:tcPr>
                <w:p>
                  <w:pPr>
                    <w:bidi w:val="0"/>
                    <w:jc w:val="center"/>
                    <w:rPr>
                      <w:rFonts w:hint="eastAsia"/>
                      <w:u w:val="single"/>
                    </w:rPr>
                  </w:pPr>
                  <w:r>
                    <w:rPr>
                      <w:rFonts w:hint="eastAsia"/>
                      <w:u w:val="single"/>
                    </w:rPr>
                    <w:t>地上停车位</w:t>
                  </w:r>
                </w:p>
              </w:tc>
              <w:tc>
                <w:tcPr>
                  <w:tcW w:w="796" w:type="pct"/>
                  <w:noWrap w:val="0"/>
                  <w:vAlign w:val="center"/>
                </w:tcPr>
                <w:p>
                  <w:pPr>
                    <w:bidi w:val="0"/>
                    <w:jc w:val="center"/>
                    <w:rPr>
                      <w:rFonts w:hint="eastAsia"/>
                      <w:u w:val="single"/>
                    </w:rPr>
                  </w:pPr>
                  <w:r>
                    <w:rPr>
                      <w:rFonts w:hint="eastAsia"/>
                      <w:u w:val="single"/>
                    </w:rPr>
                    <w:t>个</w:t>
                  </w:r>
                </w:p>
              </w:tc>
              <w:tc>
                <w:tcPr>
                  <w:tcW w:w="984" w:type="pct"/>
                  <w:noWrap w:val="0"/>
                  <w:vAlign w:val="center"/>
                </w:tcPr>
                <w:p>
                  <w:pPr>
                    <w:bidi w:val="0"/>
                    <w:jc w:val="center"/>
                    <w:rPr>
                      <w:rFonts w:hint="eastAsia"/>
                      <w:u w:val="single"/>
                      <w:lang w:val="en-US" w:eastAsia="zh-CN"/>
                    </w:rPr>
                  </w:pPr>
                  <w:r>
                    <w:rPr>
                      <w:rFonts w:hint="eastAsia"/>
                      <w:u w:val="single"/>
                      <w:lang w:val="en-US" w:eastAsia="zh-CN"/>
                    </w:rPr>
                    <w:t>95</w:t>
                  </w:r>
                </w:p>
              </w:tc>
              <w:tc>
                <w:tcPr>
                  <w:tcW w:w="1230" w:type="pct"/>
                  <w:noWrap w:val="0"/>
                  <w:vAlign w:val="center"/>
                </w:tcPr>
                <w:p>
                  <w:pPr>
                    <w:bidi w:val="0"/>
                    <w:jc w:val="center"/>
                    <w:rPr>
                      <w:rFonts w:hint="eastAsia"/>
                      <w:u w:val="single"/>
                      <w:lang w:val="en-US" w:eastAsia="zh-CN"/>
                    </w:rPr>
                  </w:pPr>
                  <w:r>
                    <w:rPr>
                      <w:rFonts w:hint="eastAsia"/>
                      <w:u w:val="single"/>
                      <w:lang w:val="en-US" w:eastAsia="zh-CN"/>
                    </w:rPr>
                    <w:t>/</w:t>
                  </w:r>
                </w:p>
              </w:tc>
            </w:tr>
          </w:tbl>
          <w:p>
            <w:pPr>
              <w:jc w:val="center"/>
              <w:rPr>
                <w:rFonts w:hint="eastAsia"/>
              </w:rPr>
            </w:pPr>
          </w:p>
          <w:p>
            <w:pPr>
              <w:jc w:val="center"/>
              <w:rPr>
                <w:b/>
                <w:bCs/>
              </w:rPr>
            </w:pPr>
            <w:r>
              <w:rPr>
                <w:rFonts w:hint="eastAsia"/>
                <w:b/>
                <w:bCs/>
              </w:rPr>
              <w:t>表</w:t>
            </w:r>
            <w:r>
              <w:rPr>
                <w:rFonts w:hint="eastAsia"/>
                <w:b/>
                <w:bCs/>
                <w:lang w:val="en-US" w:eastAsia="zh-CN"/>
              </w:rPr>
              <w:t xml:space="preserve"> </w:t>
            </w:r>
            <w:r>
              <w:rPr>
                <w:rFonts w:hint="eastAsia"/>
                <w:b/>
                <w:bCs/>
              </w:rPr>
              <w:t>2-2 项目建设内容一览表</w:t>
            </w:r>
          </w:p>
          <w:tbl>
            <w:tblPr>
              <w:tblStyle w:val="25"/>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31"/>
              <w:gridCol w:w="435"/>
              <w:gridCol w:w="1057"/>
              <w:gridCol w:w="4942"/>
              <w:gridCol w:w="122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6" w:type="pct"/>
                  <w:noWrap w:val="0"/>
                  <w:vAlign w:val="center"/>
                </w:tcPr>
                <w:p>
                  <w:pPr>
                    <w:widowControl/>
                    <w:jc w:val="both"/>
                    <w:rPr>
                      <w:b/>
                      <w:bCs/>
                      <w:sz w:val="21"/>
                      <w:szCs w:val="21"/>
                    </w:rPr>
                  </w:pPr>
                  <w:r>
                    <w:rPr>
                      <w:b/>
                      <w:bCs/>
                      <w:sz w:val="21"/>
                      <w:szCs w:val="21"/>
                    </w:rPr>
                    <w:t>工程类别</w:t>
                  </w:r>
                </w:p>
              </w:tc>
              <w:tc>
                <w:tcPr>
                  <w:tcW w:w="889" w:type="pct"/>
                  <w:gridSpan w:val="2"/>
                  <w:noWrap w:val="0"/>
                  <w:vAlign w:val="center"/>
                </w:tcPr>
                <w:p>
                  <w:pPr>
                    <w:widowControl/>
                    <w:jc w:val="center"/>
                    <w:rPr>
                      <w:b/>
                      <w:bCs/>
                      <w:sz w:val="21"/>
                      <w:szCs w:val="21"/>
                    </w:rPr>
                  </w:pPr>
                  <w:r>
                    <w:rPr>
                      <w:b/>
                      <w:bCs/>
                      <w:sz w:val="21"/>
                      <w:szCs w:val="21"/>
                    </w:rPr>
                    <w:t>工程名称</w:t>
                  </w:r>
                </w:p>
              </w:tc>
              <w:tc>
                <w:tcPr>
                  <w:tcW w:w="2945" w:type="pct"/>
                  <w:noWrap w:val="0"/>
                  <w:vAlign w:val="center"/>
                </w:tcPr>
                <w:p>
                  <w:pPr>
                    <w:widowControl/>
                    <w:jc w:val="center"/>
                    <w:rPr>
                      <w:b/>
                      <w:bCs/>
                      <w:sz w:val="21"/>
                      <w:szCs w:val="21"/>
                    </w:rPr>
                  </w:pPr>
                  <w:r>
                    <w:rPr>
                      <w:b/>
                      <w:bCs/>
                      <w:sz w:val="21"/>
                      <w:szCs w:val="21"/>
                    </w:rPr>
                    <w:t>工程内容</w:t>
                  </w:r>
                </w:p>
              </w:tc>
              <w:tc>
                <w:tcPr>
                  <w:tcW w:w="729" w:type="pct"/>
                  <w:noWrap w:val="0"/>
                  <w:vAlign w:val="center"/>
                </w:tcPr>
                <w:p>
                  <w:pPr>
                    <w:widowControl/>
                    <w:jc w:val="center"/>
                    <w:rPr>
                      <w:b/>
                      <w:bCs/>
                      <w:sz w:val="21"/>
                      <w:szCs w:val="21"/>
                    </w:rPr>
                  </w:pPr>
                  <w:r>
                    <w:rPr>
                      <w:b/>
                      <w:bCs/>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436" w:type="pct"/>
                  <w:noWrap w:val="0"/>
                  <w:vAlign w:val="center"/>
                </w:tcPr>
                <w:p>
                  <w:pPr>
                    <w:widowControl/>
                    <w:jc w:val="both"/>
                    <w:rPr>
                      <w:sz w:val="21"/>
                      <w:szCs w:val="21"/>
                      <w:u w:val="single"/>
                    </w:rPr>
                  </w:pPr>
                  <w:r>
                    <w:rPr>
                      <w:sz w:val="21"/>
                      <w:szCs w:val="21"/>
                      <w:u w:val="single"/>
                    </w:rPr>
                    <w:t>主体工程</w:t>
                  </w:r>
                </w:p>
              </w:tc>
              <w:tc>
                <w:tcPr>
                  <w:tcW w:w="889" w:type="pct"/>
                  <w:gridSpan w:val="2"/>
                  <w:noWrap w:val="0"/>
                  <w:vAlign w:val="center"/>
                </w:tcPr>
                <w:p>
                  <w:pPr>
                    <w:widowControl/>
                    <w:jc w:val="center"/>
                    <w:rPr>
                      <w:sz w:val="21"/>
                      <w:szCs w:val="21"/>
                      <w:u w:val="single"/>
                    </w:rPr>
                  </w:pPr>
                  <w:r>
                    <w:rPr>
                      <w:rFonts w:hint="eastAsia"/>
                      <w:sz w:val="21"/>
                      <w:szCs w:val="21"/>
                      <w:u w:val="single"/>
                      <w:lang w:val="en-US" w:eastAsia="zh-CN"/>
                    </w:rPr>
                    <w:t>月子中心大</w:t>
                  </w:r>
                  <w:r>
                    <w:rPr>
                      <w:sz w:val="21"/>
                      <w:szCs w:val="21"/>
                      <w:u w:val="single"/>
                    </w:rPr>
                    <w:t>楼</w:t>
                  </w:r>
                </w:p>
              </w:tc>
              <w:tc>
                <w:tcPr>
                  <w:tcW w:w="2945" w:type="pct"/>
                  <w:noWrap w:val="0"/>
                  <w:vAlign w:val="center"/>
                </w:tcPr>
                <w:p>
                  <w:pPr>
                    <w:widowControl/>
                    <w:jc w:val="both"/>
                    <w:rPr>
                      <w:sz w:val="21"/>
                      <w:szCs w:val="21"/>
                      <w:u w:val="single"/>
                    </w:rPr>
                  </w:pPr>
                  <w:r>
                    <w:rPr>
                      <w:rFonts w:hint="eastAsia"/>
                      <w:sz w:val="21"/>
                      <w:szCs w:val="21"/>
                      <w:u w:val="single"/>
                      <w:lang w:val="en-US" w:eastAsia="zh-CN"/>
                    </w:rPr>
                    <w:t>3</w:t>
                  </w:r>
                  <w:r>
                    <w:rPr>
                      <w:rFonts w:hint="eastAsia"/>
                      <w:sz w:val="21"/>
                      <w:szCs w:val="21"/>
                      <w:u w:val="single"/>
                    </w:rPr>
                    <w:t>#栋，</w:t>
                  </w:r>
                  <w:r>
                    <w:rPr>
                      <w:sz w:val="21"/>
                      <w:szCs w:val="21"/>
                      <w:u w:val="single"/>
                    </w:rPr>
                    <w:t>地上</w:t>
                  </w:r>
                  <w:r>
                    <w:rPr>
                      <w:rFonts w:hint="eastAsia"/>
                      <w:sz w:val="21"/>
                      <w:szCs w:val="21"/>
                      <w:u w:val="single"/>
                      <w:lang w:val="en-US" w:eastAsia="zh-CN"/>
                    </w:rPr>
                    <w:t>5</w:t>
                  </w:r>
                  <w:r>
                    <w:rPr>
                      <w:sz w:val="21"/>
                      <w:szCs w:val="21"/>
                      <w:u w:val="single"/>
                    </w:rPr>
                    <w:t>层，总建筑面积</w:t>
                  </w:r>
                  <w:r>
                    <w:rPr>
                      <w:rFonts w:hint="eastAsia"/>
                      <w:sz w:val="21"/>
                      <w:szCs w:val="21"/>
                      <w:u w:val="single"/>
                      <w:lang w:val="en-US" w:eastAsia="zh-CN"/>
                    </w:rPr>
                    <w:t>5132.03</w:t>
                  </w:r>
                  <w:r>
                    <w:rPr>
                      <w:sz w:val="21"/>
                      <w:szCs w:val="21"/>
                      <w:u w:val="single"/>
                    </w:rPr>
                    <w:t>m</w:t>
                  </w:r>
                  <w:r>
                    <w:rPr>
                      <w:sz w:val="21"/>
                      <w:szCs w:val="21"/>
                      <w:u w:val="single"/>
                      <w:vertAlign w:val="superscript"/>
                    </w:rPr>
                    <w:t>2</w:t>
                  </w:r>
                  <w:r>
                    <w:rPr>
                      <w:sz w:val="21"/>
                      <w:szCs w:val="21"/>
                      <w:u w:val="single"/>
                    </w:rPr>
                    <w:t>，建筑高度为</w:t>
                  </w:r>
                  <w:r>
                    <w:rPr>
                      <w:rFonts w:hint="eastAsia"/>
                      <w:sz w:val="21"/>
                      <w:szCs w:val="21"/>
                      <w:u w:val="single"/>
                      <w:lang w:val="en-US" w:eastAsia="zh-CN"/>
                    </w:rPr>
                    <w:t>18.9</w:t>
                  </w:r>
                  <w:r>
                    <w:rPr>
                      <w:sz w:val="21"/>
                      <w:szCs w:val="21"/>
                      <w:u w:val="single"/>
                    </w:rPr>
                    <w:t>m。</w:t>
                  </w:r>
                </w:p>
                <w:p>
                  <w:pPr>
                    <w:widowControl/>
                    <w:jc w:val="both"/>
                    <w:rPr>
                      <w:sz w:val="21"/>
                      <w:szCs w:val="21"/>
                      <w:u w:val="single"/>
                    </w:rPr>
                  </w:pPr>
                  <w:r>
                    <w:rPr>
                      <w:rFonts w:hint="eastAsia"/>
                      <w:sz w:val="21"/>
                      <w:szCs w:val="21"/>
                      <w:u w:val="single"/>
                      <w:lang w:val="en-US" w:eastAsia="zh-CN"/>
                    </w:rPr>
                    <w:t>月子中心大楼</w:t>
                  </w:r>
                  <w:r>
                    <w:rPr>
                      <w:sz w:val="21"/>
                      <w:szCs w:val="21"/>
                      <w:u w:val="single"/>
                    </w:rPr>
                    <w:t>布置如下：</w:t>
                  </w:r>
                </w:p>
                <w:p>
                  <w:pPr>
                    <w:widowControl/>
                    <w:jc w:val="both"/>
                    <w:rPr>
                      <w:sz w:val="21"/>
                      <w:szCs w:val="21"/>
                      <w:u w:val="single"/>
                    </w:rPr>
                  </w:pPr>
                  <w:r>
                    <w:rPr>
                      <w:sz w:val="21"/>
                      <w:szCs w:val="21"/>
                      <w:u w:val="single"/>
                    </w:rPr>
                    <w:t>1F：</w:t>
                  </w:r>
                  <w:r>
                    <w:rPr>
                      <w:rFonts w:hint="eastAsia"/>
                      <w:sz w:val="21"/>
                      <w:szCs w:val="21"/>
                      <w:u w:val="single"/>
                      <w:lang w:val="en-US" w:eastAsia="zh-CN"/>
                    </w:rPr>
                    <w:t>1026.406</w:t>
                  </w:r>
                  <w:r>
                    <w:rPr>
                      <w:sz w:val="21"/>
                      <w:szCs w:val="21"/>
                      <w:u w:val="single"/>
                    </w:rPr>
                    <w:t>m</w:t>
                  </w:r>
                  <w:r>
                    <w:rPr>
                      <w:sz w:val="21"/>
                      <w:szCs w:val="21"/>
                      <w:u w:val="single"/>
                      <w:vertAlign w:val="superscript"/>
                    </w:rPr>
                    <w:t>2</w:t>
                  </w:r>
                  <w:r>
                    <w:rPr>
                      <w:sz w:val="21"/>
                      <w:szCs w:val="21"/>
                      <w:u w:val="single"/>
                    </w:rPr>
                    <w:t>，</w:t>
                  </w:r>
                  <w:r>
                    <w:rPr>
                      <w:rFonts w:hint="eastAsia"/>
                      <w:sz w:val="21"/>
                      <w:szCs w:val="21"/>
                      <w:u w:val="single"/>
                      <w:lang w:val="en-US" w:eastAsia="zh-CN"/>
                    </w:rPr>
                    <w:t>中心供应室、后勤仓库、药库</w:t>
                  </w:r>
                  <w:r>
                    <w:rPr>
                      <w:sz w:val="21"/>
                      <w:szCs w:val="21"/>
                      <w:u w:val="single"/>
                    </w:rPr>
                    <w:t>；</w:t>
                  </w:r>
                </w:p>
                <w:p>
                  <w:pPr>
                    <w:widowControl/>
                    <w:jc w:val="both"/>
                    <w:textAlignment w:val="center"/>
                    <w:rPr>
                      <w:sz w:val="21"/>
                      <w:szCs w:val="21"/>
                      <w:u w:val="single"/>
                    </w:rPr>
                  </w:pPr>
                  <w:r>
                    <w:rPr>
                      <w:sz w:val="21"/>
                      <w:szCs w:val="21"/>
                      <w:u w:val="single"/>
                    </w:rPr>
                    <w:t>2F：</w:t>
                  </w:r>
                  <w:r>
                    <w:rPr>
                      <w:rFonts w:hint="eastAsia"/>
                      <w:sz w:val="21"/>
                      <w:szCs w:val="21"/>
                      <w:u w:val="single"/>
                      <w:lang w:val="en-US" w:eastAsia="zh-CN"/>
                    </w:rPr>
                    <w:t>1026.406</w:t>
                  </w:r>
                  <w:r>
                    <w:rPr>
                      <w:sz w:val="21"/>
                      <w:szCs w:val="21"/>
                      <w:u w:val="single"/>
                    </w:rPr>
                    <w:t>m</w:t>
                  </w:r>
                  <w:r>
                    <w:rPr>
                      <w:sz w:val="21"/>
                      <w:szCs w:val="21"/>
                      <w:u w:val="single"/>
                      <w:vertAlign w:val="superscript"/>
                    </w:rPr>
                    <w:t>2</w:t>
                  </w:r>
                  <w:r>
                    <w:rPr>
                      <w:sz w:val="21"/>
                      <w:szCs w:val="21"/>
                      <w:u w:val="single"/>
                    </w:rPr>
                    <w:t>，</w:t>
                  </w:r>
                  <w:r>
                    <w:rPr>
                      <w:rFonts w:hint="eastAsia"/>
                      <w:sz w:val="21"/>
                      <w:szCs w:val="21"/>
                      <w:u w:val="single"/>
                      <w:lang w:val="en-US" w:eastAsia="zh-CN"/>
                    </w:rPr>
                    <w:t>行政办公楼层</w:t>
                  </w:r>
                  <w:r>
                    <w:rPr>
                      <w:sz w:val="21"/>
                      <w:szCs w:val="21"/>
                      <w:u w:val="single"/>
                    </w:rPr>
                    <w:t>；</w:t>
                  </w:r>
                </w:p>
                <w:p>
                  <w:pPr>
                    <w:widowControl/>
                    <w:jc w:val="both"/>
                    <w:textAlignment w:val="center"/>
                    <w:rPr>
                      <w:rFonts w:hint="eastAsia"/>
                      <w:sz w:val="21"/>
                      <w:szCs w:val="21"/>
                      <w:u w:val="single"/>
                    </w:rPr>
                  </w:pPr>
                  <w:r>
                    <w:rPr>
                      <w:sz w:val="21"/>
                      <w:szCs w:val="21"/>
                      <w:u w:val="single"/>
                    </w:rPr>
                    <w:t>3F</w:t>
                  </w:r>
                  <w:r>
                    <w:rPr>
                      <w:rFonts w:hint="eastAsia"/>
                      <w:sz w:val="21"/>
                      <w:szCs w:val="21"/>
                      <w:u w:val="single"/>
                      <w:lang w:val="en-US" w:eastAsia="zh-CN"/>
                    </w:rPr>
                    <w:t>-5F</w:t>
                  </w:r>
                  <w:r>
                    <w:rPr>
                      <w:sz w:val="21"/>
                      <w:szCs w:val="21"/>
                      <w:u w:val="single"/>
                    </w:rPr>
                    <w:t>：</w:t>
                  </w:r>
                  <w:r>
                    <w:rPr>
                      <w:rFonts w:hint="eastAsia"/>
                      <w:szCs w:val="21"/>
                      <w:u w:val="single"/>
                      <w:lang w:val="en-US" w:eastAsia="zh-CN"/>
                    </w:rPr>
                    <w:t>每层均为</w:t>
                  </w:r>
                  <w:r>
                    <w:rPr>
                      <w:rFonts w:hint="eastAsia"/>
                      <w:sz w:val="21"/>
                      <w:szCs w:val="21"/>
                      <w:u w:val="single"/>
                      <w:lang w:val="en-US" w:eastAsia="zh-CN"/>
                    </w:rPr>
                    <w:t>1026.406</w:t>
                  </w:r>
                  <w:r>
                    <w:rPr>
                      <w:sz w:val="21"/>
                      <w:szCs w:val="21"/>
                      <w:u w:val="single"/>
                    </w:rPr>
                    <w:t>m</w:t>
                  </w:r>
                  <w:r>
                    <w:rPr>
                      <w:sz w:val="21"/>
                      <w:szCs w:val="21"/>
                      <w:u w:val="single"/>
                      <w:vertAlign w:val="superscript"/>
                    </w:rPr>
                    <w:t>2</w:t>
                  </w:r>
                  <w:r>
                    <w:rPr>
                      <w:sz w:val="21"/>
                      <w:szCs w:val="21"/>
                      <w:u w:val="single"/>
                    </w:rPr>
                    <w:t>，</w:t>
                  </w:r>
                  <w:r>
                    <w:rPr>
                      <w:rFonts w:hint="eastAsia"/>
                      <w:sz w:val="21"/>
                      <w:szCs w:val="21"/>
                      <w:u w:val="single"/>
                      <w:lang w:val="en-US" w:eastAsia="zh-CN"/>
                    </w:rPr>
                    <w:t>月子活动中心</w:t>
                  </w:r>
                  <w:r>
                    <w:rPr>
                      <w:sz w:val="21"/>
                      <w:szCs w:val="21"/>
                      <w:u w:val="single"/>
                    </w:rPr>
                    <w:t>；</w:t>
                  </w:r>
                </w:p>
                <w:p>
                  <w:pPr>
                    <w:widowControl/>
                    <w:jc w:val="both"/>
                    <w:textAlignment w:val="center"/>
                    <w:rPr>
                      <w:sz w:val="21"/>
                      <w:szCs w:val="21"/>
                      <w:u w:val="single"/>
                    </w:rPr>
                  </w:pPr>
                  <w:r>
                    <w:rPr>
                      <w:rFonts w:hint="eastAsia"/>
                      <w:sz w:val="21"/>
                      <w:szCs w:val="21"/>
                      <w:u w:val="single"/>
                    </w:rPr>
                    <w:t>屋面：364.20</w:t>
                  </w:r>
                  <w:r>
                    <w:rPr>
                      <w:sz w:val="21"/>
                      <w:szCs w:val="21"/>
                      <w:u w:val="single"/>
                    </w:rPr>
                    <w:t>m</w:t>
                  </w:r>
                  <w:r>
                    <w:rPr>
                      <w:sz w:val="21"/>
                      <w:szCs w:val="21"/>
                      <w:u w:val="single"/>
                      <w:vertAlign w:val="superscript"/>
                    </w:rPr>
                    <w:t>2</w:t>
                  </w:r>
                  <w:r>
                    <w:rPr>
                      <w:rFonts w:hint="eastAsia"/>
                      <w:sz w:val="21"/>
                      <w:szCs w:val="21"/>
                      <w:u w:val="single"/>
                    </w:rPr>
                    <w:t>，</w:t>
                  </w:r>
                  <w:r>
                    <w:rPr>
                      <w:rFonts w:hint="eastAsia"/>
                      <w:sz w:val="21"/>
                      <w:szCs w:val="21"/>
                      <w:u w:val="single"/>
                      <w:lang w:val="en-US" w:eastAsia="zh-CN"/>
                    </w:rPr>
                    <w:t>室外活动场地</w:t>
                  </w:r>
                  <w:r>
                    <w:rPr>
                      <w:rFonts w:hint="eastAsia"/>
                      <w:sz w:val="21"/>
                      <w:szCs w:val="21"/>
                      <w:u w:val="single"/>
                    </w:rPr>
                    <w:t>；</w:t>
                  </w:r>
                </w:p>
              </w:tc>
              <w:tc>
                <w:tcPr>
                  <w:tcW w:w="729" w:type="pct"/>
                  <w:noWrap w:val="0"/>
                  <w:vAlign w:val="center"/>
                </w:tcPr>
                <w:p>
                  <w:pPr>
                    <w:widowControl/>
                    <w:jc w:val="center"/>
                    <w:textAlignment w:val="center"/>
                    <w:rPr>
                      <w:sz w:val="21"/>
                      <w:szCs w:val="21"/>
                      <w:u w:val="single"/>
                    </w:rPr>
                  </w:pPr>
                  <w:r>
                    <w:rPr>
                      <w:sz w:val="21"/>
                      <w:szCs w:val="21"/>
                      <w:u w:val="single"/>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6" w:type="pct"/>
                  <w:vMerge w:val="restart"/>
                  <w:noWrap w:val="0"/>
                  <w:vAlign w:val="center"/>
                </w:tcPr>
                <w:p>
                  <w:pPr>
                    <w:widowControl/>
                    <w:jc w:val="both"/>
                    <w:rPr>
                      <w:sz w:val="21"/>
                      <w:szCs w:val="21"/>
                      <w:u w:val="single"/>
                    </w:rPr>
                  </w:pPr>
                  <w:r>
                    <w:rPr>
                      <w:sz w:val="21"/>
                      <w:szCs w:val="21"/>
                      <w:u w:val="single"/>
                    </w:rPr>
                    <w:t>辅助工程</w:t>
                  </w:r>
                </w:p>
              </w:tc>
              <w:tc>
                <w:tcPr>
                  <w:tcW w:w="889" w:type="pct"/>
                  <w:gridSpan w:val="2"/>
                  <w:noWrap w:val="0"/>
                  <w:vAlign w:val="center"/>
                </w:tcPr>
                <w:p>
                  <w:pPr>
                    <w:widowControl/>
                    <w:jc w:val="center"/>
                    <w:rPr>
                      <w:sz w:val="21"/>
                      <w:szCs w:val="21"/>
                      <w:u w:val="single"/>
                    </w:rPr>
                  </w:pPr>
                  <w:r>
                    <w:rPr>
                      <w:rFonts w:hint="eastAsia"/>
                      <w:sz w:val="21"/>
                      <w:szCs w:val="21"/>
                      <w:u w:val="single"/>
                    </w:rPr>
                    <w:t>门卫</w:t>
                  </w:r>
                </w:p>
              </w:tc>
              <w:tc>
                <w:tcPr>
                  <w:tcW w:w="2945" w:type="pct"/>
                  <w:noWrap w:val="0"/>
                  <w:vAlign w:val="center"/>
                </w:tcPr>
                <w:p>
                  <w:pPr>
                    <w:widowControl/>
                    <w:jc w:val="both"/>
                    <w:textAlignment w:val="center"/>
                    <w:rPr>
                      <w:rFonts w:hint="eastAsia"/>
                      <w:sz w:val="21"/>
                      <w:szCs w:val="21"/>
                      <w:u w:val="single"/>
                    </w:rPr>
                  </w:pPr>
                  <w:r>
                    <w:rPr>
                      <w:rFonts w:hint="eastAsia"/>
                      <w:sz w:val="21"/>
                      <w:szCs w:val="21"/>
                      <w:u w:val="single"/>
                    </w:rPr>
                    <w:t>地上1</w:t>
                  </w:r>
                  <w:r>
                    <w:rPr>
                      <w:sz w:val="21"/>
                      <w:szCs w:val="21"/>
                      <w:u w:val="single"/>
                    </w:rPr>
                    <w:t>层</w:t>
                  </w:r>
                  <w:r>
                    <w:rPr>
                      <w:rFonts w:hint="eastAsia"/>
                      <w:sz w:val="21"/>
                      <w:szCs w:val="21"/>
                      <w:u w:val="single"/>
                    </w:rPr>
                    <w:t>，占地面积21.64</w:t>
                  </w:r>
                  <w:r>
                    <w:rPr>
                      <w:sz w:val="21"/>
                      <w:szCs w:val="21"/>
                      <w:u w:val="single"/>
                    </w:rPr>
                    <w:t>m</w:t>
                  </w:r>
                  <w:r>
                    <w:rPr>
                      <w:sz w:val="21"/>
                      <w:szCs w:val="21"/>
                      <w:u w:val="single"/>
                      <w:vertAlign w:val="superscript"/>
                    </w:rPr>
                    <w:t>2</w:t>
                  </w:r>
                  <w:r>
                    <w:rPr>
                      <w:rFonts w:hint="eastAsia"/>
                      <w:sz w:val="21"/>
                      <w:szCs w:val="21"/>
                      <w:u w:val="single"/>
                    </w:rPr>
                    <w:t>，</w:t>
                  </w:r>
                  <w:r>
                    <w:rPr>
                      <w:sz w:val="21"/>
                      <w:szCs w:val="21"/>
                      <w:u w:val="single"/>
                    </w:rPr>
                    <w:t>建筑面积</w:t>
                  </w:r>
                  <w:r>
                    <w:rPr>
                      <w:rFonts w:hint="eastAsia"/>
                      <w:sz w:val="21"/>
                      <w:szCs w:val="21"/>
                      <w:u w:val="single"/>
                    </w:rPr>
                    <w:t>32.40</w:t>
                  </w:r>
                  <w:r>
                    <w:rPr>
                      <w:sz w:val="21"/>
                      <w:szCs w:val="21"/>
                      <w:u w:val="single"/>
                    </w:rPr>
                    <w:t>m</w:t>
                  </w:r>
                  <w:r>
                    <w:rPr>
                      <w:sz w:val="21"/>
                      <w:szCs w:val="21"/>
                      <w:u w:val="single"/>
                      <w:vertAlign w:val="superscript"/>
                    </w:rPr>
                    <w:t>2</w:t>
                  </w:r>
                  <w:r>
                    <w:rPr>
                      <w:rFonts w:hint="eastAsia"/>
                      <w:sz w:val="21"/>
                      <w:szCs w:val="21"/>
                      <w:u w:val="single"/>
                    </w:rPr>
                    <w:t>，建筑高度3.90m。</w:t>
                  </w:r>
                </w:p>
              </w:tc>
              <w:tc>
                <w:tcPr>
                  <w:tcW w:w="729" w:type="pct"/>
                  <w:noWrap w:val="0"/>
                  <w:vAlign w:val="center"/>
                </w:tcPr>
                <w:p>
                  <w:pPr>
                    <w:widowControl/>
                    <w:jc w:val="center"/>
                    <w:textAlignment w:val="center"/>
                    <w:rPr>
                      <w:rFonts w:hint="eastAsia"/>
                      <w:sz w:val="21"/>
                      <w:szCs w:val="21"/>
                      <w:u w:val="single"/>
                      <w:lang w:eastAsia="zh-CN"/>
                    </w:rPr>
                  </w:pPr>
                  <w:r>
                    <w:rPr>
                      <w:rFonts w:hint="eastAsia"/>
                      <w:sz w:val="21"/>
                      <w:szCs w:val="21"/>
                      <w:u w:val="single"/>
                      <w:lang w:val="en-US" w:eastAsia="zh-CN"/>
                    </w:rPr>
                    <w:t>依托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6" w:type="pct"/>
                  <w:vMerge w:val="continue"/>
                  <w:noWrap w:val="0"/>
                  <w:vAlign w:val="center"/>
                </w:tcPr>
                <w:p>
                  <w:pPr>
                    <w:widowControl/>
                    <w:jc w:val="both"/>
                    <w:rPr>
                      <w:sz w:val="21"/>
                      <w:szCs w:val="21"/>
                      <w:u w:val="single"/>
                    </w:rPr>
                  </w:pPr>
                </w:p>
              </w:tc>
              <w:tc>
                <w:tcPr>
                  <w:tcW w:w="889" w:type="pct"/>
                  <w:gridSpan w:val="2"/>
                  <w:noWrap w:val="0"/>
                  <w:vAlign w:val="center"/>
                </w:tcPr>
                <w:p>
                  <w:pPr>
                    <w:widowControl/>
                    <w:jc w:val="center"/>
                    <w:rPr>
                      <w:rFonts w:hint="eastAsia"/>
                      <w:sz w:val="21"/>
                      <w:szCs w:val="21"/>
                      <w:u w:val="single"/>
                    </w:rPr>
                  </w:pPr>
                  <w:r>
                    <w:rPr>
                      <w:rFonts w:hint="eastAsia"/>
                      <w:sz w:val="21"/>
                      <w:szCs w:val="21"/>
                      <w:u w:val="single"/>
                    </w:rPr>
                    <w:t>锅炉房</w:t>
                  </w:r>
                </w:p>
              </w:tc>
              <w:tc>
                <w:tcPr>
                  <w:tcW w:w="2945" w:type="pct"/>
                  <w:noWrap w:val="0"/>
                  <w:vAlign w:val="center"/>
                </w:tcPr>
                <w:p>
                  <w:pPr>
                    <w:widowControl/>
                    <w:jc w:val="both"/>
                    <w:rPr>
                      <w:rFonts w:hint="default"/>
                      <w:sz w:val="21"/>
                      <w:szCs w:val="21"/>
                      <w:u w:val="single"/>
                      <w:lang w:val="en-US" w:eastAsia="zh-CN"/>
                    </w:rPr>
                  </w:pPr>
                  <w:r>
                    <w:rPr>
                      <w:rFonts w:hint="eastAsia"/>
                      <w:sz w:val="21"/>
                      <w:szCs w:val="21"/>
                      <w:u w:val="single"/>
                    </w:rPr>
                    <w:t>占地面积</w:t>
                  </w:r>
                  <w:r>
                    <w:rPr>
                      <w:rFonts w:hint="eastAsia"/>
                      <w:sz w:val="21"/>
                      <w:szCs w:val="21"/>
                      <w:u w:val="single"/>
                      <w:lang w:val="en-US" w:eastAsia="zh-CN"/>
                    </w:rPr>
                    <w:t>232.0</w:t>
                  </w:r>
                  <w:r>
                    <w:rPr>
                      <w:sz w:val="21"/>
                      <w:szCs w:val="21"/>
                      <w:u w:val="single"/>
                    </w:rPr>
                    <w:t>m</w:t>
                  </w:r>
                  <w:r>
                    <w:rPr>
                      <w:sz w:val="21"/>
                      <w:szCs w:val="21"/>
                      <w:u w:val="single"/>
                      <w:vertAlign w:val="superscript"/>
                    </w:rPr>
                    <w:t>2</w:t>
                  </w:r>
                  <w:r>
                    <w:rPr>
                      <w:rFonts w:hint="eastAsia"/>
                      <w:sz w:val="21"/>
                      <w:szCs w:val="21"/>
                      <w:u w:val="single"/>
                    </w:rPr>
                    <w:t>，</w:t>
                  </w:r>
                  <w:r>
                    <w:rPr>
                      <w:sz w:val="21"/>
                      <w:szCs w:val="21"/>
                      <w:u w:val="single"/>
                    </w:rPr>
                    <w:t>建筑面积</w:t>
                  </w:r>
                  <w:r>
                    <w:rPr>
                      <w:rFonts w:hint="eastAsia"/>
                      <w:sz w:val="21"/>
                      <w:szCs w:val="21"/>
                      <w:u w:val="single"/>
                      <w:lang w:val="en-US" w:eastAsia="zh-CN"/>
                    </w:rPr>
                    <w:t>232.0</w:t>
                  </w:r>
                  <w:r>
                    <w:rPr>
                      <w:sz w:val="21"/>
                      <w:szCs w:val="21"/>
                      <w:u w:val="single"/>
                    </w:rPr>
                    <w:t>m</w:t>
                  </w:r>
                  <w:r>
                    <w:rPr>
                      <w:sz w:val="21"/>
                      <w:szCs w:val="21"/>
                      <w:u w:val="single"/>
                      <w:vertAlign w:val="superscript"/>
                    </w:rPr>
                    <w:t>2</w:t>
                  </w:r>
                  <w:r>
                    <w:rPr>
                      <w:rFonts w:hint="eastAsia"/>
                      <w:sz w:val="21"/>
                      <w:szCs w:val="21"/>
                      <w:u w:val="single"/>
                      <w:lang w:eastAsia="zh-CN"/>
                    </w:rPr>
                    <w:t>，</w:t>
                  </w:r>
                  <w:r>
                    <w:rPr>
                      <w:rFonts w:hint="eastAsia"/>
                      <w:sz w:val="21"/>
                      <w:szCs w:val="21"/>
                      <w:u w:val="single"/>
                      <w:lang w:val="en-US" w:eastAsia="zh-CN"/>
                    </w:rPr>
                    <w:t>建筑高度5.1m。</w:t>
                  </w:r>
                </w:p>
              </w:tc>
              <w:tc>
                <w:tcPr>
                  <w:tcW w:w="729" w:type="pct"/>
                  <w:noWrap w:val="0"/>
                  <w:vAlign w:val="center"/>
                </w:tcPr>
                <w:p>
                  <w:pPr>
                    <w:widowControl/>
                    <w:jc w:val="center"/>
                    <w:textAlignment w:val="center"/>
                    <w:rPr>
                      <w:rFonts w:hint="eastAsia"/>
                      <w:sz w:val="21"/>
                      <w:szCs w:val="21"/>
                      <w:u w:val="single"/>
                      <w:lang w:eastAsia="zh-CN"/>
                    </w:rPr>
                  </w:pPr>
                  <w:r>
                    <w:rPr>
                      <w:rFonts w:hint="eastAsia"/>
                      <w:sz w:val="21"/>
                      <w:szCs w:val="21"/>
                      <w:u w:val="single"/>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6" w:type="pct"/>
                  <w:vMerge w:val="continue"/>
                  <w:noWrap w:val="0"/>
                  <w:vAlign w:val="center"/>
                </w:tcPr>
                <w:p>
                  <w:pPr>
                    <w:widowControl/>
                    <w:jc w:val="both"/>
                    <w:rPr>
                      <w:sz w:val="21"/>
                      <w:szCs w:val="21"/>
                      <w:u w:val="single"/>
                    </w:rPr>
                  </w:pPr>
                </w:p>
              </w:tc>
              <w:tc>
                <w:tcPr>
                  <w:tcW w:w="889" w:type="pct"/>
                  <w:gridSpan w:val="2"/>
                  <w:noWrap w:val="0"/>
                  <w:vAlign w:val="center"/>
                </w:tcPr>
                <w:p>
                  <w:pPr>
                    <w:widowControl/>
                    <w:jc w:val="center"/>
                    <w:rPr>
                      <w:sz w:val="21"/>
                      <w:szCs w:val="21"/>
                      <w:u w:val="single"/>
                    </w:rPr>
                  </w:pPr>
                  <w:r>
                    <w:rPr>
                      <w:rFonts w:hint="eastAsia"/>
                      <w:sz w:val="21"/>
                      <w:szCs w:val="21"/>
                      <w:u w:val="single"/>
                    </w:rPr>
                    <w:t>污水处理站</w:t>
                  </w:r>
                </w:p>
              </w:tc>
              <w:tc>
                <w:tcPr>
                  <w:tcW w:w="2945" w:type="pct"/>
                  <w:noWrap w:val="0"/>
                  <w:vAlign w:val="center"/>
                </w:tcPr>
                <w:p>
                  <w:pPr>
                    <w:widowControl/>
                    <w:jc w:val="both"/>
                    <w:rPr>
                      <w:sz w:val="21"/>
                      <w:szCs w:val="21"/>
                      <w:u w:val="single"/>
                    </w:rPr>
                  </w:pPr>
                  <w:r>
                    <w:rPr>
                      <w:rFonts w:hint="eastAsia"/>
                      <w:sz w:val="21"/>
                      <w:szCs w:val="21"/>
                      <w:u w:val="single"/>
                      <w:lang w:val="en-US" w:eastAsia="zh-CN"/>
                    </w:rPr>
                    <w:t>依托湘阴县妇女儿童医院（二期）建设项目</w:t>
                  </w:r>
                  <w:r>
                    <w:rPr>
                      <w:rFonts w:hint="eastAsia"/>
                      <w:sz w:val="21"/>
                      <w:szCs w:val="21"/>
                      <w:u w:val="single"/>
                    </w:rPr>
                    <w:t>一体化污水处理设施，污水处理工艺采用电絮凝+沉淀+消毒工艺，</w:t>
                  </w:r>
                  <w:r>
                    <w:rPr>
                      <w:sz w:val="21"/>
                      <w:szCs w:val="21"/>
                      <w:u w:val="single"/>
                    </w:rPr>
                    <w:t>处理能力</w:t>
                  </w:r>
                  <w:r>
                    <w:rPr>
                      <w:rFonts w:hint="eastAsia"/>
                      <w:sz w:val="21"/>
                      <w:szCs w:val="21"/>
                      <w:u w:val="single"/>
                      <w:lang w:val="en-US" w:eastAsia="zh-CN"/>
                    </w:rPr>
                    <w:t>20</w:t>
                  </w:r>
                  <w:r>
                    <w:rPr>
                      <w:rFonts w:hint="eastAsia"/>
                      <w:sz w:val="21"/>
                      <w:szCs w:val="21"/>
                      <w:u w:val="single"/>
                    </w:rPr>
                    <w:t>0</w:t>
                  </w:r>
                  <w:r>
                    <w:rPr>
                      <w:sz w:val="21"/>
                      <w:szCs w:val="21"/>
                      <w:u w:val="single"/>
                    </w:rPr>
                    <w:t>m</w:t>
                  </w:r>
                  <w:r>
                    <w:rPr>
                      <w:sz w:val="21"/>
                      <w:szCs w:val="21"/>
                      <w:u w:val="single"/>
                      <w:vertAlign w:val="superscript"/>
                    </w:rPr>
                    <w:t>3</w:t>
                  </w:r>
                  <w:r>
                    <w:rPr>
                      <w:sz w:val="21"/>
                      <w:szCs w:val="21"/>
                      <w:u w:val="single"/>
                    </w:rPr>
                    <w:t xml:space="preserve">/d。 </w:t>
                  </w:r>
                </w:p>
              </w:tc>
              <w:tc>
                <w:tcPr>
                  <w:tcW w:w="729" w:type="pct"/>
                  <w:noWrap w:val="0"/>
                  <w:vAlign w:val="center"/>
                </w:tcPr>
                <w:p>
                  <w:pPr>
                    <w:widowControl/>
                    <w:jc w:val="center"/>
                    <w:textAlignment w:val="center"/>
                    <w:rPr>
                      <w:rFonts w:hint="default"/>
                      <w:sz w:val="21"/>
                      <w:szCs w:val="21"/>
                      <w:u w:val="single"/>
                      <w:lang w:val="en-US" w:eastAsia="zh-CN"/>
                    </w:rPr>
                  </w:pPr>
                  <w:r>
                    <w:rPr>
                      <w:rFonts w:hint="eastAsia"/>
                      <w:sz w:val="21"/>
                      <w:szCs w:val="21"/>
                      <w:u w:val="single"/>
                      <w:lang w:val="en-US" w:eastAsia="zh-CN"/>
                    </w:rPr>
                    <w:t>依托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6" w:type="pct"/>
                  <w:vMerge w:val="continue"/>
                  <w:noWrap w:val="0"/>
                  <w:vAlign w:val="center"/>
                </w:tcPr>
                <w:p>
                  <w:pPr>
                    <w:widowControl/>
                    <w:jc w:val="both"/>
                    <w:rPr>
                      <w:sz w:val="21"/>
                      <w:szCs w:val="21"/>
                      <w:u w:val="single"/>
                    </w:rPr>
                  </w:pPr>
                </w:p>
              </w:tc>
              <w:tc>
                <w:tcPr>
                  <w:tcW w:w="889" w:type="pct"/>
                  <w:gridSpan w:val="2"/>
                  <w:noWrap w:val="0"/>
                  <w:vAlign w:val="center"/>
                </w:tcPr>
                <w:p>
                  <w:pPr>
                    <w:widowControl/>
                    <w:jc w:val="center"/>
                    <w:rPr>
                      <w:sz w:val="21"/>
                      <w:szCs w:val="21"/>
                      <w:u w:val="single"/>
                    </w:rPr>
                  </w:pPr>
                  <w:r>
                    <w:rPr>
                      <w:rFonts w:hint="eastAsia"/>
                      <w:sz w:val="21"/>
                      <w:szCs w:val="21"/>
                      <w:u w:val="single"/>
                    </w:rPr>
                    <w:t>食堂、大会议室</w:t>
                  </w:r>
                </w:p>
              </w:tc>
              <w:tc>
                <w:tcPr>
                  <w:tcW w:w="2945" w:type="pct"/>
                  <w:noWrap w:val="0"/>
                  <w:vAlign w:val="center"/>
                </w:tcPr>
                <w:p>
                  <w:pPr>
                    <w:widowControl/>
                    <w:jc w:val="both"/>
                    <w:rPr>
                      <w:rFonts w:hint="default"/>
                      <w:sz w:val="21"/>
                      <w:szCs w:val="21"/>
                      <w:u w:val="single"/>
                      <w:lang w:val="en-US" w:eastAsia="zh-CN"/>
                    </w:rPr>
                  </w:pPr>
                  <w:r>
                    <w:rPr>
                      <w:rFonts w:hint="eastAsia"/>
                      <w:sz w:val="21"/>
                      <w:szCs w:val="21"/>
                      <w:u w:val="single"/>
                    </w:rPr>
                    <w:t>东北侧，</w:t>
                  </w:r>
                  <w:r>
                    <w:rPr>
                      <w:sz w:val="21"/>
                      <w:szCs w:val="21"/>
                      <w:u w:val="single"/>
                    </w:rPr>
                    <w:t>地上</w:t>
                  </w:r>
                  <w:r>
                    <w:rPr>
                      <w:rFonts w:hint="eastAsia"/>
                      <w:sz w:val="21"/>
                      <w:szCs w:val="21"/>
                      <w:u w:val="single"/>
                      <w:lang w:val="en-US" w:eastAsia="zh-CN"/>
                    </w:rPr>
                    <w:t>3</w:t>
                  </w:r>
                  <w:r>
                    <w:rPr>
                      <w:sz w:val="21"/>
                      <w:szCs w:val="21"/>
                      <w:u w:val="single"/>
                    </w:rPr>
                    <w:t>层</w:t>
                  </w:r>
                  <w:r>
                    <w:rPr>
                      <w:rFonts w:hint="eastAsia"/>
                      <w:sz w:val="21"/>
                      <w:szCs w:val="21"/>
                      <w:u w:val="single"/>
                      <w:lang w:eastAsia="zh-CN"/>
                    </w:rPr>
                    <w:t>，</w:t>
                  </w:r>
                  <w:r>
                    <w:rPr>
                      <w:rFonts w:hint="eastAsia"/>
                      <w:sz w:val="21"/>
                      <w:szCs w:val="21"/>
                      <w:u w:val="single"/>
                    </w:rPr>
                    <w:t>占地面积482.64</w:t>
                  </w:r>
                  <w:r>
                    <w:rPr>
                      <w:sz w:val="21"/>
                      <w:szCs w:val="21"/>
                      <w:u w:val="single"/>
                    </w:rPr>
                    <w:t>m</w:t>
                  </w:r>
                  <w:r>
                    <w:rPr>
                      <w:sz w:val="21"/>
                      <w:szCs w:val="21"/>
                      <w:u w:val="single"/>
                      <w:vertAlign w:val="superscript"/>
                    </w:rPr>
                    <w:t>2</w:t>
                  </w:r>
                  <w:r>
                    <w:rPr>
                      <w:rFonts w:hint="eastAsia"/>
                      <w:sz w:val="21"/>
                      <w:szCs w:val="21"/>
                      <w:u w:val="single"/>
                    </w:rPr>
                    <w:t>，</w:t>
                  </w:r>
                  <w:r>
                    <w:rPr>
                      <w:sz w:val="21"/>
                      <w:szCs w:val="21"/>
                      <w:u w:val="single"/>
                    </w:rPr>
                    <w:t>建筑面积</w:t>
                  </w:r>
                  <w:r>
                    <w:rPr>
                      <w:rFonts w:hint="eastAsia"/>
                      <w:sz w:val="21"/>
                      <w:szCs w:val="21"/>
                      <w:u w:val="single"/>
                    </w:rPr>
                    <w:t>1447.92</w:t>
                  </w:r>
                  <w:r>
                    <w:rPr>
                      <w:sz w:val="21"/>
                      <w:szCs w:val="21"/>
                      <w:u w:val="single"/>
                    </w:rPr>
                    <w:t>m</w:t>
                  </w:r>
                  <w:r>
                    <w:rPr>
                      <w:sz w:val="21"/>
                      <w:szCs w:val="21"/>
                      <w:u w:val="single"/>
                      <w:vertAlign w:val="superscript"/>
                    </w:rPr>
                    <w:t>2</w:t>
                  </w:r>
                  <w:r>
                    <w:rPr>
                      <w:rFonts w:hint="eastAsia"/>
                      <w:sz w:val="21"/>
                      <w:szCs w:val="21"/>
                      <w:u w:val="single"/>
                    </w:rPr>
                    <w:t>，</w:t>
                  </w:r>
                  <w:r>
                    <w:rPr>
                      <w:rFonts w:hint="eastAsia"/>
                      <w:sz w:val="21"/>
                      <w:szCs w:val="21"/>
                      <w:u w:val="single"/>
                      <w:lang w:val="en-US" w:eastAsia="zh-CN"/>
                    </w:rPr>
                    <w:t>建筑总高度为13.8m。</w:t>
                  </w:r>
                </w:p>
              </w:tc>
              <w:tc>
                <w:tcPr>
                  <w:tcW w:w="729" w:type="pct"/>
                  <w:noWrap w:val="0"/>
                  <w:vAlign w:val="center"/>
                </w:tcPr>
                <w:p>
                  <w:pPr>
                    <w:widowControl/>
                    <w:jc w:val="center"/>
                    <w:textAlignment w:val="center"/>
                    <w:rPr>
                      <w:rFonts w:hint="eastAsia"/>
                      <w:sz w:val="21"/>
                      <w:szCs w:val="21"/>
                      <w:u w:val="single"/>
                      <w:lang w:eastAsia="zh-CN"/>
                    </w:rPr>
                  </w:pPr>
                  <w:r>
                    <w:rPr>
                      <w:rFonts w:hint="eastAsia"/>
                      <w:sz w:val="21"/>
                      <w:szCs w:val="21"/>
                      <w:u w:val="single"/>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6" w:type="pct"/>
                  <w:vMerge w:val="restart"/>
                  <w:noWrap w:val="0"/>
                  <w:vAlign w:val="center"/>
                </w:tcPr>
                <w:p>
                  <w:pPr>
                    <w:widowControl/>
                    <w:jc w:val="both"/>
                    <w:rPr>
                      <w:sz w:val="21"/>
                      <w:szCs w:val="21"/>
                      <w:u w:val="single"/>
                    </w:rPr>
                  </w:pPr>
                  <w:r>
                    <w:rPr>
                      <w:sz w:val="21"/>
                      <w:szCs w:val="21"/>
                      <w:u w:val="single"/>
                    </w:rPr>
                    <w:t>公用工程</w:t>
                  </w:r>
                </w:p>
              </w:tc>
              <w:tc>
                <w:tcPr>
                  <w:tcW w:w="889" w:type="pct"/>
                  <w:gridSpan w:val="2"/>
                  <w:noWrap w:val="0"/>
                  <w:vAlign w:val="center"/>
                </w:tcPr>
                <w:p>
                  <w:pPr>
                    <w:widowControl/>
                    <w:jc w:val="center"/>
                    <w:rPr>
                      <w:sz w:val="21"/>
                      <w:szCs w:val="21"/>
                      <w:u w:val="single"/>
                    </w:rPr>
                  </w:pPr>
                  <w:r>
                    <w:rPr>
                      <w:sz w:val="21"/>
                      <w:szCs w:val="21"/>
                      <w:u w:val="single"/>
                    </w:rPr>
                    <w:t>供水</w:t>
                  </w:r>
                </w:p>
              </w:tc>
              <w:tc>
                <w:tcPr>
                  <w:tcW w:w="2945" w:type="pct"/>
                  <w:noWrap w:val="0"/>
                  <w:vAlign w:val="center"/>
                </w:tcPr>
                <w:p>
                  <w:pPr>
                    <w:widowControl/>
                    <w:jc w:val="both"/>
                    <w:rPr>
                      <w:rFonts w:hint="default"/>
                      <w:sz w:val="21"/>
                      <w:szCs w:val="21"/>
                      <w:u w:val="single"/>
                      <w:lang w:val="en-US" w:eastAsia="zh-CN"/>
                    </w:rPr>
                  </w:pPr>
                  <w:r>
                    <w:rPr>
                      <w:sz w:val="21"/>
                      <w:szCs w:val="21"/>
                      <w:u w:val="single"/>
                    </w:rPr>
                    <w:t>市政管网供给。从项目西侧芙蓉北路市政道路给水管道上，接入一根口径为DN150mm</w:t>
                  </w:r>
                  <w:r>
                    <w:rPr>
                      <w:rFonts w:hint="eastAsia"/>
                      <w:sz w:val="21"/>
                      <w:szCs w:val="21"/>
                      <w:u w:val="single"/>
                    </w:rPr>
                    <w:t>的给水管作为生活和消防用水水源。</w:t>
                  </w:r>
                  <w:r>
                    <w:rPr>
                      <w:rFonts w:hint="eastAsia"/>
                      <w:sz w:val="21"/>
                      <w:szCs w:val="21"/>
                      <w:u w:val="single"/>
                      <w:lang w:val="en-US" w:eastAsia="zh-CN"/>
                    </w:rPr>
                    <w:t>依托湘阴妇女儿童医院（二期）建设项目集中供水。</w:t>
                  </w:r>
                </w:p>
              </w:tc>
              <w:tc>
                <w:tcPr>
                  <w:tcW w:w="729" w:type="pct"/>
                  <w:noWrap w:val="0"/>
                  <w:vAlign w:val="center"/>
                </w:tcPr>
                <w:p>
                  <w:pPr>
                    <w:widowControl/>
                    <w:jc w:val="center"/>
                    <w:rPr>
                      <w:rFonts w:hint="eastAsia"/>
                      <w:sz w:val="21"/>
                      <w:szCs w:val="21"/>
                      <w:u w:val="single"/>
                      <w:lang w:eastAsia="zh-CN"/>
                    </w:rPr>
                  </w:pPr>
                  <w:r>
                    <w:rPr>
                      <w:rFonts w:hint="eastAsia"/>
                      <w:sz w:val="21"/>
                      <w:szCs w:val="21"/>
                      <w:u w:val="single"/>
                      <w:lang w:val="en-US" w:eastAsia="zh-CN"/>
                    </w:rPr>
                    <w:t>依托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80" w:hRule="atLeast"/>
              </w:trPr>
              <w:tc>
                <w:tcPr>
                  <w:tcW w:w="436" w:type="pct"/>
                  <w:vMerge w:val="continue"/>
                  <w:noWrap w:val="0"/>
                  <w:vAlign w:val="center"/>
                </w:tcPr>
                <w:p>
                  <w:pPr>
                    <w:widowControl/>
                    <w:jc w:val="both"/>
                    <w:rPr>
                      <w:sz w:val="21"/>
                      <w:szCs w:val="21"/>
                      <w:u w:val="single"/>
                    </w:rPr>
                  </w:pPr>
                </w:p>
              </w:tc>
              <w:tc>
                <w:tcPr>
                  <w:tcW w:w="889" w:type="pct"/>
                  <w:gridSpan w:val="2"/>
                  <w:noWrap w:val="0"/>
                  <w:vAlign w:val="center"/>
                </w:tcPr>
                <w:p>
                  <w:pPr>
                    <w:widowControl/>
                    <w:jc w:val="center"/>
                    <w:rPr>
                      <w:sz w:val="21"/>
                      <w:szCs w:val="21"/>
                      <w:u w:val="single"/>
                    </w:rPr>
                  </w:pPr>
                  <w:r>
                    <w:rPr>
                      <w:sz w:val="21"/>
                      <w:szCs w:val="21"/>
                      <w:u w:val="single"/>
                    </w:rPr>
                    <w:t>排水</w:t>
                  </w:r>
                </w:p>
              </w:tc>
              <w:tc>
                <w:tcPr>
                  <w:tcW w:w="2945" w:type="pct"/>
                  <w:noWrap w:val="0"/>
                  <w:vAlign w:val="center"/>
                </w:tcPr>
                <w:p>
                  <w:pPr>
                    <w:widowControl/>
                    <w:jc w:val="both"/>
                    <w:rPr>
                      <w:sz w:val="21"/>
                      <w:szCs w:val="21"/>
                      <w:u w:val="single"/>
                    </w:rPr>
                  </w:pPr>
                  <w:r>
                    <w:rPr>
                      <w:rFonts w:hint="eastAsia"/>
                      <w:sz w:val="21"/>
                      <w:szCs w:val="21"/>
                      <w:u w:val="single"/>
                    </w:rPr>
                    <w:t>雨污分流，废水收集后，</w:t>
                  </w:r>
                  <w:r>
                    <w:rPr>
                      <w:rFonts w:hint="eastAsia"/>
                      <w:sz w:val="21"/>
                      <w:szCs w:val="21"/>
                      <w:u w:val="single"/>
                      <w:lang w:val="en-US" w:eastAsia="zh-CN"/>
                    </w:rPr>
                    <w:t>月子中心综合</w:t>
                  </w:r>
                  <w:r>
                    <w:rPr>
                      <w:rFonts w:hint="eastAsia"/>
                      <w:sz w:val="21"/>
                      <w:szCs w:val="21"/>
                      <w:u w:val="single"/>
                    </w:rPr>
                    <w:t>废水由排污管道汇总进入化粪池，经化粪池处理后</w:t>
                  </w:r>
                  <w:r>
                    <w:rPr>
                      <w:rFonts w:hint="eastAsia"/>
                      <w:sz w:val="21"/>
                      <w:szCs w:val="21"/>
                      <w:u w:val="single"/>
                      <w:lang w:val="en-US" w:eastAsia="zh-CN"/>
                    </w:rPr>
                    <w:t>再</w:t>
                  </w:r>
                  <w:r>
                    <w:rPr>
                      <w:rFonts w:hint="eastAsia"/>
                      <w:sz w:val="21"/>
                      <w:szCs w:val="21"/>
                      <w:u w:val="single"/>
                    </w:rPr>
                    <w:t>经过一道格栅，重力流入自流进入调节池，调节池出水提升进入一体化污水处理设备进行深度处理后进入西侧市政污水管网，再经湘阴县第二污水处理厂处理后排入湘江。</w:t>
                  </w:r>
                  <w:r>
                    <w:rPr>
                      <w:rFonts w:hint="eastAsia"/>
                      <w:sz w:val="21"/>
                      <w:szCs w:val="21"/>
                      <w:u w:val="single"/>
                      <w:lang w:val="en-US" w:eastAsia="zh-CN"/>
                    </w:rPr>
                    <w:t>依托湘阴妇女儿童医院（二期）建设项目集中排水。</w:t>
                  </w:r>
                </w:p>
              </w:tc>
              <w:tc>
                <w:tcPr>
                  <w:tcW w:w="729" w:type="pct"/>
                  <w:noWrap w:val="0"/>
                  <w:vAlign w:val="center"/>
                </w:tcPr>
                <w:p>
                  <w:pPr>
                    <w:widowControl/>
                    <w:jc w:val="center"/>
                    <w:rPr>
                      <w:rFonts w:hint="eastAsia"/>
                      <w:sz w:val="21"/>
                      <w:szCs w:val="21"/>
                      <w:u w:val="single"/>
                      <w:lang w:eastAsia="zh-CN"/>
                    </w:rPr>
                  </w:pPr>
                  <w:r>
                    <w:rPr>
                      <w:rFonts w:hint="eastAsia"/>
                      <w:sz w:val="21"/>
                      <w:szCs w:val="21"/>
                      <w:u w:val="single"/>
                      <w:lang w:val="en-US" w:eastAsia="zh-CN"/>
                    </w:rPr>
                    <w:t>依托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6" w:type="pct"/>
                  <w:vMerge w:val="continue"/>
                  <w:noWrap w:val="0"/>
                  <w:vAlign w:val="center"/>
                </w:tcPr>
                <w:p>
                  <w:pPr>
                    <w:widowControl/>
                    <w:jc w:val="both"/>
                    <w:rPr>
                      <w:sz w:val="21"/>
                      <w:szCs w:val="21"/>
                      <w:u w:val="single"/>
                    </w:rPr>
                  </w:pPr>
                </w:p>
              </w:tc>
              <w:tc>
                <w:tcPr>
                  <w:tcW w:w="889" w:type="pct"/>
                  <w:gridSpan w:val="2"/>
                  <w:noWrap w:val="0"/>
                  <w:vAlign w:val="center"/>
                </w:tcPr>
                <w:p>
                  <w:pPr>
                    <w:widowControl/>
                    <w:jc w:val="center"/>
                    <w:rPr>
                      <w:sz w:val="21"/>
                      <w:szCs w:val="21"/>
                      <w:u w:val="single"/>
                    </w:rPr>
                  </w:pPr>
                  <w:r>
                    <w:rPr>
                      <w:sz w:val="21"/>
                      <w:szCs w:val="21"/>
                      <w:u w:val="single"/>
                    </w:rPr>
                    <w:t>供电</w:t>
                  </w:r>
                </w:p>
              </w:tc>
              <w:tc>
                <w:tcPr>
                  <w:tcW w:w="2945" w:type="pct"/>
                  <w:noWrap w:val="0"/>
                  <w:vAlign w:val="center"/>
                </w:tcPr>
                <w:p>
                  <w:pPr>
                    <w:keepNext w:val="0"/>
                    <w:keepLines w:val="0"/>
                    <w:widowControl/>
                    <w:suppressLineNumbers w:val="0"/>
                    <w:jc w:val="both"/>
                    <w:rPr>
                      <w:sz w:val="21"/>
                      <w:szCs w:val="21"/>
                      <w:u w:val="single"/>
                    </w:rPr>
                  </w:pPr>
                  <w:r>
                    <w:rPr>
                      <w:rFonts w:hint="eastAsia"/>
                      <w:sz w:val="21"/>
                      <w:szCs w:val="21"/>
                      <w:u w:val="single"/>
                      <w:lang w:val="en-US" w:eastAsia="zh-CN"/>
                    </w:rPr>
                    <w:t>本项目与湘阴县妇女儿童医院（二期）建设项目整体考虑，设置</w:t>
                  </w:r>
                  <w:r>
                    <w:rPr>
                      <w:rFonts w:hint="default"/>
                      <w:sz w:val="21"/>
                      <w:szCs w:val="21"/>
                      <w:u w:val="single"/>
                      <w:lang w:val="en-US" w:eastAsia="zh-CN"/>
                    </w:rPr>
                    <w:t>1</w:t>
                  </w:r>
                  <w:r>
                    <w:rPr>
                      <w:rFonts w:hint="eastAsia"/>
                      <w:sz w:val="21"/>
                      <w:szCs w:val="21"/>
                      <w:u w:val="single"/>
                      <w:lang w:val="en-US" w:eastAsia="zh-CN"/>
                    </w:rPr>
                    <w:t>个</w:t>
                  </w:r>
                  <w:r>
                    <w:rPr>
                      <w:rFonts w:hint="default"/>
                      <w:sz w:val="21"/>
                      <w:szCs w:val="21"/>
                      <w:u w:val="single"/>
                      <w:lang w:val="en-US" w:eastAsia="zh-CN"/>
                    </w:rPr>
                    <w:t xml:space="preserve">10KV </w:t>
                  </w:r>
                  <w:r>
                    <w:rPr>
                      <w:rFonts w:hint="eastAsia"/>
                      <w:sz w:val="21"/>
                      <w:szCs w:val="21"/>
                      <w:u w:val="single"/>
                      <w:lang w:val="en-US" w:eastAsia="zh-CN"/>
                    </w:rPr>
                    <w:t>配电所，由城市电网引来两条独立的</w:t>
                  </w:r>
                  <w:r>
                    <w:rPr>
                      <w:rFonts w:hint="default"/>
                      <w:sz w:val="21"/>
                      <w:szCs w:val="21"/>
                      <w:u w:val="single"/>
                      <w:lang w:val="en-US" w:eastAsia="zh-CN"/>
                    </w:rPr>
                    <w:t>10KV</w:t>
                  </w:r>
                  <w:r>
                    <w:rPr>
                      <w:rFonts w:hint="eastAsia"/>
                      <w:sz w:val="21"/>
                      <w:szCs w:val="21"/>
                      <w:u w:val="single"/>
                      <w:lang w:val="en-US" w:eastAsia="zh-CN"/>
                    </w:rPr>
                    <w:t>架空专线电源供电，二级负荷由两台变压器各引一路低压回路在末端切换供电。在湘阴县妇女儿童医院（二期）建设项目地下室设置一台</w:t>
                  </w:r>
                  <w:r>
                    <w:rPr>
                      <w:rFonts w:hint="default"/>
                      <w:sz w:val="21"/>
                      <w:szCs w:val="21"/>
                      <w:u w:val="single"/>
                      <w:lang w:val="en-US" w:eastAsia="zh-CN"/>
                    </w:rPr>
                    <w:t>200KW</w:t>
                  </w:r>
                  <w:r>
                    <w:rPr>
                      <w:rFonts w:hint="eastAsia"/>
                      <w:sz w:val="21"/>
                      <w:szCs w:val="21"/>
                      <w:u w:val="single"/>
                      <w:lang w:val="en-US" w:eastAsia="zh-CN"/>
                    </w:rPr>
                    <w:t>柴油发电机作为一级负荷的备用电源，另利用</w:t>
                  </w:r>
                  <w:r>
                    <w:rPr>
                      <w:rFonts w:hint="default"/>
                      <w:sz w:val="21"/>
                      <w:szCs w:val="21"/>
                      <w:u w:val="single"/>
                      <w:lang w:val="en-US" w:eastAsia="zh-CN"/>
                    </w:rPr>
                    <w:t>EPS</w:t>
                  </w:r>
                  <w:r>
                    <w:rPr>
                      <w:rFonts w:hint="eastAsia"/>
                      <w:sz w:val="21"/>
                      <w:szCs w:val="21"/>
                      <w:u w:val="single"/>
                      <w:lang w:val="en-US" w:eastAsia="zh-CN"/>
                    </w:rPr>
                    <w:t>作为一级负荷中特别重要负荷的第三电源。本工程拟在湘阴县妇女儿童医院（二期）建设项目地下室设配电房一处，拟设置</w:t>
                  </w:r>
                  <w:r>
                    <w:rPr>
                      <w:rFonts w:hint="default"/>
                      <w:sz w:val="21"/>
                      <w:szCs w:val="21"/>
                      <w:u w:val="single"/>
                      <w:lang w:val="en-US" w:eastAsia="zh-CN"/>
                    </w:rPr>
                    <w:t>2*800KVA</w:t>
                  </w:r>
                  <w:r>
                    <w:rPr>
                      <w:rFonts w:hint="eastAsia"/>
                      <w:sz w:val="21"/>
                      <w:szCs w:val="21"/>
                      <w:u w:val="single"/>
                      <w:lang w:val="en-US" w:eastAsia="zh-CN"/>
                    </w:rPr>
                    <w:t>变压器</w:t>
                  </w:r>
                </w:p>
              </w:tc>
              <w:tc>
                <w:tcPr>
                  <w:tcW w:w="729" w:type="pct"/>
                  <w:noWrap w:val="0"/>
                  <w:vAlign w:val="center"/>
                </w:tcPr>
                <w:p>
                  <w:pPr>
                    <w:widowControl/>
                    <w:jc w:val="center"/>
                    <w:rPr>
                      <w:rFonts w:hint="eastAsia"/>
                      <w:sz w:val="21"/>
                      <w:szCs w:val="21"/>
                      <w:u w:val="single"/>
                      <w:lang w:eastAsia="zh-CN"/>
                    </w:rPr>
                  </w:pPr>
                  <w:r>
                    <w:rPr>
                      <w:rFonts w:hint="eastAsia"/>
                      <w:sz w:val="21"/>
                      <w:szCs w:val="21"/>
                      <w:u w:val="single"/>
                      <w:lang w:val="en-US" w:eastAsia="zh-CN"/>
                    </w:rPr>
                    <w:t>依托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7" w:hRule="atLeast"/>
              </w:trPr>
              <w:tc>
                <w:tcPr>
                  <w:tcW w:w="436" w:type="pct"/>
                  <w:vMerge w:val="continue"/>
                  <w:noWrap w:val="0"/>
                  <w:vAlign w:val="center"/>
                </w:tcPr>
                <w:p>
                  <w:pPr>
                    <w:widowControl/>
                    <w:jc w:val="both"/>
                    <w:rPr>
                      <w:sz w:val="21"/>
                      <w:szCs w:val="21"/>
                      <w:u w:val="single"/>
                    </w:rPr>
                  </w:pPr>
                </w:p>
              </w:tc>
              <w:tc>
                <w:tcPr>
                  <w:tcW w:w="889" w:type="pct"/>
                  <w:gridSpan w:val="2"/>
                  <w:noWrap w:val="0"/>
                  <w:vAlign w:val="center"/>
                </w:tcPr>
                <w:p>
                  <w:pPr>
                    <w:widowControl/>
                    <w:jc w:val="center"/>
                    <w:rPr>
                      <w:sz w:val="21"/>
                      <w:szCs w:val="21"/>
                      <w:u w:val="single"/>
                    </w:rPr>
                  </w:pPr>
                  <w:r>
                    <w:rPr>
                      <w:sz w:val="21"/>
                      <w:szCs w:val="21"/>
                      <w:u w:val="single"/>
                    </w:rPr>
                    <w:t>供暖</w:t>
                  </w:r>
                </w:p>
              </w:tc>
              <w:tc>
                <w:tcPr>
                  <w:tcW w:w="2945" w:type="pct"/>
                  <w:noWrap w:val="0"/>
                  <w:vAlign w:val="center"/>
                </w:tcPr>
                <w:p>
                  <w:pPr>
                    <w:widowControl/>
                    <w:jc w:val="both"/>
                    <w:rPr>
                      <w:rFonts w:hint="eastAsia"/>
                      <w:sz w:val="21"/>
                      <w:szCs w:val="21"/>
                      <w:u w:val="single"/>
                    </w:rPr>
                  </w:pPr>
                  <w:r>
                    <w:rPr>
                      <w:rFonts w:hint="eastAsia"/>
                      <w:sz w:val="21"/>
                      <w:szCs w:val="21"/>
                      <w:u w:val="single"/>
                    </w:rPr>
                    <w:t>设置</w:t>
                  </w:r>
                  <w:r>
                    <w:rPr>
                      <w:sz w:val="21"/>
                      <w:szCs w:val="21"/>
                      <w:u w:val="single"/>
                    </w:rPr>
                    <w:t>中央空调系统</w:t>
                  </w:r>
                  <w:r>
                    <w:rPr>
                      <w:rFonts w:hint="eastAsia"/>
                      <w:sz w:val="21"/>
                      <w:szCs w:val="21"/>
                      <w:u w:val="single"/>
                    </w:rPr>
                    <w:t>供暖。</w:t>
                  </w:r>
                </w:p>
              </w:tc>
              <w:tc>
                <w:tcPr>
                  <w:tcW w:w="729" w:type="pct"/>
                  <w:noWrap w:val="0"/>
                  <w:vAlign w:val="center"/>
                </w:tcPr>
                <w:p>
                  <w:pPr>
                    <w:widowControl/>
                    <w:jc w:val="center"/>
                    <w:rPr>
                      <w:sz w:val="21"/>
                      <w:szCs w:val="21"/>
                      <w:u w:val="single"/>
                    </w:rPr>
                  </w:pPr>
                  <w:r>
                    <w:rPr>
                      <w:sz w:val="21"/>
                      <w:szCs w:val="21"/>
                      <w:u w:val="single"/>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9" w:hRule="atLeast"/>
              </w:trPr>
              <w:tc>
                <w:tcPr>
                  <w:tcW w:w="436" w:type="pct"/>
                  <w:vMerge w:val="continue"/>
                  <w:noWrap w:val="0"/>
                  <w:vAlign w:val="center"/>
                </w:tcPr>
                <w:p>
                  <w:pPr>
                    <w:widowControl/>
                    <w:jc w:val="both"/>
                    <w:rPr>
                      <w:sz w:val="21"/>
                      <w:szCs w:val="21"/>
                      <w:u w:val="single"/>
                    </w:rPr>
                  </w:pPr>
                </w:p>
              </w:tc>
              <w:tc>
                <w:tcPr>
                  <w:tcW w:w="889" w:type="pct"/>
                  <w:gridSpan w:val="2"/>
                  <w:noWrap w:val="0"/>
                  <w:vAlign w:val="center"/>
                </w:tcPr>
                <w:p>
                  <w:pPr>
                    <w:widowControl/>
                    <w:jc w:val="center"/>
                    <w:rPr>
                      <w:sz w:val="21"/>
                      <w:szCs w:val="21"/>
                      <w:u w:val="single"/>
                    </w:rPr>
                  </w:pPr>
                  <w:r>
                    <w:rPr>
                      <w:rFonts w:hint="eastAsia"/>
                      <w:sz w:val="21"/>
                      <w:szCs w:val="21"/>
                      <w:u w:val="single"/>
                    </w:rPr>
                    <w:t>供热</w:t>
                  </w:r>
                </w:p>
              </w:tc>
              <w:tc>
                <w:tcPr>
                  <w:tcW w:w="2945" w:type="pct"/>
                  <w:noWrap w:val="0"/>
                  <w:vAlign w:val="center"/>
                </w:tcPr>
                <w:p>
                  <w:pPr>
                    <w:widowControl/>
                    <w:jc w:val="both"/>
                    <w:rPr>
                      <w:rFonts w:hint="eastAsia"/>
                      <w:sz w:val="21"/>
                      <w:szCs w:val="21"/>
                      <w:u w:val="single"/>
                    </w:rPr>
                  </w:pPr>
                  <w:r>
                    <w:rPr>
                      <w:sz w:val="21"/>
                      <w:szCs w:val="21"/>
                      <w:u w:val="single"/>
                    </w:rPr>
                    <w:t>燃气锅炉集中供应热水</w:t>
                  </w:r>
                  <w:r>
                    <w:rPr>
                      <w:rFonts w:hint="eastAsia"/>
                      <w:sz w:val="21"/>
                      <w:szCs w:val="21"/>
                      <w:u w:val="single"/>
                    </w:rPr>
                    <w:t>。</w:t>
                  </w:r>
                </w:p>
              </w:tc>
              <w:tc>
                <w:tcPr>
                  <w:tcW w:w="729" w:type="pct"/>
                  <w:noWrap w:val="0"/>
                  <w:vAlign w:val="center"/>
                </w:tcPr>
                <w:p>
                  <w:pPr>
                    <w:widowControl/>
                    <w:jc w:val="center"/>
                    <w:rPr>
                      <w:rFonts w:hint="eastAsia"/>
                      <w:sz w:val="21"/>
                      <w:szCs w:val="21"/>
                      <w:u w:val="single"/>
                      <w:lang w:eastAsia="zh-CN"/>
                    </w:rPr>
                  </w:pPr>
                  <w:r>
                    <w:rPr>
                      <w:rFonts w:hint="eastAsia"/>
                      <w:sz w:val="21"/>
                      <w:szCs w:val="21"/>
                      <w:u w:val="single"/>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1" w:hRule="atLeast"/>
              </w:trPr>
              <w:tc>
                <w:tcPr>
                  <w:tcW w:w="436" w:type="pct"/>
                  <w:vMerge w:val="continue"/>
                  <w:noWrap w:val="0"/>
                  <w:vAlign w:val="center"/>
                </w:tcPr>
                <w:p>
                  <w:pPr>
                    <w:widowControl/>
                    <w:jc w:val="both"/>
                    <w:rPr>
                      <w:sz w:val="21"/>
                      <w:szCs w:val="21"/>
                      <w:u w:val="single"/>
                    </w:rPr>
                  </w:pPr>
                </w:p>
              </w:tc>
              <w:tc>
                <w:tcPr>
                  <w:tcW w:w="889" w:type="pct"/>
                  <w:gridSpan w:val="2"/>
                  <w:noWrap w:val="0"/>
                  <w:vAlign w:val="center"/>
                </w:tcPr>
                <w:p>
                  <w:pPr>
                    <w:widowControl/>
                    <w:jc w:val="center"/>
                    <w:rPr>
                      <w:sz w:val="21"/>
                      <w:szCs w:val="21"/>
                      <w:u w:val="single"/>
                    </w:rPr>
                  </w:pPr>
                  <w:r>
                    <w:rPr>
                      <w:sz w:val="21"/>
                      <w:szCs w:val="21"/>
                      <w:u w:val="single"/>
                    </w:rPr>
                    <w:t>停车位</w:t>
                  </w:r>
                </w:p>
              </w:tc>
              <w:tc>
                <w:tcPr>
                  <w:tcW w:w="2945" w:type="pct"/>
                  <w:noWrap w:val="0"/>
                  <w:vAlign w:val="center"/>
                </w:tcPr>
                <w:p>
                  <w:pPr>
                    <w:widowControl/>
                    <w:jc w:val="both"/>
                    <w:rPr>
                      <w:rFonts w:hint="eastAsia"/>
                      <w:sz w:val="21"/>
                      <w:szCs w:val="21"/>
                      <w:u w:val="single"/>
                    </w:rPr>
                  </w:pPr>
                  <w:r>
                    <w:rPr>
                      <w:rFonts w:hint="eastAsia"/>
                      <w:sz w:val="21"/>
                      <w:szCs w:val="21"/>
                      <w:u w:val="single"/>
                    </w:rPr>
                    <w:t>地上停车位</w:t>
                  </w:r>
                  <w:r>
                    <w:rPr>
                      <w:rFonts w:hint="eastAsia"/>
                      <w:sz w:val="21"/>
                      <w:szCs w:val="21"/>
                      <w:u w:val="single"/>
                      <w:lang w:val="en-US" w:eastAsia="zh-CN"/>
                    </w:rPr>
                    <w:t>95</w:t>
                  </w:r>
                  <w:r>
                    <w:rPr>
                      <w:rFonts w:hint="eastAsia"/>
                      <w:sz w:val="21"/>
                      <w:szCs w:val="21"/>
                      <w:u w:val="single"/>
                    </w:rPr>
                    <w:t>个。</w:t>
                  </w:r>
                </w:p>
              </w:tc>
              <w:tc>
                <w:tcPr>
                  <w:tcW w:w="729" w:type="pct"/>
                  <w:noWrap w:val="0"/>
                  <w:vAlign w:val="center"/>
                </w:tcPr>
                <w:p>
                  <w:pPr>
                    <w:widowControl/>
                    <w:jc w:val="center"/>
                    <w:rPr>
                      <w:sz w:val="21"/>
                      <w:szCs w:val="21"/>
                      <w:u w:val="single"/>
                    </w:rPr>
                  </w:pPr>
                  <w:r>
                    <w:rPr>
                      <w:sz w:val="21"/>
                      <w:szCs w:val="21"/>
                      <w:u w:val="single"/>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trPr>
              <w:tc>
                <w:tcPr>
                  <w:tcW w:w="436" w:type="pct"/>
                  <w:vMerge w:val="restart"/>
                  <w:noWrap w:val="0"/>
                  <w:vAlign w:val="center"/>
                </w:tcPr>
                <w:p>
                  <w:pPr>
                    <w:widowControl/>
                    <w:jc w:val="both"/>
                    <w:rPr>
                      <w:sz w:val="21"/>
                      <w:szCs w:val="21"/>
                      <w:u w:val="single"/>
                    </w:rPr>
                  </w:pPr>
                  <w:r>
                    <w:rPr>
                      <w:sz w:val="21"/>
                      <w:szCs w:val="21"/>
                      <w:u w:val="single"/>
                    </w:rPr>
                    <w:t>环保工程</w:t>
                  </w:r>
                </w:p>
              </w:tc>
              <w:tc>
                <w:tcPr>
                  <w:tcW w:w="889" w:type="pct"/>
                  <w:gridSpan w:val="2"/>
                  <w:vMerge w:val="restart"/>
                  <w:noWrap w:val="0"/>
                  <w:vAlign w:val="center"/>
                </w:tcPr>
                <w:p>
                  <w:pPr>
                    <w:widowControl/>
                    <w:jc w:val="center"/>
                    <w:rPr>
                      <w:sz w:val="21"/>
                      <w:szCs w:val="21"/>
                      <w:u w:val="single"/>
                    </w:rPr>
                  </w:pPr>
                  <w:r>
                    <w:rPr>
                      <w:sz w:val="21"/>
                      <w:szCs w:val="21"/>
                      <w:u w:val="single"/>
                    </w:rPr>
                    <w:t>废水</w:t>
                  </w:r>
                </w:p>
              </w:tc>
              <w:tc>
                <w:tcPr>
                  <w:tcW w:w="2945" w:type="pct"/>
                  <w:noWrap w:val="0"/>
                  <w:vAlign w:val="center"/>
                </w:tcPr>
                <w:p>
                  <w:pPr>
                    <w:bidi w:val="0"/>
                    <w:rPr>
                      <w:rFonts w:hint="default"/>
                      <w:u w:val="single"/>
                      <w:lang w:val="en-US" w:eastAsia="zh-CN"/>
                    </w:rPr>
                  </w:pPr>
                  <w:r>
                    <w:rPr>
                      <w:rFonts w:hint="eastAsia"/>
                      <w:u w:val="single"/>
                      <w:lang w:val="en-US" w:eastAsia="zh-CN"/>
                    </w:rPr>
                    <w:t>食堂设置隔油池，食堂废水经隔油池预处理后，汇入一体化医疗污水处理设备处理。</w:t>
                  </w:r>
                </w:p>
              </w:tc>
              <w:tc>
                <w:tcPr>
                  <w:tcW w:w="729" w:type="pct"/>
                  <w:noWrap w:val="0"/>
                  <w:vAlign w:val="center"/>
                </w:tcPr>
                <w:p>
                  <w:pPr>
                    <w:widowControl/>
                    <w:jc w:val="center"/>
                    <w:rPr>
                      <w:rFonts w:hint="eastAsia" w:eastAsia="宋体"/>
                      <w:sz w:val="21"/>
                      <w:szCs w:val="21"/>
                      <w:u w:val="single"/>
                      <w:lang w:val="en-US" w:eastAsia="zh-CN"/>
                    </w:rPr>
                  </w:pPr>
                  <w:r>
                    <w:rPr>
                      <w:sz w:val="21"/>
                      <w:szCs w:val="21"/>
                      <w:u w:val="single"/>
                    </w:rPr>
                    <w:t>新建</w:t>
                  </w:r>
                  <w:r>
                    <w:rPr>
                      <w:rFonts w:hint="eastAsia"/>
                      <w:sz w:val="21"/>
                      <w:szCs w:val="21"/>
                      <w:u w:val="single"/>
                      <w:lang w:val="en-US" w:eastAsia="zh-CN"/>
                    </w:rPr>
                    <w:t>隔油池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77" w:hRule="atLeast"/>
              </w:trPr>
              <w:tc>
                <w:tcPr>
                  <w:tcW w:w="436" w:type="pct"/>
                  <w:vMerge w:val="continue"/>
                  <w:noWrap w:val="0"/>
                  <w:vAlign w:val="center"/>
                </w:tcPr>
                <w:p>
                  <w:pPr>
                    <w:widowControl/>
                    <w:jc w:val="both"/>
                    <w:rPr>
                      <w:sz w:val="21"/>
                      <w:szCs w:val="21"/>
                    </w:rPr>
                  </w:pPr>
                </w:p>
              </w:tc>
              <w:tc>
                <w:tcPr>
                  <w:tcW w:w="889" w:type="pct"/>
                  <w:gridSpan w:val="2"/>
                  <w:vMerge w:val="continue"/>
                  <w:noWrap w:val="0"/>
                  <w:vAlign w:val="center"/>
                </w:tcPr>
                <w:p>
                  <w:pPr>
                    <w:widowControl/>
                    <w:jc w:val="both"/>
                    <w:rPr>
                      <w:sz w:val="21"/>
                      <w:szCs w:val="21"/>
                      <w:u w:val="single"/>
                    </w:rPr>
                  </w:pPr>
                </w:p>
              </w:tc>
              <w:tc>
                <w:tcPr>
                  <w:tcW w:w="2945" w:type="pct"/>
                  <w:noWrap w:val="0"/>
                  <w:vAlign w:val="center"/>
                </w:tcPr>
                <w:p>
                  <w:pPr>
                    <w:bidi w:val="0"/>
                    <w:rPr>
                      <w:u w:val="single"/>
                    </w:rPr>
                  </w:pPr>
                  <w:r>
                    <w:rPr>
                      <w:rFonts w:hint="eastAsia"/>
                      <w:u w:val="single"/>
                      <w:lang w:val="en-US" w:eastAsia="zh-CN"/>
                    </w:rPr>
                    <w:t>项目</w:t>
                  </w:r>
                  <w:r>
                    <w:rPr>
                      <w:u w:val="single"/>
                      <w:lang w:val="en-US" w:eastAsia="zh-CN"/>
                    </w:rPr>
                    <w:t>所有污水汇集后统一进入西侧一体化医疗污水处理设备进行处理，处理后的污水达到《医疗机构水污染物排放标准》(GB 18466-2005)后，排入市政污水管道。</w:t>
                  </w:r>
                </w:p>
              </w:tc>
              <w:tc>
                <w:tcPr>
                  <w:tcW w:w="729" w:type="pct"/>
                  <w:noWrap w:val="0"/>
                  <w:vAlign w:val="center"/>
                </w:tcPr>
                <w:p>
                  <w:pPr>
                    <w:widowControl/>
                    <w:jc w:val="center"/>
                    <w:rPr>
                      <w:sz w:val="21"/>
                      <w:szCs w:val="21"/>
                      <w:u w:val="single"/>
                    </w:rPr>
                  </w:pPr>
                  <w:r>
                    <w:rPr>
                      <w:rFonts w:hint="eastAsia"/>
                      <w:sz w:val="21"/>
                      <w:szCs w:val="21"/>
                      <w:u w:val="single"/>
                      <w:lang w:val="en-US" w:eastAsia="zh-CN"/>
                    </w:rPr>
                    <w:t>依托湘阴县妇女儿童医院（二期）建设项目</w:t>
                  </w:r>
                  <w:r>
                    <w:rPr>
                      <w:u w:val="single"/>
                      <w:lang w:val="en-US" w:eastAsia="zh-CN"/>
                    </w:rPr>
                    <w:t>一体化医疗污水处理设备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3" w:hRule="atLeast"/>
              </w:trPr>
              <w:tc>
                <w:tcPr>
                  <w:tcW w:w="436" w:type="pct"/>
                  <w:vMerge w:val="continue"/>
                  <w:noWrap w:val="0"/>
                  <w:vAlign w:val="center"/>
                </w:tcPr>
                <w:p>
                  <w:pPr>
                    <w:widowControl/>
                    <w:jc w:val="both"/>
                    <w:rPr>
                      <w:sz w:val="21"/>
                      <w:szCs w:val="21"/>
                    </w:rPr>
                  </w:pPr>
                </w:p>
              </w:tc>
              <w:tc>
                <w:tcPr>
                  <w:tcW w:w="259" w:type="pct"/>
                  <w:vMerge w:val="restart"/>
                  <w:noWrap w:val="0"/>
                  <w:vAlign w:val="center"/>
                </w:tcPr>
                <w:p>
                  <w:pPr>
                    <w:widowControl/>
                    <w:jc w:val="both"/>
                    <w:rPr>
                      <w:rFonts w:hint="eastAsia" w:eastAsia="宋体"/>
                      <w:sz w:val="21"/>
                      <w:szCs w:val="21"/>
                      <w:u w:val="single"/>
                      <w:lang w:val="en-US" w:eastAsia="zh-CN"/>
                    </w:rPr>
                  </w:pPr>
                  <w:r>
                    <w:rPr>
                      <w:rFonts w:hint="eastAsia"/>
                      <w:sz w:val="21"/>
                      <w:szCs w:val="21"/>
                      <w:u w:val="single"/>
                      <w:lang w:val="en-US" w:eastAsia="zh-CN"/>
                    </w:rPr>
                    <w:t>废气</w:t>
                  </w:r>
                </w:p>
              </w:tc>
              <w:tc>
                <w:tcPr>
                  <w:tcW w:w="629" w:type="pct"/>
                  <w:noWrap w:val="0"/>
                  <w:vAlign w:val="center"/>
                </w:tcPr>
                <w:p>
                  <w:pPr>
                    <w:widowControl/>
                    <w:jc w:val="both"/>
                    <w:rPr>
                      <w:rFonts w:hint="default"/>
                      <w:sz w:val="21"/>
                      <w:szCs w:val="21"/>
                      <w:u w:val="single"/>
                      <w:lang w:val="en-US" w:eastAsia="zh-CN"/>
                    </w:rPr>
                  </w:pPr>
                  <w:r>
                    <w:rPr>
                      <w:rFonts w:hint="eastAsia"/>
                      <w:sz w:val="21"/>
                      <w:szCs w:val="21"/>
                      <w:u w:val="single"/>
                      <w:lang w:val="en-US" w:eastAsia="zh-CN"/>
                    </w:rPr>
                    <w:t>食堂油烟废气</w:t>
                  </w:r>
                </w:p>
              </w:tc>
              <w:tc>
                <w:tcPr>
                  <w:tcW w:w="2945" w:type="pct"/>
                  <w:noWrap w:val="0"/>
                  <w:vAlign w:val="center"/>
                </w:tcPr>
                <w:p>
                  <w:pPr>
                    <w:widowControl/>
                    <w:jc w:val="both"/>
                    <w:rPr>
                      <w:rFonts w:hint="default"/>
                      <w:sz w:val="21"/>
                      <w:szCs w:val="21"/>
                      <w:u w:val="single"/>
                      <w:lang w:val="en-US" w:eastAsia="zh-CN"/>
                    </w:rPr>
                  </w:pPr>
                  <w:r>
                    <w:rPr>
                      <w:rFonts w:hint="eastAsia"/>
                      <w:sz w:val="21"/>
                      <w:szCs w:val="21"/>
                      <w:u w:val="single"/>
                      <w:lang w:val="en-US" w:eastAsia="zh-CN"/>
                    </w:rPr>
                    <w:t>项目食堂安装油烟净化设备，油烟废气通过油烟净化器处理后经排气筒引至楼顶外排。</w:t>
                  </w:r>
                </w:p>
              </w:tc>
              <w:tc>
                <w:tcPr>
                  <w:tcW w:w="729" w:type="pct"/>
                  <w:noWrap w:val="0"/>
                  <w:vAlign w:val="center"/>
                </w:tcPr>
                <w:p>
                  <w:pPr>
                    <w:widowControl/>
                    <w:jc w:val="center"/>
                    <w:rPr>
                      <w:sz w:val="21"/>
                      <w:szCs w:val="21"/>
                      <w:u w:val="single"/>
                    </w:rPr>
                  </w:pPr>
                  <w:r>
                    <w:rPr>
                      <w:sz w:val="21"/>
                      <w:szCs w:val="21"/>
                      <w:u w:val="single"/>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5" w:hRule="atLeast"/>
              </w:trPr>
              <w:tc>
                <w:tcPr>
                  <w:tcW w:w="436" w:type="pct"/>
                  <w:vMerge w:val="continue"/>
                  <w:noWrap w:val="0"/>
                  <w:vAlign w:val="center"/>
                </w:tcPr>
                <w:p>
                  <w:pPr>
                    <w:widowControl/>
                    <w:jc w:val="both"/>
                    <w:rPr>
                      <w:sz w:val="21"/>
                      <w:szCs w:val="21"/>
                    </w:rPr>
                  </w:pPr>
                </w:p>
              </w:tc>
              <w:tc>
                <w:tcPr>
                  <w:tcW w:w="259" w:type="pct"/>
                  <w:vMerge w:val="continue"/>
                  <w:noWrap w:val="0"/>
                  <w:vAlign w:val="center"/>
                </w:tcPr>
                <w:p>
                  <w:pPr>
                    <w:widowControl/>
                    <w:jc w:val="both"/>
                    <w:rPr>
                      <w:sz w:val="21"/>
                      <w:szCs w:val="21"/>
                      <w:u w:val="single"/>
                    </w:rPr>
                  </w:pPr>
                </w:p>
              </w:tc>
              <w:tc>
                <w:tcPr>
                  <w:tcW w:w="629" w:type="pct"/>
                  <w:noWrap w:val="0"/>
                  <w:vAlign w:val="center"/>
                </w:tcPr>
                <w:p>
                  <w:pPr>
                    <w:widowControl/>
                    <w:jc w:val="both"/>
                    <w:rPr>
                      <w:rFonts w:hint="default"/>
                      <w:sz w:val="21"/>
                      <w:szCs w:val="21"/>
                      <w:u w:val="single"/>
                      <w:lang w:val="en-US" w:eastAsia="zh-CN"/>
                    </w:rPr>
                  </w:pPr>
                  <w:r>
                    <w:rPr>
                      <w:rFonts w:hint="eastAsia"/>
                      <w:sz w:val="21"/>
                      <w:szCs w:val="21"/>
                      <w:u w:val="single"/>
                      <w:lang w:val="en-US" w:eastAsia="zh-CN"/>
                    </w:rPr>
                    <w:t>锅炉废气</w:t>
                  </w:r>
                </w:p>
              </w:tc>
              <w:tc>
                <w:tcPr>
                  <w:tcW w:w="2945" w:type="pct"/>
                  <w:noWrap w:val="0"/>
                  <w:vAlign w:val="center"/>
                </w:tcPr>
                <w:p>
                  <w:pPr>
                    <w:widowControl/>
                    <w:jc w:val="both"/>
                    <w:rPr>
                      <w:rFonts w:hint="default"/>
                      <w:sz w:val="21"/>
                      <w:szCs w:val="21"/>
                      <w:u w:val="single"/>
                      <w:lang w:val="en-US" w:eastAsia="zh-CN"/>
                    </w:rPr>
                  </w:pPr>
                  <w:r>
                    <w:rPr>
                      <w:rFonts w:hint="eastAsia"/>
                      <w:sz w:val="21"/>
                      <w:szCs w:val="21"/>
                      <w:u w:val="single"/>
                      <w:lang w:val="en-US" w:eastAsia="zh-CN"/>
                    </w:rPr>
                    <w:t>本项目新建两台锅炉，单台制热量为1.163MW，单台燃气耗量：170Nm</w:t>
                  </w:r>
                  <w:r>
                    <w:rPr>
                      <w:rFonts w:hint="eastAsia"/>
                      <w:sz w:val="21"/>
                      <w:szCs w:val="21"/>
                      <w:u w:val="single"/>
                      <w:vertAlign w:val="superscript"/>
                      <w:lang w:val="en-US" w:eastAsia="zh-CN"/>
                    </w:rPr>
                    <w:t>3</w:t>
                  </w:r>
                  <w:r>
                    <w:rPr>
                      <w:rFonts w:hint="eastAsia"/>
                      <w:sz w:val="21"/>
                      <w:szCs w:val="21"/>
                      <w:u w:val="single"/>
                      <w:lang w:val="en-US" w:eastAsia="zh-CN"/>
                    </w:rPr>
                    <w:t>/h，</w:t>
                  </w:r>
                  <w:r>
                    <w:rPr>
                      <w:rFonts w:hint="eastAsia"/>
                      <w:sz w:val="21"/>
                      <w:szCs w:val="21"/>
                      <w:highlight w:val="none"/>
                      <w:u w:val="single"/>
                      <w:lang w:val="en-US" w:eastAsia="zh-CN"/>
                    </w:rPr>
                    <w:t>锅炉废气通过20.0m高的排气筒排放。</w:t>
                  </w:r>
                </w:p>
              </w:tc>
              <w:tc>
                <w:tcPr>
                  <w:tcW w:w="729" w:type="pct"/>
                  <w:noWrap w:val="0"/>
                  <w:vAlign w:val="center"/>
                </w:tcPr>
                <w:p>
                  <w:pPr>
                    <w:widowControl/>
                    <w:jc w:val="center"/>
                    <w:rPr>
                      <w:sz w:val="21"/>
                      <w:szCs w:val="21"/>
                      <w:u w:val="single"/>
                    </w:rPr>
                  </w:pPr>
                  <w:r>
                    <w:rPr>
                      <w:sz w:val="21"/>
                      <w:szCs w:val="21"/>
                      <w:u w:val="single"/>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0" w:hRule="atLeast"/>
              </w:trPr>
              <w:tc>
                <w:tcPr>
                  <w:tcW w:w="436" w:type="pct"/>
                  <w:vMerge w:val="continue"/>
                  <w:noWrap w:val="0"/>
                  <w:vAlign w:val="center"/>
                </w:tcPr>
                <w:p>
                  <w:pPr>
                    <w:widowControl/>
                    <w:jc w:val="both"/>
                    <w:rPr>
                      <w:sz w:val="21"/>
                      <w:szCs w:val="21"/>
                    </w:rPr>
                  </w:pPr>
                </w:p>
              </w:tc>
              <w:tc>
                <w:tcPr>
                  <w:tcW w:w="889" w:type="pct"/>
                  <w:gridSpan w:val="2"/>
                  <w:noWrap w:val="0"/>
                  <w:vAlign w:val="center"/>
                </w:tcPr>
                <w:p>
                  <w:pPr>
                    <w:widowControl/>
                    <w:jc w:val="center"/>
                    <w:rPr>
                      <w:sz w:val="21"/>
                      <w:szCs w:val="21"/>
                      <w:u w:val="single"/>
                    </w:rPr>
                  </w:pPr>
                  <w:r>
                    <w:rPr>
                      <w:sz w:val="21"/>
                      <w:szCs w:val="21"/>
                      <w:u w:val="single"/>
                    </w:rPr>
                    <w:t>噪声</w:t>
                  </w:r>
                </w:p>
              </w:tc>
              <w:tc>
                <w:tcPr>
                  <w:tcW w:w="2945" w:type="pct"/>
                  <w:noWrap w:val="0"/>
                  <w:vAlign w:val="center"/>
                </w:tcPr>
                <w:p>
                  <w:pPr>
                    <w:widowControl/>
                    <w:jc w:val="both"/>
                    <w:rPr>
                      <w:sz w:val="21"/>
                      <w:szCs w:val="21"/>
                      <w:u w:val="single"/>
                    </w:rPr>
                  </w:pPr>
                  <w:r>
                    <w:rPr>
                      <w:rFonts w:hint="eastAsia"/>
                      <w:sz w:val="21"/>
                      <w:szCs w:val="21"/>
                      <w:u w:val="single"/>
                      <w:lang w:val="en-US" w:eastAsia="zh-CN"/>
                    </w:rPr>
                    <w:t>锅炉房、水泵房、冷冻机房等均选用低噪声、高效率产品，各种设备设计减震基础，软接头以减少固体传声并采取吸音消音措施。</w:t>
                  </w:r>
                </w:p>
              </w:tc>
              <w:tc>
                <w:tcPr>
                  <w:tcW w:w="729" w:type="pct"/>
                  <w:noWrap w:val="0"/>
                  <w:vAlign w:val="center"/>
                </w:tcPr>
                <w:p>
                  <w:pPr>
                    <w:widowControl/>
                    <w:jc w:val="center"/>
                    <w:rPr>
                      <w:sz w:val="21"/>
                      <w:szCs w:val="21"/>
                      <w:u w:val="single"/>
                    </w:rPr>
                  </w:pPr>
                  <w:r>
                    <w:rPr>
                      <w:sz w:val="21"/>
                      <w:szCs w:val="21"/>
                      <w:u w:val="single"/>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46" w:hRule="atLeast"/>
              </w:trPr>
              <w:tc>
                <w:tcPr>
                  <w:tcW w:w="436" w:type="pct"/>
                  <w:vMerge w:val="continue"/>
                  <w:noWrap w:val="0"/>
                  <w:vAlign w:val="center"/>
                </w:tcPr>
                <w:p>
                  <w:pPr>
                    <w:widowControl/>
                    <w:jc w:val="both"/>
                    <w:rPr>
                      <w:sz w:val="21"/>
                      <w:szCs w:val="21"/>
                    </w:rPr>
                  </w:pPr>
                </w:p>
              </w:tc>
              <w:tc>
                <w:tcPr>
                  <w:tcW w:w="889" w:type="pct"/>
                  <w:gridSpan w:val="2"/>
                  <w:noWrap w:val="0"/>
                  <w:vAlign w:val="center"/>
                </w:tcPr>
                <w:p>
                  <w:pPr>
                    <w:widowControl/>
                    <w:jc w:val="center"/>
                    <w:rPr>
                      <w:sz w:val="21"/>
                      <w:szCs w:val="21"/>
                      <w:u w:val="single"/>
                    </w:rPr>
                  </w:pPr>
                  <w:r>
                    <w:rPr>
                      <w:sz w:val="21"/>
                      <w:szCs w:val="21"/>
                      <w:u w:val="single"/>
                    </w:rPr>
                    <w:t>固废</w:t>
                  </w:r>
                </w:p>
              </w:tc>
              <w:tc>
                <w:tcPr>
                  <w:tcW w:w="2945" w:type="pct"/>
                  <w:noWrap w:val="0"/>
                  <w:vAlign w:val="center"/>
                </w:tcPr>
                <w:p>
                  <w:pPr>
                    <w:widowControl/>
                    <w:jc w:val="both"/>
                    <w:rPr>
                      <w:rFonts w:hint="default"/>
                      <w:sz w:val="21"/>
                      <w:szCs w:val="21"/>
                      <w:u w:val="single"/>
                      <w:lang w:val="en-US" w:eastAsia="zh-CN"/>
                    </w:rPr>
                  </w:pPr>
                  <w:r>
                    <w:rPr>
                      <w:rFonts w:hint="eastAsia"/>
                      <w:sz w:val="21"/>
                      <w:szCs w:val="21"/>
                      <w:u w:val="single"/>
                      <w:lang w:val="en-US" w:eastAsia="zh-CN"/>
                    </w:rPr>
                    <w:t>新建</w:t>
                  </w:r>
                  <w:r>
                    <w:rPr>
                      <w:rFonts w:hint="eastAsia" w:eastAsia="宋体"/>
                      <w:sz w:val="21"/>
                      <w:szCs w:val="21"/>
                      <w:u w:val="single"/>
                      <w:lang w:val="en-US" w:eastAsia="zh-CN"/>
                    </w:rPr>
                    <w:t>垃圾站及医疗垃圾暂存间</w:t>
                  </w:r>
                  <w:r>
                    <w:rPr>
                      <w:rFonts w:hint="eastAsia"/>
                      <w:sz w:val="21"/>
                      <w:szCs w:val="21"/>
                      <w:u w:val="single"/>
                      <w:lang w:val="en-US" w:eastAsia="zh-CN"/>
                    </w:rPr>
                    <w:t>、</w:t>
                  </w:r>
                  <w:r>
                    <w:rPr>
                      <w:rFonts w:hint="eastAsia" w:eastAsia="宋体"/>
                      <w:sz w:val="21"/>
                      <w:szCs w:val="21"/>
                      <w:u w:val="single"/>
                      <w:lang w:val="en-US" w:eastAsia="zh-CN"/>
                    </w:rPr>
                    <w:t>一般固废暂存间，</w:t>
                  </w:r>
                  <w:r>
                    <w:rPr>
                      <w:sz w:val="21"/>
                      <w:szCs w:val="21"/>
                      <w:u w:val="single"/>
                    </w:rPr>
                    <w:t>建筑面积</w:t>
                  </w:r>
                  <w:r>
                    <w:rPr>
                      <w:rFonts w:hint="eastAsia"/>
                      <w:sz w:val="21"/>
                      <w:szCs w:val="21"/>
                      <w:u w:val="single"/>
                      <w:lang w:val="en-US" w:eastAsia="zh-CN"/>
                    </w:rPr>
                    <w:t>146</w:t>
                  </w:r>
                  <w:r>
                    <w:rPr>
                      <w:sz w:val="21"/>
                      <w:szCs w:val="21"/>
                      <w:u w:val="single"/>
                    </w:rPr>
                    <w:t>m</w:t>
                  </w:r>
                  <w:r>
                    <w:rPr>
                      <w:sz w:val="21"/>
                      <w:szCs w:val="21"/>
                      <w:u w:val="single"/>
                      <w:vertAlign w:val="superscript"/>
                    </w:rPr>
                    <w:t>2</w:t>
                  </w:r>
                  <w:r>
                    <w:rPr>
                      <w:rFonts w:hint="eastAsia"/>
                      <w:sz w:val="21"/>
                      <w:szCs w:val="21"/>
                      <w:u w:val="single"/>
                      <w:lang w:eastAsia="zh-CN"/>
                    </w:rPr>
                    <w:t>，</w:t>
                  </w:r>
                  <w:r>
                    <w:rPr>
                      <w:rFonts w:hint="eastAsia"/>
                      <w:sz w:val="21"/>
                      <w:szCs w:val="21"/>
                      <w:u w:val="single"/>
                      <w:lang w:val="en-US" w:eastAsia="zh-CN"/>
                    </w:rPr>
                    <w:t>建筑高度3.9m。</w:t>
                  </w:r>
                </w:p>
                <w:p>
                  <w:pPr>
                    <w:widowControl/>
                    <w:jc w:val="both"/>
                    <w:rPr>
                      <w:sz w:val="21"/>
                      <w:szCs w:val="21"/>
                      <w:u w:val="single"/>
                    </w:rPr>
                  </w:pPr>
                  <w:r>
                    <w:rPr>
                      <w:sz w:val="21"/>
                      <w:szCs w:val="21"/>
                      <w:u w:val="single"/>
                    </w:rPr>
                    <w:t>1、医疗废物暂存于医疗垃圾暂存间，定期委托有资质单位处置；</w:t>
                  </w:r>
                </w:p>
                <w:p>
                  <w:pPr>
                    <w:widowControl/>
                    <w:jc w:val="both"/>
                    <w:rPr>
                      <w:sz w:val="21"/>
                      <w:szCs w:val="21"/>
                      <w:u w:val="single"/>
                    </w:rPr>
                  </w:pPr>
                  <w:r>
                    <w:rPr>
                      <w:sz w:val="21"/>
                      <w:szCs w:val="21"/>
                      <w:u w:val="single"/>
                    </w:rPr>
                    <w:t>2、生活垃圾每日由环卫部门进行清运；</w:t>
                  </w:r>
                </w:p>
                <w:p>
                  <w:pPr>
                    <w:widowControl/>
                    <w:jc w:val="both"/>
                    <w:rPr>
                      <w:sz w:val="21"/>
                      <w:szCs w:val="21"/>
                      <w:u w:val="single"/>
                    </w:rPr>
                  </w:pPr>
                  <w:r>
                    <w:rPr>
                      <w:rFonts w:hint="eastAsia"/>
                      <w:sz w:val="21"/>
                      <w:szCs w:val="21"/>
                      <w:u w:val="single"/>
                      <w:lang w:val="en-US" w:eastAsia="zh-CN"/>
                    </w:rPr>
                    <w:t>3</w:t>
                  </w:r>
                  <w:r>
                    <w:rPr>
                      <w:sz w:val="21"/>
                      <w:szCs w:val="21"/>
                      <w:u w:val="single"/>
                    </w:rPr>
                    <w:t>、一般固废：暂存于</w:t>
                  </w:r>
                  <w:r>
                    <w:rPr>
                      <w:rFonts w:hint="eastAsia" w:eastAsia="宋体"/>
                      <w:sz w:val="21"/>
                      <w:szCs w:val="21"/>
                      <w:u w:val="single"/>
                      <w:lang w:val="en-US" w:eastAsia="zh-CN"/>
                    </w:rPr>
                    <w:t>一般固废</w:t>
                  </w:r>
                  <w:r>
                    <w:rPr>
                      <w:sz w:val="21"/>
                      <w:szCs w:val="21"/>
                      <w:u w:val="single"/>
                    </w:rPr>
                    <w:t>暂存间</w:t>
                  </w:r>
                  <w:r>
                    <w:rPr>
                      <w:rFonts w:hint="eastAsia"/>
                      <w:sz w:val="21"/>
                      <w:szCs w:val="21"/>
                      <w:u w:val="single"/>
                      <w:lang w:eastAsia="zh-CN"/>
                    </w:rPr>
                    <w:t>，</w:t>
                  </w:r>
                  <w:r>
                    <w:rPr>
                      <w:sz w:val="21"/>
                      <w:szCs w:val="21"/>
                      <w:u w:val="single"/>
                    </w:rPr>
                    <w:t>交由物资回收公司综合利用。</w:t>
                  </w:r>
                </w:p>
              </w:tc>
              <w:tc>
                <w:tcPr>
                  <w:tcW w:w="729" w:type="pct"/>
                  <w:noWrap w:val="0"/>
                  <w:vAlign w:val="center"/>
                </w:tcPr>
                <w:p>
                  <w:pPr>
                    <w:pStyle w:val="2"/>
                    <w:jc w:val="center"/>
                    <w:rPr>
                      <w:rFonts w:hint="eastAsia"/>
                      <w:sz w:val="21"/>
                      <w:szCs w:val="21"/>
                      <w:u w:val="single"/>
                      <w:lang w:val="en-US" w:eastAsia="zh-CN"/>
                    </w:rPr>
                  </w:pPr>
                  <w:r>
                    <w:rPr>
                      <w:rFonts w:hint="eastAsia"/>
                      <w:sz w:val="21"/>
                      <w:szCs w:val="21"/>
                      <w:u w:val="single"/>
                      <w:lang w:val="en-US" w:eastAsia="zh-CN"/>
                    </w:rPr>
                    <w:t>新建</w:t>
                  </w:r>
                </w:p>
              </w:tc>
            </w:tr>
          </w:tbl>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outlineLvl w:val="9"/>
              <w:rPr>
                <w:rFonts w:hint="eastAsia"/>
              </w:rPr>
            </w:pPr>
          </w:p>
          <w:p>
            <w:pPr>
              <w:spacing w:line="360" w:lineRule="auto"/>
              <w:ind w:firstLine="480" w:firstLineChars="200"/>
              <w:rPr>
                <w:rFonts w:hint="eastAsia" w:ascii="Times New Roman" w:hAnsi="Times New Roman" w:eastAsia="宋体" w:cs="Times New Roman"/>
                <w:sz w:val="24"/>
                <w:u w:val="single"/>
                <w:lang w:val="en-US" w:eastAsia="zh-CN"/>
              </w:rPr>
            </w:pPr>
            <w:r>
              <w:rPr>
                <w:rFonts w:hint="eastAsia" w:ascii="Times New Roman" w:hAnsi="Times New Roman" w:eastAsia="宋体" w:cs="Times New Roman"/>
                <w:sz w:val="24"/>
                <w:u w:val="single"/>
                <w:lang w:val="en-US" w:eastAsia="zh-CN"/>
              </w:rPr>
              <w:t>湘阴县妇女儿童医院（二期）建设</w:t>
            </w:r>
            <w:r>
              <w:rPr>
                <w:rFonts w:hint="eastAsia" w:ascii="Times New Roman" w:hAnsi="Times New Roman" w:eastAsia="宋体" w:cs="Times New Roman"/>
                <w:sz w:val="24"/>
                <w:u w:val="single"/>
              </w:rPr>
              <w:t>项目建设工期为12个月，自2022年7月至2023年8月，项目实施进度计划如下：（1）2022年6月，完成立项、初步设计、施工图设计及招标等前期准备工作。（2）2022年7月~2023年7月，项目施工。</w:t>
            </w:r>
            <w:r>
              <w:rPr>
                <w:rFonts w:hint="eastAsia" w:ascii="Times New Roman" w:hAnsi="Times New Roman" w:eastAsia="宋体" w:cs="Times New Roman"/>
                <w:sz w:val="24"/>
                <w:u w:val="single"/>
                <w:lang w:val="en-US" w:eastAsia="zh-CN"/>
              </w:rPr>
              <w:t>（3）2023年8月，项目竣工验收，做好交付使用前准备工作。</w:t>
            </w:r>
          </w:p>
          <w:p>
            <w:pPr>
              <w:spacing w:line="360" w:lineRule="auto"/>
              <w:ind w:firstLine="480" w:firstLineChars="200"/>
              <w:rPr>
                <w:rFonts w:hint="default" w:ascii="Times New Roman" w:hAnsi="Times New Roman" w:eastAsia="宋体" w:cs="Times New Roman"/>
                <w:sz w:val="24"/>
                <w:u w:val="single"/>
                <w:lang w:val="en-US" w:eastAsia="zh-CN"/>
              </w:rPr>
            </w:pPr>
            <w:r>
              <w:rPr>
                <w:rFonts w:hint="eastAsia" w:ascii="Times New Roman" w:hAnsi="Times New Roman" w:eastAsia="宋体" w:cs="Times New Roman"/>
                <w:sz w:val="24"/>
                <w:u w:val="single"/>
                <w:lang w:val="en-US" w:eastAsia="zh-CN"/>
              </w:rPr>
              <w:t>湘阴县妇女儿童医院（二期）建设项目相对本项目提前4个月竣工。因此，本项目依托湘阴县妇女儿童医院（二期）建设项目的污水处理、供电等设施可行。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1"/>
              <w:rPr>
                <w:rFonts w:hint="eastAsia"/>
                <w:sz w:val="24"/>
                <w:szCs w:val="24"/>
              </w:rPr>
            </w:pPr>
            <w:r>
              <w:rPr>
                <w:rFonts w:hint="eastAsia"/>
                <w:sz w:val="24"/>
                <w:szCs w:val="24"/>
              </w:rPr>
              <w:t>2.1原辅材料消耗和主要设备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1"/>
              <w:rPr>
                <w:rFonts w:hint="eastAsia"/>
                <w:sz w:val="24"/>
                <w:szCs w:val="24"/>
              </w:rPr>
            </w:pPr>
            <w:r>
              <w:rPr>
                <w:rFonts w:hint="eastAsia"/>
                <w:sz w:val="24"/>
                <w:szCs w:val="24"/>
              </w:rPr>
              <w:t>根据建设方提供的相关资料，项目主要原辅材料消耗、所需设备见下表：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1"/>
              <w:rPr>
                <w:rFonts w:hint="eastAsia"/>
                <w:sz w:val="24"/>
                <w:szCs w:val="24"/>
              </w:rPr>
            </w:pPr>
            <w:r>
              <w:rPr>
                <w:rFonts w:hint="eastAsia"/>
                <w:sz w:val="24"/>
                <w:szCs w:val="24"/>
              </w:rPr>
              <w:t>（1）项目主要原辅材料消耗见表2-3。</w:t>
            </w:r>
          </w:p>
          <w:p>
            <w:pPr>
              <w:spacing w:line="240" w:lineRule="auto"/>
              <w:ind w:firstLine="422" w:firstLineChars="200"/>
              <w:jc w:val="center"/>
              <w:outlineLvl w:val="1"/>
              <w:rPr>
                <w:rFonts w:hint="eastAsia"/>
                <w:b/>
                <w:bCs/>
                <w:sz w:val="21"/>
                <w:szCs w:val="21"/>
                <w:lang w:val="en-US" w:eastAsia="zh-CN"/>
              </w:rPr>
            </w:pPr>
            <w:r>
              <w:rPr>
                <w:rFonts w:hint="eastAsia"/>
                <w:b/>
                <w:bCs/>
                <w:sz w:val="21"/>
                <w:szCs w:val="21"/>
                <w:lang w:val="en-US" w:eastAsia="zh-CN"/>
              </w:rPr>
              <w:t>2-3原辅材料及能源消耗表</w:t>
            </w:r>
          </w:p>
          <w:tbl>
            <w:tblPr>
              <w:tblStyle w:val="26"/>
              <w:tblW w:w="0" w:type="auto"/>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93"/>
              <w:gridCol w:w="2757"/>
              <w:gridCol w:w="2341"/>
              <w:gridCol w:w="20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93" w:type="dxa"/>
                  <w:tcBorders>
                    <w:tl2br w:val="nil"/>
                    <w:tr2bl w:val="nil"/>
                  </w:tcBorders>
                  <w:vAlign w:val="center"/>
                </w:tcPr>
                <w:p>
                  <w:pPr>
                    <w:bidi w:val="0"/>
                    <w:jc w:val="center"/>
                    <w:rPr>
                      <w:rFonts w:hint="default"/>
                      <w:b/>
                      <w:bCs/>
                      <w:lang w:val="en-US" w:eastAsia="zh-CN"/>
                    </w:rPr>
                  </w:pPr>
                  <w:r>
                    <w:rPr>
                      <w:rFonts w:hint="eastAsia"/>
                      <w:b/>
                      <w:bCs/>
                      <w:lang w:val="en-US" w:eastAsia="zh-CN"/>
                    </w:rPr>
                    <w:t>序号</w:t>
                  </w:r>
                </w:p>
              </w:tc>
              <w:tc>
                <w:tcPr>
                  <w:tcW w:w="2757" w:type="dxa"/>
                  <w:tcBorders>
                    <w:tl2br w:val="nil"/>
                    <w:tr2bl w:val="nil"/>
                  </w:tcBorders>
                  <w:vAlign w:val="center"/>
                </w:tcPr>
                <w:p>
                  <w:pPr>
                    <w:bidi w:val="0"/>
                    <w:jc w:val="center"/>
                    <w:rPr>
                      <w:rFonts w:hint="default"/>
                      <w:b/>
                      <w:bCs/>
                      <w:lang w:val="en-US" w:eastAsia="zh-CN"/>
                    </w:rPr>
                  </w:pPr>
                  <w:r>
                    <w:rPr>
                      <w:rFonts w:hint="eastAsia"/>
                      <w:b/>
                      <w:bCs/>
                      <w:lang w:val="en-US" w:eastAsia="zh-CN"/>
                    </w:rPr>
                    <w:t>品名</w:t>
                  </w:r>
                </w:p>
              </w:tc>
              <w:tc>
                <w:tcPr>
                  <w:tcW w:w="2341" w:type="dxa"/>
                  <w:tcBorders>
                    <w:tl2br w:val="nil"/>
                    <w:tr2bl w:val="nil"/>
                  </w:tcBorders>
                  <w:vAlign w:val="center"/>
                </w:tcPr>
                <w:p>
                  <w:pPr>
                    <w:bidi w:val="0"/>
                    <w:jc w:val="center"/>
                    <w:rPr>
                      <w:rFonts w:hint="default"/>
                      <w:b/>
                      <w:bCs/>
                      <w:lang w:val="en-US" w:eastAsia="zh-CN"/>
                    </w:rPr>
                  </w:pPr>
                  <w:r>
                    <w:rPr>
                      <w:rFonts w:hint="eastAsia"/>
                      <w:b/>
                      <w:bCs/>
                      <w:lang w:val="en-US" w:eastAsia="zh-CN"/>
                    </w:rPr>
                    <w:t>床位满员时年消耗量</w:t>
                  </w:r>
                </w:p>
              </w:tc>
              <w:tc>
                <w:tcPr>
                  <w:tcW w:w="2097" w:type="dxa"/>
                  <w:tcBorders>
                    <w:tl2br w:val="nil"/>
                    <w:tr2bl w:val="nil"/>
                  </w:tcBorders>
                  <w:vAlign w:val="center"/>
                </w:tcPr>
                <w:p>
                  <w:pPr>
                    <w:bidi w:val="0"/>
                    <w:jc w:val="center"/>
                    <w:rPr>
                      <w:rFonts w:hint="default"/>
                      <w:b/>
                      <w:bCs/>
                      <w:lang w:val="en-US" w:eastAsia="zh-CN"/>
                    </w:rPr>
                  </w:pPr>
                  <w:r>
                    <w:rPr>
                      <w:rFonts w:hint="eastAsia"/>
                      <w:b/>
                      <w:bCs/>
                      <w:lang w:val="en-US" w:eastAsia="zh-CN"/>
                    </w:rPr>
                    <w:t>规格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93" w:type="dxa"/>
                  <w:tcBorders>
                    <w:tl2br w:val="nil"/>
                    <w:tr2bl w:val="nil"/>
                  </w:tcBorders>
                  <w:vAlign w:val="center"/>
                </w:tcPr>
                <w:p>
                  <w:pPr>
                    <w:bidi w:val="0"/>
                    <w:jc w:val="center"/>
                    <w:rPr>
                      <w:rFonts w:hint="default"/>
                      <w:lang w:val="en-US" w:eastAsia="zh-CN"/>
                    </w:rPr>
                  </w:pPr>
                  <w:r>
                    <w:rPr>
                      <w:rFonts w:hint="eastAsia"/>
                      <w:lang w:val="en-US" w:eastAsia="zh-CN"/>
                    </w:rPr>
                    <w:t>1</w:t>
                  </w:r>
                </w:p>
              </w:tc>
              <w:tc>
                <w:tcPr>
                  <w:tcW w:w="2757" w:type="dxa"/>
                  <w:tcBorders>
                    <w:tl2br w:val="nil"/>
                    <w:tr2bl w:val="nil"/>
                  </w:tcBorders>
                  <w:vAlign w:val="center"/>
                </w:tcPr>
                <w:p>
                  <w:pPr>
                    <w:bidi w:val="0"/>
                    <w:jc w:val="center"/>
                    <w:rPr>
                      <w:rFonts w:hint="default"/>
                      <w:lang w:val="en-US" w:eastAsia="zh-CN"/>
                    </w:rPr>
                  </w:pPr>
                  <w:r>
                    <w:rPr>
                      <w:rFonts w:hint="eastAsia"/>
                      <w:lang w:val="en-US" w:eastAsia="zh-CN"/>
                    </w:rPr>
                    <w:t>84消毒液</w:t>
                  </w:r>
                </w:p>
              </w:tc>
              <w:tc>
                <w:tcPr>
                  <w:tcW w:w="2341" w:type="dxa"/>
                  <w:tcBorders>
                    <w:tl2br w:val="nil"/>
                    <w:tr2bl w:val="nil"/>
                  </w:tcBorders>
                  <w:vAlign w:val="center"/>
                </w:tcPr>
                <w:p>
                  <w:pPr>
                    <w:bidi w:val="0"/>
                    <w:jc w:val="center"/>
                    <w:rPr>
                      <w:rFonts w:hint="default"/>
                      <w:lang w:val="en-US" w:eastAsia="zh-CN"/>
                    </w:rPr>
                  </w:pPr>
                  <w:r>
                    <w:rPr>
                      <w:rFonts w:hint="eastAsia"/>
                      <w:lang w:val="en-US" w:eastAsia="zh-CN"/>
                    </w:rPr>
                    <w:t>1800瓶</w:t>
                  </w:r>
                </w:p>
              </w:tc>
              <w:tc>
                <w:tcPr>
                  <w:tcW w:w="2097" w:type="dxa"/>
                  <w:tcBorders>
                    <w:tl2br w:val="nil"/>
                    <w:tr2bl w:val="nil"/>
                  </w:tcBorders>
                  <w:vAlign w:val="center"/>
                </w:tcPr>
                <w:p>
                  <w:pPr>
                    <w:bidi w:val="0"/>
                    <w:jc w:val="center"/>
                    <w:rPr>
                      <w:rFonts w:hint="default"/>
                      <w:lang w:val="en-US" w:eastAsia="zh-CN"/>
                    </w:rPr>
                  </w:pPr>
                  <w:r>
                    <w:rPr>
                      <w:rFonts w:hint="eastAsia"/>
                      <w:lang w:val="en-US" w:eastAsia="zh-CN"/>
                    </w:rPr>
                    <w:t>500mL/瓶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93" w:type="dxa"/>
                  <w:tcBorders>
                    <w:tl2br w:val="nil"/>
                    <w:tr2bl w:val="nil"/>
                  </w:tcBorders>
                  <w:vAlign w:val="center"/>
                </w:tcPr>
                <w:p>
                  <w:pPr>
                    <w:bidi w:val="0"/>
                    <w:jc w:val="center"/>
                    <w:rPr>
                      <w:rFonts w:hint="default"/>
                      <w:lang w:val="en-US" w:eastAsia="zh-CN"/>
                    </w:rPr>
                  </w:pPr>
                  <w:r>
                    <w:rPr>
                      <w:rFonts w:hint="eastAsia"/>
                      <w:lang w:val="en-US" w:eastAsia="zh-CN"/>
                    </w:rPr>
                    <w:t>2</w:t>
                  </w:r>
                </w:p>
              </w:tc>
              <w:tc>
                <w:tcPr>
                  <w:tcW w:w="2757" w:type="dxa"/>
                  <w:tcBorders>
                    <w:tl2br w:val="nil"/>
                    <w:tr2bl w:val="nil"/>
                  </w:tcBorders>
                  <w:vAlign w:val="center"/>
                </w:tcPr>
                <w:p>
                  <w:pPr>
                    <w:bidi w:val="0"/>
                    <w:jc w:val="center"/>
                    <w:rPr>
                      <w:rFonts w:hint="default"/>
                      <w:lang w:val="en-US" w:eastAsia="zh-CN"/>
                    </w:rPr>
                  </w:pPr>
                  <w:r>
                    <w:rPr>
                      <w:rFonts w:hint="eastAsia"/>
                      <w:lang w:val="en-US" w:eastAsia="zh-CN"/>
                    </w:rPr>
                    <w:t>络合碘</w:t>
                  </w:r>
                </w:p>
              </w:tc>
              <w:tc>
                <w:tcPr>
                  <w:tcW w:w="2341" w:type="dxa"/>
                  <w:tcBorders>
                    <w:tl2br w:val="nil"/>
                    <w:tr2bl w:val="nil"/>
                  </w:tcBorders>
                  <w:vAlign w:val="center"/>
                </w:tcPr>
                <w:p>
                  <w:pPr>
                    <w:bidi w:val="0"/>
                    <w:jc w:val="center"/>
                    <w:rPr>
                      <w:rFonts w:hint="default"/>
                      <w:lang w:val="en-US" w:eastAsia="zh-CN"/>
                    </w:rPr>
                  </w:pPr>
                  <w:r>
                    <w:rPr>
                      <w:rFonts w:hint="eastAsia"/>
                      <w:lang w:val="en-US" w:eastAsia="zh-CN"/>
                    </w:rPr>
                    <w:t>4500瓶</w:t>
                  </w:r>
                </w:p>
              </w:tc>
              <w:tc>
                <w:tcPr>
                  <w:tcW w:w="2097" w:type="dxa"/>
                  <w:tcBorders>
                    <w:tl2br w:val="nil"/>
                    <w:tr2bl w:val="nil"/>
                  </w:tcBorders>
                  <w:vAlign w:val="center"/>
                </w:tcPr>
                <w:p>
                  <w:pPr>
                    <w:bidi w:val="0"/>
                    <w:jc w:val="center"/>
                    <w:rPr>
                      <w:rFonts w:hint="default"/>
                      <w:lang w:val="en-US" w:eastAsia="zh-CN"/>
                    </w:rPr>
                  </w:pPr>
                  <w:r>
                    <w:rPr>
                      <w:rFonts w:hint="eastAsia"/>
                      <w:lang w:val="en-US" w:eastAsia="zh-CN"/>
                    </w:rPr>
                    <w:t>100mL/瓶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93" w:type="dxa"/>
                  <w:tcBorders>
                    <w:tl2br w:val="nil"/>
                    <w:tr2bl w:val="nil"/>
                  </w:tcBorders>
                  <w:vAlign w:val="center"/>
                </w:tcPr>
                <w:p>
                  <w:pPr>
                    <w:bidi w:val="0"/>
                    <w:jc w:val="center"/>
                    <w:rPr>
                      <w:rFonts w:hint="default"/>
                      <w:lang w:val="en-US" w:eastAsia="zh-CN"/>
                    </w:rPr>
                  </w:pPr>
                  <w:r>
                    <w:rPr>
                      <w:rFonts w:hint="eastAsia"/>
                      <w:lang w:val="en-US" w:eastAsia="zh-CN"/>
                    </w:rPr>
                    <w:t>3</w:t>
                  </w:r>
                </w:p>
              </w:tc>
              <w:tc>
                <w:tcPr>
                  <w:tcW w:w="2757" w:type="dxa"/>
                  <w:tcBorders>
                    <w:tl2br w:val="nil"/>
                    <w:tr2bl w:val="nil"/>
                  </w:tcBorders>
                  <w:vAlign w:val="center"/>
                </w:tcPr>
                <w:p>
                  <w:pPr>
                    <w:bidi w:val="0"/>
                    <w:jc w:val="center"/>
                    <w:rPr>
                      <w:rFonts w:hint="default"/>
                      <w:lang w:val="en-US" w:eastAsia="zh-CN"/>
                    </w:rPr>
                  </w:pPr>
                  <w:r>
                    <w:rPr>
                      <w:rFonts w:hint="eastAsia"/>
                      <w:lang w:val="en-US" w:eastAsia="zh-CN"/>
                    </w:rPr>
                    <w:t>无水乙醇</w:t>
                  </w:r>
                </w:p>
              </w:tc>
              <w:tc>
                <w:tcPr>
                  <w:tcW w:w="2341" w:type="dxa"/>
                  <w:tcBorders>
                    <w:tl2br w:val="nil"/>
                    <w:tr2bl w:val="nil"/>
                  </w:tcBorders>
                  <w:vAlign w:val="center"/>
                </w:tcPr>
                <w:p>
                  <w:pPr>
                    <w:bidi w:val="0"/>
                    <w:jc w:val="center"/>
                    <w:rPr>
                      <w:rFonts w:hint="default"/>
                      <w:lang w:val="en-US" w:eastAsia="zh-CN"/>
                    </w:rPr>
                  </w:pPr>
                  <w:r>
                    <w:rPr>
                      <w:rFonts w:hint="eastAsia"/>
                      <w:lang w:val="en-US" w:eastAsia="zh-CN"/>
                    </w:rPr>
                    <w:t>20瓶</w:t>
                  </w:r>
                </w:p>
              </w:tc>
              <w:tc>
                <w:tcPr>
                  <w:tcW w:w="2097" w:type="dxa"/>
                  <w:tcBorders>
                    <w:tl2br w:val="nil"/>
                    <w:tr2bl w:val="nil"/>
                  </w:tcBorders>
                  <w:vAlign w:val="center"/>
                </w:tcPr>
                <w:p>
                  <w:pPr>
                    <w:bidi w:val="0"/>
                    <w:jc w:val="center"/>
                    <w:rPr>
                      <w:rFonts w:hint="default"/>
                      <w:lang w:val="en-US" w:eastAsia="zh-CN"/>
                    </w:rPr>
                  </w:pPr>
                  <w:r>
                    <w:rPr>
                      <w:rFonts w:hint="eastAsia"/>
                      <w:lang w:val="en-US" w:eastAsia="zh-CN"/>
                    </w:rPr>
                    <w:t>500mL/瓶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93" w:type="dxa"/>
                  <w:tcBorders>
                    <w:tl2br w:val="nil"/>
                    <w:tr2bl w:val="nil"/>
                  </w:tcBorders>
                  <w:vAlign w:val="center"/>
                </w:tcPr>
                <w:p>
                  <w:pPr>
                    <w:bidi w:val="0"/>
                    <w:jc w:val="center"/>
                    <w:rPr>
                      <w:rFonts w:hint="default"/>
                      <w:lang w:val="en-US" w:eastAsia="zh-CN"/>
                    </w:rPr>
                  </w:pPr>
                  <w:r>
                    <w:rPr>
                      <w:rFonts w:hint="eastAsia"/>
                      <w:lang w:val="en-US" w:eastAsia="zh-CN"/>
                    </w:rPr>
                    <w:t>4</w:t>
                  </w:r>
                </w:p>
              </w:tc>
              <w:tc>
                <w:tcPr>
                  <w:tcW w:w="2757" w:type="dxa"/>
                  <w:tcBorders>
                    <w:tl2br w:val="nil"/>
                    <w:tr2bl w:val="nil"/>
                  </w:tcBorders>
                  <w:vAlign w:val="center"/>
                </w:tcPr>
                <w:p>
                  <w:pPr>
                    <w:bidi w:val="0"/>
                    <w:jc w:val="center"/>
                    <w:rPr>
                      <w:rFonts w:hint="default"/>
                      <w:lang w:val="en-US" w:eastAsia="zh-CN"/>
                    </w:rPr>
                  </w:pPr>
                  <w:r>
                    <w:rPr>
                      <w:rFonts w:hint="eastAsia"/>
                      <w:lang w:val="en-US" w:eastAsia="zh-CN"/>
                    </w:rPr>
                    <w:t>乙醇（75%）</w:t>
                  </w:r>
                </w:p>
              </w:tc>
              <w:tc>
                <w:tcPr>
                  <w:tcW w:w="2341" w:type="dxa"/>
                  <w:tcBorders>
                    <w:tl2br w:val="nil"/>
                    <w:tr2bl w:val="nil"/>
                  </w:tcBorders>
                  <w:vAlign w:val="center"/>
                </w:tcPr>
                <w:p>
                  <w:pPr>
                    <w:bidi w:val="0"/>
                    <w:jc w:val="center"/>
                    <w:rPr>
                      <w:rFonts w:hint="default"/>
                      <w:lang w:val="en-US" w:eastAsia="zh-CN"/>
                    </w:rPr>
                  </w:pPr>
                  <w:r>
                    <w:rPr>
                      <w:rFonts w:hint="eastAsia"/>
                      <w:lang w:val="en-US" w:eastAsia="zh-CN"/>
                    </w:rPr>
                    <w:t>4000瓶</w:t>
                  </w:r>
                </w:p>
              </w:tc>
              <w:tc>
                <w:tcPr>
                  <w:tcW w:w="2097" w:type="dxa"/>
                  <w:tcBorders>
                    <w:tl2br w:val="nil"/>
                    <w:tr2bl w:val="nil"/>
                  </w:tcBorders>
                  <w:vAlign w:val="center"/>
                </w:tcPr>
                <w:p>
                  <w:pPr>
                    <w:bidi w:val="0"/>
                    <w:jc w:val="center"/>
                    <w:rPr>
                      <w:rFonts w:hint="default"/>
                      <w:lang w:val="en-US" w:eastAsia="zh-CN"/>
                    </w:rPr>
                  </w:pPr>
                  <w:r>
                    <w:rPr>
                      <w:rFonts w:hint="eastAsia"/>
                      <w:lang w:val="en-US" w:eastAsia="zh-CN"/>
                    </w:rPr>
                    <w:t>100mL/瓶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93" w:type="dxa"/>
                  <w:tcBorders>
                    <w:tl2br w:val="nil"/>
                    <w:tr2bl w:val="nil"/>
                  </w:tcBorders>
                  <w:vAlign w:val="center"/>
                </w:tcPr>
                <w:p>
                  <w:pPr>
                    <w:bidi w:val="0"/>
                    <w:jc w:val="center"/>
                    <w:rPr>
                      <w:rFonts w:hint="default"/>
                      <w:lang w:val="en-US" w:eastAsia="zh-CN"/>
                    </w:rPr>
                  </w:pPr>
                  <w:r>
                    <w:rPr>
                      <w:rFonts w:hint="eastAsia"/>
                      <w:lang w:val="en-US" w:eastAsia="zh-CN"/>
                    </w:rPr>
                    <w:t>5</w:t>
                  </w:r>
                </w:p>
              </w:tc>
              <w:tc>
                <w:tcPr>
                  <w:tcW w:w="2757" w:type="dxa"/>
                  <w:tcBorders>
                    <w:tl2br w:val="nil"/>
                    <w:tr2bl w:val="nil"/>
                  </w:tcBorders>
                  <w:vAlign w:val="center"/>
                </w:tcPr>
                <w:p>
                  <w:pPr>
                    <w:bidi w:val="0"/>
                    <w:jc w:val="center"/>
                    <w:rPr>
                      <w:rFonts w:hint="default"/>
                      <w:lang w:val="en-US" w:eastAsia="zh-CN"/>
                    </w:rPr>
                  </w:pPr>
                  <w:r>
                    <w:rPr>
                      <w:rFonts w:hint="eastAsia"/>
                      <w:lang w:val="en-US" w:eastAsia="zh-CN"/>
                    </w:rPr>
                    <w:t>双氧水</w:t>
                  </w:r>
                </w:p>
              </w:tc>
              <w:tc>
                <w:tcPr>
                  <w:tcW w:w="2341" w:type="dxa"/>
                  <w:tcBorders>
                    <w:tl2br w:val="nil"/>
                    <w:tr2bl w:val="nil"/>
                  </w:tcBorders>
                  <w:vAlign w:val="center"/>
                </w:tcPr>
                <w:p>
                  <w:pPr>
                    <w:bidi w:val="0"/>
                    <w:jc w:val="center"/>
                    <w:rPr>
                      <w:rFonts w:hint="default"/>
                      <w:lang w:val="en-US" w:eastAsia="zh-CN"/>
                    </w:rPr>
                  </w:pPr>
                  <w:r>
                    <w:rPr>
                      <w:rFonts w:hint="eastAsia"/>
                      <w:lang w:val="en-US" w:eastAsia="zh-CN"/>
                    </w:rPr>
                    <w:t>30瓶</w:t>
                  </w:r>
                </w:p>
              </w:tc>
              <w:tc>
                <w:tcPr>
                  <w:tcW w:w="2097" w:type="dxa"/>
                  <w:tcBorders>
                    <w:tl2br w:val="nil"/>
                    <w:tr2bl w:val="nil"/>
                  </w:tcBorders>
                  <w:vAlign w:val="center"/>
                </w:tcPr>
                <w:p>
                  <w:pPr>
                    <w:bidi w:val="0"/>
                    <w:jc w:val="center"/>
                    <w:rPr>
                      <w:rFonts w:hint="default"/>
                      <w:lang w:val="en-US" w:eastAsia="zh-CN"/>
                    </w:rPr>
                  </w:pPr>
                  <w:r>
                    <w:rPr>
                      <w:rFonts w:hint="eastAsia"/>
                      <w:lang w:val="en-US" w:eastAsia="zh-CN"/>
                    </w:rPr>
                    <w:t>100mL/瓶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93" w:type="dxa"/>
                  <w:tcBorders>
                    <w:tl2br w:val="nil"/>
                    <w:tr2bl w:val="nil"/>
                  </w:tcBorders>
                  <w:vAlign w:val="center"/>
                </w:tcPr>
                <w:p>
                  <w:pPr>
                    <w:bidi w:val="0"/>
                    <w:jc w:val="center"/>
                    <w:rPr>
                      <w:rFonts w:hint="default"/>
                      <w:lang w:val="en-US" w:eastAsia="zh-CN"/>
                    </w:rPr>
                  </w:pPr>
                  <w:r>
                    <w:rPr>
                      <w:rFonts w:hint="eastAsia"/>
                      <w:lang w:val="en-US" w:eastAsia="zh-CN"/>
                    </w:rPr>
                    <w:t>6</w:t>
                  </w:r>
                </w:p>
              </w:tc>
              <w:tc>
                <w:tcPr>
                  <w:tcW w:w="2757" w:type="dxa"/>
                  <w:tcBorders>
                    <w:tl2br w:val="nil"/>
                    <w:tr2bl w:val="nil"/>
                  </w:tcBorders>
                  <w:vAlign w:val="center"/>
                </w:tcPr>
                <w:p>
                  <w:pPr>
                    <w:bidi w:val="0"/>
                    <w:jc w:val="center"/>
                    <w:rPr>
                      <w:rFonts w:hint="default"/>
                      <w:lang w:val="en-US" w:eastAsia="zh-CN"/>
                    </w:rPr>
                  </w:pPr>
                  <w:r>
                    <w:rPr>
                      <w:rFonts w:hint="eastAsia"/>
                      <w:lang w:val="en-US" w:eastAsia="zh-CN"/>
                    </w:rPr>
                    <w:t>生理盐水</w:t>
                  </w:r>
                </w:p>
              </w:tc>
              <w:tc>
                <w:tcPr>
                  <w:tcW w:w="2341" w:type="dxa"/>
                  <w:tcBorders>
                    <w:tl2br w:val="nil"/>
                    <w:tr2bl w:val="nil"/>
                  </w:tcBorders>
                  <w:vAlign w:val="center"/>
                </w:tcPr>
                <w:p>
                  <w:pPr>
                    <w:bidi w:val="0"/>
                    <w:jc w:val="center"/>
                    <w:rPr>
                      <w:rFonts w:hint="default"/>
                      <w:lang w:val="en-US" w:eastAsia="zh-CN"/>
                    </w:rPr>
                  </w:pPr>
                  <w:r>
                    <w:rPr>
                      <w:rFonts w:hint="eastAsia"/>
                      <w:lang w:val="en-US" w:eastAsia="zh-CN"/>
                    </w:rPr>
                    <w:t>3000瓶</w:t>
                  </w:r>
                </w:p>
              </w:tc>
              <w:tc>
                <w:tcPr>
                  <w:tcW w:w="2097" w:type="dxa"/>
                  <w:tcBorders>
                    <w:tl2br w:val="nil"/>
                    <w:tr2bl w:val="nil"/>
                  </w:tcBorders>
                  <w:vAlign w:val="center"/>
                </w:tcPr>
                <w:p>
                  <w:pPr>
                    <w:bidi w:val="0"/>
                    <w:jc w:val="center"/>
                    <w:rPr>
                      <w:rFonts w:hint="default"/>
                      <w:lang w:val="en-US" w:eastAsia="zh-CN"/>
                    </w:rPr>
                  </w:pPr>
                  <w:r>
                    <w:rPr>
                      <w:rFonts w:hint="eastAsia"/>
                      <w:lang w:val="en-US" w:eastAsia="zh-CN"/>
                    </w:rPr>
                    <w:t>400mL/瓶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93" w:type="dxa"/>
                  <w:tcBorders>
                    <w:tl2br w:val="nil"/>
                    <w:tr2bl w:val="nil"/>
                  </w:tcBorders>
                  <w:vAlign w:val="center"/>
                </w:tcPr>
                <w:p>
                  <w:pPr>
                    <w:bidi w:val="0"/>
                    <w:jc w:val="center"/>
                    <w:rPr>
                      <w:rFonts w:hint="default"/>
                      <w:lang w:val="en-US" w:eastAsia="zh-CN"/>
                    </w:rPr>
                  </w:pPr>
                  <w:r>
                    <w:rPr>
                      <w:rFonts w:hint="eastAsia"/>
                      <w:lang w:val="en-US" w:eastAsia="zh-CN"/>
                    </w:rPr>
                    <w:t>7</w:t>
                  </w:r>
                </w:p>
              </w:tc>
              <w:tc>
                <w:tcPr>
                  <w:tcW w:w="2757" w:type="dxa"/>
                  <w:tcBorders>
                    <w:tl2br w:val="nil"/>
                    <w:tr2bl w:val="nil"/>
                  </w:tcBorders>
                  <w:vAlign w:val="center"/>
                </w:tcPr>
                <w:p>
                  <w:pPr>
                    <w:bidi w:val="0"/>
                    <w:jc w:val="center"/>
                    <w:rPr>
                      <w:rFonts w:hint="default"/>
                      <w:lang w:val="en-US" w:eastAsia="zh-CN"/>
                    </w:rPr>
                  </w:pPr>
                  <w:r>
                    <w:rPr>
                      <w:rFonts w:hint="eastAsia"/>
                      <w:lang w:val="en-US" w:eastAsia="zh-CN"/>
                    </w:rPr>
                    <w:t>溶血素</w:t>
                  </w:r>
                </w:p>
              </w:tc>
              <w:tc>
                <w:tcPr>
                  <w:tcW w:w="2341" w:type="dxa"/>
                  <w:tcBorders>
                    <w:tl2br w:val="nil"/>
                    <w:tr2bl w:val="nil"/>
                  </w:tcBorders>
                  <w:vAlign w:val="center"/>
                </w:tcPr>
                <w:p>
                  <w:pPr>
                    <w:bidi w:val="0"/>
                    <w:jc w:val="center"/>
                    <w:rPr>
                      <w:rFonts w:hint="default"/>
                      <w:lang w:val="en-US" w:eastAsia="zh-CN"/>
                    </w:rPr>
                  </w:pPr>
                  <w:r>
                    <w:rPr>
                      <w:rFonts w:hint="eastAsia"/>
                      <w:lang w:val="en-US" w:eastAsia="zh-CN"/>
                    </w:rPr>
                    <w:t>30支</w:t>
                  </w:r>
                </w:p>
              </w:tc>
              <w:tc>
                <w:tcPr>
                  <w:tcW w:w="2097" w:type="dxa"/>
                  <w:tcBorders>
                    <w:tl2br w:val="nil"/>
                    <w:tr2bl w:val="nil"/>
                  </w:tcBorders>
                  <w:vAlign w:val="center"/>
                </w:tcPr>
                <w:p>
                  <w:pPr>
                    <w:bidi w:val="0"/>
                    <w:jc w:val="center"/>
                    <w:rPr>
                      <w:rFonts w:hint="default"/>
                      <w:lang w:val="en-US" w:eastAsia="zh-CN"/>
                    </w:rPr>
                  </w:pPr>
                  <w:r>
                    <w:rPr>
                      <w:rFonts w:hint="eastAsia"/>
                      <w:lang w:val="en-US" w:eastAsia="zh-CN"/>
                    </w:rPr>
                    <w:t>10mL/支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93" w:type="dxa"/>
                  <w:tcBorders>
                    <w:tl2br w:val="nil"/>
                    <w:tr2bl w:val="nil"/>
                  </w:tcBorders>
                  <w:vAlign w:val="center"/>
                </w:tcPr>
                <w:p>
                  <w:pPr>
                    <w:bidi w:val="0"/>
                    <w:jc w:val="center"/>
                    <w:rPr>
                      <w:rFonts w:hint="default"/>
                      <w:lang w:val="en-US" w:eastAsia="zh-CN"/>
                    </w:rPr>
                  </w:pPr>
                  <w:r>
                    <w:rPr>
                      <w:rFonts w:hint="eastAsia"/>
                      <w:lang w:val="en-US" w:eastAsia="zh-CN"/>
                    </w:rPr>
                    <w:t>8</w:t>
                  </w:r>
                </w:p>
              </w:tc>
              <w:tc>
                <w:tcPr>
                  <w:tcW w:w="2757" w:type="dxa"/>
                  <w:tcBorders>
                    <w:tl2br w:val="nil"/>
                    <w:tr2bl w:val="nil"/>
                  </w:tcBorders>
                  <w:vAlign w:val="center"/>
                </w:tcPr>
                <w:p>
                  <w:pPr>
                    <w:bidi w:val="0"/>
                    <w:jc w:val="center"/>
                    <w:rPr>
                      <w:rFonts w:hint="default"/>
                      <w:lang w:val="en-US" w:eastAsia="zh-CN"/>
                    </w:rPr>
                  </w:pPr>
                  <w:r>
                    <w:rPr>
                      <w:rFonts w:hint="eastAsia"/>
                      <w:lang w:val="en-US" w:eastAsia="zh-CN"/>
                    </w:rPr>
                    <w:t>稀释液</w:t>
                  </w:r>
                </w:p>
              </w:tc>
              <w:tc>
                <w:tcPr>
                  <w:tcW w:w="2341" w:type="dxa"/>
                  <w:tcBorders>
                    <w:tl2br w:val="nil"/>
                    <w:tr2bl w:val="nil"/>
                  </w:tcBorders>
                  <w:vAlign w:val="center"/>
                </w:tcPr>
                <w:p>
                  <w:pPr>
                    <w:bidi w:val="0"/>
                    <w:jc w:val="center"/>
                    <w:rPr>
                      <w:rFonts w:hint="default"/>
                      <w:lang w:val="en-US" w:eastAsia="zh-CN"/>
                    </w:rPr>
                  </w:pPr>
                  <w:r>
                    <w:rPr>
                      <w:rFonts w:hint="eastAsia"/>
                      <w:lang w:val="en-US" w:eastAsia="zh-CN"/>
                    </w:rPr>
                    <w:t>50桶</w:t>
                  </w:r>
                </w:p>
              </w:tc>
              <w:tc>
                <w:tcPr>
                  <w:tcW w:w="2097" w:type="dxa"/>
                  <w:tcBorders>
                    <w:tl2br w:val="nil"/>
                    <w:tr2bl w:val="nil"/>
                  </w:tcBorders>
                  <w:vAlign w:val="center"/>
                </w:tcPr>
                <w:p>
                  <w:pPr>
                    <w:bidi w:val="0"/>
                    <w:jc w:val="center"/>
                    <w:rPr>
                      <w:rFonts w:hint="default"/>
                      <w:lang w:val="en-US" w:eastAsia="zh-CN"/>
                    </w:rPr>
                  </w:pPr>
                  <w:r>
                    <w:rPr>
                      <w:rFonts w:hint="eastAsia"/>
                      <w:lang w:val="en-US" w:eastAsia="zh-CN"/>
                    </w:rPr>
                    <w:t>20L/桶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93" w:type="dxa"/>
                  <w:tcBorders>
                    <w:tl2br w:val="nil"/>
                    <w:tr2bl w:val="nil"/>
                  </w:tcBorders>
                  <w:vAlign w:val="center"/>
                </w:tcPr>
                <w:p>
                  <w:pPr>
                    <w:bidi w:val="0"/>
                    <w:jc w:val="center"/>
                    <w:rPr>
                      <w:rFonts w:hint="default"/>
                      <w:lang w:val="en-US" w:eastAsia="zh-CN"/>
                    </w:rPr>
                  </w:pPr>
                  <w:r>
                    <w:rPr>
                      <w:rFonts w:hint="eastAsia"/>
                      <w:lang w:val="en-US" w:eastAsia="zh-CN"/>
                    </w:rPr>
                    <w:t>9</w:t>
                  </w:r>
                </w:p>
              </w:tc>
              <w:tc>
                <w:tcPr>
                  <w:tcW w:w="2757" w:type="dxa"/>
                  <w:tcBorders>
                    <w:tl2br w:val="nil"/>
                    <w:tr2bl w:val="nil"/>
                  </w:tcBorders>
                  <w:vAlign w:val="center"/>
                </w:tcPr>
                <w:p>
                  <w:pPr>
                    <w:bidi w:val="0"/>
                    <w:jc w:val="center"/>
                    <w:rPr>
                      <w:rFonts w:hint="default"/>
                      <w:lang w:val="en-US" w:eastAsia="zh-CN"/>
                    </w:rPr>
                  </w:pPr>
                  <w:r>
                    <w:rPr>
                      <w:rFonts w:hint="eastAsia"/>
                      <w:lang w:val="en-US" w:eastAsia="zh-CN"/>
                    </w:rPr>
                    <w:t>氧气</w:t>
                  </w:r>
                </w:p>
              </w:tc>
              <w:tc>
                <w:tcPr>
                  <w:tcW w:w="2341" w:type="dxa"/>
                  <w:tcBorders>
                    <w:tl2br w:val="nil"/>
                    <w:tr2bl w:val="nil"/>
                  </w:tcBorders>
                  <w:vAlign w:val="center"/>
                </w:tcPr>
                <w:p>
                  <w:pPr>
                    <w:bidi w:val="0"/>
                    <w:jc w:val="center"/>
                    <w:rPr>
                      <w:rFonts w:hint="default"/>
                      <w:lang w:val="en-US" w:eastAsia="zh-CN"/>
                    </w:rPr>
                  </w:pPr>
                  <w:r>
                    <w:rPr>
                      <w:rFonts w:hint="eastAsia"/>
                      <w:lang w:val="en-US" w:eastAsia="zh-CN"/>
                    </w:rPr>
                    <w:t>10瓶</w:t>
                  </w:r>
                </w:p>
              </w:tc>
              <w:tc>
                <w:tcPr>
                  <w:tcW w:w="2097" w:type="dxa"/>
                  <w:tcBorders>
                    <w:tl2br w:val="nil"/>
                    <w:tr2bl w:val="nil"/>
                  </w:tcBorders>
                  <w:vAlign w:val="center"/>
                </w:tcPr>
                <w:p>
                  <w:pPr>
                    <w:bidi w:val="0"/>
                    <w:jc w:val="center"/>
                    <w:rPr>
                      <w:rFonts w:hint="default"/>
                      <w:lang w:val="en-US" w:eastAsia="zh-CN"/>
                    </w:rPr>
                  </w:pPr>
                  <w:r>
                    <w:rPr>
                      <w:rFonts w:hint="eastAsia"/>
                      <w:lang w:val="en-US" w:eastAsia="zh-CN"/>
                    </w:rPr>
                    <w:t>40L/瓶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93" w:type="dxa"/>
                  <w:tcBorders>
                    <w:tl2br w:val="nil"/>
                    <w:tr2bl w:val="nil"/>
                  </w:tcBorders>
                  <w:vAlign w:val="center"/>
                </w:tcPr>
                <w:p>
                  <w:pPr>
                    <w:bidi w:val="0"/>
                    <w:jc w:val="center"/>
                    <w:rPr>
                      <w:rFonts w:hint="default"/>
                      <w:lang w:val="en-US" w:eastAsia="zh-CN"/>
                    </w:rPr>
                  </w:pPr>
                  <w:r>
                    <w:rPr>
                      <w:rFonts w:hint="eastAsia"/>
                      <w:lang w:val="en-US" w:eastAsia="zh-CN"/>
                    </w:rPr>
                    <w:t>10</w:t>
                  </w:r>
                </w:p>
              </w:tc>
              <w:tc>
                <w:tcPr>
                  <w:tcW w:w="2757" w:type="dxa"/>
                  <w:tcBorders>
                    <w:tl2br w:val="nil"/>
                    <w:tr2bl w:val="nil"/>
                  </w:tcBorders>
                  <w:vAlign w:val="center"/>
                </w:tcPr>
                <w:p>
                  <w:pPr>
                    <w:bidi w:val="0"/>
                    <w:jc w:val="center"/>
                    <w:rPr>
                      <w:rFonts w:hint="default"/>
                      <w:lang w:val="en-US" w:eastAsia="zh-CN"/>
                    </w:rPr>
                  </w:pPr>
                  <w:r>
                    <w:rPr>
                      <w:rFonts w:hint="eastAsia"/>
                      <w:lang w:val="en-US" w:eastAsia="zh-CN"/>
                    </w:rPr>
                    <w:t>输液器</w:t>
                  </w:r>
                </w:p>
              </w:tc>
              <w:tc>
                <w:tcPr>
                  <w:tcW w:w="2341" w:type="dxa"/>
                  <w:tcBorders>
                    <w:tl2br w:val="nil"/>
                    <w:tr2bl w:val="nil"/>
                  </w:tcBorders>
                  <w:vAlign w:val="center"/>
                </w:tcPr>
                <w:p>
                  <w:pPr>
                    <w:bidi w:val="0"/>
                    <w:jc w:val="center"/>
                    <w:rPr>
                      <w:rFonts w:hint="default"/>
                      <w:lang w:val="en-US" w:eastAsia="zh-CN"/>
                    </w:rPr>
                  </w:pPr>
                  <w:r>
                    <w:rPr>
                      <w:rFonts w:hint="eastAsia"/>
                      <w:lang w:val="en-US" w:eastAsia="zh-CN"/>
                    </w:rPr>
                    <w:t>30件</w:t>
                  </w:r>
                </w:p>
              </w:tc>
              <w:tc>
                <w:tcPr>
                  <w:tcW w:w="2097" w:type="dxa"/>
                  <w:tcBorders>
                    <w:tl2br w:val="nil"/>
                    <w:tr2bl w:val="nil"/>
                  </w:tcBorders>
                  <w:vAlign w:val="center"/>
                </w:tcPr>
                <w:p>
                  <w:pPr>
                    <w:bidi w:val="0"/>
                    <w:jc w:val="center"/>
                    <w:rPr>
                      <w:rFonts w:hint="default"/>
                      <w:lang w:val="en-US" w:eastAsia="zh-CN"/>
                    </w:rPr>
                  </w:pPr>
                  <w:r>
                    <w:rPr>
                      <w:rFonts w:hint="eastAsia"/>
                      <w:lang w:val="en-US" w:eastAsia="zh-CN"/>
                    </w:rPr>
                    <w:t>500个/件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93" w:type="dxa"/>
                  <w:tcBorders>
                    <w:tl2br w:val="nil"/>
                    <w:tr2bl w:val="nil"/>
                  </w:tcBorders>
                  <w:vAlign w:val="center"/>
                </w:tcPr>
                <w:p>
                  <w:pPr>
                    <w:bidi w:val="0"/>
                    <w:jc w:val="center"/>
                    <w:rPr>
                      <w:rFonts w:hint="default"/>
                      <w:lang w:val="en-US" w:eastAsia="zh-CN"/>
                    </w:rPr>
                  </w:pPr>
                  <w:r>
                    <w:rPr>
                      <w:rFonts w:hint="eastAsia"/>
                      <w:lang w:val="en-US" w:eastAsia="zh-CN"/>
                    </w:rPr>
                    <w:t>11</w:t>
                  </w:r>
                </w:p>
              </w:tc>
              <w:tc>
                <w:tcPr>
                  <w:tcW w:w="2757" w:type="dxa"/>
                  <w:tcBorders>
                    <w:tl2br w:val="nil"/>
                    <w:tr2bl w:val="nil"/>
                  </w:tcBorders>
                  <w:vAlign w:val="center"/>
                </w:tcPr>
                <w:p>
                  <w:pPr>
                    <w:bidi w:val="0"/>
                    <w:jc w:val="center"/>
                    <w:rPr>
                      <w:rFonts w:hint="default"/>
                      <w:lang w:val="en-US" w:eastAsia="zh-CN"/>
                    </w:rPr>
                  </w:pPr>
                  <w:r>
                    <w:rPr>
                      <w:rFonts w:hint="eastAsia"/>
                      <w:lang w:val="en-US" w:eastAsia="zh-CN"/>
                    </w:rPr>
                    <w:t>一次性注射器</w:t>
                  </w:r>
                </w:p>
              </w:tc>
              <w:tc>
                <w:tcPr>
                  <w:tcW w:w="2341" w:type="dxa"/>
                  <w:tcBorders>
                    <w:tl2br w:val="nil"/>
                    <w:tr2bl w:val="nil"/>
                  </w:tcBorders>
                  <w:vAlign w:val="center"/>
                </w:tcPr>
                <w:p>
                  <w:pPr>
                    <w:bidi w:val="0"/>
                    <w:jc w:val="center"/>
                    <w:rPr>
                      <w:rFonts w:hint="default"/>
                      <w:lang w:val="en-US" w:eastAsia="zh-CN"/>
                    </w:rPr>
                  </w:pPr>
                  <w:r>
                    <w:rPr>
                      <w:rFonts w:hint="eastAsia"/>
                      <w:lang w:val="en-US" w:eastAsia="zh-CN"/>
                    </w:rPr>
                    <w:t>150件</w:t>
                  </w:r>
                </w:p>
              </w:tc>
              <w:tc>
                <w:tcPr>
                  <w:tcW w:w="2097" w:type="dxa"/>
                  <w:tcBorders>
                    <w:tl2br w:val="nil"/>
                    <w:tr2bl w:val="nil"/>
                  </w:tcBorders>
                  <w:vAlign w:val="center"/>
                </w:tcPr>
                <w:p>
                  <w:pPr>
                    <w:bidi w:val="0"/>
                    <w:jc w:val="center"/>
                    <w:rPr>
                      <w:rFonts w:hint="default"/>
                      <w:lang w:val="en-US" w:eastAsia="zh-CN"/>
                    </w:rPr>
                  </w:pPr>
                  <w:r>
                    <w:rPr>
                      <w:rFonts w:hint="eastAsia"/>
                      <w:lang w:val="en-US" w:eastAsia="zh-CN"/>
                    </w:rPr>
                    <w:t>200个/件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93" w:type="dxa"/>
                  <w:tcBorders>
                    <w:tl2br w:val="nil"/>
                    <w:tr2bl w:val="nil"/>
                  </w:tcBorders>
                  <w:vAlign w:val="center"/>
                </w:tcPr>
                <w:p>
                  <w:pPr>
                    <w:bidi w:val="0"/>
                    <w:jc w:val="center"/>
                    <w:rPr>
                      <w:rFonts w:hint="default"/>
                      <w:lang w:val="en-US" w:eastAsia="zh-CN"/>
                    </w:rPr>
                  </w:pPr>
                  <w:r>
                    <w:rPr>
                      <w:rFonts w:hint="eastAsia"/>
                      <w:lang w:val="en-US" w:eastAsia="zh-CN"/>
                    </w:rPr>
                    <w:t>12</w:t>
                  </w:r>
                </w:p>
              </w:tc>
              <w:tc>
                <w:tcPr>
                  <w:tcW w:w="2757" w:type="dxa"/>
                  <w:tcBorders>
                    <w:tl2br w:val="nil"/>
                    <w:tr2bl w:val="nil"/>
                  </w:tcBorders>
                  <w:vAlign w:val="center"/>
                </w:tcPr>
                <w:p>
                  <w:pPr>
                    <w:bidi w:val="0"/>
                    <w:jc w:val="center"/>
                    <w:rPr>
                      <w:rFonts w:hint="default"/>
                      <w:lang w:val="en-US" w:eastAsia="zh-CN"/>
                    </w:rPr>
                  </w:pPr>
                  <w:r>
                    <w:rPr>
                      <w:rFonts w:hint="eastAsia"/>
                      <w:lang w:val="en-US" w:eastAsia="zh-CN"/>
                    </w:rPr>
                    <w:t>灭菌纱布</w:t>
                  </w:r>
                </w:p>
              </w:tc>
              <w:tc>
                <w:tcPr>
                  <w:tcW w:w="2341" w:type="dxa"/>
                  <w:tcBorders>
                    <w:tl2br w:val="nil"/>
                    <w:tr2bl w:val="nil"/>
                  </w:tcBorders>
                  <w:vAlign w:val="center"/>
                </w:tcPr>
                <w:p>
                  <w:pPr>
                    <w:bidi w:val="0"/>
                    <w:jc w:val="center"/>
                    <w:rPr>
                      <w:rFonts w:hint="default"/>
                      <w:lang w:val="en-US" w:eastAsia="zh-CN"/>
                    </w:rPr>
                  </w:pPr>
                  <w:r>
                    <w:rPr>
                      <w:rFonts w:hint="eastAsia"/>
                      <w:lang w:val="en-US" w:eastAsia="zh-CN"/>
                    </w:rPr>
                    <w:t>30000块</w:t>
                  </w:r>
                </w:p>
              </w:tc>
              <w:tc>
                <w:tcPr>
                  <w:tcW w:w="2097" w:type="dxa"/>
                  <w:tcBorders>
                    <w:tl2br w:val="nil"/>
                    <w:tr2bl w:val="nil"/>
                  </w:tcBorders>
                  <w:vAlign w:val="center"/>
                </w:tcPr>
                <w:p>
                  <w:pPr>
                    <w:bidi w:val="0"/>
                    <w:jc w:val="center"/>
                    <w:rPr>
                      <w:rFonts w:hint="default"/>
                      <w:lang w:val="en-US" w:eastAsia="zh-CN"/>
                    </w:rPr>
                  </w:pPr>
                  <w:r>
                    <w:rPr>
                      <w:rFonts w:hint="eastAsia"/>
                      <w:lang w:val="en-US" w:eastAsia="zh-CN"/>
                    </w:rPr>
                    <w:t>6*8*6/块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93" w:type="dxa"/>
                  <w:tcBorders>
                    <w:tl2br w:val="nil"/>
                    <w:tr2bl w:val="nil"/>
                  </w:tcBorders>
                  <w:vAlign w:val="center"/>
                </w:tcPr>
                <w:p>
                  <w:pPr>
                    <w:bidi w:val="0"/>
                    <w:jc w:val="center"/>
                    <w:rPr>
                      <w:rFonts w:hint="default"/>
                      <w:lang w:val="en-US" w:eastAsia="zh-CN"/>
                    </w:rPr>
                  </w:pPr>
                  <w:r>
                    <w:rPr>
                      <w:rFonts w:hint="eastAsia"/>
                      <w:lang w:val="en-US" w:eastAsia="zh-CN"/>
                    </w:rPr>
                    <w:t>13</w:t>
                  </w:r>
                </w:p>
              </w:tc>
              <w:tc>
                <w:tcPr>
                  <w:tcW w:w="2757" w:type="dxa"/>
                  <w:tcBorders>
                    <w:tl2br w:val="nil"/>
                    <w:tr2bl w:val="nil"/>
                  </w:tcBorders>
                  <w:vAlign w:val="center"/>
                </w:tcPr>
                <w:p>
                  <w:pPr>
                    <w:bidi w:val="0"/>
                    <w:jc w:val="center"/>
                    <w:rPr>
                      <w:rFonts w:hint="default"/>
                      <w:lang w:val="en-US" w:eastAsia="zh-CN"/>
                    </w:rPr>
                  </w:pPr>
                  <w:r>
                    <w:rPr>
                      <w:rFonts w:hint="eastAsia"/>
                      <w:lang w:val="en-US" w:eastAsia="zh-CN"/>
                    </w:rPr>
                    <w:t>一次性垫单</w:t>
                  </w:r>
                </w:p>
              </w:tc>
              <w:tc>
                <w:tcPr>
                  <w:tcW w:w="2341" w:type="dxa"/>
                  <w:tcBorders>
                    <w:tl2br w:val="nil"/>
                    <w:tr2bl w:val="nil"/>
                  </w:tcBorders>
                  <w:vAlign w:val="center"/>
                </w:tcPr>
                <w:p>
                  <w:pPr>
                    <w:bidi w:val="0"/>
                    <w:jc w:val="center"/>
                    <w:rPr>
                      <w:rFonts w:hint="default"/>
                      <w:lang w:val="en-US" w:eastAsia="zh-CN"/>
                    </w:rPr>
                  </w:pPr>
                  <w:r>
                    <w:rPr>
                      <w:rFonts w:hint="eastAsia"/>
                      <w:lang w:val="en-US" w:eastAsia="zh-CN"/>
                    </w:rPr>
                    <w:t>10000张</w:t>
                  </w:r>
                </w:p>
              </w:tc>
              <w:tc>
                <w:tcPr>
                  <w:tcW w:w="2097" w:type="dxa"/>
                  <w:tcBorders>
                    <w:tl2br w:val="nil"/>
                    <w:tr2bl w:val="nil"/>
                  </w:tcBorders>
                  <w:vAlign w:val="center"/>
                </w:tcPr>
                <w:p>
                  <w:pPr>
                    <w:bidi w:val="0"/>
                    <w:jc w:val="center"/>
                    <w:rPr>
                      <w:rFonts w:hint="default"/>
                      <w:lang w:val="en-US" w:eastAsia="zh-CN"/>
                    </w:rPr>
                  </w:pPr>
                  <w:r>
                    <w:rPr>
                      <w:rFonts w:hint="eastAsia"/>
                      <w:lang w:val="en-US" w:eastAsia="zh-CN"/>
                    </w:rPr>
                    <w:t>140*100/张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93" w:type="dxa"/>
                  <w:tcBorders>
                    <w:tl2br w:val="nil"/>
                    <w:tr2bl w:val="nil"/>
                  </w:tcBorders>
                  <w:vAlign w:val="center"/>
                </w:tcPr>
                <w:p>
                  <w:pPr>
                    <w:bidi w:val="0"/>
                    <w:jc w:val="center"/>
                    <w:rPr>
                      <w:rFonts w:hint="default"/>
                      <w:lang w:val="en-US" w:eastAsia="zh-CN"/>
                    </w:rPr>
                  </w:pPr>
                  <w:r>
                    <w:rPr>
                      <w:rFonts w:hint="eastAsia"/>
                      <w:lang w:val="en-US" w:eastAsia="zh-CN"/>
                    </w:rPr>
                    <w:t>14</w:t>
                  </w:r>
                </w:p>
              </w:tc>
              <w:tc>
                <w:tcPr>
                  <w:tcW w:w="2757" w:type="dxa"/>
                  <w:tcBorders>
                    <w:tl2br w:val="nil"/>
                    <w:tr2bl w:val="nil"/>
                  </w:tcBorders>
                  <w:vAlign w:val="center"/>
                </w:tcPr>
                <w:p>
                  <w:pPr>
                    <w:bidi w:val="0"/>
                    <w:jc w:val="center"/>
                    <w:rPr>
                      <w:rFonts w:hint="default"/>
                      <w:lang w:val="en-US" w:eastAsia="zh-CN"/>
                    </w:rPr>
                  </w:pPr>
                  <w:r>
                    <w:rPr>
                      <w:rFonts w:hint="eastAsia"/>
                      <w:lang w:val="en-US" w:eastAsia="zh-CN"/>
                    </w:rPr>
                    <w:t>一次性使用无菌口罩帽</w:t>
                  </w:r>
                </w:p>
              </w:tc>
              <w:tc>
                <w:tcPr>
                  <w:tcW w:w="2341" w:type="dxa"/>
                  <w:tcBorders>
                    <w:tl2br w:val="nil"/>
                    <w:tr2bl w:val="nil"/>
                  </w:tcBorders>
                  <w:vAlign w:val="center"/>
                </w:tcPr>
                <w:p>
                  <w:pPr>
                    <w:bidi w:val="0"/>
                    <w:jc w:val="center"/>
                    <w:rPr>
                      <w:rFonts w:hint="default"/>
                      <w:lang w:val="en-US" w:eastAsia="zh-CN"/>
                    </w:rPr>
                  </w:pPr>
                  <w:r>
                    <w:rPr>
                      <w:rFonts w:hint="eastAsia"/>
                      <w:lang w:val="en-US" w:eastAsia="zh-CN"/>
                    </w:rPr>
                    <w:t>30000套</w:t>
                  </w:r>
                </w:p>
              </w:tc>
              <w:tc>
                <w:tcPr>
                  <w:tcW w:w="2097" w:type="dxa"/>
                  <w:tcBorders>
                    <w:tl2br w:val="nil"/>
                    <w:tr2bl w:val="nil"/>
                  </w:tcBorders>
                  <w:vAlign w:val="center"/>
                </w:tcPr>
                <w:p>
                  <w:pPr>
                    <w:bidi w:val="0"/>
                    <w:jc w:val="center"/>
                    <w:rPr>
                      <w:rFonts w:hint="default"/>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93" w:type="dxa"/>
                  <w:tcBorders>
                    <w:tl2br w:val="nil"/>
                    <w:tr2bl w:val="nil"/>
                  </w:tcBorders>
                  <w:vAlign w:val="center"/>
                </w:tcPr>
                <w:p>
                  <w:pPr>
                    <w:bidi w:val="0"/>
                    <w:jc w:val="center"/>
                    <w:rPr>
                      <w:rFonts w:hint="default"/>
                      <w:lang w:val="en-US" w:eastAsia="zh-CN"/>
                    </w:rPr>
                  </w:pPr>
                  <w:r>
                    <w:rPr>
                      <w:rFonts w:hint="eastAsia"/>
                      <w:lang w:val="en-US" w:eastAsia="zh-CN"/>
                    </w:rPr>
                    <w:t>15</w:t>
                  </w:r>
                </w:p>
              </w:tc>
              <w:tc>
                <w:tcPr>
                  <w:tcW w:w="2757" w:type="dxa"/>
                  <w:tcBorders>
                    <w:tl2br w:val="nil"/>
                    <w:tr2bl w:val="nil"/>
                  </w:tcBorders>
                  <w:vAlign w:val="center"/>
                </w:tcPr>
                <w:p>
                  <w:pPr>
                    <w:bidi w:val="0"/>
                    <w:jc w:val="center"/>
                    <w:rPr>
                      <w:rFonts w:hint="default"/>
                      <w:lang w:val="en-US" w:eastAsia="zh-CN"/>
                    </w:rPr>
                  </w:pPr>
                  <w:r>
                    <w:rPr>
                      <w:rFonts w:hint="eastAsia"/>
                      <w:lang w:val="en-US" w:eastAsia="zh-CN"/>
                    </w:rPr>
                    <w:t>一次性无菌注射针</w:t>
                  </w:r>
                </w:p>
              </w:tc>
              <w:tc>
                <w:tcPr>
                  <w:tcW w:w="2341" w:type="dxa"/>
                  <w:tcBorders>
                    <w:tl2br w:val="nil"/>
                    <w:tr2bl w:val="nil"/>
                  </w:tcBorders>
                  <w:vAlign w:val="center"/>
                </w:tcPr>
                <w:p>
                  <w:pPr>
                    <w:bidi w:val="0"/>
                    <w:jc w:val="center"/>
                    <w:rPr>
                      <w:rFonts w:hint="default"/>
                      <w:lang w:val="en-US" w:eastAsia="zh-CN"/>
                    </w:rPr>
                  </w:pPr>
                  <w:r>
                    <w:rPr>
                      <w:rFonts w:hint="eastAsia"/>
                      <w:lang w:val="en-US" w:eastAsia="zh-CN"/>
                    </w:rPr>
                    <w:t>2000个</w:t>
                  </w:r>
                </w:p>
              </w:tc>
              <w:tc>
                <w:tcPr>
                  <w:tcW w:w="2097" w:type="dxa"/>
                  <w:tcBorders>
                    <w:tl2br w:val="nil"/>
                    <w:tr2bl w:val="nil"/>
                  </w:tcBorders>
                  <w:vAlign w:val="center"/>
                </w:tcPr>
                <w:p>
                  <w:pPr>
                    <w:bidi w:val="0"/>
                    <w:jc w:val="center"/>
                    <w:rPr>
                      <w:rFonts w:hint="default"/>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93" w:type="dxa"/>
                  <w:tcBorders>
                    <w:tl2br w:val="nil"/>
                    <w:tr2bl w:val="nil"/>
                  </w:tcBorders>
                  <w:vAlign w:val="center"/>
                </w:tcPr>
                <w:p>
                  <w:pPr>
                    <w:bidi w:val="0"/>
                    <w:jc w:val="center"/>
                    <w:rPr>
                      <w:rFonts w:hint="default"/>
                      <w:lang w:val="en-US" w:eastAsia="zh-CN"/>
                    </w:rPr>
                  </w:pPr>
                  <w:r>
                    <w:rPr>
                      <w:rFonts w:hint="eastAsia"/>
                      <w:lang w:val="en-US" w:eastAsia="zh-CN"/>
                    </w:rPr>
                    <w:t>16</w:t>
                  </w:r>
                </w:p>
              </w:tc>
              <w:tc>
                <w:tcPr>
                  <w:tcW w:w="2757" w:type="dxa"/>
                  <w:tcBorders>
                    <w:tl2br w:val="nil"/>
                    <w:tr2bl w:val="nil"/>
                  </w:tcBorders>
                  <w:vAlign w:val="center"/>
                </w:tcPr>
                <w:p>
                  <w:pPr>
                    <w:bidi w:val="0"/>
                    <w:jc w:val="center"/>
                    <w:rPr>
                      <w:rFonts w:hint="eastAsia"/>
                      <w:lang w:val="en-US" w:eastAsia="zh-CN"/>
                    </w:rPr>
                  </w:pPr>
                  <w:r>
                    <w:rPr>
                      <w:rFonts w:hint="eastAsia"/>
                      <w:lang w:val="en-US" w:eastAsia="zh-CN"/>
                    </w:rPr>
                    <w:t>一次性静脉注射针</w:t>
                  </w:r>
                </w:p>
              </w:tc>
              <w:tc>
                <w:tcPr>
                  <w:tcW w:w="2341" w:type="dxa"/>
                  <w:tcBorders>
                    <w:tl2br w:val="nil"/>
                    <w:tr2bl w:val="nil"/>
                  </w:tcBorders>
                  <w:vAlign w:val="center"/>
                </w:tcPr>
                <w:p>
                  <w:pPr>
                    <w:bidi w:val="0"/>
                    <w:jc w:val="center"/>
                    <w:rPr>
                      <w:rFonts w:hint="default"/>
                      <w:lang w:val="en-US" w:eastAsia="zh-CN"/>
                    </w:rPr>
                  </w:pPr>
                  <w:r>
                    <w:rPr>
                      <w:rFonts w:hint="eastAsia"/>
                      <w:lang w:val="en-US" w:eastAsia="zh-CN"/>
                    </w:rPr>
                    <w:t>2000个</w:t>
                  </w:r>
                </w:p>
              </w:tc>
              <w:tc>
                <w:tcPr>
                  <w:tcW w:w="2097" w:type="dxa"/>
                  <w:tcBorders>
                    <w:tl2br w:val="nil"/>
                    <w:tr2bl w:val="nil"/>
                  </w:tcBorders>
                  <w:vAlign w:val="center"/>
                </w:tcPr>
                <w:p>
                  <w:pPr>
                    <w:bidi w:val="0"/>
                    <w:jc w:val="center"/>
                    <w:rPr>
                      <w:rFonts w:hint="default"/>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93" w:type="dxa"/>
                  <w:tcBorders>
                    <w:tl2br w:val="nil"/>
                    <w:tr2bl w:val="nil"/>
                  </w:tcBorders>
                  <w:vAlign w:val="center"/>
                </w:tcPr>
                <w:p>
                  <w:pPr>
                    <w:bidi w:val="0"/>
                    <w:jc w:val="center"/>
                    <w:rPr>
                      <w:rFonts w:hint="default"/>
                      <w:lang w:val="en-US" w:eastAsia="zh-CN"/>
                    </w:rPr>
                  </w:pPr>
                  <w:r>
                    <w:rPr>
                      <w:rFonts w:hint="eastAsia"/>
                      <w:lang w:val="en-US" w:eastAsia="zh-CN"/>
                    </w:rPr>
                    <w:t>17</w:t>
                  </w:r>
                </w:p>
              </w:tc>
              <w:tc>
                <w:tcPr>
                  <w:tcW w:w="2757" w:type="dxa"/>
                  <w:tcBorders>
                    <w:tl2br w:val="nil"/>
                    <w:tr2bl w:val="nil"/>
                  </w:tcBorders>
                  <w:vAlign w:val="center"/>
                </w:tcPr>
                <w:p>
                  <w:pPr>
                    <w:bidi w:val="0"/>
                    <w:jc w:val="center"/>
                    <w:rPr>
                      <w:rFonts w:hint="default"/>
                      <w:lang w:val="en-US" w:eastAsia="zh-CN"/>
                    </w:rPr>
                  </w:pPr>
                  <w:r>
                    <w:rPr>
                      <w:rFonts w:hint="eastAsia"/>
                      <w:lang w:val="en-US" w:eastAsia="zh-CN"/>
                    </w:rPr>
                    <w:t>次氯酸钠</w:t>
                  </w:r>
                </w:p>
              </w:tc>
              <w:tc>
                <w:tcPr>
                  <w:tcW w:w="2341" w:type="dxa"/>
                  <w:tcBorders>
                    <w:tl2br w:val="nil"/>
                    <w:tr2bl w:val="nil"/>
                  </w:tcBorders>
                  <w:vAlign w:val="center"/>
                </w:tcPr>
                <w:p>
                  <w:pPr>
                    <w:bidi w:val="0"/>
                    <w:jc w:val="center"/>
                    <w:rPr>
                      <w:rFonts w:hint="default"/>
                      <w:lang w:val="en-US" w:eastAsia="zh-CN"/>
                    </w:rPr>
                  </w:pPr>
                  <w:r>
                    <w:rPr>
                      <w:rFonts w:hint="eastAsia"/>
                      <w:lang w:val="en-US" w:eastAsia="zh-CN"/>
                    </w:rPr>
                    <w:t>0.5t</w:t>
                  </w:r>
                </w:p>
              </w:tc>
              <w:tc>
                <w:tcPr>
                  <w:tcW w:w="2097" w:type="dxa"/>
                  <w:tcBorders>
                    <w:tl2br w:val="nil"/>
                    <w:tr2bl w:val="nil"/>
                  </w:tcBorders>
                  <w:vAlign w:val="center"/>
                </w:tcPr>
                <w:p>
                  <w:pPr>
                    <w:bidi w:val="0"/>
                    <w:jc w:val="center"/>
                    <w:rPr>
                      <w:rFonts w:hint="default"/>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93" w:type="dxa"/>
                  <w:tcBorders>
                    <w:tl2br w:val="nil"/>
                    <w:tr2bl w:val="nil"/>
                  </w:tcBorders>
                  <w:vAlign w:val="center"/>
                </w:tcPr>
                <w:p>
                  <w:pPr>
                    <w:bidi w:val="0"/>
                    <w:jc w:val="center"/>
                    <w:rPr>
                      <w:rFonts w:hint="default"/>
                      <w:lang w:val="en-US" w:eastAsia="zh-CN"/>
                    </w:rPr>
                  </w:pPr>
                  <w:r>
                    <w:rPr>
                      <w:rFonts w:hint="eastAsia"/>
                      <w:lang w:val="en-US" w:eastAsia="zh-CN"/>
                    </w:rPr>
                    <w:t>18</w:t>
                  </w:r>
                </w:p>
              </w:tc>
              <w:tc>
                <w:tcPr>
                  <w:tcW w:w="2757" w:type="dxa"/>
                  <w:tcBorders>
                    <w:tl2br w:val="nil"/>
                    <w:tr2bl w:val="nil"/>
                  </w:tcBorders>
                  <w:vAlign w:val="center"/>
                </w:tcPr>
                <w:p>
                  <w:pPr>
                    <w:bidi w:val="0"/>
                    <w:jc w:val="center"/>
                    <w:rPr>
                      <w:rFonts w:hint="default"/>
                      <w:lang w:val="en-US" w:eastAsia="zh-CN"/>
                    </w:rPr>
                  </w:pPr>
                  <w:r>
                    <w:rPr>
                      <w:rFonts w:hint="eastAsia"/>
                      <w:lang w:val="en-US" w:eastAsia="zh-CN"/>
                    </w:rPr>
                    <w:t>电量</w:t>
                  </w:r>
                </w:p>
              </w:tc>
              <w:tc>
                <w:tcPr>
                  <w:tcW w:w="2341" w:type="dxa"/>
                  <w:tcBorders>
                    <w:tl2br w:val="nil"/>
                    <w:tr2bl w:val="nil"/>
                  </w:tcBorders>
                  <w:vAlign w:val="center"/>
                </w:tcPr>
                <w:p>
                  <w:pPr>
                    <w:bidi w:val="0"/>
                    <w:jc w:val="center"/>
                    <w:rPr>
                      <w:rFonts w:hint="eastAsia"/>
                      <w:lang w:val="en-US" w:eastAsia="zh-CN"/>
                    </w:rPr>
                  </w:pPr>
                  <w:r>
                    <w:rPr>
                      <w:rFonts w:hint="eastAsia"/>
                      <w:lang w:val="en-US" w:eastAsia="zh-CN"/>
                    </w:rPr>
                    <w:t>269410.05</w:t>
                  </w:r>
                  <w:r>
                    <w:rPr>
                      <w:rFonts w:hint="default"/>
                      <w:lang w:val="en-US" w:eastAsia="zh-CN"/>
                    </w:rPr>
                    <w:t>kwh</w:t>
                  </w:r>
                  <w:r>
                    <w:rPr>
                      <w:rFonts w:hint="eastAsia"/>
                      <w:lang w:val="en-US" w:eastAsia="zh-CN"/>
                    </w:rPr>
                    <w:t>/a</w:t>
                  </w:r>
                </w:p>
              </w:tc>
              <w:tc>
                <w:tcPr>
                  <w:tcW w:w="2097" w:type="dxa"/>
                  <w:tcBorders>
                    <w:tl2br w:val="nil"/>
                    <w:tr2bl w:val="nil"/>
                  </w:tcBorders>
                  <w:vAlign w:val="center"/>
                </w:tcPr>
                <w:p>
                  <w:pPr>
                    <w:bidi w:val="0"/>
                    <w:jc w:val="center"/>
                    <w:rPr>
                      <w:rFonts w:hint="default"/>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93" w:type="dxa"/>
                  <w:tcBorders>
                    <w:tl2br w:val="nil"/>
                    <w:tr2bl w:val="nil"/>
                  </w:tcBorders>
                  <w:vAlign w:val="center"/>
                </w:tcPr>
                <w:p>
                  <w:pPr>
                    <w:bidi w:val="0"/>
                    <w:jc w:val="center"/>
                    <w:rPr>
                      <w:rFonts w:hint="default"/>
                      <w:lang w:val="en-US" w:eastAsia="zh-CN"/>
                    </w:rPr>
                  </w:pPr>
                  <w:r>
                    <w:rPr>
                      <w:rFonts w:hint="eastAsia"/>
                      <w:lang w:val="en-US" w:eastAsia="zh-CN"/>
                    </w:rPr>
                    <w:t>19</w:t>
                  </w:r>
                </w:p>
              </w:tc>
              <w:tc>
                <w:tcPr>
                  <w:tcW w:w="2757" w:type="dxa"/>
                  <w:tcBorders>
                    <w:tl2br w:val="nil"/>
                    <w:tr2bl w:val="nil"/>
                  </w:tcBorders>
                  <w:vAlign w:val="center"/>
                </w:tcPr>
                <w:p>
                  <w:pPr>
                    <w:bidi w:val="0"/>
                    <w:jc w:val="center"/>
                    <w:rPr>
                      <w:rFonts w:hint="default"/>
                      <w:lang w:val="en-US" w:eastAsia="zh-CN"/>
                    </w:rPr>
                  </w:pPr>
                  <w:r>
                    <w:rPr>
                      <w:rFonts w:hint="eastAsia"/>
                      <w:lang w:val="en-US" w:eastAsia="zh-CN"/>
                    </w:rPr>
                    <w:t>新鲜水</w:t>
                  </w:r>
                </w:p>
              </w:tc>
              <w:tc>
                <w:tcPr>
                  <w:tcW w:w="2341" w:type="dxa"/>
                  <w:tcBorders>
                    <w:tl2br w:val="nil"/>
                    <w:tr2bl w:val="nil"/>
                  </w:tcBorders>
                  <w:vAlign w:val="center"/>
                </w:tcPr>
                <w:p>
                  <w:pPr>
                    <w:bidi w:val="0"/>
                    <w:jc w:val="center"/>
                    <w:rPr>
                      <w:rFonts w:hint="default"/>
                      <w:lang w:val="en-US" w:eastAsia="zh-CN"/>
                    </w:rPr>
                  </w:pPr>
                  <w:r>
                    <w:rPr>
                      <w:rFonts w:hint="eastAsia"/>
                      <w:lang w:val="en-US" w:eastAsia="zh-CN"/>
                    </w:rPr>
                    <w:t>26926.55m</w:t>
                  </w:r>
                  <w:r>
                    <w:rPr>
                      <w:rFonts w:hint="eastAsia"/>
                      <w:vertAlign w:val="superscript"/>
                      <w:lang w:val="en-US" w:eastAsia="zh-CN"/>
                    </w:rPr>
                    <w:t>3</w:t>
                  </w:r>
                  <w:r>
                    <w:rPr>
                      <w:rFonts w:hint="eastAsia"/>
                      <w:lang w:val="en-US" w:eastAsia="zh-CN"/>
                    </w:rPr>
                    <w:t>/a</w:t>
                  </w:r>
                </w:p>
              </w:tc>
              <w:tc>
                <w:tcPr>
                  <w:tcW w:w="2097" w:type="dxa"/>
                  <w:tcBorders>
                    <w:tl2br w:val="nil"/>
                    <w:tr2bl w:val="nil"/>
                  </w:tcBorders>
                  <w:vAlign w:val="center"/>
                </w:tcPr>
                <w:p>
                  <w:pPr>
                    <w:bidi w:val="0"/>
                    <w:jc w:val="center"/>
                    <w:rPr>
                      <w:rFonts w:hint="default"/>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93" w:type="dxa"/>
                  <w:tcBorders>
                    <w:tl2br w:val="nil"/>
                    <w:tr2bl w:val="nil"/>
                  </w:tcBorders>
                  <w:vAlign w:val="center"/>
                </w:tcPr>
                <w:p>
                  <w:pPr>
                    <w:bidi w:val="0"/>
                    <w:jc w:val="center"/>
                    <w:rPr>
                      <w:rFonts w:hint="default"/>
                      <w:lang w:val="en-US" w:eastAsia="zh-CN"/>
                    </w:rPr>
                  </w:pPr>
                  <w:r>
                    <w:rPr>
                      <w:rFonts w:hint="eastAsia"/>
                      <w:lang w:val="en-US" w:eastAsia="zh-CN"/>
                    </w:rPr>
                    <w:t>20</w:t>
                  </w:r>
                </w:p>
              </w:tc>
              <w:tc>
                <w:tcPr>
                  <w:tcW w:w="2757" w:type="dxa"/>
                  <w:tcBorders>
                    <w:tl2br w:val="nil"/>
                    <w:tr2bl w:val="nil"/>
                  </w:tcBorders>
                  <w:vAlign w:val="center"/>
                </w:tcPr>
                <w:p>
                  <w:pPr>
                    <w:bidi w:val="0"/>
                    <w:jc w:val="center"/>
                    <w:rPr>
                      <w:rFonts w:hint="default"/>
                      <w:lang w:val="en-US" w:eastAsia="zh-CN"/>
                    </w:rPr>
                  </w:pPr>
                  <w:r>
                    <w:rPr>
                      <w:rFonts w:hint="eastAsia"/>
                      <w:lang w:val="en-US" w:eastAsia="zh-CN"/>
                    </w:rPr>
                    <w:t>天然气</w:t>
                  </w:r>
                </w:p>
              </w:tc>
              <w:tc>
                <w:tcPr>
                  <w:tcW w:w="2341" w:type="dxa"/>
                  <w:tcBorders>
                    <w:tl2br w:val="nil"/>
                    <w:tr2bl w:val="nil"/>
                  </w:tcBorders>
                  <w:vAlign w:val="center"/>
                </w:tcPr>
                <w:p>
                  <w:pPr>
                    <w:bidi w:val="0"/>
                    <w:jc w:val="center"/>
                    <w:rPr>
                      <w:rFonts w:hint="default"/>
                      <w:lang w:val="en-US" w:eastAsia="zh-CN"/>
                    </w:rPr>
                  </w:pPr>
                  <w:r>
                    <w:rPr>
                      <w:rFonts w:hint="eastAsia"/>
                      <w:lang w:val="en-US" w:eastAsia="zh-CN"/>
                    </w:rPr>
                    <w:t>496400m</w:t>
                  </w:r>
                  <w:r>
                    <w:rPr>
                      <w:rFonts w:hint="eastAsia"/>
                      <w:vertAlign w:val="superscript"/>
                      <w:lang w:val="en-US" w:eastAsia="zh-CN"/>
                    </w:rPr>
                    <w:t>3</w:t>
                  </w:r>
                  <w:r>
                    <w:rPr>
                      <w:rFonts w:hint="eastAsia"/>
                      <w:lang w:val="en-US" w:eastAsia="zh-CN"/>
                    </w:rPr>
                    <w:t>/a</w:t>
                  </w:r>
                </w:p>
              </w:tc>
              <w:tc>
                <w:tcPr>
                  <w:tcW w:w="2097" w:type="dxa"/>
                  <w:tcBorders>
                    <w:tl2br w:val="nil"/>
                    <w:tr2bl w:val="nil"/>
                  </w:tcBorders>
                  <w:vAlign w:val="center"/>
                </w:tcPr>
                <w:p>
                  <w:pPr>
                    <w:bidi w:val="0"/>
                    <w:jc w:val="center"/>
                    <w:rPr>
                      <w:rFonts w:hint="default"/>
                      <w:lang w:val="en-US" w:eastAsia="zh-CN"/>
                    </w:rPr>
                  </w:pPr>
                  <w:r>
                    <w:rPr>
                      <w:rFonts w:hint="eastAsia"/>
                      <w:lang w:val="en-US" w:eastAsia="zh-CN"/>
                    </w:rPr>
                    <w:t>/</w:t>
                  </w:r>
                </w:p>
              </w:tc>
            </w:tr>
          </w:tbl>
          <w:p>
            <w:pPr>
              <w:spacing w:line="240" w:lineRule="auto"/>
              <w:ind w:firstLine="480" w:firstLineChars="200"/>
              <w:jc w:val="center"/>
              <w:outlineLvl w:val="9"/>
              <w:rPr>
                <w:rFonts w:hint="default"/>
                <w:sz w:val="24"/>
                <w:szCs w:val="24"/>
                <w:lang w:val="en-US" w:eastAsia="zh-CN"/>
              </w:rPr>
            </w:pPr>
          </w:p>
          <w:p>
            <w:pPr>
              <w:spacing w:line="360" w:lineRule="auto"/>
              <w:ind w:firstLine="480" w:firstLineChars="200"/>
              <w:outlineLvl w:val="1"/>
              <w:rPr>
                <w:rFonts w:hint="eastAsia"/>
                <w:sz w:val="24"/>
                <w:szCs w:val="24"/>
              </w:rPr>
            </w:pPr>
            <w:r>
              <w:rPr>
                <w:sz w:val="24"/>
                <w:szCs w:val="24"/>
              </w:rPr>
              <w:t>（</w:t>
            </w:r>
            <w:r>
              <w:rPr>
                <w:rFonts w:hint="eastAsia"/>
                <w:sz w:val="24"/>
                <w:szCs w:val="24"/>
              </w:rPr>
              <w:t>2</w:t>
            </w:r>
            <w:r>
              <w:rPr>
                <w:sz w:val="24"/>
                <w:szCs w:val="24"/>
              </w:rPr>
              <w:t>）项目所需设备见下表</w:t>
            </w:r>
            <w:r>
              <w:rPr>
                <w:rFonts w:hint="eastAsia"/>
                <w:sz w:val="24"/>
                <w:szCs w:val="24"/>
              </w:rPr>
              <w:t>2-4。</w:t>
            </w:r>
          </w:p>
          <w:p>
            <w:pPr>
              <w:spacing w:line="240" w:lineRule="auto"/>
              <w:jc w:val="center"/>
              <w:outlineLvl w:val="1"/>
              <w:rPr>
                <w:b/>
                <w:bCs/>
              </w:rPr>
            </w:pPr>
            <w:r>
              <w:rPr>
                <w:b/>
                <w:bCs/>
              </w:rPr>
              <w:t>表</w:t>
            </w:r>
            <w:r>
              <w:rPr>
                <w:rFonts w:hint="eastAsia"/>
                <w:b/>
                <w:bCs/>
              </w:rPr>
              <w:t>2-4项目</w:t>
            </w:r>
            <w:r>
              <w:rPr>
                <w:b/>
                <w:bCs/>
              </w:rPr>
              <w:t>主要设备一览表</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37"/>
              <w:gridCol w:w="4234"/>
              <w:gridCol w:w="2005"/>
              <w:gridCol w:w="11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18" w:type="pct"/>
                  <w:noWrap w:val="0"/>
                  <w:vAlign w:val="center"/>
                </w:tcPr>
                <w:p>
                  <w:pPr>
                    <w:jc w:val="center"/>
                    <w:rPr>
                      <w:u w:val="single"/>
                    </w:rPr>
                  </w:pPr>
                  <w:r>
                    <w:rPr>
                      <w:u w:val="single"/>
                    </w:rPr>
                    <w:t>序号</w:t>
                  </w:r>
                </w:p>
              </w:tc>
              <w:tc>
                <w:tcPr>
                  <w:tcW w:w="2523" w:type="pct"/>
                  <w:noWrap w:val="0"/>
                  <w:vAlign w:val="center"/>
                </w:tcPr>
                <w:p>
                  <w:pPr>
                    <w:jc w:val="center"/>
                    <w:rPr>
                      <w:u w:val="single"/>
                    </w:rPr>
                  </w:pPr>
                  <w:r>
                    <w:rPr>
                      <w:u w:val="single"/>
                    </w:rPr>
                    <w:t>设备名称</w:t>
                  </w:r>
                </w:p>
              </w:tc>
              <w:tc>
                <w:tcPr>
                  <w:tcW w:w="1195" w:type="pct"/>
                  <w:noWrap w:val="0"/>
                  <w:vAlign w:val="center"/>
                </w:tcPr>
                <w:p>
                  <w:pPr>
                    <w:jc w:val="center"/>
                    <w:rPr>
                      <w:rFonts w:hint="default" w:eastAsia="宋体"/>
                      <w:u w:val="single"/>
                      <w:lang w:val="en-US" w:eastAsia="zh-CN"/>
                    </w:rPr>
                  </w:pPr>
                  <w:r>
                    <w:rPr>
                      <w:rFonts w:hint="eastAsia"/>
                      <w:u w:val="single"/>
                      <w:lang w:val="en-US" w:eastAsia="zh-CN"/>
                    </w:rPr>
                    <w:t>设备型号</w:t>
                  </w:r>
                </w:p>
              </w:tc>
              <w:tc>
                <w:tcPr>
                  <w:tcW w:w="662" w:type="pct"/>
                  <w:noWrap w:val="0"/>
                  <w:vAlign w:val="center"/>
                </w:tcPr>
                <w:p>
                  <w:pPr>
                    <w:jc w:val="center"/>
                    <w:rPr>
                      <w:u w:val="single"/>
                    </w:rPr>
                  </w:pPr>
                  <w:r>
                    <w:rPr>
                      <w:u w:val="single"/>
                    </w:rPr>
                    <w:t>数量（台</w:t>
                  </w:r>
                  <w:r>
                    <w:rPr>
                      <w:rFonts w:hint="eastAsia"/>
                      <w:u w:val="single"/>
                    </w:rPr>
                    <w:t>/套</w:t>
                  </w:r>
                  <w:r>
                    <w:rPr>
                      <w:u w:val="singl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18" w:type="pct"/>
                  <w:noWrap w:val="0"/>
                  <w:vAlign w:val="center"/>
                </w:tcPr>
                <w:p>
                  <w:pPr>
                    <w:jc w:val="center"/>
                    <w:rPr>
                      <w:u w:val="single"/>
                    </w:rPr>
                  </w:pPr>
                  <w:r>
                    <w:rPr>
                      <w:u w:val="single"/>
                    </w:rPr>
                    <w:t>1</w:t>
                  </w:r>
                </w:p>
              </w:tc>
              <w:tc>
                <w:tcPr>
                  <w:tcW w:w="2523" w:type="pct"/>
                  <w:noWrap w:val="0"/>
                  <w:vAlign w:val="center"/>
                </w:tcPr>
                <w:p>
                  <w:pPr>
                    <w:jc w:val="center"/>
                    <w:rPr>
                      <w:rFonts w:hint="default" w:eastAsia="宋体"/>
                      <w:u w:val="single"/>
                      <w:lang w:val="en-US" w:eastAsia="zh-CN"/>
                    </w:rPr>
                  </w:pPr>
                  <w:r>
                    <w:rPr>
                      <w:rFonts w:hint="eastAsia"/>
                      <w:u w:val="single"/>
                      <w:lang w:val="en-US" w:eastAsia="zh-CN"/>
                    </w:rPr>
                    <w:t>婴儿辐射保暖台</w:t>
                  </w:r>
                </w:p>
              </w:tc>
              <w:tc>
                <w:tcPr>
                  <w:tcW w:w="1195" w:type="pct"/>
                  <w:noWrap w:val="0"/>
                  <w:vAlign w:val="center"/>
                </w:tcPr>
                <w:p>
                  <w:pPr>
                    <w:jc w:val="center"/>
                    <w:rPr>
                      <w:rFonts w:hint="eastAsia"/>
                      <w:u w:val="single"/>
                      <w:lang w:val="en-US" w:eastAsia="zh-CN"/>
                    </w:rPr>
                  </w:pPr>
                  <w:r>
                    <w:rPr>
                      <w:rFonts w:hint="default" w:eastAsia="宋体"/>
                      <w:u w:val="single"/>
                      <w:lang w:val="en-US" w:eastAsia="zh-CN"/>
                    </w:rPr>
                    <w:t>HKN-90</w:t>
                  </w:r>
                </w:p>
              </w:tc>
              <w:tc>
                <w:tcPr>
                  <w:tcW w:w="662" w:type="pct"/>
                  <w:noWrap w:val="0"/>
                  <w:vAlign w:val="center"/>
                </w:tcPr>
                <w:p>
                  <w:pPr>
                    <w:jc w:val="center"/>
                    <w:rPr>
                      <w:rFonts w:hint="eastAsia" w:eastAsia="宋体"/>
                      <w:u w:val="single"/>
                      <w:lang w:val="en-US" w:eastAsia="zh-CN"/>
                    </w:rPr>
                  </w:pPr>
                  <w:r>
                    <w:rPr>
                      <w:rFonts w:hint="eastAsia"/>
                      <w:u w:val="singl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exact"/>
                <w:jc w:val="center"/>
              </w:trPr>
              <w:tc>
                <w:tcPr>
                  <w:tcW w:w="618" w:type="pct"/>
                  <w:noWrap w:val="0"/>
                  <w:vAlign w:val="center"/>
                </w:tcPr>
                <w:p>
                  <w:pPr>
                    <w:jc w:val="center"/>
                    <w:rPr>
                      <w:u w:val="single"/>
                    </w:rPr>
                  </w:pPr>
                  <w:r>
                    <w:rPr>
                      <w:u w:val="single"/>
                    </w:rPr>
                    <w:t>2</w:t>
                  </w:r>
                </w:p>
              </w:tc>
              <w:tc>
                <w:tcPr>
                  <w:tcW w:w="2523" w:type="pct"/>
                  <w:noWrap w:val="0"/>
                  <w:vAlign w:val="center"/>
                </w:tcPr>
                <w:p>
                  <w:pPr>
                    <w:jc w:val="center"/>
                    <w:rPr>
                      <w:rFonts w:hint="default" w:eastAsia="宋体"/>
                      <w:u w:val="single"/>
                      <w:lang w:val="en-US" w:eastAsia="zh-CN"/>
                    </w:rPr>
                  </w:pPr>
                  <w:r>
                    <w:rPr>
                      <w:rFonts w:hint="eastAsia"/>
                      <w:u w:val="single"/>
                      <w:lang w:val="en-US" w:eastAsia="zh-CN"/>
                    </w:rPr>
                    <w:t>婴儿培养箱</w:t>
                  </w:r>
                </w:p>
              </w:tc>
              <w:tc>
                <w:tcPr>
                  <w:tcW w:w="1195" w:type="pct"/>
                  <w:noWrap w:val="0"/>
                  <w:vAlign w:val="center"/>
                </w:tcPr>
                <w:p>
                  <w:pPr>
                    <w:spacing w:line="240" w:lineRule="auto"/>
                    <w:jc w:val="center"/>
                    <w:rPr>
                      <w:rFonts w:hint="eastAsia"/>
                      <w:u w:val="single"/>
                      <w:lang w:val="en-US" w:eastAsia="zh-CN"/>
                    </w:rPr>
                  </w:pPr>
                  <w:r>
                    <w:rPr>
                      <w:rFonts w:hint="default" w:eastAsia="宋体"/>
                      <w:u w:val="single"/>
                      <w:lang w:val="en-US" w:eastAsia="zh-CN"/>
                    </w:rPr>
                    <w:t>BK-3201</w:t>
                  </w:r>
                </w:p>
              </w:tc>
              <w:tc>
                <w:tcPr>
                  <w:tcW w:w="662" w:type="pct"/>
                  <w:noWrap w:val="0"/>
                  <w:vAlign w:val="center"/>
                </w:tcPr>
                <w:p>
                  <w:pPr>
                    <w:jc w:val="center"/>
                    <w:rPr>
                      <w:rFonts w:hint="default" w:eastAsia="宋体"/>
                      <w:u w:val="single"/>
                      <w:lang w:val="en-US" w:eastAsia="zh-CN"/>
                    </w:rPr>
                  </w:pPr>
                  <w:r>
                    <w:rPr>
                      <w:rFonts w:hint="eastAsia"/>
                      <w:u w:val="single"/>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1" w:hRule="exact"/>
                <w:jc w:val="center"/>
              </w:trPr>
              <w:tc>
                <w:tcPr>
                  <w:tcW w:w="618" w:type="pct"/>
                  <w:noWrap w:val="0"/>
                  <w:vAlign w:val="center"/>
                </w:tcPr>
                <w:p>
                  <w:pPr>
                    <w:jc w:val="center"/>
                    <w:rPr>
                      <w:u w:val="single"/>
                    </w:rPr>
                  </w:pPr>
                  <w:r>
                    <w:rPr>
                      <w:u w:val="single"/>
                    </w:rPr>
                    <w:t>3</w:t>
                  </w:r>
                </w:p>
              </w:tc>
              <w:tc>
                <w:tcPr>
                  <w:tcW w:w="2523" w:type="pct"/>
                  <w:noWrap w:val="0"/>
                  <w:vAlign w:val="center"/>
                </w:tcPr>
                <w:p>
                  <w:pPr>
                    <w:jc w:val="center"/>
                    <w:rPr>
                      <w:rFonts w:hint="default" w:eastAsia="宋体"/>
                      <w:u w:val="single"/>
                      <w:lang w:val="en-US" w:eastAsia="zh-CN"/>
                    </w:rPr>
                  </w:pPr>
                  <w:r>
                    <w:rPr>
                      <w:rFonts w:hint="eastAsia"/>
                      <w:u w:val="single"/>
                      <w:lang w:val="en-US" w:eastAsia="zh-CN"/>
                    </w:rPr>
                    <w:t>空气消毒机</w:t>
                  </w:r>
                </w:p>
              </w:tc>
              <w:tc>
                <w:tcPr>
                  <w:tcW w:w="1195" w:type="pct"/>
                  <w:noWrap w:val="0"/>
                  <w:vAlign w:val="center"/>
                </w:tcPr>
                <w:p>
                  <w:pPr>
                    <w:bidi w:val="0"/>
                    <w:jc w:val="center"/>
                    <w:rPr>
                      <w:rFonts w:hint="default"/>
                      <w:u w:val="single"/>
                      <w:lang w:val="en-US" w:eastAsia="zh-CN"/>
                    </w:rPr>
                  </w:pPr>
                  <w:r>
                    <w:rPr>
                      <w:rFonts w:hint="eastAsia"/>
                      <w:u w:val="single"/>
                      <w:lang w:val="en-US" w:eastAsia="zh-CN"/>
                    </w:rPr>
                    <w:t>AES-B-1000型</w:t>
                  </w:r>
                </w:p>
              </w:tc>
              <w:tc>
                <w:tcPr>
                  <w:tcW w:w="662" w:type="pct"/>
                  <w:noWrap w:val="0"/>
                  <w:vAlign w:val="center"/>
                </w:tcPr>
                <w:p>
                  <w:pPr>
                    <w:jc w:val="center"/>
                    <w:rPr>
                      <w:rFonts w:hint="eastAsia" w:eastAsia="宋体"/>
                      <w:u w:val="single"/>
                      <w:lang w:val="en-US" w:eastAsia="zh-CN"/>
                    </w:rPr>
                  </w:pPr>
                  <w:r>
                    <w:rPr>
                      <w:rFonts w:hint="eastAsia"/>
                      <w:u w:val="singl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18" w:type="pct"/>
                  <w:noWrap w:val="0"/>
                  <w:vAlign w:val="center"/>
                </w:tcPr>
                <w:p>
                  <w:pPr>
                    <w:jc w:val="center"/>
                    <w:rPr>
                      <w:u w:val="single"/>
                    </w:rPr>
                  </w:pPr>
                  <w:r>
                    <w:rPr>
                      <w:u w:val="single"/>
                    </w:rPr>
                    <w:t>4</w:t>
                  </w:r>
                </w:p>
              </w:tc>
              <w:tc>
                <w:tcPr>
                  <w:tcW w:w="2523" w:type="pct"/>
                  <w:noWrap w:val="0"/>
                  <w:vAlign w:val="center"/>
                </w:tcPr>
                <w:p>
                  <w:pPr>
                    <w:jc w:val="center"/>
                    <w:rPr>
                      <w:rFonts w:hint="default" w:eastAsia="宋体"/>
                      <w:u w:val="single"/>
                      <w:lang w:val="en-US" w:eastAsia="zh-CN"/>
                    </w:rPr>
                  </w:pPr>
                  <w:r>
                    <w:rPr>
                      <w:rFonts w:hint="eastAsia"/>
                      <w:u w:val="single"/>
                      <w:lang w:val="en-US" w:eastAsia="zh-CN"/>
                    </w:rPr>
                    <w:t>低压吸引机</w:t>
                  </w:r>
                </w:p>
              </w:tc>
              <w:tc>
                <w:tcPr>
                  <w:tcW w:w="1195" w:type="pct"/>
                  <w:noWrap w:val="0"/>
                  <w:vAlign w:val="center"/>
                </w:tcPr>
                <w:p>
                  <w:pPr>
                    <w:jc w:val="center"/>
                    <w:rPr>
                      <w:rFonts w:hint="eastAsia"/>
                      <w:u w:val="single"/>
                      <w:lang w:val="en-US" w:eastAsia="zh-CN"/>
                    </w:rPr>
                  </w:pPr>
                  <w:r>
                    <w:rPr>
                      <w:rFonts w:hint="default" w:eastAsia="宋体"/>
                      <w:u w:val="single"/>
                      <w:lang w:val="en-US" w:eastAsia="zh-CN"/>
                    </w:rPr>
                    <w:t>DYX-1A</w:t>
                  </w:r>
                </w:p>
              </w:tc>
              <w:tc>
                <w:tcPr>
                  <w:tcW w:w="662" w:type="pct"/>
                  <w:noWrap w:val="0"/>
                  <w:vAlign w:val="center"/>
                </w:tcPr>
                <w:p>
                  <w:pPr>
                    <w:jc w:val="center"/>
                    <w:rPr>
                      <w:rFonts w:hint="eastAsia" w:eastAsia="宋体"/>
                      <w:u w:val="single"/>
                      <w:lang w:val="en-US" w:eastAsia="zh-CN"/>
                    </w:rPr>
                  </w:pPr>
                  <w:r>
                    <w:rPr>
                      <w:rFonts w:hint="eastAsia"/>
                      <w:u w:val="singl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18" w:type="pct"/>
                  <w:noWrap w:val="0"/>
                  <w:vAlign w:val="center"/>
                </w:tcPr>
                <w:p>
                  <w:pPr>
                    <w:jc w:val="center"/>
                    <w:rPr>
                      <w:u w:val="single"/>
                    </w:rPr>
                  </w:pPr>
                  <w:r>
                    <w:rPr>
                      <w:u w:val="single"/>
                    </w:rPr>
                    <w:t>5</w:t>
                  </w:r>
                </w:p>
              </w:tc>
              <w:tc>
                <w:tcPr>
                  <w:tcW w:w="2523" w:type="pct"/>
                  <w:noWrap w:val="0"/>
                  <w:vAlign w:val="center"/>
                </w:tcPr>
                <w:p>
                  <w:pPr>
                    <w:jc w:val="center"/>
                    <w:rPr>
                      <w:rFonts w:hint="default" w:eastAsia="宋体"/>
                      <w:u w:val="single"/>
                      <w:lang w:val="en-US" w:eastAsia="zh-CN"/>
                    </w:rPr>
                  </w:pPr>
                  <w:r>
                    <w:rPr>
                      <w:rFonts w:hint="eastAsia"/>
                      <w:u w:val="single"/>
                      <w:lang w:val="en-US" w:eastAsia="zh-CN"/>
                    </w:rPr>
                    <w:t>便携式多参数监护仪</w:t>
                  </w:r>
                </w:p>
              </w:tc>
              <w:tc>
                <w:tcPr>
                  <w:tcW w:w="1195" w:type="pct"/>
                  <w:noWrap w:val="0"/>
                  <w:vAlign w:val="center"/>
                </w:tcPr>
                <w:p>
                  <w:pPr>
                    <w:jc w:val="center"/>
                    <w:rPr>
                      <w:rFonts w:hint="eastAsia"/>
                      <w:u w:val="single"/>
                      <w:lang w:val="en-US" w:eastAsia="zh-CN"/>
                    </w:rPr>
                  </w:pPr>
                  <w:r>
                    <w:rPr>
                      <w:rFonts w:hint="eastAsia" w:eastAsia="宋体"/>
                      <w:u w:val="single"/>
                      <w:lang w:val="en-US" w:eastAsia="zh-CN"/>
                    </w:rPr>
                    <w:t>SPR9000A</w:t>
                  </w:r>
                </w:p>
              </w:tc>
              <w:tc>
                <w:tcPr>
                  <w:tcW w:w="662" w:type="pct"/>
                  <w:noWrap w:val="0"/>
                  <w:vAlign w:val="center"/>
                </w:tcPr>
                <w:p>
                  <w:pPr>
                    <w:jc w:val="center"/>
                    <w:rPr>
                      <w:rFonts w:hint="eastAsia" w:eastAsia="宋体"/>
                      <w:u w:val="single"/>
                      <w:lang w:val="en-US" w:eastAsia="zh-CN"/>
                    </w:rPr>
                  </w:pPr>
                  <w:r>
                    <w:rPr>
                      <w:rFonts w:hint="eastAsia"/>
                      <w:u w:val="single"/>
                      <w:lang w:val="en-US" w:eastAsia="zh-CN"/>
                    </w:rPr>
                    <w:t>若干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9" w:hRule="exact"/>
                <w:jc w:val="center"/>
              </w:trPr>
              <w:tc>
                <w:tcPr>
                  <w:tcW w:w="618" w:type="pct"/>
                  <w:noWrap w:val="0"/>
                  <w:vAlign w:val="center"/>
                </w:tcPr>
                <w:p>
                  <w:pPr>
                    <w:jc w:val="center"/>
                    <w:rPr>
                      <w:u w:val="single"/>
                    </w:rPr>
                  </w:pPr>
                  <w:r>
                    <w:rPr>
                      <w:u w:val="single"/>
                    </w:rPr>
                    <w:t>6</w:t>
                  </w:r>
                </w:p>
              </w:tc>
              <w:tc>
                <w:tcPr>
                  <w:tcW w:w="2523" w:type="pct"/>
                  <w:noWrap w:val="0"/>
                  <w:vAlign w:val="center"/>
                </w:tcPr>
                <w:p>
                  <w:pPr>
                    <w:jc w:val="center"/>
                    <w:rPr>
                      <w:rFonts w:hint="default" w:eastAsia="宋体"/>
                      <w:u w:val="single"/>
                      <w:lang w:val="en-US" w:eastAsia="zh-CN"/>
                    </w:rPr>
                  </w:pPr>
                  <w:r>
                    <w:rPr>
                      <w:rFonts w:hint="eastAsia"/>
                      <w:u w:val="single"/>
                      <w:lang w:val="en-US" w:eastAsia="zh-CN"/>
                    </w:rPr>
                    <w:t>生命体征监护仪</w:t>
                  </w:r>
                </w:p>
              </w:tc>
              <w:tc>
                <w:tcPr>
                  <w:tcW w:w="1195" w:type="pct"/>
                  <w:noWrap w:val="0"/>
                  <w:vAlign w:val="center"/>
                </w:tcPr>
                <w:p>
                  <w:pPr>
                    <w:jc w:val="center"/>
                    <w:rPr>
                      <w:rFonts w:hint="eastAsia"/>
                      <w:u w:val="single"/>
                      <w:lang w:val="en-US" w:eastAsia="zh-CN"/>
                    </w:rPr>
                  </w:pPr>
                  <w:r>
                    <w:rPr>
                      <w:rFonts w:hint="eastAsia" w:eastAsia="宋体"/>
                      <w:u w:val="single"/>
                      <w:lang w:val="en-US" w:eastAsia="zh-CN"/>
                    </w:rPr>
                    <w:t>VS-600</w:t>
                  </w:r>
                </w:p>
              </w:tc>
              <w:tc>
                <w:tcPr>
                  <w:tcW w:w="662" w:type="pct"/>
                  <w:noWrap w:val="0"/>
                  <w:vAlign w:val="center"/>
                </w:tcPr>
                <w:p>
                  <w:pPr>
                    <w:jc w:val="center"/>
                    <w:rPr>
                      <w:rFonts w:hint="eastAsia" w:eastAsia="宋体"/>
                      <w:u w:val="single"/>
                      <w:lang w:val="en-US" w:eastAsia="zh-CN"/>
                    </w:rPr>
                  </w:pPr>
                  <w:r>
                    <w:rPr>
                      <w:rFonts w:hint="eastAsia"/>
                      <w:u w:val="singl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18" w:type="pct"/>
                  <w:noWrap w:val="0"/>
                  <w:vAlign w:val="center"/>
                </w:tcPr>
                <w:p>
                  <w:pPr>
                    <w:jc w:val="center"/>
                    <w:rPr>
                      <w:u w:val="single"/>
                    </w:rPr>
                  </w:pPr>
                  <w:r>
                    <w:rPr>
                      <w:u w:val="single"/>
                    </w:rPr>
                    <w:t>7</w:t>
                  </w:r>
                </w:p>
              </w:tc>
              <w:tc>
                <w:tcPr>
                  <w:tcW w:w="2523" w:type="pct"/>
                  <w:noWrap w:val="0"/>
                  <w:vAlign w:val="center"/>
                </w:tcPr>
                <w:p>
                  <w:pPr>
                    <w:jc w:val="center"/>
                    <w:rPr>
                      <w:rFonts w:hint="default" w:eastAsia="宋体"/>
                      <w:u w:val="single"/>
                      <w:lang w:val="en-US" w:eastAsia="zh-CN"/>
                    </w:rPr>
                  </w:pPr>
                  <w:r>
                    <w:rPr>
                      <w:rFonts w:hint="eastAsia"/>
                      <w:u w:val="single"/>
                      <w:lang w:val="en-US" w:eastAsia="zh-CN"/>
                    </w:rPr>
                    <w:t>母婴监护仪</w:t>
                  </w:r>
                </w:p>
              </w:tc>
              <w:tc>
                <w:tcPr>
                  <w:tcW w:w="1195" w:type="pct"/>
                  <w:noWrap w:val="0"/>
                  <w:vAlign w:val="center"/>
                </w:tcPr>
                <w:p>
                  <w:pPr>
                    <w:jc w:val="center"/>
                    <w:rPr>
                      <w:rFonts w:hint="eastAsia"/>
                      <w:u w:val="single"/>
                      <w:lang w:val="en-US" w:eastAsia="zh-CN"/>
                    </w:rPr>
                  </w:pPr>
                  <w:r>
                    <w:rPr>
                      <w:rFonts w:hint="eastAsia" w:eastAsia="宋体"/>
                      <w:u w:val="single"/>
                      <w:lang w:val="en-US" w:eastAsia="zh-CN"/>
                    </w:rPr>
                    <w:t>X9</w:t>
                  </w:r>
                </w:p>
              </w:tc>
              <w:tc>
                <w:tcPr>
                  <w:tcW w:w="662" w:type="pct"/>
                  <w:noWrap w:val="0"/>
                  <w:vAlign w:val="center"/>
                </w:tcPr>
                <w:p>
                  <w:pPr>
                    <w:jc w:val="center"/>
                    <w:rPr>
                      <w:rFonts w:hint="eastAsia" w:eastAsia="宋体"/>
                      <w:u w:val="single"/>
                      <w:lang w:val="en-US" w:eastAsia="zh-CN"/>
                    </w:rPr>
                  </w:pPr>
                  <w:r>
                    <w:rPr>
                      <w:rFonts w:hint="eastAsia"/>
                      <w:u w:val="single"/>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18" w:type="pct"/>
                  <w:noWrap w:val="0"/>
                  <w:vAlign w:val="center"/>
                </w:tcPr>
                <w:p>
                  <w:pPr>
                    <w:jc w:val="center"/>
                    <w:rPr>
                      <w:u w:val="single"/>
                    </w:rPr>
                  </w:pPr>
                  <w:r>
                    <w:rPr>
                      <w:u w:val="single"/>
                    </w:rPr>
                    <w:t>8</w:t>
                  </w:r>
                </w:p>
              </w:tc>
              <w:tc>
                <w:tcPr>
                  <w:tcW w:w="2523" w:type="pct"/>
                  <w:noWrap w:val="0"/>
                  <w:vAlign w:val="center"/>
                </w:tcPr>
                <w:p>
                  <w:pPr>
                    <w:jc w:val="center"/>
                    <w:rPr>
                      <w:rFonts w:hint="default" w:eastAsia="宋体"/>
                      <w:u w:val="single"/>
                      <w:lang w:val="en-US" w:eastAsia="zh-CN"/>
                    </w:rPr>
                  </w:pPr>
                  <w:r>
                    <w:rPr>
                      <w:rFonts w:hint="eastAsia"/>
                      <w:u w:val="single"/>
                      <w:lang w:val="en-US" w:eastAsia="zh-CN"/>
                    </w:rPr>
                    <w:t>压缩空气雾化器</w:t>
                  </w:r>
                </w:p>
              </w:tc>
              <w:tc>
                <w:tcPr>
                  <w:tcW w:w="1195" w:type="pct"/>
                  <w:noWrap w:val="0"/>
                  <w:vAlign w:val="center"/>
                </w:tcPr>
                <w:p>
                  <w:pPr>
                    <w:jc w:val="center"/>
                    <w:rPr>
                      <w:rFonts w:hint="eastAsia"/>
                      <w:u w:val="single"/>
                      <w:lang w:val="en-US" w:eastAsia="zh-CN"/>
                    </w:rPr>
                  </w:pPr>
                  <w:r>
                    <w:rPr>
                      <w:rFonts w:hint="eastAsia" w:eastAsia="宋体"/>
                      <w:u w:val="single"/>
                      <w:lang w:val="en-US" w:eastAsia="zh-CN"/>
                    </w:rPr>
                    <w:t>403H</w:t>
                  </w:r>
                </w:p>
              </w:tc>
              <w:tc>
                <w:tcPr>
                  <w:tcW w:w="662" w:type="pct"/>
                  <w:noWrap w:val="0"/>
                  <w:vAlign w:val="center"/>
                </w:tcPr>
                <w:p>
                  <w:pPr>
                    <w:jc w:val="center"/>
                    <w:rPr>
                      <w:rFonts w:hint="eastAsia" w:eastAsia="宋体"/>
                      <w:u w:val="single"/>
                      <w:lang w:val="en-US" w:eastAsia="zh-CN"/>
                    </w:rPr>
                  </w:pPr>
                  <w:r>
                    <w:rPr>
                      <w:rFonts w:hint="eastAsia"/>
                      <w:u w:val="singl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18" w:type="pct"/>
                  <w:noWrap w:val="0"/>
                  <w:vAlign w:val="center"/>
                </w:tcPr>
                <w:p>
                  <w:pPr>
                    <w:jc w:val="center"/>
                    <w:rPr>
                      <w:u w:val="single"/>
                    </w:rPr>
                  </w:pPr>
                  <w:r>
                    <w:rPr>
                      <w:u w:val="single"/>
                    </w:rPr>
                    <w:t>9</w:t>
                  </w:r>
                </w:p>
              </w:tc>
              <w:tc>
                <w:tcPr>
                  <w:tcW w:w="2523" w:type="pct"/>
                  <w:noWrap w:val="0"/>
                  <w:vAlign w:val="center"/>
                </w:tcPr>
                <w:p>
                  <w:pPr>
                    <w:jc w:val="center"/>
                    <w:rPr>
                      <w:rFonts w:hint="default" w:eastAsia="宋体"/>
                      <w:u w:val="single"/>
                      <w:lang w:val="en-US" w:eastAsia="zh-CN"/>
                    </w:rPr>
                  </w:pPr>
                  <w:r>
                    <w:rPr>
                      <w:rFonts w:hint="eastAsia"/>
                      <w:u w:val="single"/>
                      <w:lang w:val="en-US" w:eastAsia="zh-CN"/>
                    </w:rPr>
                    <w:t>血气分析仪</w:t>
                  </w:r>
                </w:p>
              </w:tc>
              <w:tc>
                <w:tcPr>
                  <w:tcW w:w="1195" w:type="pct"/>
                  <w:noWrap w:val="0"/>
                  <w:vAlign w:val="center"/>
                </w:tcPr>
                <w:p>
                  <w:pPr>
                    <w:jc w:val="center"/>
                    <w:rPr>
                      <w:rFonts w:hint="eastAsia"/>
                      <w:u w:val="single"/>
                      <w:lang w:val="en-US" w:eastAsia="zh-CN"/>
                    </w:rPr>
                  </w:pPr>
                  <w:r>
                    <w:rPr>
                      <w:rFonts w:hint="default" w:eastAsia="宋体"/>
                      <w:u w:val="single"/>
                      <w:lang w:val="en-US" w:eastAsia="zh-CN"/>
                    </w:rPr>
                    <w:t>ABL9</w:t>
                  </w:r>
                </w:p>
              </w:tc>
              <w:tc>
                <w:tcPr>
                  <w:tcW w:w="662" w:type="pct"/>
                  <w:noWrap w:val="0"/>
                  <w:vAlign w:val="center"/>
                </w:tcPr>
                <w:p>
                  <w:pPr>
                    <w:jc w:val="center"/>
                    <w:rPr>
                      <w:rFonts w:hint="eastAsia" w:eastAsia="宋体"/>
                      <w:u w:val="single"/>
                      <w:lang w:val="en-US" w:eastAsia="zh-CN"/>
                    </w:rPr>
                  </w:pPr>
                  <w:r>
                    <w:rPr>
                      <w:rFonts w:hint="eastAsia"/>
                      <w:u w:val="singl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18" w:type="pct"/>
                  <w:noWrap w:val="0"/>
                  <w:vAlign w:val="center"/>
                </w:tcPr>
                <w:p>
                  <w:pPr>
                    <w:jc w:val="center"/>
                    <w:rPr>
                      <w:u w:val="single"/>
                    </w:rPr>
                  </w:pPr>
                  <w:r>
                    <w:rPr>
                      <w:u w:val="single"/>
                    </w:rPr>
                    <w:t>10</w:t>
                  </w:r>
                </w:p>
              </w:tc>
              <w:tc>
                <w:tcPr>
                  <w:tcW w:w="2523" w:type="pct"/>
                  <w:noWrap w:val="0"/>
                  <w:vAlign w:val="center"/>
                </w:tcPr>
                <w:p>
                  <w:pPr>
                    <w:jc w:val="center"/>
                    <w:rPr>
                      <w:rFonts w:hint="default" w:eastAsia="宋体"/>
                      <w:u w:val="single"/>
                      <w:lang w:val="en-US" w:eastAsia="zh-CN"/>
                    </w:rPr>
                  </w:pPr>
                  <w:r>
                    <w:rPr>
                      <w:rFonts w:hint="eastAsia"/>
                      <w:u w:val="single"/>
                      <w:lang w:val="en-US" w:eastAsia="zh-CN"/>
                    </w:rPr>
                    <w:t>血糖测试系统</w:t>
                  </w:r>
                </w:p>
              </w:tc>
              <w:tc>
                <w:tcPr>
                  <w:tcW w:w="1195" w:type="pct"/>
                  <w:noWrap w:val="0"/>
                  <w:vAlign w:val="center"/>
                </w:tcPr>
                <w:p>
                  <w:pPr>
                    <w:jc w:val="center"/>
                    <w:rPr>
                      <w:rFonts w:hint="default"/>
                      <w:u w:val="single"/>
                      <w:lang w:val="en-US" w:eastAsia="zh-CN"/>
                    </w:rPr>
                  </w:pPr>
                  <w:r>
                    <w:rPr>
                      <w:rFonts w:hint="eastAsia"/>
                      <w:u w:val="single"/>
                      <w:lang w:val="en-US" w:eastAsia="zh-CN"/>
                    </w:rPr>
                    <w:t>CareSens</w:t>
                  </w:r>
                </w:p>
              </w:tc>
              <w:tc>
                <w:tcPr>
                  <w:tcW w:w="662" w:type="pct"/>
                  <w:noWrap w:val="0"/>
                  <w:vAlign w:val="center"/>
                </w:tcPr>
                <w:p>
                  <w:pPr>
                    <w:jc w:val="center"/>
                    <w:rPr>
                      <w:rFonts w:hint="eastAsia" w:eastAsia="宋体"/>
                      <w:u w:val="single"/>
                      <w:lang w:val="en-US" w:eastAsia="zh-CN"/>
                    </w:rPr>
                  </w:pPr>
                  <w:r>
                    <w:rPr>
                      <w:rFonts w:hint="eastAsia"/>
                      <w:u w:val="singl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18" w:type="pct"/>
                  <w:noWrap w:val="0"/>
                  <w:vAlign w:val="center"/>
                </w:tcPr>
                <w:p>
                  <w:pPr>
                    <w:jc w:val="center"/>
                    <w:rPr>
                      <w:u w:val="single"/>
                    </w:rPr>
                  </w:pPr>
                  <w:r>
                    <w:rPr>
                      <w:u w:val="single"/>
                    </w:rPr>
                    <w:t>11</w:t>
                  </w:r>
                </w:p>
              </w:tc>
              <w:tc>
                <w:tcPr>
                  <w:tcW w:w="2523" w:type="pct"/>
                  <w:noWrap w:val="0"/>
                  <w:vAlign w:val="center"/>
                </w:tcPr>
                <w:p>
                  <w:pPr>
                    <w:jc w:val="center"/>
                    <w:rPr>
                      <w:rFonts w:hint="default" w:eastAsia="宋体"/>
                      <w:u w:val="single"/>
                      <w:lang w:val="en-US" w:eastAsia="zh-CN"/>
                    </w:rPr>
                  </w:pPr>
                  <w:r>
                    <w:rPr>
                      <w:rFonts w:hint="eastAsia"/>
                      <w:u w:val="single"/>
                      <w:lang w:val="en-US" w:eastAsia="zh-CN"/>
                    </w:rPr>
                    <w:t>黄疸治疗灯</w:t>
                  </w:r>
                </w:p>
              </w:tc>
              <w:tc>
                <w:tcPr>
                  <w:tcW w:w="1195" w:type="pct"/>
                  <w:noWrap w:val="0"/>
                  <w:vAlign w:val="center"/>
                </w:tcPr>
                <w:p>
                  <w:pPr>
                    <w:jc w:val="center"/>
                    <w:rPr>
                      <w:rFonts w:hint="eastAsia"/>
                      <w:u w:val="single"/>
                      <w:lang w:val="en-US" w:eastAsia="zh-CN"/>
                    </w:rPr>
                  </w:pPr>
                  <w:r>
                    <w:rPr>
                      <w:rFonts w:hint="default" w:eastAsia="宋体"/>
                      <w:u w:val="single"/>
                      <w:lang w:val="en-US" w:eastAsia="zh-CN"/>
                    </w:rPr>
                    <w:t>YG-II</w:t>
                  </w:r>
                </w:p>
              </w:tc>
              <w:tc>
                <w:tcPr>
                  <w:tcW w:w="662" w:type="pct"/>
                  <w:noWrap w:val="0"/>
                  <w:vAlign w:val="center"/>
                </w:tcPr>
                <w:p>
                  <w:pPr>
                    <w:jc w:val="center"/>
                    <w:rPr>
                      <w:rFonts w:hint="eastAsia" w:eastAsia="宋体"/>
                      <w:u w:val="single"/>
                      <w:lang w:val="en-US" w:eastAsia="zh-CN"/>
                    </w:rPr>
                  </w:pPr>
                  <w:r>
                    <w:rPr>
                      <w:rFonts w:hint="eastAsia"/>
                      <w:u w:val="single"/>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18" w:type="pct"/>
                  <w:noWrap w:val="0"/>
                  <w:vAlign w:val="center"/>
                </w:tcPr>
                <w:p>
                  <w:pPr>
                    <w:jc w:val="center"/>
                    <w:rPr>
                      <w:u w:val="single"/>
                    </w:rPr>
                  </w:pPr>
                  <w:r>
                    <w:rPr>
                      <w:u w:val="single"/>
                    </w:rPr>
                    <w:t>12</w:t>
                  </w:r>
                </w:p>
              </w:tc>
              <w:tc>
                <w:tcPr>
                  <w:tcW w:w="2523" w:type="pct"/>
                  <w:noWrap w:val="0"/>
                  <w:vAlign w:val="center"/>
                </w:tcPr>
                <w:p>
                  <w:pPr>
                    <w:jc w:val="center"/>
                    <w:rPr>
                      <w:rFonts w:hint="default" w:eastAsia="宋体"/>
                      <w:u w:val="single"/>
                      <w:lang w:val="en-US" w:eastAsia="zh-CN"/>
                    </w:rPr>
                  </w:pPr>
                  <w:r>
                    <w:rPr>
                      <w:rFonts w:hint="eastAsia"/>
                      <w:u w:val="single"/>
                      <w:lang w:val="en-US" w:eastAsia="zh-CN"/>
                    </w:rPr>
                    <w:t>新生儿黄疸治疗仪</w:t>
                  </w:r>
                </w:p>
              </w:tc>
              <w:tc>
                <w:tcPr>
                  <w:tcW w:w="1195" w:type="pct"/>
                  <w:noWrap w:val="0"/>
                  <w:vAlign w:val="center"/>
                </w:tcPr>
                <w:p>
                  <w:pPr>
                    <w:jc w:val="center"/>
                    <w:rPr>
                      <w:rFonts w:hint="eastAsia"/>
                      <w:u w:val="single"/>
                      <w:lang w:val="en-US" w:eastAsia="zh-CN"/>
                    </w:rPr>
                  </w:pPr>
                  <w:r>
                    <w:rPr>
                      <w:rFonts w:hint="default" w:eastAsia="宋体"/>
                      <w:u w:val="single"/>
                      <w:lang w:val="en-US" w:eastAsia="zh-CN"/>
                    </w:rPr>
                    <w:t>B-100</w:t>
                  </w:r>
                </w:p>
              </w:tc>
              <w:tc>
                <w:tcPr>
                  <w:tcW w:w="662" w:type="pct"/>
                  <w:noWrap w:val="0"/>
                  <w:vAlign w:val="center"/>
                </w:tcPr>
                <w:p>
                  <w:pPr>
                    <w:jc w:val="center"/>
                    <w:rPr>
                      <w:rFonts w:hint="eastAsia" w:eastAsia="宋体"/>
                      <w:u w:val="single"/>
                      <w:lang w:val="en-US" w:eastAsia="zh-CN"/>
                    </w:rPr>
                  </w:pPr>
                  <w:r>
                    <w:rPr>
                      <w:rFonts w:hint="eastAsia"/>
                      <w:u w:val="singl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18" w:type="pct"/>
                  <w:noWrap w:val="0"/>
                  <w:vAlign w:val="center"/>
                </w:tcPr>
                <w:p>
                  <w:pPr>
                    <w:jc w:val="center"/>
                    <w:rPr>
                      <w:u w:val="single"/>
                    </w:rPr>
                  </w:pPr>
                  <w:r>
                    <w:rPr>
                      <w:u w:val="single"/>
                    </w:rPr>
                    <w:t>13</w:t>
                  </w:r>
                </w:p>
              </w:tc>
              <w:tc>
                <w:tcPr>
                  <w:tcW w:w="2523" w:type="pct"/>
                  <w:noWrap w:val="0"/>
                  <w:vAlign w:val="center"/>
                </w:tcPr>
                <w:p>
                  <w:pPr>
                    <w:jc w:val="center"/>
                    <w:rPr>
                      <w:rFonts w:hint="default" w:eastAsia="宋体"/>
                      <w:u w:val="single"/>
                      <w:lang w:val="en-US" w:eastAsia="zh-CN"/>
                    </w:rPr>
                  </w:pPr>
                  <w:r>
                    <w:rPr>
                      <w:rFonts w:hint="eastAsia"/>
                      <w:u w:val="single"/>
                      <w:lang w:val="en-US" w:eastAsia="zh-CN"/>
                    </w:rPr>
                    <w:t>双道微量注射泵</w:t>
                  </w:r>
                </w:p>
              </w:tc>
              <w:tc>
                <w:tcPr>
                  <w:tcW w:w="1195" w:type="pct"/>
                  <w:noWrap w:val="0"/>
                  <w:vAlign w:val="center"/>
                </w:tcPr>
                <w:p>
                  <w:pPr>
                    <w:jc w:val="center"/>
                    <w:rPr>
                      <w:rFonts w:hint="default"/>
                      <w:u w:val="single"/>
                      <w:lang w:val="en-US" w:eastAsia="zh-CN"/>
                    </w:rPr>
                  </w:pPr>
                  <w:r>
                    <w:rPr>
                      <w:rFonts w:hint="eastAsia"/>
                      <w:u w:val="single"/>
                      <w:lang w:val="en-US" w:eastAsia="zh-CN"/>
                    </w:rPr>
                    <w:t>SP01-1A</w:t>
                  </w:r>
                </w:p>
              </w:tc>
              <w:tc>
                <w:tcPr>
                  <w:tcW w:w="662" w:type="pct"/>
                  <w:noWrap w:val="0"/>
                  <w:vAlign w:val="center"/>
                </w:tcPr>
                <w:p>
                  <w:pPr>
                    <w:jc w:val="center"/>
                    <w:rPr>
                      <w:rFonts w:hint="eastAsia" w:eastAsia="宋体"/>
                      <w:u w:val="single"/>
                      <w:lang w:val="en-US" w:eastAsia="zh-CN"/>
                    </w:rPr>
                  </w:pPr>
                  <w:r>
                    <w:rPr>
                      <w:rFonts w:hint="eastAsia"/>
                      <w:u w:val="single"/>
                      <w:lang w:val="en-US" w:eastAsia="zh-CN"/>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18" w:type="pct"/>
                  <w:noWrap w:val="0"/>
                  <w:vAlign w:val="center"/>
                </w:tcPr>
                <w:p>
                  <w:pPr>
                    <w:jc w:val="center"/>
                    <w:rPr>
                      <w:u w:val="single"/>
                    </w:rPr>
                  </w:pPr>
                  <w:r>
                    <w:rPr>
                      <w:u w:val="single"/>
                    </w:rPr>
                    <w:t>14</w:t>
                  </w:r>
                </w:p>
              </w:tc>
              <w:tc>
                <w:tcPr>
                  <w:tcW w:w="2523" w:type="pct"/>
                  <w:noWrap w:val="0"/>
                  <w:vAlign w:val="center"/>
                </w:tcPr>
                <w:p>
                  <w:pPr>
                    <w:jc w:val="center"/>
                    <w:rPr>
                      <w:rFonts w:hint="default" w:eastAsia="宋体"/>
                      <w:u w:val="single"/>
                      <w:lang w:val="en-US" w:eastAsia="zh-CN"/>
                    </w:rPr>
                  </w:pPr>
                  <w:r>
                    <w:rPr>
                      <w:rFonts w:hint="eastAsia"/>
                      <w:u w:val="single"/>
                      <w:lang w:val="en-US" w:eastAsia="zh-CN"/>
                    </w:rPr>
                    <w:t>ASQ儿童发育筛查系统</w:t>
                  </w:r>
                </w:p>
              </w:tc>
              <w:tc>
                <w:tcPr>
                  <w:tcW w:w="1195" w:type="pct"/>
                  <w:noWrap w:val="0"/>
                  <w:vAlign w:val="center"/>
                </w:tcPr>
                <w:p>
                  <w:pPr>
                    <w:jc w:val="center"/>
                    <w:rPr>
                      <w:rFonts w:hint="default"/>
                      <w:u w:val="single"/>
                      <w:lang w:val="en-US" w:eastAsia="zh-CN"/>
                    </w:rPr>
                  </w:pPr>
                  <w:r>
                    <w:rPr>
                      <w:rFonts w:hint="eastAsia"/>
                      <w:u w:val="single"/>
                      <w:lang w:val="en-US" w:eastAsia="zh-CN"/>
                    </w:rPr>
                    <w:t>/</w:t>
                  </w:r>
                </w:p>
              </w:tc>
              <w:tc>
                <w:tcPr>
                  <w:tcW w:w="662" w:type="pct"/>
                  <w:noWrap w:val="0"/>
                  <w:vAlign w:val="center"/>
                </w:tcPr>
                <w:p>
                  <w:pPr>
                    <w:jc w:val="center"/>
                    <w:rPr>
                      <w:rFonts w:hint="eastAsia" w:eastAsia="宋体"/>
                      <w:u w:val="single"/>
                      <w:lang w:val="en-US" w:eastAsia="zh-CN"/>
                    </w:rPr>
                  </w:pPr>
                  <w:r>
                    <w:rPr>
                      <w:rFonts w:hint="eastAsia"/>
                      <w:u w:val="singl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18" w:type="pct"/>
                  <w:noWrap w:val="0"/>
                  <w:vAlign w:val="center"/>
                </w:tcPr>
                <w:p>
                  <w:pPr>
                    <w:jc w:val="center"/>
                    <w:rPr>
                      <w:u w:val="single"/>
                    </w:rPr>
                  </w:pPr>
                  <w:r>
                    <w:rPr>
                      <w:u w:val="single"/>
                    </w:rPr>
                    <w:t>15</w:t>
                  </w:r>
                </w:p>
              </w:tc>
              <w:tc>
                <w:tcPr>
                  <w:tcW w:w="2523" w:type="pct"/>
                  <w:noWrap w:val="0"/>
                  <w:vAlign w:val="center"/>
                </w:tcPr>
                <w:p>
                  <w:pPr>
                    <w:jc w:val="center"/>
                    <w:rPr>
                      <w:rFonts w:hint="default" w:eastAsia="宋体"/>
                      <w:u w:val="single"/>
                      <w:lang w:val="en-US" w:eastAsia="zh-CN"/>
                    </w:rPr>
                  </w:pPr>
                  <w:r>
                    <w:rPr>
                      <w:rFonts w:hint="eastAsia"/>
                      <w:u w:val="single"/>
                      <w:lang w:val="en-US" w:eastAsia="zh-CN"/>
                    </w:rPr>
                    <w:t>视力筛查仪</w:t>
                  </w:r>
                </w:p>
              </w:tc>
              <w:tc>
                <w:tcPr>
                  <w:tcW w:w="1195" w:type="pct"/>
                  <w:noWrap w:val="0"/>
                  <w:vAlign w:val="center"/>
                </w:tcPr>
                <w:p>
                  <w:pPr>
                    <w:jc w:val="center"/>
                    <w:rPr>
                      <w:rFonts w:hint="eastAsia"/>
                      <w:u w:val="single"/>
                      <w:lang w:val="en-US" w:eastAsia="zh-CN"/>
                    </w:rPr>
                  </w:pPr>
                  <w:r>
                    <w:rPr>
                      <w:rFonts w:hint="eastAsia" w:eastAsia="宋体"/>
                      <w:u w:val="single"/>
                      <w:lang w:val="en-US" w:eastAsia="zh-CN"/>
                    </w:rPr>
                    <w:t>PRS-VS550</w:t>
                  </w:r>
                </w:p>
              </w:tc>
              <w:tc>
                <w:tcPr>
                  <w:tcW w:w="662" w:type="pct"/>
                  <w:noWrap w:val="0"/>
                  <w:vAlign w:val="center"/>
                </w:tcPr>
                <w:p>
                  <w:pPr>
                    <w:jc w:val="center"/>
                    <w:rPr>
                      <w:rFonts w:hint="eastAsia" w:eastAsia="宋体"/>
                      <w:u w:val="single"/>
                      <w:lang w:val="en-US" w:eastAsia="zh-CN"/>
                    </w:rPr>
                  </w:pPr>
                  <w:r>
                    <w:rPr>
                      <w:rFonts w:hint="eastAsia"/>
                      <w:u w:val="singl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18" w:type="pct"/>
                  <w:noWrap w:val="0"/>
                  <w:vAlign w:val="center"/>
                </w:tcPr>
                <w:p>
                  <w:pPr>
                    <w:jc w:val="center"/>
                    <w:rPr>
                      <w:u w:val="single"/>
                    </w:rPr>
                  </w:pPr>
                  <w:r>
                    <w:rPr>
                      <w:u w:val="single"/>
                    </w:rPr>
                    <w:t>16</w:t>
                  </w:r>
                </w:p>
              </w:tc>
              <w:tc>
                <w:tcPr>
                  <w:tcW w:w="2523" w:type="pct"/>
                  <w:noWrap w:val="0"/>
                  <w:vAlign w:val="center"/>
                </w:tcPr>
                <w:p>
                  <w:pPr>
                    <w:jc w:val="center"/>
                    <w:rPr>
                      <w:rFonts w:hint="default" w:eastAsia="宋体"/>
                      <w:u w:val="single"/>
                      <w:lang w:val="en-US" w:eastAsia="zh-CN"/>
                    </w:rPr>
                  </w:pPr>
                  <w:r>
                    <w:rPr>
                      <w:rFonts w:hint="eastAsia"/>
                      <w:u w:val="single"/>
                      <w:lang w:val="en-US" w:eastAsia="zh-CN"/>
                    </w:rPr>
                    <w:t>听力筛查仪</w:t>
                  </w:r>
                </w:p>
              </w:tc>
              <w:tc>
                <w:tcPr>
                  <w:tcW w:w="1195" w:type="pct"/>
                  <w:noWrap w:val="0"/>
                  <w:vAlign w:val="center"/>
                </w:tcPr>
                <w:p>
                  <w:pPr>
                    <w:jc w:val="center"/>
                    <w:rPr>
                      <w:rFonts w:hint="default"/>
                      <w:u w:val="single"/>
                      <w:lang w:val="en-US" w:eastAsia="zh-CN"/>
                    </w:rPr>
                  </w:pPr>
                  <w:r>
                    <w:rPr>
                      <w:rFonts w:hint="eastAsia"/>
                      <w:u w:val="single"/>
                      <w:lang w:val="en-US" w:eastAsia="zh-CN"/>
                    </w:rPr>
                    <w:t>NJ31</w:t>
                  </w:r>
                </w:p>
              </w:tc>
              <w:tc>
                <w:tcPr>
                  <w:tcW w:w="662" w:type="pct"/>
                  <w:noWrap w:val="0"/>
                  <w:vAlign w:val="center"/>
                </w:tcPr>
                <w:p>
                  <w:pPr>
                    <w:jc w:val="center"/>
                    <w:rPr>
                      <w:rFonts w:hint="eastAsia" w:eastAsia="宋体"/>
                      <w:u w:val="single"/>
                      <w:lang w:val="en-US" w:eastAsia="zh-CN"/>
                    </w:rPr>
                  </w:pPr>
                  <w:r>
                    <w:rPr>
                      <w:rFonts w:hint="eastAsia"/>
                      <w:u w:val="singl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18" w:type="pct"/>
                  <w:noWrap w:val="0"/>
                  <w:vAlign w:val="center"/>
                </w:tcPr>
                <w:p>
                  <w:pPr>
                    <w:jc w:val="center"/>
                    <w:rPr>
                      <w:u w:val="single"/>
                    </w:rPr>
                  </w:pPr>
                  <w:r>
                    <w:rPr>
                      <w:u w:val="single"/>
                    </w:rPr>
                    <w:t>17</w:t>
                  </w:r>
                </w:p>
              </w:tc>
              <w:tc>
                <w:tcPr>
                  <w:tcW w:w="2523" w:type="pct"/>
                  <w:noWrap w:val="0"/>
                  <w:vAlign w:val="center"/>
                </w:tcPr>
                <w:p>
                  <w:pPr>
                    <w:jc w:val="center"/>
                    <w:rPr>
                      <w:rFonts w:hint="default" w:eastAsia="宋体"/>
                      <w:u w:val="single"/>
                      <w:lang w:val="en-US" w:eastAsia="zh-CN"/>
                    </w:rPr>
                  </w:pPr>
                  <w:r>
                    <w:rPr>
                      <w:rFonts w:hint="eastAsia"/>
                      <w:u w:val="single"/>
                      <w:lang w:val="en-US" w:eastAsia="zh-CN"/>
                    </w:rPr>
                    <w:t>低频治疗仪</w:t>
                  </w:r>
                </w:p>
              </w:tc>
              <w:tc>
                <w:tcPr>
                  <w:tcW w:w="1195" w:type="pct"/>
                  <w:noWrap w:val="0"/>
                  <w:vAlign w:val="center"/>
                </w:tcPr>
                <w:p>
                  <w:pPr>
                    <w:jc w:val="center"/>
                    <w:rPr>
                      <w:rFonts w:hint="eastAsia"/>
                      <w:u w:val="single"/>
                      <w:lang w:val="en-US" w:eastAsia="zh-CN"/>
                    </w:rPr>
                  </w:pPr>
                  <w:r>
                    <w:rPr>
                      <w:rFonts w:hint="eastAsia" w:eastAsia="宋体"/>
                      <w:u w:val="single"/>
                      <w:lang w:val="en-US" w:eastAsia="zh-CN"/>
                    </w:rPr>
                    <w:t>DT-2</w:t>
                  </w:r>
                </w:p>
              </w:tc>
              <w:tc>
                <w:tcPr>
                  <w:tcW w:w="662" w:type="pct"/>
                  <w:noWrap w:val="0"/>
                  <w:vAlign w:val="center"/>
                </w:tcPr>
                <w:p>
                  <w:pPr>
                    <w:jc w:val="center"/>
                    <w:rPr>
                      <w:rFonts w:hint="eastAsia" w:eastAsia="宋体"/>
                      <w:u w:val="single"/>
                      <w:lang w:val="en-US" w:eastAsia="zh-CN"/>
                    </w:rPr>
                  </w:pPr>
                  <w:r>
                    <w:rPr>
                      <w:rFonts w:hint="eastAsia"/>
                      <w:u w:val="singl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18" w:type="pct"/>
                  <w:noWrap w:val="0"/>
                  <w:vAlign w:val="center"/>
                </w:tcPr>
                <w:p>
                  <w:pPr>
                    <w:jc w:val="center"/>
                    <w:rPr>
                      <w:u w:val="single"/>
                    </w:rPr>
                  </w:pPr>
                  <w:r>
                    <w:rPr>
                      <w:u w:val="single"/>
                    </w:rPr>
                    <w:t>18</w:t>
                  </w:r>
                </w:p>
              </w:tc>
              <w:tc>
                <w:tcPr>
                  <w:tcW w:w="2523" w:type="pct"/>
                  <w:noWrap w:val="0"/>
                  <w:vAlign w:val="center"/>
                </w:tcPr>
                <w:p>
                  <w:pPr>
                    <w:jc w:val="center"/>
                    <w:rPr>
                      <w:rFonts w:hint="default" w:eastAsia="宋体"/>
                      <w:u w:val="single"/>
                      <w:lang w:val="en-US" w:eastAsia="zh-CN"/>
                    </w:rPr>
                  </w:pPr>
                  <w:r>
                    <w:rPr>
                      <w:rFonts w:hint="eastAsia"/>
                      <w:u w:val="single"/>
                      <w:lang w:val="en-US" w:eastAsia="zh-CN"/>
                    </w:rPr>
                    <w:t>营养评价系统</w:t>
                  </w:r>
                </w:p>
              </w:tc>
              <w:tc>
                <w:tcPr>
                  <w:tcW w:w="1195" w:type="pct"/>
                  <w:noWrap w:val="0"/>
                  <w:vAlign w:val="center"/>
                </w:tcPr>
                <w:p>
                  <w:pPr>
                    <w:jc w:val="center"/>
                    <w:rPr>
                      <w:rFonts w:hint="default"/>
                      <w:u w:val="single"/>
                      <w:lang w:val="en-US" w:eastAsia="zh-CN"/>
                    </w:rPr>
                  </w:pPr>
                  <w:r>
                    <w:rPr>
                      <w:rFonts w:hint="eastAsia"/>
                      <w:u w:val="single"/>
                      <w:lang w:val="en-US" w:eastAsia="zh-CN"/>
                    </w:rPr>
                    <w:t>/</w:t>
                  </w:r>
                </w:p>
              </w:tc>
              <w:tc>
                <w:tcPr>
                  <w:tcW w:w="662" w:type="pct"/>
                  <w:noWrap w:val="0"/>
                  <w:vAlign w:val="center"/>
                </w:tcPr>
                <w:p>
                  <w:pPr>
                    <w:jc w:val="center"/>
                    <w:rPr>
                      <w:rFonts w:hint="eastAsia" w:eastAsia="宋体"/>
                      <w:u w:val="single"/>
                      <w:lang w:val="en-US" w:eastAsia="zh-CN"/>
                    </w:rPr>
                  </w:pPr>
                  <w:r>
                    <w:rPr>
                      <w:rFonts w:hint="eastAsia"/>
                      <w:u w:val="singl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18" w:type="pct"/>
                  <w:noWrap w:val="0"/>
                  <w:vAlign w:val="center"/>
                </w:tcPr>
                <w:p>
                  <w:pPr>
                    <w:jc w:val="center"/>
                    <w:rPr>
                      <w:rFonts w:hint="default" w:eastAsia="宋体"/>
                      <w:u w:val="single"/>
                      <w:lang w:val="en-US" w:eastAsia="zh-CN"/>
                    </w:rPr>
                  </w:pPr>
                  <w:r>
                    <w:rPr>
                      <w:rFonts w:hint="eastAsia"/>
                      <w:u w:val="single"/>
                      <w:lang w:val="en-US" w:eastAsia="zh-CN"/>
                    </w:rPr>
                    <w:t>19</w:t>
                  </w:r>
                </w:p>
              </w:tc>
              <w:tc>
                <w:tcPr>
                  <w:tcW w:w="2523" w:type="pct"/>
                  <w:noWrap w:val="0"/>
                  <w:vAlign w:val="center"/>
                </w:tcPr>
                <w:p>
                  <w:pPr>
                    <w:jc w:val="center"/>
                    <w:rPr>
                      <w:rFonts w:hint="default"/>
                      <w:u w:val="single"/>
                      <w:lang w:val="en-US" w:eastAsia="zh-CN"/>
                    </w:rPr>
                  </w:pPr>
                  <w:r>
                    <w:rPr>
                      <w:rFonts w:hint="eastAsia"/>
                      <w:u w:val="single"/>
                      <w:lang w:val="en-US" w:eastAsia="zh-CN"/>
                    </w:rPr>
                    <w:t>燃气热水锅炉（UK·W-120）</w:t>
                  </w:r>
                </w:p>
              </w:tc>
              <w:tc>
                <w:tcPr>
                  <w:tcW w:w="1195" w:type="pct"/>
                  <w:noWrap w:val="0"/>
                  <w:vAlign w:val="center"/>
                </w:tcPr>
                <w:p>
                  <w:pPr>
                    <w:jc w:val="center"/>
                    <w:rPr>
                      <w:rFonts w:hint="eastAsia" w:eastAsia="宋体"/>
                      <w:sz w:val="21"/>
                      <w:szCs w:val="21"/>
                      <w:lang w:val="en-US" w:eastAsia="zh-CN"/>
                    </w:rPr>
                  </w:pPr>
                  <w:r>
                    <w:rPr>
                      <w:rFonts w:hint="eastAsia" w:eastAsia="宋体"/>
                      <w:sz w:val="21"/>
                      <w:szCs w:val="21"/>
                      <w:lang w:val="en-US" w:eastAsia="zh-CN"/>
                    </w:rPr>
                    <w:t>1.163MW</w:t>
                  </w:r>
                </w:p>
              </w:tc>
              <w:tc>
                <w:tcPr>
                  <w:tcW w:w="662" w:type="pct"/>
                  <w:noWrap w:val="0"/>
                  <w:vAlign w:val="center"/>
                </w:tcPr>
                <w:p>
                  <w:pPr>
                    <w:jc w:val="center"/>
                    <w:rPr>
                      <w:rFonts w:hint="default"/>
                      <w:u w:val="single"/>
                      <w:lang w:val="en-US" w:eastAsia="zh-CN"/>
                    </w:rPr>
                  </w:pPr>
                  <w:r>
                    <w:rPr>
                      <w:rFonts w:hint="eastAsia"/>
                      <w:u w:val="singl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18" w:type="pct"/>
                  <w:noWrap w:val="0"/>
                  <w:vAlign w:val="center"/>
                </w:tcPr>
                <w:p>
                  <w:pPr>
                    <w:jc w:val="center"/>
                    <w:rPr>
                      <w:rFonts w:hint="default" w:eastAsia="宋体"/>
                      <w:u w:val="single"/>
                      <w:lang w:val="en-US" w:eastAsia="zh-CN"/>
                    </w:rPr>
                  </w:pPr>
                  <w:r>
                    <w:rPr>
                      <w:rFonts w:hint="eastAsia"/>
                      <w:u w:val="single"/>
                      <w:lang w:val="en-US" w:eastAsia="zh-CN"/>
                    </w:rPr>
                    <w:t>20</w:t>
                  </w:r>
                </w:p>
              </w:tc>
              <w:tc>
                <w:tcPr>
                  <w:tcW w:w="2523" w:type="pct"/>
                  <w:noWrap w:val="0"/>
                  <w:vAlign w:val="center"/>
                </w:tcPr>
                <w:p>
                  <w:pPr>
                    <w:jc w:val="center"/>
                    <w:rPr>
                      <w:rFonts w:hint="default"/>
                      <w:u w:val="single"/>
                      <w:lang w:val="en-US" w:eastAsia="zh-CN"/>
                    </w:rPr>
                  </w:pPr>
                  <w:r>
                    <w:rPr>
                      <w:rFonts w:hint="eastAsia"/>
                      <w:u w:val="single"/>
                      <w:lang w:val="en-US" w:eastAsia="zh-CN"/>
                    </w:rPr>
                    <w:t>油烟净化器</w:t>
                  </w:r>
                </w:p>
              </w:tc>
              <w:tc>
                <w:tcPr>
                  <w:tcW w:w="1195" w:type="pct"/>
                  <w:noWrap w:val="0"/>
                  <w:vAlign w:val="center"/>
                </w:tcPr>
                <w:p>
                  <w:pPr>
                    <w:jc w:val="center"/>
                    <w:rPr>
                      <w:rFonts w:hint="default" w:eastAsia="宋体"/>
                      <w:sz w:val="21"/>
                      <w:szCs w:val="21"/>
                      <w:lang w:val="en-US" w:eastAsia="zh-CN"/>
                    </w:rPr>
                  </w:pPr>
                  <w:r>
                    <w:rPr>
                      <w:rFonts w:hint="eastAsia" w:eastAsia="宋体"/>
                      <w:sz w:val="21"/>
                      <w:szCs w:val="21"/>
                      <w:lang w:val="en-US" w:eastAsia="zh-CN"/>
                    </w:rPr>
                    <w:t>10000m</w:t>
                  </w:r>
                  <w:r>
                    <w:rPr>
                      <w:rFonts w:hint="eastAsia" w:eastAsia="宋体"/>
                      <w:sz w:val="21"/>
                      <w:szCs w:val="21"/>
                      <w:vertAlign w:val="superscript"/>
                      <w:lang w:val="en-US" w:eastAsia="zh-CN"/>
                    </w:rPr>
                    <w:t>3</w:t>
                  </w:r>
                  <w:r>
                    <w:rPr>
                      <w:rFonts w:hint="eastAsia" w:eastAsia="宋体"/>
                      <w:sz w:val="21"/>
                      <w:szCs w:val="21"/>
                      <w:lang w:val="en-US" w:eastAsia="zh-CN"/>
                    </w:rPr>
                    <w:t>/h</w:t>
                  </w:r>
                </w:p>
              </w:tc>
              <w:tc>
                <w:tcPr>
                  <w:tcW w:w="662" w:type="pct"/>
                  <w:noWrap w:val="0"/>
                  <w:vAlign w:val="center"/>
                </w:tcPr>
                <w:p>
                  <w:pPr>
                    <w:jc w:val="center"/>
                    <w:rPr>
                      <w:rFonts w:hint="default"/>
                      <w:u w:val="single"/>
                      <w:lang w:val="en-US" w:eastAsia="zh-CN"/>
                    </w:rPr>
                  </w:pPr>
                  <w:r>
                    <w:rPr>
                      <w:rFonts w:hint="eastAsia"/>
                      <w:u w:val="singl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18" w:type="pct"/>
                  <w:noWrap w:val="0"/>
                  <w:vAlign w:val="center"/>
                </w:tcPr>
                <w:p>
                  <w:pPr>
                    <w:jc w:val="center"/>
                    <w:rPr>
                      <w:rFonts w:hint="default"/>
                      <w:u w:val="single"/>
                      <w:lang w:val="en-US" w:eastAsia="zh-CN"/>
                    </w:rPr>
                  </w:pPr>
                  <w:r>
                    <w:rPr>
                      <w:rFonts w:hint="eastAsia"/>
                      <w:u w:val="single"/>
                      <w:lang w:val="en-US" w:eastAsia="zh-CN"/>
                    </w:rPr>
                    <w:t>21</w:t>
                  </w:r>
                </w:p>
              </w:tc>
              <w:tc>
                <w:tcPr>
                  <w:tcW w:w="2523" w:type="pct"/>
                  <w:noWrap w:val="0"/>
                  <w:vAlign w:val="center"/>
                </w:tcPr>
                <w:p>
                  <w:pPr>
                    <w:jc w:val="center"/>
                    <w:rPr>
                      <w:rFonts w:hint="default"/>
                      <w:u w:val="single"/>
                      <w:lang w:val="en-US" w:eastAsia="zh-CN"/>
                    </w:rPr>
                  </w:pPr>
                  <w:r>
                    <w:rPr>
                      <w:rFonts w:hint="eastAsia"/>
                      <w:u w:val="single"/>
                      <w:lang w:val="en-US" w:eastAsia="zh-CN"/>
                    </w:rPr>
                    <w:t>中央空调</w:t>
                  </w:r>
                </w:p>
              </w:tc>
              <w:tc>
                <w:tcPr>
                  <w:tcW w:w="1195" w:type="pct"/>
                  <w:noWrap w:val="0"/>
                  <w:vAlign w:val="center"/>
                </w:tcPr>
                <w:p>
                  <w:pPr>
                    <w:bidi w:val="0"/>
                    <w:spacing w:line="240" w:lineRule="auto"/>
                    <w:jc w:val="center"/>
                    <w:rPr>
                      <w:rFonts w:hint="eastAsia" w:eastAsia="宋体"/>
                      <w:szCs w:val="21"/>
                      <w:lang w:val="en-US" w:eastAsia="zh-CN"/>
                    </w:rPr>
                  </w:pPr>
                  <w:r>
                    <w:t>GMV-NR140PLS/A</w:t>
                  </w:r>
                </w:p>
              </w:tc>
              <w:tc>
                <w:tcPr>
                  <w:tcW w:w="662" w:type="pct"/>
                  <w:noWrap w:val="0"/>
                  <w:vAlign w:val="center"/>
                </w:tcPr>
                <w:p>
                  <w:pPr>
                    <w:jc w:val="center"/>
                    <w:rPr>
                      <w:rFonts w:hint="default"/>
                      <w:u w:val="single"/>
                      <w:lang w:val="en-US" w:eastAsia="zh-CN"/>
                    </w:rPr>
                  </w:pPr>
                  <w:r>
                    <w:rPr>
                      <w:rFonts w:hint="eastAsia"/>
                      <w:u w:val="single"/>
                      <w:lang w:val="en-US" w:eastAsia="zh-CN"/>
                    </w:rPr>
                    <w:t>10</w:t>
                  </w:r>
                </w:p>
              </w:tc>
            </w:tr>
          </w:tbl>
          <w:p>
            <w:pPr>
              <w:bidi w:val="0"/>
              <w:spacing w:line="360" w:lineRule="auto"/>
              <w:ind w:firstLine="480" w:firstLineChars="200"/>
              <w:rPr>
                <w:rFonts w:hint="default"/>
                <w:sz w:val="24"/>
                <w:szCs w:val="24"/>
                <w:u w:val="single"/>
                <w:lang w:val="en-US" w:eastAsia="zh-CN"/>
              </w:rPr>
            </w:pPr>
            <w:r>
              <w:rPr>
                <w:rFonts w:hint="eastAsia"/>
                <w:sz w:val="24"/>
                <w:szCs w:val="24"/>
                <w:u w:val="single"/>
                <w:lang w:val="en-US" w:eastAsia="zh-CN"/>
              </w:rPr>
              <w:t>对照</w:t>
            </w:r>
            <w:r>
              <w:rPr>
                <w:rFonts w:hint="default"/>
                <w:sz w:val="24"/>
                <w:szCs w:val="24"/>
                <w:u w:val="single"/>
              </w:rPr>
              <w:t>《产业结构调整指导目录</w:t>
            </w:r>
            <w:r>
              <w:rPr>
                <w:rFonts w:hint="eastAsia"/>
                <w:sz w:val="24"/>
                <w:szCs w:val="24"/>
                <w:u w:val="single"/>
                <w:lang w:eastAsia="zh-CN"/>
              </w:rPr>
              <w:t>（</w:t>
            </w:r>
            <w:r>
              <w:rPr>
                <w:rFonts w:hint="default"/>
                <w:sz w:val="24"/>
                <w:szCs w:val="24"/>
                <w:u w:val="single"/>
              </w:rPr>
              <w:t>2019年本</w:t>
            </w:r>
            <w:r>
              <w:rPr>
                <w:rFonts w:hint="eastAsia"/>
                <w:sz w:val="24"/>
                <w:szCs w:val="24"/>
                <w:u w:val="single"/>
                <w:lang w:eastAsia="zh-CN"/>
              </w:rPr>
              <w:t>）</w:t>
            </w:r>
            <w:r>
              <w:rPr>
                <w:rFonts w:hint="default"/>
                <w:sz w:val="24"/>
                <w:szCs w:val="24"/>
                <w:u w:val="single"/>
              </w:rPr>
              <w:t>》</w:t>
            </w:r>
            <w:r>
              <w:rPr>
                <w:rFonts w:hint="eastAsia"/>
                <w:sz w:val="24"/>
                <w:szCs w:val="24"/>
                <w:u w:val="single"/>
                <w:lang w:eastAsia="zh-CN"/>
              </w:rPr>
              <w:t>，</w:t>
            </w:r>
            <w:r>
              <w:rPr>
                <w:rFonts w:hint="eastAsia"/>
                <w:sz w:val="24"/>
                <w:szCs w:val="24"/>
                <w:u w:val="single"/>
                <w:lang w:val="en-US" w:eastAsia="zh-CN"/>
              </w:rPr>
              <w:t>本项目使用的设备不属于其中的限制类和淘汰类。</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给水</w:t>
            </w:r>
          </w:p>
          <w:p>
            <w:pPr>
              <w:spacing w:line="360" w:lineRule="auto"/>
              <w:ind w:firstLine="480" w:firstLineChars="200"/>
              <w:jc w:val="left"/>
              <w:rPr>
                <w:rFonts w:hint="default" w:eastAsia="宋体"/>
                <w:sz w:val="24"/>
                <w:u w:val="single"/>
                <w:lang w:val="en-US" w:eastAsia="zh-CN"/>
              </w:rPr>
            </w:pPr>
            <w:r>
              <w:rPr>
                <w:rFonts w:hint="eastAsia"/>
                <w:sz w:val="24"/>
                <w:u w:val="single"/>
                <w:lang w:val="en-US" w:eastAsia="zh-CN"/>
              </w:rPr>
              <w:t>1）生活用水</w:t>
            </w:r>
          </w:p>
          <w:p>
            <w:pPr>
              <w:spacing w:line="360" w:lineRule="auto"/>
              <w:ind w:firstLine="480" w:firstLineChars="200"/>
              <w:jc w:val="left"/>
              <w:rPr>
                <w:rFonts w:hint="eastAsia"/>
                <w:sz w:val="24"/>
              </w:rPr>
            </w:pPr>
            <w:r>
              <w:rPr>
                <w:rFonts w:hint="eastAsia"/>
                <w:sz w:val="24"/>
              </w:rPr>
              <w:t>①医护人员用水</w:t>
            </w:r>
          </w:p>
          <w:p>
            <w:pPr>
              <w:spacing w:line="360" w:lineRule="auto"/>
              <w:ind w:firstLine="480" w:firstLineChars="200"/>
              <w:jc w:val="left"/>
              <w:rPr>
                <w:rFonts w:hint="eastAsia"/>
                <w:sz w:val="24"/>
              </w:rPr>
            </w:pPr>
            <w:r>
              <w:rPr>
                <w:rFonts w:hint="eastAsia"/>
                <w:sz w:val="24"/>
              </w:rPr>
              <w:t>建设项目共有医护人员220人，职工生活</w:t>
            </w:r>
            <w:r>
              <w:rPr>
                <w:rFonts w:hint="eastAsia" w:ascii="Calibri" w:hAnsi="Calibri"/>
                <w:sz w:val="24"/>
              </w:rPr>
              <w:t>用水根据《综合医院建筑设计规范》（GB51039-2014），员工用水定额每人每</w:t>
            </w:r>
            <w:r>
              <w:rPr>
                <w:rFonts w:hint="eastAsia"/>
                <w:sz w:val="24"/>
              </w:rPr>
              <w:t>班150~250L，本项目按200L/人.班计算，年工作365天，则医护人员生活用水</w:t>
            </w:r>
            <w:r>
              <w:rPr>
                <w:rFonts w:hint="eastAsia"/>
                <w:sz w:val="24"/>
                <w:lang w:val="en-US" w:eastAsia="zh-CN"/>
              </w:rPr>
              <w:t>44.0t/d（</w:t>
            </w:r>
            <w:r>
              <w:rPr>
                <w:rFonts w:hint="eastAsia"/>
                <w:sz w:val="24"/>
              </w:rPr>
              <w:t>16060</w:t>
            </w:r>
            <w:r>
              <w:rPr>
                <w:rFonts w:hint="eastAsia"/>
                <w:sz w:val="24"/>
                <w:lang w:val="en-US" w:eastAsia="zh-CN"/>
              </w:rPr>
              <w:t>.0</w:t>
            </w:r>
            <w:r>
              <w:rPr>
                <w:rFonts w:hint="eastAsia"/>
                <w:sz w:val="24"/>
              </w:rPr>
              <w:t>t/a</w:t>
            </w:r>
            <w:r>
              <w:rPr>
                <w:rFonts w:hint="eastAsia"/>
                <w:sz w:val="24"/>
                <w:lang w:val="en-US" w:eastAsia="zh-CN"/>
              </w:rPr>
              <w:t>）</w:t>
            </w:r>
            <w:r>
              <w:rPr>
                <w:rFonts w:hint="eastAsia"/>
                <w:sz w:val="24"/>
              </w:rPr>
              <w:t>，废水产生量以用水量的80％计，则污水产生量约为</w:t>
            </w:r>
            <w:r>
              <w:rPr>
                <w:rFonts w:hint="eastAsia"/>
                <w:sz w:val="24"/>
                <w:lang w:val="en-US" w:eastAsia="zh-CN"/>
              </w:rPr>
              <w:t>35.2t/d（</w:t>
            </w:r>
            <w:r>
              <w:rPr>
                <w:rFonts w:hint="eastAsia"/>
                <w:sz w:val="24"/>
              </w:rPr>
              <w:t>12848</w:t>
            </w:r>
            <w:r>
              <w:rPr>
                <w:rFonts w:hint="eastAsia"/>
                <w:sz w:val="24"/>
                <w:lang w:val="en-US" w:eastAsia="zh-CN"/>
              </w:rPr>
              <w:t>.0</w:t>
            </w:r>
            <w:r>
              <w:rPr>
                <w:rFonts w:hint="eastAsia"/>
                <w:sz w:val="24"/>
              </w:rPr>
              <w:t>t/a</w:t>
            </w:r>
            <w:r>
              <w:rPr>
                <w:rFonts w:hint="eastAsia"/>
                <w:sz w:val="24"/>
                <w:lang w:val="en-US" w:eastAsia="zh-CN"/>
              </w:rPr>
              <w:t>）</w:t>
            </w:r>
            <w:r>
              <w:rPr>
                <w:rFonts w:hint="eastAsia"/>
                <w:sz w:val="24"/>
              </w:rPr>
              <w:t>。该部分废水与医疗废水全部进入医院内污水处理站。</w:t>
            </w:r>
          </w:p>
          <w:p>
            <w:pPr>
              <w:spacing w:line="360" w:lineRule="auto"/>
              <w:ind w:firstLine="480" w:firstLineChars="200"/>
              <w:jc w:val="left"/>
              <w:rPr>
                <w:rFonts w:hint="eastAsia"/>
                <w:sz w:val="24"/>
              </w:rPr>
            </w:pPr>
            <w:r>
              <w:rPr>
                <w:rFonts w:hint="eastAsia"/>
                <w:sz w:val="24"/>
              </w:rPr>
              <w:t>②陪护人员用水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根据《综合医院建筑设计规范》（GB51039-2014），陪护人员用水定额按200L /床</w:t>
            </w:r>
            <w:r>
              <w:rPr>
                <w:rFonts w:hint="eastAsia"/>
                <w:sz w:val="24"/>
                <w:lang w:val="en-US" w:eastAsia="zh-CN"/>
              </w:rPr>
              <w:t>·</w:t>
            </w:r>
            <w:r>
              <w:rPr>
                <w:rFonts w:hint="eastAsia"/>
                <w:sz w:val="24"/>
              </w:rPr>
              <w:t>日计算，陪护人员数为</w:t>
            </w:r>
            <w:r>
              <w:rPr>
                <w:rFonts w:hint="eastAsia"/>
                <w:sz w:val="24"/>
                <w:lang w:val="en-US" w:eastAsia="zh-CN"/>
              </w:rPr>
              <w:t>43</w:t>
            </w:r>
            <w:r>
              <w:rPr>
                <w:rFonts w:hint="eastAsia"/>
                <w:sz w:val="24"/>
              </w:rPr>
              <w:t>人，则住陪护人员用水</w:t>
            </w:r>
            <w:r>
              <w:rPr>
                <w:rFonts w:hint="eastAsia"/>
                <w:sz w:val="24"/>
                <w:lang w:val="en-US" w:eastAsia="zh-CN"/>
              </w:rPr>
              <w:t>4.6t/d（1679.00</w:t>
            </w:r>
            <w:r>
              <w:rPr>
                <w:rFonts w:hint="eastAsia"/>
                <w:sz w:val="24"/>
              </w:rPr>
              <w:t>t/a</w:t>
            </w:r>
            <w:r>
              <w:rPr>
                <w:rFonts w:hint="eastAsia"/>
                <w:sz w:val="24"/>
                <w:lang w:val="en-US" w:eastAsia="zh-CN"/>
              </w:rPr>
              <w:t>）</w:t>
            </w:r>
            <w:r>
              <w:rPr>
                <w:rFonts w:hint="eastAsia"/>
                <w:sz w:val="24"/>
              </w:rPr>
              <w:t>，废水产生量以用水量的80％计，则污水产生量约为</w:t>
            </w:r>
            <w:r>
              <w:rPr>
                <w:rFonts w:hint="eastAsia"/>
                <w:sz w:val="24"/>
                <w:lang w:val="en-US" w:eastAsia="zh-CN"/>
              </w:rPr>
              <w:t>3.68</w:t>
            </w:r>
            <w:r>
              <w:rPr>
                <w:rFonts w:hint="eastAsia"/>
                <w:sz w:val="24"/>
              </w:rPr>
              <w:t>t/</w:t>
            </w:r>
            <w:r>
              <w:rPr>
                <w:rFonts w:hint="eastAsia"/>
                <w:sz w:val="24"/>
                <w:lang w:val="en-US" w:eastAsia="zh-CN"/>
              </w:rPr>
              <w:t>d（1343.2</w:t>
            </w:r>
            <w:r>
              <w:rPr>
                <w:rFonts w:hint="eastAsia"/>
                <w:sz w:val="24"/>
              </w:rPr>
              <w:t>t/a</w:t>
            </w:r>
            <w:r>
              <w:rPr>
                <w:rFonts w:hint="eastAsia"/>
                <w:sz w:val="24"/>
                <w:lang w:val="en-US" w:eastAsia="zh-CN"/>
              </w:rPr>
              <w:t>）</w:t>
            </w:r>
            <w:r>
              <w:rPr>
                <w:rFonts w:hint="eastAsia"/>
                <w:sz w:val="24"/>
              </w:rPr>
              <w:t>，该部分废水全部进入医院内污水处理站处理。</w:t>
            </w:r>
          </w:p>
          <w:p>
            <w:pPr>
              <w:spacing w:line="360" w:lineRule="auto"/>
              <w:ind w:firstLine="480" w:firstLineChars="200"/>
              <w:jc w:val="left"/>
              <w:rPr>
                <w:rFonts w:hint="eastAsia"/>
                <w:sz w:val="24"/>
                <w:u w:val="single"/>
              </w:rPr>
            </w:pPr>
            <w:r>
              <w:rPr>
                <w:rFonts w:hint="eastAsia"/>
                <w:sz w:val="24"/>
                <w:u w:val="single"/>
              </w:rPr>
              <w:t>③</w:t>
            </w:r>
            <w:r>
              <w:rPr>
                <w:rFonts w:hint="eastAsia"/>
                <w:sz w:val="24"/>
                <w:u w:val="single"/>
                <w:lang w:val="en-US" w:eastAsia="zh-CN"/>
              </w:rPr>
              <w:t>婴儿</w:t>
            </w:r>
            <w:r>
              <w:rPr>
                <w:rFonts w:hint="eastAsia"/>
                <w:sz w:val="24"/>
                <w:u w:val="single"/>
              </w:rPr>
              <w:t>用水</w:t>
            </w:r>
          </w:p>
          <w:p>
            <w:pPr>
              <w:spacing w:line="360" w:lineRule="auto"/>
              <w:ind w:firstLine="480" w:firstLineChars="200"/>
              <w:rPr>
                <w:rFonts w:hint="eastAsia"/>
                <w:sz w:val="24"/>
                <w:u w:val="single"/>
              </w:rPr>
            </w:pPr>
            <w:r>
              <w:rPr>
                <w:rFonts w:hint="eastAsia"/>
                <w:sz w:val="24"/>
                <w:u w:val="single"/>
              </w:rPr>
              <w:t>根据《综合医院建筑设计规范》（GB51039-2014），</w:t>
            </w:r>
            <w:r>
              <w:rPr>
                <w:rFonts w:hint="eastAsia"/>
                <w:sz w:val="24"/>
                <w:u w:val="single"/>
                <w:lang w:val="en-US" w:eastAsia="zh-CN"/>
              </w:rPr>
              <w:t>婴儿</w:t>
            </w:r>
            <w:r>
              <w:rPr>
                <w:rFonts w:hint="eastAsia"/>
                <w:sz w:val="24"/>
                <w:u w:val="single"/>
              </w:rPr>
              <w:t>用水定额按</w:t>
            </w:r>
            <w:r>
              <w:rPr>
                <w:rFonts w:hint="eastAsia"/>
                <w:sz w:val="24"/>
                <w:u w:val="single"/>
                <w:lang w:val="en-US" w:eastAsia="zh-CN"/>
              </w:rPr>
              <w:t>450</w:t>
            </w:r>
            <w:r>
              <w:rPr>
                <w:rFonts w:hint="eastAsia"/>
                <w:sz w:val="24"/>
                <w:u w:val="single"/>
              </w:rPr>
              <w:t>L/床</w:t>
            </w:r>
            <w:r>
              <w:rPr>
                <w:rFonts w:hint="eastAsia"/>
                <w:sz w:val="24"/>
                <w:u w:val="single"/>
                <w:lang w:val="en-US" w:eastAsia="zh-CN"/>
              </w:rPr>
              <w:t>·</w:t>
            </w:r>
            <w:r>
              <w:rPr>
                <w:rFonts w:hint="eastAsia"/>
                <w:sz w:val="24"/>
                <w:u w:val="single"/>
              </w:rPr>
              <w:t>日计算，住院床位数为</w:t>
            </w:r>
            <w:r>
              <w:rPr>
                <w:rFonts w:hint="eastAsia"/>
                <w:sz w:val="24"/>
                <w:u w:val="single"/>
                <w:lang w:val="en-US" w:eastAsia="zh-CN"/>
              </w:rPr>
              <w:t>43</w:t>
            </w:r>
            <w:r>
              <w:rPr>
                <w:rFonts w:hint="eastAsia"/>
                <w:sz w:val="24"/>
                <w:u w:val="single"/>
              </w:rPr>
              <w:t>床，则</w:t>
            </w:r>
            <w:r>
              <w:rPr>
                <w:rFonts w:hint="eastAsia"/>
                <w:sz w:val="24"/>
                <w:u w:val="single"/>
                <w:lang w:val="en-US" w:eastAsia="zh-CN"/>
              </w:rPr>
              <w:t>婴儿</w:t>
            </w:r>
            <w:r>
              <w:rPr>
                <w:rFonts w:hint="eastAsia"/>
                <w:sz w:val="24"/>
                <w:u w:val="single"/>
              </w:rPr>
              <w:t>用水</w:t>
            </w:r>
            <w:r>
              <w:rPr>
                <w:rFonts w:hint="eastAsia"/>
                <w:sz w:val="24"/>
                <w:u w:val="single"/>
                <w:lang w:val="en-US" w:eastAsia="zh-CN"/>
              </w:rPr>
              <w:t>10.35t/d（3777.75</w:t>
            </w:r>
            <w:r>
              <w:rPr>
                <w:rFonts w:hint="eastAsia"/>
                <w:sz w:val="24"/>
                <w:u w:val="single"/>
              </w:rPr>
              <w:t>t/a</w:t>
            </w:r>
            <w:r>
              <w:rPr>
                <w:rFonts w:hint="eastAsia"/>
                <w:sz w:val="24"/>
                <w:u w:val="single"/>
                <w:lang w:val="en-US" w:eastAsia="zh-CN"/>
              </w:rPr>
              <w:t>）</w:t>
            </w:r>
            <w:r>
              <w:rPr>
                <w:rFonts w:hint="eastAsia"/>
                <w:sz w:val="24"/>
                <w:u w:val="single"/>
              </w:rPr>
              <w:t>，废水产生量以用水量的80％计，则污水产生量约为</w:t>
            </w:r>
            <w:r>
              <w:rPr>
                <w:rFonts w:hint="eastAsia"/>
                <w:sz w:val="24"/>
                <w:u w:val="single"/>
                <w:lang w:val="en-US" w:eastAsia="zh-CN"/>
              </w:rPr>
              <w:t>8.28</w:t>
            </w:r>
            <w:r>
              <w:rPr>
                <w:rFonts w:hint="eastAsia"/>
                <w:sz w:val="24"/>
                <w:u w:val="single"/>
              </w:rPr>
              <w:t>t/</w:t>
            </w:r>
            <w:r>
              <w:rPr>
                <w:rFonts w:hint="eastAsia"/>
                <w:sz w:val="24"/>
                <w:u w:val="single"/>
                <w:lang w:val="en-US" w:eastAsia="zh-CN"/>
              </w:rPr>
              <w:t>d（3022.2t/a）</w:t>
            </w:r>
            <w:r>
              <w:rPr>
                <w:rFonts w:hint="eastAsia"/>
                <w:sz w:val="24"/>
                <w:u w:val="single"/>
              </w:rPr>
              <w:t>，该部分废水全部进入医院内污水处理站处理。</w:t>
            </w:r>
          </w:p>
          <w:p>
            <w:pPr>
              <w:spacing w:line="360" w:lineRule="auto"/>
              <w:ind w:firstLine="480" w:firstLineChars="200"/>
              <w:jc w:val="left"/>
              <w:rPr>
                <w:rFonts w:hint="eastAsia"/>
                <w:sz w:val="24"/>
              </w:rPr>
            </w:pPr>
            <w:r>
              <w:rPr>
                <w:rFonts w:hint="eastAsia"/>
                <w:sz w:val="24"/>
                <w:u w:val="single"/>
                <w:lang w:val="en-US" w:eastAsia="zh-CN"/>
              </w:rPr>
              <w:t>2）医疗用水</w:t>
            </w:r>
          </w:p>
          <w:p>
            <w:pPr>
              <w:spacing w:line="360" w:lineRule="auto"/>
              <w:ind w:firstLine="480" w:firstLineChars="200"/>
              <w:jc w:val="left"/>
              <w:rPr>
                <w:rFonts w:hint="eastAsia"/>
                <w:sz w:val="24"/>
                <w:u w:val="single"/>
              </w:rPr>
            </w:pPr>
            <w:r>
              <w:rPr>
                <w:rFonts w:hint="eastAsia"/>
                <w:sz w:val="24"/>
                <w:u w:val="none"/>
                <w:lang w:val="en-US" w:eastAsia="zh-CN"/>
              </w:rPr>
              <w:fldChar w:fldCharType="begin"/>
            </w:r>
            <w:r>
              <w:rPr>
                <w:rFonts w:hint="eastAsia"/>
                <w:sz w:val="24"/>
                <w:u w:val="none"/>
                <w:lang w:val="en-US" w:eastAsia="zh-CN"/>
              </w:rPr>
              <w:instrText xml:space="preserve"> = 4 \* GB3 \* MERGEFORMAT </w:instrText>
            </w:r>
            <w:r>
              <w:rPr>
                <w:rFonts w:hint="eastAsia"/>
                <w:sz w:val="24"/>
                <w:u w:val="none"/>
                <w:lang w:val="en-US" w:eastAsia="zh-CN"/>
              </w:rPr>
              <w:fldChar w:fldCharType="separate"/>
            </w:r>
            <w:r>
              <w:rPr>
                <w:rFonts w:hint="eastAsia"/>
                <w:sz w:val="24"/>
                <w:u w:val="none"/>
              </w:rPr>
              <w:t>④</w:t>
            </w:r>
            <w:r>
              <w:rPr>
                <w:rFonts w:hint="eastAsia"/>
                <w:sz w:val="24"/>
                <w:u w:val="none"/>
                <w:lang w:val="en-US" w:eastAsia="zh-CN"/>
              </w:rPr>
              <w:fldChar w:fldCharType="end"/>
            </w:r>
            <w:r>
              <w:rPr>
                <w:rFonts w:hint="eastAsia"/>
                <w:sz w:val="24"/>
                <w:u w:val="single"/>
                <w:lang w:val="en-US" w:eastAsia="zh-CN"/>
              </w:rPr>
              <w:t>病房</w:t>
            </w:r>
            <w:r>
              <w:rPr>
                <w:rFonts w:hint="eastAsia"/>
                <w:sz w:val="24"/>
                <w:u w:val="single"/>
              </w:rPr>
              <w:t>用水</w:t>
            </w:r>
          </w:p>
          <w:p>
            <w:pPr>
              <w:spacing w:line="360" w:lineRule="auto"/>
              <w:ind w:firstLine="480" w:firstLineChars="200"/>
              <w:rPr>
                <w:rFonts w:hint="eastAsia"/>
                <w:sz w:val="24"/>
                <w:u w:val="single"/>
              </w:rPr>
            </w:pPr>
            <w:r>
              <w:rPr>
                <w:rFonts w:hint="eastAsia"/>
                <w:sz w:val="24"/>
                <w:u w:val="single"/>
              </w:rPr>
              <w:t>根据《综合医院建筑设计规范》（GB51039-2014），</w:t>
            </w:r>
            <w:r>
              <w:rPr>
                <w:rFonts w:hint="eastAsia"/>
                <w:sz w:val="24"/>
                <w:u w:val="single"/>
                <w:lang w:val="en-US" w:eastAsia="zh-CN"/>
              </w:rPr>
              <w:t>产妇</w:t>
            </w:r>
            <w:r>
              <w:rPr>
                <w:rFonts w:hint="eastAsia"/>
                <w:sz w:val="24"/>
                <w:u w:val="single"/>
              </w:rPr>
              <w:t>住院床位用水定额按</w:t>
            </w:r>
            <w:r>
              <w:rPr>
                <w:rFonts w:hint="eastAsia"/>
                <w:sz w:val="24"/>
                <w:u w:val="single"/>
                <w:lang w:val="en-US" w:eastAsia="zh-CN"/>
              </w:rPr>
              <w:t>450</w:t>
            </w:r>
            <w:r>
              <w:rPr>
                <w:rFonts w:hint="eastAsia"/>
                <w:sz w:val="24"/>
                <w:u w:val="single"/>
              </w:rPr>
              <w:t>L/床</w:t>
            </w:r>
            <w:r>
              <w:rPr>
                <w:rFonts w:hint="eastAsia"/>
                <w:sz w:val="24"/>
                <w:u w:val="single"/>
                <w:lang w:val="en-US" w:eastAsia="zh-CN"/>
              </w:rPr>
              <w:t>·</w:t>
            </w:r>
            <w:r>
              <w:rPr>
                <w:rFonts w:hint="eastAsia"/>
                <w:sz w:val="24"/>
                <w:u w:val="single"/>
              </w:rPr>
              <w:t>日计算，住院床位数为</w:t>
            </w:r>
            <w:r>
              <w:rPr>
                <w:rFonts w:hint="eastAsia"/>
                <w:sz w:val="24"/>
                <w:u w:val="single"/>
                <w:lang w:val="en-US" w:eastAsia="zh-CN"/>
              </w:rPr>
              <w:t>43</w:t>
            </w:r>
            <w:r>
              <w:rPr>
                <w:rFonts w:hint="eastAsia"/>
                <w:sz w:val="24"/>
                <w:u w:val="single"/>
              </w:rPr>
              <w:t>床，则住院床位用水</w:t>
            </w:r>
            <w:r>
              <w:rPr>
                <w:rFonts w:hint="eastAsia"/>
                <w:sz w:val="24"/>
                <w:u w:val="single"/>
                <w:lang w:val="en-US" w:eastAsia="zh-CN"/>
              </w:rPr>
              <w:t>10.35t/d（3777.75</w:t>
            </w:r>
            <w:r>
              <w:rPr>
                <w:rFonts w:hint="eastAsia"/>
                <w:sz w:val="24"/>
                <w:u w:val="single"/>
              </w:rPr>
              <w:t>t/a</w:t>
            </w:r>
            <w:r>
              <w:rPr>
                <w:rFonts w:hint="eastAsia"/>
                <w:sz w:val="24"/>
                <w:u w:val="single"/>
                <w:lang w:val="en-US" w:eastAsia="zh-CN"/>
              </w:rPr>
              <w:t>）</w:t>
            </w:r>
            <w:r>
              <w:rPr>
                <w:rFonts w:hint="eastAsia"/>
                <w:sz w:val="24"/>
                <w:u w:val="single"/>
              </w:rPr>
              <w:t>，废水产生量以用水量的80％计，则污水产生量约为</w:t>
            </w:r>
            <w:r>
              <w:rPr>
                <w:rFonts w:hint="eastAsia"/>
                <w:sz w:val="24"/>
                <w:u w:val="single"/>
                <w:lang w:val="en-US" w:eastAsia="zh-CN"/>
              </w:rPr>
              <w:t>8.28</w:t>
            </w:r>
            <w:r>
              <w:rPr>
                <w:rFonts w:hint="eastAsia"/>
                <w:sz w:val="24"/>
                <w:u w:val="single"/>
              </w:rPr>
              <w:t>t/</w:t>
            </w:r>
            <w:r>
              <w:rPr>
                <w:rFonts w:hint="eastAsia"/>
                <w:sz w:val="24"/>
                <w:u w:val="single"/>
                <w:lang w:val="en-US" w:eastAsia="zh-CN"/>
              </w:rPr>
              <w:t>d（3022.2t/a）</w:t>
            </w:r>
            <w:r>
              <w:rPr>
                <w:rFonts w:hint="eastAsia"/>
                <w:sz w:val="24"/>
                <w:u w:val="single"/>
              </w:rPr>
              <w:t>，该部分废水全部进入医院内污水处理站处理。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u w:val="single"/>
                <w:lang w:val="en-US" w:eastAsia="zh-CN"/>
              </w:rPr>
            </w:pPr>
            <w:r>
              <w:rPr>
                <w:rFonts w:hint="eastAsia"/>
                <w:sz w:val="24"/>
                <w:u w:val="single"/>
                <w:lang w:val="en-US" w:eastAsia="zh-CN"/>
              </w:rPr>
              <w:t>3）其他用水</w:t>
            </w:r>
          </w:p>
          <w:p>
            <w:pPr>
              <w:spacing w:line="360" w:lineRule="auto"/>
              <w:ind w:firstLine="480" w:firstLineChars="200"/>
              <w:rPr>
                <w:rFonts w:hint="eastAsia"/>
                <w:sz w:val="24"/>
                <w:u w:val="none"/>
              </w:rPr>
            </w:pPr>
            <w:r>
              <w:rPr>
                <w:rFonts w:hint="eastAsia"/>
                <w:sz w:val="24"/>
                <w:u w:val="none"/>
              </w:rPr>
              <w:t>⑤</w:t>
            </w:r>
            <w:r>
              <w:rPr>
                <w:rFonts w:hint="eastAsia"/>
                <w:sz w:val="24"/>
                <w:u w:val="none"/>
                <w:lang w:val="en-US" w:eastAsia="zh-CN"/>
              </w:rPr>
              <w:t>道路与广场</w:t>
            </w:r>
            <w:r>
              <w:rPr>
                <w:rFonts w:hint="eastAsia"/>
                <w:sz w:val="24"/>
                <w:u w:val="none"/>
              </w:rPr>
              <w:t>用水</w:t>
            </w:r>
          </w:p>
          <w:p>
            <w:pPr>
              <w:spacing w:line="360" w:lineRule="auto"/>
              <w:ind w:firstLine="480" w:firstLineChars="200"/>
              <w:rPr>
                <w:rFonts w:hint="eastAsia"/>
                <w:sz w:val="24"/>
              </w:rPr>
            </w:pPr>
            <w:r>
              <w:rPr>
                <w:rFonts w:hint="eastAsia"/>
                <w:sz w:val="24"/>
              </w:rPr>
              <w:t>根据《综合医院建筑设计规范》（GB51039-2014），</w:t>
            </w:r>
            <w:r>
              <w:rPr>
                <w:rFonts w:hint="eastAsia"/>
                <w:sz w:val="24"/>
                <w:lang w:val="en-US" w:eastAsia="zh-CN"/>
              </w:rPr>
              <w:t>道路与广场</w:t>
            </w:r>
            <w:r>
              <w:rPr>
                <w:rFonts w:hint="eastAsia"/>
                <w:sz w:val="24"/>
              </w:rPr>
              <w:t>用水定额按</w:t>
            </w:r>
            <w:r>
              <w:rPr>
                <w:rFonts w:hint="eastAsia"/>
                <w:sz w:val="24"/>
                <w:lang w:val="en-US" w:eastAsia="zh-CN"/>
              </w:rPr>
              <w:t>1.2</w:t>
            </w:r>
            <w:r>
              <w:rPr>
                <w:rFonts w:hint="eastAsia"/>
                <w:sz w:val="24"/>
              </w:rPr>
              <w:t>L</w:t>
            </w:r>
            <w:r>
              <w:rPr>
                <w:rFonts w:hint="eastAsia" w:ascii="Times New Roman" w:hAnsi="Times New Roman" w:eastAsia="宋体" w:cs="Times New Roman"/>
                <w:sz w:val="24"/>
              </w:rPr>
              <w:t>/</w:t>
            </w:r>
            <w:r>
              <w:rPr>
                <w:rFonts w:hint="eastAsia" w:ascii="Times New Roman" w:hAnsi="Times New Roman" w:eastAsia="宋体" w:cs="Times New Roman"/>
                <w:sz w:val="24"/>
                <w:lang w:val="en-US" w:eastAsia="zh-CN"/>
              </w:rPr>
              <w:t>m</w:t>
            </w:r>
            <w:r>
              <w:rPr>
                <w:rFonts w:hint="eastAsia" w:ascii="Times New Roman" w:hAnsi="Times New Roman" w:eastAsia="宋体" w:cs="Times New Roman"/>
                <w:sz w:val="24"/>
                <w:vertAlign w:val="superscript"/>
                <w:lang w:val="en-US" w:eastAsia="zh-CN"/>
              </w:rPr>
              <w:t>2</w:t>
            </w:r>
            <w:r>
              <w:rPr>
                <w:rFonts w:hint="eastAsia" w:ascii="Times New Roman" w:hAnsi="Times New Roman" w:eastAsia="宋体" w:cs="Times New Roman"/>
                <w:sz w:val="24"/>
                <w:lang w:val="en-US" w:eastAsia="zh-CN"/>
              </w:rPr>
              <w:t>·日</w:t>
            </w:r>
            <w:r>
              <w:rPr>
                <w:rFonts w:hint="eastAsia"/>
                <w:sz w:val="24"/>
              </w:rPr>
              <w:t>计算，</w:t>
            </w:r>
            <w:r>
              <w:rPr>
                <w:rFonts w:hint="eastAsia"/>
                <w:sz w:val="24"/>
                <w:lang w:val="en-US" w:eastAsia="zh-CN"/>
              </w:rPr>
              <w:t>道路与广场面积为2744.06</w:t>
            </w:r>
            <w:r>
              <w:rPr>
                <w:rFonts w:hint="eastAsia" w:ascii="Times New Roman" w:hAnsi="Times New Roman" w:eastAsia="宋体" w:cs="Times New Roman"/>
                <w:sz w:val="24"/>
                <w:lang w:val="en-US" w:eastAsia="zh-CN"/>
              </w:rPr>
              <w:t>m</w:t>
            </w:r>
            <w:r>
              <w:rPr>
                <w:rFonts w:hint="eastAsia" w:ascii="Times New Roman" w:hAnsi="Times New Roman" w:eastAsia="宋体" w:cs="Times New Roman"/>
                <w:sz w:val="24"/>
                <w:vertAlign w:val="superscript"/>
                <w:lang w:val="en-US" w:eastAsia="zh-CN"/>
              </w:rPr>
              <w:t>2</w:t>
            </w:r>
            <w:r>
              <w:rPr>
                <w:rFonts w:hint="eastAsia"/>
                <w:sz w:val="24"/>
              </w:rPr>
              <w:t>，则</w:t>
            </w:r>
            <w:r>
              <w:rPr>
                <w:rFonts w:hint="eastAsia"/>
                <w:sz w:val="24"/>
                <w:lang w:val="en-US" w:eastAsia="zh-CN"/>
              </w:rPr>
              <w:t>道路与广场</w:t>
            </w:r>
            <w:r>
              <w:rPr>
                <w:rFonts w:hint="eastAsia"/>
                <w:sz w:val="24"/>
              </w:rPr>
              <w:t>用水</w:t>
            </w:r>
            <w:r>
              <w:rPr>
                <w:rFonts w:hint="eastAsia"/>
                <w:sz w:val="24"/>
                <w:lang w:val="en-US" w:eastAsia="zh-CN"/>
              </w:rPr>
              <w:t>3.29t/d（1201.90</w:t>
            </w:r>
            <w:r>
              <w:rPr>
                <w:rFonts w:hint="eastAsia"/>
                <w:sz w:val="24"/>
              </w:rPr>
              <w:t>t/a</w:t>
            </w:r>
            <w:r>
              <w:rPr>
                <w:rFonts w:hint="eastAsia"/>
                <w:sz w:val="24"/>
                <w:lang w:val="en-US" w:eastAsia="zh-CN"/>
              </w:rPr>
              <w:t>）。</w:t>
            </w:r>
          </w:p>
          <w:p>
            <w:pPr>
              <w:spacing w:line="360" w:lineRule="auto"/>
              <w:ind w:firstLine="480" w:firstLineChars="200"/>
              <w:jc w:val="left"/>
              <w:rPr>
                <w:rFonts w:hint="eastAsia"/>
                <w:sz w:val="24"/>
                <w:u w:val="none"/>
              </w:rPr>
            </w:pPr>
            <w:r>
              <w:rPr>
                <w:rFonts w:hint="eastAsia"/>
                <w:sz w:val="24"/>
                <w:u w:val="none"/>
                <w:lang w:val="en-US" w:eastAsia="zh-CN"/>
              </w:rPr>
              <w:fldChar w:fldCharType="begin"/>
            </w:r>
            <w:r>
              <w:rPr>
                <w:rFonts w:hint="eastAsia"/>
                <w:sz w:val="24"/>
                <w:u w:val="none"/>
                <w:lang w:val="en-US" w:eastAsia="zh-CN"/>
              </w:rPr>
              <w:instrText xml:space="preserve"> = 6 \* GB3 \* MERGEFORMAT </w:instrText>
            </w:r>
            <w:r>
              <w:rPr>
                <w:rFonts w:hint="eastAsia"/>
                <w:sz w:val="24"/>
                <w:u w:val="none"/>
                <w:lang w:val="en-US" w:eastAsia="zh-CN"/>
              </w:rPr>
              <w:fldChar w:fldCharType="separate"/>
            </w:r>
            <w:r>
              <w:t>⑥</w:t>
            </w:r>
            <w:r>
              <w:rPr>
                <w:rFonts w:hint="eastAsia"/>
                <w:sz w:val="24"/>
                <w:u w:val="none"/>
                <w:lang w:val="en-US" w:eastAsia="zh-CN"/>
              </w:rPr>
              <w:fldChar w:fldCharType="end"/>
            </w:r>
            <w:r>
              <w:rPr>
                <w:rFonts w:hint="eastAsia"/>
                <w:sz w:val="24"/>
                <w:u w:val="none"/>
                <w:lang w:val="en-US" w:eastAsia="zh-CN"/>
              </w:rPr>
              <w:t>绿化</w:t>
            </w:r>
            <w:r>
              <w:rPr>
                <w:rFonts w:hint="eastAsia"/>
                <w:sz w:val="24"/>
                <w:u w:val="none"/>
              </w:rPr>
              <w:t>用水</w:t>
            </w:r>
          </w:p>
          <w:p>
            <w:pPr>
              <w:spacing w:line="360" w:lineRule="auto"/>
              <w:ind w:firstLine="480" w:firstLineChars="200"/>
              <w:rPr>
                <w:rFonts w:hint="eastAsia"/>
                <w:sz w:val="24"/>
              </w:rPr>
            </w:pPr>
            <w:r>
              <w:rPr>
                <w:rFonts w:hint="eastAsia"/>
                <w:sz w:val="24"/>
              </w:rPr>
              <w:t>根据《综合医院建筑设计规范》（GB51039-2014），</w:t>
            </w:r>
            <w:r>
              <w:rPr>
                <w:rFonts w:hint="eastAsia"/>
                <w:sz w:val="24"/>
                <w:lang w:val="en-US" w:eastAsia="zh-CN"/>
              </w:rPr>
              <w:t>绿化</w:t>
            </w:r>
            <w:r>
              <w:rPr>
                <w:rFonts w:hint="eastAsia"/>
                <w:sz w:val="24"/>
              </w:rPr>
              <w:t>用水定额按</w:t>
            </w:r>
            <w:r>
              <w:rPr>
                <w:rFonts w:hint="eastAsia"/>
                <w:sz w:val="24"/>
                <w:lang w:val="en-US" w:eastAsia="zh-CN"/>
              </w:rPr>
              <w:t>2</w:t>
            </w:r>
            <w:r>
              <w:rPr>
                <w:rFonts w:hint="eastAsia"/>
                <w:sz w:val="24"/>
              </w:rPr>
              <w:t>L</w:t>
            </w:r>
            <w:r>
              <w:rPr>
                <w:rFonts w:hint="eastAsia" w:ascii="Times New Roman" w:hAnsi="Times New Roman" w:eastAsia="宋体" w:cs="Times New Roman"/>
                <w:sz w:val="24"/>
              </w:rPr>
              <w:t>/</w:t>
            </w:r>
            <w:r>
              <w:rPr>
                <w:rFonts w:hint="eastAsia" w:ascii="Times New Roman" w:hAnsi="Times New Roman" w:eastAsia="宋体" w:cs="Times New Roman"/>
                <w:sz w:val="24"/>
                <w:lang w:val="en-US" w:eastAsia="zh-CN"/>
              </w:rPr>
              <w:t>m</w:t>
            </w:r>
            <w:r>
              <w:rPr>
                <w:rFonts w:hint="eastAsia" w:ascii="Times New Roman" w:hAnsi="Times New Roman" w:eastAsia="宋体" w:cs="Times New Roman"/>
                <w:sz w:val="24"/>
                <w:vertAlign w:val="superscript"/>
                <w:lang w:val="en-US" w:eastAsia="zh-CN"/>
              </w:rPr>
              <w:t>2</w:t>
            </w:r>
            <w:r>
              <w:rPr>
                <w:rFonts w:hint="eastAsia" w:ascii="Times New Roman" w:hAnsi="Times New Roman" w:eastAsia="宋体" w:cs="Times New Roman"/>
                <w:sz w:val="24"/>
                <w:lang w:val="en-US" w:eastAsia="zh-CN"/>
              </w:rPr>
              <w:t>·日</w:t>
            </w:r>
            <w:r>
              <w:rPr>
                <w:rFonts w:hint="eastAsia"/>
                <w:sz w:val="24"/>
              </w:rPr>
              <w:t>计算，</w:t>
            </w:r>
            <w:r>
              <w:rPr>
                <w:rFonts w:hint="eastAsia"/>
                <w:sz w:val="24"/>
                <w:lang w:val="en-US" w:eastAsia="zh-CN"/>
              </w:rPr>
              <w:t>绿化面积为2411.0</w:t>
            </w:r>
            <w:r>
              <w:rPr>
                <w:rFonts w:hint="eastAsia" w:ascii="Times New Roman" w:hAnsi="Times New Roman" w:eastAsia="宋体" w:cs="Times New Roman"/>
                <w:sz w:val="24"/>
                <w:lang w:val="en-US" w:eastAsia="zh-CN"/>
              </w:rPr>
              <w:t>m</w:t>
            </w:r>
            <w:r>
              <w:rPr>
                <w:rFonts w:hint="eastAsia" w:ascii="Times New Roman" w:hAnsi="Times New Roman" w:eastAsia="宋体" w:cs="Times New Roman"/>
                <w:sz w:val="24"/>
                <w:vertAlign w:val="superscript"/>
                <w:lang w:val="en-US" w:eastAsia="zh-CN"/>
              </w:rPr>
              <w:t>2</w:t>
            </w:r>
            <w:r>
              <w:rPr>
                <w:rFonts w:hint="eastAsia"/>
                <w:sz w:val="24"/>
              </w:rPr>
              <w:t>，则住</w:t>
            </w:r>
            <w:r>
              <w:rPr>
                <w:rFonts w:hint="eastAsia"/>
                <w:sz w:val="24"/>
                <w:lang w:val="en-US" w:eastAsia="zh-CN"/>
              </w:rPr>
              <w:t>绿化</w:t>
            </w:r>
            <w:r>
              <w:rPr>
                <w:rFonts w:hint="eastAsia"/>
                <w:sz w:val="24"/>
              </w:rPr>
              <w:t>用水</w:t>
            </w:r>
            <w:r>
              <w:rPr>
                <w:rFonts w:hint="eastAsia"/>
                <w:sz w:val="24"/>
                <w:lang w:val="en-US" w:eastAsia="zh-CN"/>
              </w:rPr>
              <w:t>4.82t/d（1760.03</w:t>
            </w:r>
            <w:r>
              <w:rPr>
                <w:rFonts w:hint="eastAsia"/>
                <w:sz w:val="24"/>
              </w:rPr>
              <w:t>t/a</w:t>
            </w:r>
            <w:r>
              <w:rPr>
                <w:rFonts w:hint="eastAsia"/>
                <w:sz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sz w:val="24"/>
                <w:szCs w:val="24"/>
                <w:lang w:val="en-US" w:eastAsia="zh-CN"/>
              </w:rPr>
              <w:t>主要用水项目及其用水量详见下表。</w:t>
            </w:r>
          </w:p>
          <w:p>
            <w:pPr>
              <w:bidi w:val="0"/>
              <w:jc w:val="center"/>
              <w:rPr>
                <w:rFonts w:hint="default"/>
                <w:b/>
                <w:bCs/>
                <w:lang w:val="en-US" w:eastAsia="zh-CN"/>
              </w:rPr>
            </w:pPr>
            <w:r>
              <w:rPr>
                <w:rFonts w:hint="eastAsia"/>
                <w:b/>
                <w:bCs/>
                <w:lang w:val="en-US" w:eastAsia="zh-CN"/>
              </w:rPr>
              <w:t>表 2-5  项目用水量计算表</w:t>
            </w:r>
          </w:p>
          <w:tbl>
            <w:tblPr>
              <w:tblStyle w:val="26"/>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41"/>
              <w:gridCol w:w="1760"/>
              <w:gridCol w:w="1148"/>
              <w:gridCol w:w="888"/>
              <w:gridCol w:w="1233"/>
              <w:gridCol w:w="1346"/>
              <w:gridCol w:w="14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3" w:type="pct"/>
                  <w:tcBorders>
                    <w:tl2br w:val="nil"/>
                    <w:tr2bl w:val="nil"/>
                  </w:tcBorders>
                  <w:noWrap w:val="0"/>
                  <w:vAlign w:val="center"/>
                </w:tcPr>
                <w:p>
                  <w:pPr>
                    <w:bidi w:val="0"/>
                    <w:spacing w:line="240" w:lineRule="auto"/>
                    <w:jc w:val="center"/>
                    <w:rPr>
                      <w:rFonts w:hint="eastAsia"/>
                      <w:lang w:val="en-US" w:eastAsia="zh-CN"/>
                    </w:rPr>
                  </w:pPr>
                  <w:r>
                    <w:rPr>
                      <w:rFonts w:hint="eastAsia"/>
                      <w:lang w:val="en-US" w:eastAsia="zh-CN"/>
                    </w:rPr>
                    <w:t>序号</w:t>
                  </w:r>
                </w:p>
              </w:tc>
              <w:tc>
                <w:tcPr>
                  <w:tcW w:w="1049" w:type="pct"/>
                  <w:tcBorders>
                    <w:tl2br w:val="nil"/>
                    <w:tr2bl w:val="nil"/>
                  </w:tcBorders>
                  <w:noWrap w:val="0"/>
                  <w:vAlign w:val="center"/>
                </w:tcPr>
                <w:p>
                  <w:pPr>
                    <w:bidi w:val="0"/>
                    <w:spacing w:line="240" w:lineRule="auto"/>
                    <w:jc w:val="center"/>
                    <w:rPr>
                      <w:rFonts w:hint="eastAsia"/>
                      <w:lang w:val="en-US" w:eastAsia="zh-CN"/>
                    </w:rPr>
                  </w:pPr>
                  <w:r>
                    <w:rPr>
                      <w:rFonts w:hint="eastAsia"/>
                      <w:lang w:val="en-US" w:eastAsia="zh-CN"/>
                    </w:rPr>
                    <w:t>用水点</w:t>
                  </w:r>
                </w:p>
              </w:tc>
              <w:tc>
                <w:tcPr>
                  <w:tcW w:w="684" w:type="pct"/>
                  <w:tcBorders>
                    <w:tl2br w:val="nil"/>
                    <w:tr2bl w:val="nil"/>
                  </w:tcBorders>
                  <w:noWrap w:val="0"/>
                  <w:vAlign w:val="center"/>
                </w:tcPr>
                <w:p>
                  <w:pPr>
                    <w:bidi w:val="0"/>
                    <w:spacing w:line="240" w:lineRule="auto"/>
                    <w:jc w:val="center"/>
                    <w:rPr>
                      <w:rFonts w:hint="eastAsia"/>
                      <w:lang w:val="en-US" w:eastAsia="zh-CN"/>
                    </w:rPr>
                  </w:pPr>
                  <w:r>
                    <w:rPr>
                      <w:rFonts w:hint="eastAsia"/>
                      <w:lang w:val="en-US" w:eastAsia="zh-CN"/>
                    </w:rPr>
                    <w:t>单位</w:t>
                  </w:r>
                </w:p>
              </w:tc>
              <w:tc>
                <w:tcPr>
                  <w:tcW w:w="529" w:type="pct"/>
                  <w:tcBorders>
                    <w:tl2br w:val="nil"/>
                    <w:tr2bl w:val="nil"/>
                  </w:tcBorders>
                  <w:noWrap w:val="0"/>
                  <w:vAlign w:val="center"/>
                </w:tcPr>
                <w:p>
                  <w:pPr>
                    <w:bidi w:val="0"/>
                    <w:spacing w:line="240" w:lineRule="auto"/>
                    <w:jc w:val="center"/>
                    <w:rPr>
                      <w:rFonts w:hint="eastAsia"/>
                      <w:lang w:val="en-US" w:eastAsia="zh-CN"/>
                    </w:rPr>
                  </w:pPr>
                  <w:r>
                    <w:rPr>
                      <w:rFonts w:hint="eastAsia"/>
                      <w:lang w:val="en-US" w:eastAsia="zh-CN"/>
                    </w:rPr>
                    <w:t>用水标准（L）</w:t>
                  </w:r>
                </w:p>
              </w:tc>
              <w:tc>
                <w:tcPr>
                  <w:tcW w:w="734" w:type="pct"/>
                  <w:tcBorders>
                    <w:tl2br w:val="nil"/>
                    <w:tr2bl w:val="nil"/>
                  </w:tcBorders>
                  <w:noWrap w:val="0"/>
                  <w:vAlign w:val="center"/>
                </w:tcPr>
                <w:p>
                  <w:pPr>
                    <w:bidi w:val="0"/>
                    <w:spacing w:line="240" w:lineRule="auto"/>
                    <w:jc w:val="center"/>
                    <w:rPr>
                      <w:rFonts w:hint="eastAsia"/>
                      <w:lang w:val="en-US" w:eastAsia="zh-CN"/>
                    </w:rPr>
                  </w:pPr>
                  <w:r>
                    <w:rPr>
                      <w:rFonts w:hint="eastAsia"/>
                      <w:lang w:val="en-US" w:eastAsia="zh-CN"/>
                    </w:rPr>
                    <w:t>数量</w:t>
                  </w:r>
                </w:p>
              </w:tc>
              <w:tc>
                <w:tcPr>
                  <w:tcW w:w="802" w:type="pct"/>
                  <w:tcBorders>
                    <w:tl2br w:val="nil"/>
                    <w:tr2bl w:val="nil"/>
                  </w:tcBorders>
                  <w:noWrap w:val="0"/>
                  <w:vAlign w:val="center"/>
                </w:tcPr>
                <w:p>
                  <w:pPr>
                    <w:bidi w:val="0"/>
                    <w:spacing w:line="240" w:lineRule="auto"/>
                    <w:jc w:val="center"/>
                    <w:rPr>
                      <w:rFonts w:hint="default"/>
                      <w:lang w:val="en-US" w:eastAsia="zh-CN"/>
                    </w:rPr>
                  </w:pPr>
                  <w:r>
                    <w:rPr>
                      <w:rFonts w:hint="eastAsia"/>
                      <w:lang w:val="en-US" w:eastAsia="zh-CN"/>
                    </w:rPr>
                    <w:t>日用水量m</w:t>
                  </w:r>
                  <w:r>
                    <w:rPr>
                      <w:rFonts w:hint="eastAsia"/>
                      <w:vertAlign w:val="superscript"/>
                      <w:lang w:val="en-US" w:eastAsia="zh-CN"/>
                    </w:rPr>
                    <w:t>3</w:t>
                  </w:r>
                  <w:r>
                    <w:rPr>
                      <w:rFonts w:hint="eastAsia"/>
                      <w:lang w:val="en-US" w:eastAsia="zh-CN"/>
                    </w:rPr>
                    <w:t>/d</w:t>
                  </w:r>
                </w:p>
              </w:tc>
              <w:tc>
                <w:tcPr>
                  <w:tcW w:w="877" w:type="pct"/>
                  <w:tcBorders>
                    <w:tl2br w:val="nil"/>
                    <w:tr2bl w:val="nil"/>
                  </w:tcBorders>
                  <w:noWrap w:val="0"/>
                  <w:vAlign w:val="center"/>
                </w:tcPr>
                <w:p>
                  <w:pPr>
                    <w:bidi w:val="0"/>
                    <w:spacing w:line="240" w:lineRule="auto"/>
                    <w:jc w:val="center"/>
                    <w:rPr>
                      <w:rFonts w:hint="default"/>
                      <w:lang w:val="en-US" w:eastAsia="zh-CN"/>
                    </w:rPr>
                  </w:pPr>
                  <w:r>
                    <w:rPr>
                      <w:rFonts w:hint="eastAsia"/>
                      <w:lang w:val="en-US" w:eastAsia="zh-CN"/>
                    </w:rPr>
                    <w:t>年用水量m</w:t>
                  </w:r>
                  <w:r>
                    <w:rPr>
                      <w:rFonts w:hint="eastAsia"/>
                      <w:vertAlign w:val="superscript"/>
                      <w:lang w:val="en-US" w:eastAsia="zh-CN"/>
                    </w:rPr>
                    <w:t>3</w:t>
                  </w:r>
                  <w:r>
                    <w:rPr>
                      <w:rFonts w:hint="eastAsia"/>
                      <w:lang w:val="en-US" w:eastAsia="zh-CN"/>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323" w:type="pct"/>
                  <w:tcBorders>
                    <w:tl2br w:val="nil"/>
                    <w:tr2bl w:val="nil"/>
                  </w:tcBorders>
                  <w:noWrap w:val="0"/>
                  <w:vAlign w:val="center"/>
                </w:tcPr>
                <w:p>
                  <w:pPr>
                    <w:bidi w:val="0"/>
                    <w:spacing w:line="240" w:lineRule="auto"/>
                    <w:jc w:val="center"/>
                    <w:rPr>
                      <w:rFonts w:hint="eastAsia"/>
                      <w:lang w:val="en-US" w:eastAsia="zh-CN"/>
                    </w:rPr>
                  </w:pPr>
                  <w:r>
                    <w:rPr>
                      <w:rFonts w:hint="eastAsia"/>
                      <w:lang w:val="en-US" w:eastAsia="zh-CN"/>
                    </w:rPr>
                    <w:t>1</w:t>
                  </w:r>
                </w:p>
              </w:tc>
              <w:tc>
                <w:tcPr>
                  <w:tcW w:w="1049" w:type="pct"/>
                  <w:tcBorders>
                    <w:tl2br w:val="nil"/>
                    <w:tr2bl w:val="nil"/>
                  </w:tcBorders>
                  <w:noWrap w:val="0"/>
                  <w:vAlign w:val="center"/>
                </w:tcPr>
                <w:p>
                  <w:pPr>
                    <w:bidi w:val="0"/>
                    <w:spacing w:line="240" w:lineRule="auto"/>
                    <w:jc w:val="center"/>
                    <w:rPr>
                      <w:rFonts w:hint="eastAsia"/>
                      <w:lang w:val="en-US" w:eastAsia="zh-CN"/>
                    </w:rPr>
                  </w:pPr>
                  <w:r>
                    <w:rPr>
                      <w:rFonts w:hint="eastAsia"/>
                      <w:lang w:val="en-US" w:eastAsia="zh-CN"/>
                    </w:rPr>
                    <w:t>医护人员</w:t>
                  </w:r>
                </w:p>
              </w:tc>
              <w:tc>
                <w:tcPr>
                  <w:tcW w:w="684" w:type="pct"/>
                  <w:tcBorders>
                    <w:tl2br w:val="nil"/>
                    <w:tr2bl w:val="nil"/>
                  </w:tcBorders>
                  <w:noWrap w:val="0"/>
                  <w:vAlign w:val="center"/>
                </w:tcPr>
                <w:p>
                  <w:pPr>
                    <w:bidi w:val="0"/>
                    <w:spacing w:line="240" w:lineRule="auto"/>
                    <w:jc w:val="center"/>
                    <w:rPr>
                      <w:rFonts w:hint="eastAsia"/>
                      <w:lang w:val="en-US" w:eastAsia="zh-CN"/>
                    </w:rPr>
                  </w:pPr>
                  <w:r>
                    <w:rPr>
                      <w:rFonts w:hint="eastAsia"/>
                      <w:lang w:val="en-US" w:eastAsia="zh-CN"/>
                    </w:rPr>
                    <w:t>L/班·日</w:t>
                  </w:r>
                </w:p>
              </w:tc>
              <w:tc>
                <w:tcPr>
                  <w:tcW w:w="529" w:type="pct"/>
                  <w:tcBorders>
                    <w:tl2br w:val="nil"/>
                    <w:tr2bl w:val="nil"/>
                  </w:tcBorders>
                  <w:noWrap w:val="0"/>
                  <w:vAlign w:val="center"/>
                </w:tcPr>
                <w:p>
                  <w:pPr>
                    <w:bidi w:val="0"/>
                    <w:spacing w:line="240" w:lineRule="auto"/>
                    <w:jc w:val="center"/>
                    <w:rPr>
                      <w:rFonts w:hint="default"/>
                      <w:lang w:val="en-US" w:eastAsia="zh-CN"/>
                    </w:rPr>
                  </w:pPr>
                  <w:r>
                    <w:rPr>
                      <w:rFonts w:hint="eastAsia"/>
                      <w:lang w:val="en-US" w:eastAsia="zh-CN"/>
                    </w:rPr>
                    <w:t>200</w:t>
                  </w:r>
                </w:p>
              </w:tc>
              <w:tc>
                <w:tcPr>
                  <w:tcW w:w="734" w:type="pct"/>
                  <w:tcBorders>
                    <w:tl2br w:val="nil"/>
                    <w:tr2bl w:val="nil"/>
                  </w:tcBorders>
                  <w:noWrap w:val="0"/>
                  <w:vAlign w:val="center"/>
                </w:tcPr>
                <w:p>
                  <w:pPr>
                    <w:bidi w:val="0"/>
                    <w:spacing w:line="240" w:lineRule="auto"/>
                    <w:jc w:val="center"/>
                    <w:rPr>
                      <w:rFonts w:hint="default"/>
                      <w:lang w:val="en-US" w:eastAsia="zh-CN"/>
                    </w:rPr>
                  </w:pPr>
                  <w:r>
                    <w:rPr>
                      <w:rFonts w:hint="eastAsia"/>
                      <w:lang w:val="en-US" w:eastAsia="zh-CN"/>
                    </w:rPr>
                    <w:t>220人</w:t>
                  </w:r>
                </w:p>
              </w:tc>
              <w:tc>
                <w:tcPr>
                  <w:tcW w:w="802" w:type="pct"/>
                  <w:tcBorders>
                    <w:tl2br w:val="nil"/>
                    <w:tr2bl w:val="nil"/>
                  </w:tcBorders>
                  <w:noWrap w:val="0"/>
                  <w:vAlign w:val="center"/>
                </w:tcPr>
                <w:p>
                  <w:pPr>
                    <w:bidi w:val="0"/>
                    <w:spacing w:line="240" w:lineRule="auto"/>
                    <w:jc w:val="center"/>
                    <w:rPr>
                      <w:rFonts w:hint="default"/>
                      <w:lang w:val="en-US" w:eastAsia="zh-CN"/>
                    </w:rPr>
                  </w:pPr>
                  <w:r>
                    <w:rPr>
                      <w:rFonts w:hint="eastAsia"/>
                      <w:lang w:val="en-US" w:eastAsia="zh-CN"/>
                    </w:rPr>
                    <w:t>44.0</w:t>
                  </w:r>
                </w:p>
              </w:tc>
              <w:tc>
                <w:tcPr>
                  <w:tcW w:w="877" w:type="pct"/>
                  <w:tcBorders>
                    <w:tl2br w:val="nil"/>
                    <w:tr2bl w:val="nil"/>
                  </w:tcBorders>
                  <w:noWrap w:val="0"/>
                  <w:vAlign w:val="center"/>
                </w:tcPr>
                <w:p>
                  <w:pPr>
                    <w:bidi w:val="0"/>
                    <w:spacing w:line="240" w:lineRule="auto"/>
                    <w:jc w:val="center"/>
                    <w:rPr>
                      <w:rFonts w:hint="default"/>
                      <w:lang w:val="en-US" w:eastAsia="zh-CN"/>
                    </w:rPr>
                  </w:pPr>
                  <w:r>
                    <w:rPr>
                      <w:rFonts w:hint="eastAsia"/>
                      <w:lang w:val="en-US" w:eastAsia="zh-CN"/>
                    </w:rPr>
                    <w:t>16060.0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323" w:type="pct"/>
                  <w:tcBorders>
                    <w:tl2br w:val="nil"/>
                    <w:tr2bl w:val="nil"/>
                  </w:tcBorders>
                  <w:noWrap w:val="0"/>
                  <w:vAlign w:val="center"/>
                </w:tcPr>
                <w:p>
                  <w:pPr>
                    <w:bidi w:val="0"/>
                    <w:spacing w:line="240" w:lineRule="auto"/>
                    <w:jc w:val="center"/>
                    <w:rPr>
                      <w:rFonts w:hint="eastAsia"/>
                      <w:lang w:val="en-US" w:eastAsia="zh-CN"/>
                    </w:rPr>
                  </w:pPr>
                  <w:r>
                    <w:rPr>
                      <w:rFonts w:hint="eastAsia"/>
                      <w:lang w:val="en-US" w:eastAsia="zh-CN"/>
                    </w:rPr>
                    <w:t>2</w:t>
                  </w:r>
                </w:p>
              </w:tc>
              <w:tc>
                <w:tcPr>
                  <w:tcW w:w="1049" w:type="pct"/>
                  <w:tcBorders>
                    <w:tl2br w:val="nil"/>
                    <w:tr2bl w:val="nil"/>
                  </w:tcBorders>
                  <w:noWrap w:val="0"/>
                  <w:vAlign w:val="center"/>
                </w:tcPr>
                <w:p>
                  <w:pPr>
                    <w:bidi w:val="0"/>
                    <w:spacing w:line="240" w:lineRule="auto"/>
                    <w:jc w:val="center"/>
                    <w:rPr>
                      <w:rFonts w:hint="default"/>
                      <w:lang w:val="en-US" w:eastAsia="zh-CN"/>
                    </w:rPr>
                  </w:pPr>
                  <w:r>
                    <w:rPr>
                      <w:rFonts w:hint="eastAsia"/>
                      <w:u w:val="single"/>
                      <w:lang w:val="en-US" w:eastAsia="zh-CN"/>
                    </w:rPr>
                    <w:t>病房用水</w:t>
                  </w:r>
                </w:p>
              </w:tc>
              <w:tc>
                <w:tcPr>
                  <w:tcW w:w="684" w:type="pct"/>
                  <w:tcBorders>
                    <w:tl2br w:val="nil"/>
                    <w:tr2bl w:val="nil"/>
                  </w:tcBorders>
                  <w:noWrap w:val="0"/>
                  <w:vAlign w:val="center"/>
                </w:tcPr>
                <w:p>
                  <w:pPr>
                    <w:bidi w:val="0"/>
                    <w:spacing w:line="240" w:lineRule="auto"/>
                    <w:jc w:val="center"/>
                    <w:rPr>
                      <w:rFonts w:hint="eastAsia"/>
                      <w:lang w:val="en-US" w:eastAsia="zh-CN"/>
                    </w:rPr>
                  </w:pPr>
                  <w:r>
                    <w:rPr>
                      <w:rFonts w:hint="eastAsia"/>
                      <w:lang w:val="en-US" w:eastAsia="zh-CN"/>
                    </w:rPr>
                    <w:t>L/床·日</w:t>
                  </w:r>
                </w:p>
              </w:tc>
              <w:tc>
                <w:tcPr>
                  <w:tcW w:w="529" w:type="pct"/>
                  <w:tcBorders>
                    <w:tl2br w:val="nil"/>
                    <w:tr2bl w:val="nil"/>
                  </w:tcBorders>
                  <w:noWrap w:val="0"/>
                  <w:vAlign w:val="center"/>
                </w:tcPr>
                <w:p>
                  <w:pPr>
                    <w:bidi w:val="0"/>
                    <w:spacing w:line="240" w:lineRule="auto"/>
                    <w:jc w:val="center"/>
                    <w:rPr>
                      <w:rFonts w:hint="eastAsia"/>
                      <w:lang w:val="en-US" w:eastAsia="zh-CN"/>
                    </w:rPr>
                  </w:pPr>
                  <w:r>
                    <w:rPr>
                      <w:rFonts w:hint="eastAsia"/>
                      <w:lang w:val="en-US" w:eastAsia="zh-CN"/>
                    </w:rPr>
                    <w:t>450</w:t>
                  </w:r>
                </w:p>
              </w:tc>
              <w:tc>
                <w:tcPr>
                  <w:tcW w:w="734" w:type="pct"/>
                  <w:tcBorders>
                    <w:tl2br w:val="nil"/>
                    <w:tr2bl w:val="nil"/>
                  </w:tcBorders>
                  <w:noWrap w:val="0"/>
                  <w:vAlign w:val="center"/>
                </w:tcPr>
                <w:p>
                  <w:pPr>
                    <w:bidi w:val="0"/>
                    <w:spacing w:line="240" w:lineRule="auto"/>
                    <w:jc w:val="center"/>
                    <w:rPr>
                      <w:rFonts w:hint="default"/>
                      <w:lang w:val="en-US" w:eastAsia="zh-CN"/>
                    </w:rPr>
                  </w:pPr>
                  <w:r>
                    <w:rPr>
                      <w:rFonts w:hint="eastAsia"/>
                      <w:lang w:val="en-US" w:eastAsia="zh-CN"/>
                    </w:rPr>
                    <w:t>43床</w:t>
                  </w:r>
                </w:p>
              </w:tc>
              <w:tc>
                <w:tcPr>
                  <w:tcW w:w="802" w:type="pct"/>
                  <w:tcBorders>
                    <w:tl2br w:val="nil"/>
                    <w:tr2bl w:val="nil"/>
                  </w:tcBorders>
                  <w:noWrap w:val="0"/>
                  <w:vAlign w:val="center"/>
                </w:tcPr>
                <w:p>
                  <w:pPr>
                    <w:bidi w:val="0"/>
                    <w:spacing w:line="240" w:lineRule="auto"/>
                    <w:jc w:val="center"/>
                    <w:rPr>
                      <w:rFonts w:hint="eastAsia"/>
                      <w:lang w:val="en-US" w:eastAsia="zh-CN"/>
                    </w:rPr>
                  </w:pPr>
                  <w:r>
                    <w:rPr>
                      <w:rFonts w:hint="eastAsia"/>
                      <w:lang w:val="en-US" w:eastAsia="zh-CN"/>
                    </w:rPr>
                    <w:t>10.35</w:t>
                  </w:r>
                </w:p>
              </w:tc>
              <w:tc>
                <w:tcPr>
                  <w:tcW w:w="877" w:type="pct"/>
                  <w:tcBorders>
                    <w:tl2br w:val="nil"/>
                    <w:tr2bl w:val="nil"/>
                  </w:tcBorders>
                  <w:noWrap w:val="0"/>
                  <w:vAlign w:val="center"/>
                </w:tcPr>
                <w:p>
                  <w:pPr>
                    <w:bidi w:val="0"/>
                    <w:spacing w:line="240" w:lineRule="auto"/>
                    <w:jc w:val="center"/>
                    <w:rPr>
                      <w:rFonts w:hint="eastAsia"/>
                      <w:lang w:val="en-US" w:eastAsia="zh-CN"/>
                    </w:rPr>
                  </w:pPr>
                  <w:r>
                    <w:rPr>
                      <w:rFonts w:hint="eastAsia"/>
                      <w:lang w:val="en-US" w:eastAsia="zh-CN"/>
                    </w:rPr>
                    <w:t>3777.75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323" w:type="pct"/>
                  <w:tcBorders>
                    <w:tl2br w:val="nil"/>
                    <w:tr2bl w:val="nil"/>
                  </w:tcBorders>
                  <w:noWrap w:val="0"/>
                  <w:vAlign w:val="center"/>
                </w:tcPr>
                <w:p>
                  <w:pPr>
                    <w:bidi w:val="0"/>
                    <w:spacing w:line="240" w:lineRule="auto"/>
                    <w:jc w:val="center"/>
                    <w:rPr>
                      <w:rFonts w:hint="eastAsia"/>
                      <w:lang w:val="en-US" w:eastAsia="zh-CN"/>
                    </w:rPr>
                  </w:pPr>
                  <w:r>
                    <w:rPr>
                      <w:rFonts w:hint="eastAsia"/>
                      <w:lang w:val="en-US" w:eastAsia="zh-CN"/>
                    </w:rPr>
                    <w:t>3</w:t>
                  </w:r>
                </w:p>
              </w:tc>
              <w:tc>
                <w:tcPr>
                  <w:tcW w:w="1049" w:type="pct"/>
                  <w:tcBorders>
                    <w:tl2br w:val="nil"/>
                    <w:tr2bl w:val="nil"/>
                  </w:tcBorders>
                  <w:noWrap w:val="0"/>
                  <w:vAlign w:val="center"/>
                </w:tcPr>
                <w:p>
                  <w:pPr>
                    <w:bidi w:val="0"/>
                    <w:spacing w:line="240" w:lineRule="auto"/>
                    <w:jc w:val="center"/>
                    <w:rPr>
                      <w:rFonts w:hint="eastAsia"/>
                      <w:lang w:val="en-US" w:eastAsia="zh-CN"/>
                    </w:rPr>
                  </w:pPr>
                  <w:r>
                    <w:rPr>
                      <w:rFonts w:hint="eastAsia"/>
                      <w:lang w:val="en-US" w:eastAsia="zh-CN"/>
                    </w:rPr>
                    <w:t>陪护人员</w:t>
                  </w:r>
                </w:p>
              </w:tc>
              <w:tc>
                <w:tcPr>
                  <w:tcW w:w="684" w:type="pct"/>
                  <w:tcBorders>
                    <w:tl2br w:val="nil"/>
                    <w:tr2bl w:val="nil"/>
                  </w:tcBorders>
                  <w:noWrap w:val="0"/>
                  <w:vAlign w:val="center"/>
                </w:tcPr>
                <w:p>
                  <w:pPr>
                    <w:bidi w:val="0"/>
                    <w:spacing w:line="240" w:lineRule="auto"/>
                    <w:jc w:val="center"/>
                    <w:rPr>
                      <w:rFonts w:hint="eastAsia"/>
                      <w:lang w:val="en-US" w:eastAsia="zh-CN"/>
                    </w:rPr>
                  </w:pPr>
                  <w:r>
                    <w:rPr>
                      <w:rFonts w:hint="eastAsia"/>
                      <w:lang w:val="en-US" w:eastAsia="zh-CN"/>
                    </w:rPr>
                    <w:t>L/人·日</w:t>
                  </w:r>
                </w:p>
              </w:tc>
              <w:tc>
                <w:tcPr>
                  <w:tcW w:w="529" w:type="pct"/>
                  <w:tcBorders>
                    <w:tl2br w:val="nil"/>
                    <w:tr2bl w:val="nil"/>
                  </w:tcBorders>
                  <w:noWrap w:val="0"/>
                  <w:vAlign w:val="center"/>
                </w:tcPr>
                <w:p>
                  <w:pPr>
                    <w:bidi w:val="0"/>
                    <w:spacing w:line="240" w:lineRule="auto"/>
                    <w:jc w:val="center"/>
                    <w:rPr>
                      <w:rFonts w:hint="eastAsia"/>
                      <w:lang w:val="en-US" w:eastAsia="zh-CN"/>
                    </w:rPr>
                  </w:pPr>
                  <w:r>
                    <w:rPr>
                      <w:rFonts w:hint="eastAsia"/>
                      <w:lang w:val="en-US" w:eastAsia="zh-CN"/>
                    </w:rPr>
                    <w:t>200</w:t>
                  </w:r>
                </w:p>
              </w:tc>
              <w:tc>
                <w:tcPr>
                  <w:tcW w:w="734" w:type="pct"/>
                  <w:tcBorders>
                    <w:tl2br w:val="nil"/>
                    <w:tr2bl w:val="nil"/>
                  </w:tcBorders>
                  <w:noWrap w:val="0"/>
                  <w:vAlign w:val="center"/>
                </w:tcPr>
                <w:p>
                  <w:pPr>
                    <w:bidi w:val="0"/>
                    <w:spacing w:line="240" w:lineRule="auto"/>
                    <w:jc w:val="center"/>
                    <w:rPr>
                      <w:rFonts w:hint="default"/>
                      <w:lang w:val="en-US" w:eastAsia="zh-CN"/>
                    </w:rPr>
                  </w:pPr>
                  <w:r>
                    <w:rPr>
                      <w:rFonts w:hint="eastAsia"/>
                      <w:lang w:val="en-US" w:eastAsia="zh-CN"/>
                    </w:rPr>
                    <w:t>43人</w:t>
                  </w:r>
                </w:p>
              </w:tc>
              <w:tc>
                <w:tcPr>
                  <w:tcW w:w="802" w:type="pct"/>
                  <w:tcBorders>
                    <w:tl2br w:val="nil"/>
                    <w:tr2bl w:val="nil"/>
                  </w:tcBorders>
                  <w:noWrap w:val="0"/>
                  <w:vAlign w:val="center"/>
                </w:tcPr>
                <w:p>
                  <w:pPr>
                    <w:bidi w:val="0"/>
                    <w:spacing w:line="240" w:lineRule="auto"/>
                    <w:jc w:val="center"/>
                    <w:rPr>
                      <w:rFonts w:hint="default"/>
                      <w:lang w:val="en-US" w:eastAsia="zh-CN"/>
                    </w:rPr>
                  </w:pPr>
                  <w:r>
                    <w:rPr>
                      <w:rFonts w:hint="eastAsia"/>
                      <w:lang w:val="en-US" w:eastAsia="zh-CN"/>
                    </w:rPr>
                    <w:t>4.60</w:t>
                  </w:r>
                </w:p>
              </w:tc>
              <w:tc>
                <w:tcPr>
                  <w:tcW w:w="877" w:type="pct"/>
                  <w:tcBorders>
                    <w:tl2br w:val="nil"/>
                    <w:tr2bl w:val="nil"/>
                  </w:tcBorders>
                  <w:noWrap w:val="0"/>
                  <w:vAlign w:val="center"/>
                </w:tcPr>
                <w:p>
                  <w:pPr>
                    <w:bidi w:val="0"/>
                    <w:spacing w:line="240" w:lineRule="auto"/>
                    <w:jc w:val="center"/>
                    <w:rPr>
                      <w:rFonts w:hint="default"/>
                      <w:lang w:val="en-US" w:eastAsia="zh-CN"/>
                    </w:rPr>
                  </w:pPr>
                  <w:r>
                    <w:rPr>
                      <w:rFonts w:hint="eastAsia"/>
                      <w:lang w:val="en-US" w:eastAsia="zh-CN"/>
                    </w:rPr>
                    <w:t>1679.0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323" w:type="pct"/>
                  <w:tcBorders>
                    <w:tl2br w:val="nil"/>
                    <w:tr2bl w:val="nil"/>
                  </w:tcBorders>
                  <w:noWrap w:val="0"/>
                  <w:vAlign w:val="center"/>
                </w:tcPr>
                <w:p>
                  <w:pPr>
                    <w:bidi w:val="0"/>
                    <w:spacing w:line="240" w:lineRule="auto"/>
                    <w:jc w:val="center"/>
                    <w:rPr>
                      <w:rFonts w:hint="eastAsia"/>
                      <w:lang w:val="en-US" w:eastAsia="zh-CN"/>
                    </w:rPr>
                  </w:pPr>
                  <w:r>
                    <w:rPr>
                      <w:rFonts w:hint="eastAsia"/>
                      <w:lang w:val="en-US" w:eastAsia="zh-CN"/>
                    </w:rPr>
                    <w:t>4</w:t>
                  </w:r>
                </w:p>
              </w:tc>
              <w:tc>
                <w:tcPr>
                  <w:tcW w:w="1049" w:type="pct"/>
                  <w:tcBorders>
                    <w:tl2br w:val="nil"/>
                    <w:tr2bl w:val="nil"/>
                  </w:tcBorders>
                  <w:noWrap w:val="0"/>
                  <w:vAlign w:val="center"/>
                </w:tcPr>
                <w:p>
                  <w:pPr>
                    <w:bidi w:val="0"/>
                    <w:spacing w:line="240" w:lineRule="auto"/>
                    <w:jc w:val="center"/>
                    <w:rPr>
                      <w:rFonts w:hint="eastAsia"/>
                      <w:lang w:val="en-US" w:eastAsia="zh-CN"/>
                    </w:rPr>
                  </w:pPr>
                  <w:r>
                    <w:rPr>
                      <w:rFonts w:hint="eastAsia"/>
                      <w:lang w:val="en-US" w:eastAsia="zh-CN"/>
                    </w:rPr>
                    <w:t>道路与广场用水</w:t>
                  </w:r>
                </w:p>
              </w:tc>
              <w:tc>
                <w:tcPr>
                  <w:tcW w:w="684" w:type="pct"/>
                  <w:tcBorders>
                    <w:tl2br w:val="nil"/>
                    <w:tr2bl w:val="nil"/>
                  </w:tcBorders>
                  <w:noWrap w:val="0"/>
                  <w:vAlign w:val="center"/>
                </w:tcPr>
                <w:p>
                  <w:pPr>
                    <w:bidi w:val="0"/>
                    <w:spacing w:line="240" w:lineRule="auto"/>
                    <w:jc w:val="center"/>
                    <w:rPr>
                      <w:rFonts w:hint="eastAsia"/>
                      <w:lang w:val="en-US" w:eastAsia="zh-CN"/>
                    </w:rPr>
                  </w:pPr>
                  <w:r>
                    <w:rPr>
                      <w:rFonts w:hint="eastAsia"/>
                      <w:lang w:val="en-US" w:eastAsia="zh-CN"/>
                    </w:rPr>
                    <w:t>L/m</w:t>
                  </w:r>
                  <w:r>
                    <w:rPr>
                      <w:rFonts w:hint="eastAsia"/>
                      <w:vertAlign w:val="superscript"/>
                      <w:lang w:val="en-US" w:eastAsia="zh-CN"/>
                    </w:rPr>
                    <w:t>2</w:t>
                  </w:r>
                  <w:r>
                    <w:rPr>
                      <w:rFonts w:hint="eastAsia"/>
                      <w:lang w:val="en-US" w:eastAsia="zh-CN"/>
                    </w:rPr>
                    <w:t>·日</w:t>
                  </w:r>
                </w:p>
              </w:tc>
              <w:tc>
                <w:tcPr>
                  <w:tcW w:w="529" w:type="pct"/>
                  <w:tcBorders>
                    <w:tl2br w:val="nil"/>
                    <w:tr2bl w:val="nil"/>
                  </w:tcBorders>
                  <w:noWrap w:val="0"/>
                  <w:vAlign w:val="center"/>
                </w:tcPr>
                <w:p>
                  <w:pPr>
                    <w:bidi w:val="0"/>
                    <w:spacing w:line="240" w:lineRule="auto"/>
                    <w:jc w:val="center"/>
                    <w:rPr>
                      <w:rFonts w:hint="eastAsia"/>
                      <w:lang w:val="en-US" w:eastAsia="zh-CN"/>
                    </w:rPr>
                  </w:pPr>
                  <w:r>
                    <w:rPr>
                      <w:rFonts w:hint="eastAsia"/>
                      <w:lang w:val="en-US" w:eastAsia="zh-CN"/>
                    </w:rPr>
                    <w:t>1.2</w:t>
                  </w:r>
                </w:p>
              </w:tc>
              <w:tc>
                <w:tcPr>
                  <w:tcW w:w="734" w:type="pct"/>
                  <w:tcBorders>
                    <w:tl2br w:val="nil"/>
                    <w:tr2bl w:val="nil"/>
                  </w:tcBorders>
                  <w:noWrap w:val="0"/>
                  <w:vAlign w:val="center"/>
                </w:tcPr>
                <w:p>
                  <w:pPr>
                    <w:bidi w:val="0"/>
                    <w:spacing w:line="240" w:lineRule="auto"/>
                    <w:jc w:val="center"/>
                    <w:rPr>
                      <w:rFonts w:hint="eastAsia"/>
                      <w:lang w:val="en-US" w:eastAsia="zh-CN"/>
                    </w:rPr>
                  </w:pPr>
                  <w:r>
                    <w:rPr>
                      <w:rFonts w:hint="eastAsia"/>
                      <w:lang w:val="en-US" w:eastAsia="zh-CN"/>
                    </w:rPr>
                    <w:t>2744.06m</w:t>
                  </w:r>
                  <w:r>
                    <w:rPr>
                      <w:rFonts w:hint="eastAsia"/>
                      <w:vertAlign w:val="superscript"/>
                      <w:lang w:val="en-US" w:eastAsia="zh-CN"/>
                    </w:rPr>
                    <w:t>2</w:t>
                  </w:r>
                </w:p>
              </w:tc>
              <w:tc>
                <w:tcPr>
                  <w:tcW w:w="802" w:type="pct"/>
                  <w:tcBorders>
                    <w:tl2br w:val="nil"/>
                    <w:tr2bl w:val="nil"/>
                  </w:tcBorders>
                  <w:noWrap w:val="0"/>
                  <w:vAlign w:val="center"/>
                </w:tcPr>
                <w:p>
                  <w:pPr>
                    <w:bidi w:val="0"/>
                    <w:spacing w:line="240" w:lineRule="auto"/>
                    <w:jc w:val="center"/>
                    <w:rPr>
                      <w:rFonts w:hint="eastAsia"/>
                      <w:lang w:val="en-US" w:eastAsia="zh-CN"/>
                    </w:rPr>
                  </w:pPr>
                  <w:r>
                    <w:rPr>
                      <w:rFonts w:hint="eastAsia"/>
                      <w:lang w:val="en-US" w:eastAsia="zh-CN"/>
                    </w:rPr>
                    <w:t>3.29</w:t>
                  </w:r>
                </w:p>
              </w:tc>
              <w:tc>
                <w:tcPr>
                  <w:tcW w:w="877" w:type="pct"/>
                  <w:tcBorders>
                    <w:tl2br w:val="nil"/>
                    <w:tr2bl w:val="nil"/>
                  </w:tcBorders>
                  <w:noWrap w:val="0"/>
                  <w:vAlign w:val="center"/>
                </w:tcPr>
                <w:p>
                  <w:pPr>
                    <w:bidi w:val="0"/>
                    <w:spacing w:line="240" w:lineRule="auto"/>
                    <w:jc w:val="center"/>
                    <w:rPr>
                      <w:rFonts w:hint="default"/>
                      <w:lang w:val="en-US" w:eastAsia="zh-CN"/>
                    </w:rPr>
                  </w:pPr>
                  <w:r>
                    <w:rPr>
                      <w:rFonts w:hint="eastAsia"/>
                      <w:lang w:val="en-US" w:eastAsia="zh-CN"/>
                    </w:rPr>
                    <w:t>1201.90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323" w:type="pct"/>
                  <w:tcBorders>
                    <w:tl2br w:val="nil"/>
                    <w:tr2bl w:val="nil"/>
                  </w:tcBorders>
                  <w:noWrap w:val="0"/>
                  <w:vAlign w:val="center"/>
                </w:tcPr>
                <w:p>
                  <w:pPr>
                    <w:bidi w:val="0"/>
                    <w:spacing w:line="240" w:lineRule="auto"/>
                    <w:jc w:val="center"/>
                    <w:rPr>
                      <w:rFonts w:hint="eastAsia"/>
                      <w:lang w:val="en-US" w:eastAsia="zh-CN"/>
                    </w:rPr>
                  </w:pPr>
                  <w:r>
                    <w:rPr>
                      <w:rFonts w:hint="eastAsia"/>
                      <w:lang w:val="en-US" w:eastAsia="zh-CN"/>
                    </w:rPr>
                    <w:t>5</w:t>
                  </w:r>
                </w:p>
              </w:tc>
              <w:tc>
                <w:tcPr>
                  <w:tcW w:w="1049" w:type="pct"/>
                  <w:tcBorders>
                    <w:tl2br w:val="nil"/>
                    <w:tr2bl w:val="nil"/>
                  </w:tcBorders>
                  <w:noWrap w:val="0"/>
                  <w:vAlign w:val="center"/>
                </w:tcPr>
                <w:p>
                  <w:pPr>
                    <w:bidi w:val="0"/>
                    <w:spacing w:line="240" w:lineRule="auto"/>
                    <w:jc w:val="center"/>
                    <w:rPr>
                      <w:rFonts w:hint="eastAsia"/>
                      <w:lang w:val="en-US" w:eastAsia="zh-CN"/>
                    </w:rPr>
                  </w:pPr>
                  <w:r>
                    <w:rPr>
                      <w:rFonts w:hint="eastAsia"/>
                      <w:lang w:val="en-US" w:eastAsia="zh-CN"/>
                    </w:rPr>
                    <w:t>绿化洒水</w:t>
                  </w:r>
                </w:p>
              </w:tc>
              <w:tc>
                <w:tcPr>
                  <w:tcW w:w="684" w:type="pct"/>
                  <w:tcBorders>
                    <w:tl2br w:val="nil"/>
                    <w:tr2bl w:val="nil"/>
                  </w:tcBorders>
                  <w:noWrap w:val="0"/>
                  <w:vAlign w:val="center"/>
                </w:tcPr>
                <w:p>
                  <w:pPr>
                    <w:bidi w:val="0"/>
                    <w:spacing w:line="240" w:lineRule="auto"/>
                    <w:jc w:val="center"/>
                    <w:rPr>
                      <w:rFonts w:hint="eastAsia"/>
                      <w:lang w:val="en-US" w:eastAsia="zh-CN"/>
                    </w:rPr>
                  </w:pPr>
                  <w:r>
                    <w:rPr>
                      <w:rFonts w:hint="eastAsia"/>
                      <w:lang w:val="en-US" w:eastAsia="zh-CN"/>
                    </w:rPr>
                    <w:t>L/m</w:t>
                  </w:r>
                  <w:r>
                    <w:rPr>
                      <w:rFonts w:hint="eastAsia"/>
                      <w:vertAlign w:val="superscript"/>
                      <w:lang w:val="en-US" w:eastAsia="zh-CN"/>
                    </w:rPr>
                    <w:t>2</w:t>
                  </w:r>
                  <w:r>
                    <w:rPr>
                      <w:rFonts w:hint="eastAsia"/>
                      <w:lang w:val="en-US" w:eastAsia="zh-CN"/>
                    </w:rPr>
                    <w:t>·日</w:t>
                  </w:r>
                </w:p>
              </w:tc>
              <w:tc>
                <w:tcPr>
                  <w:tcW w:w="529" w:type="pct"/>
                  <w:tcBorders>
                    <w:tl2br w:val="nil"/>
                    <w:tr2bl w:val="nil"/>
                  </w:tcBorders>
                  <w:noWrap w:val="0"/>
                  <w:vAlign w:val="center"/>
                </w:tcPr>
                <w:p>
                  <w:pPr>
                    <w:bidi w:val="0"/>
                    <w:spacing w:line="240" w:lineRule="auto"/>
                    <w:jc w:val="center"/>
                    <w:rPr>
                      <w:rFonts w:hint="eastAsia"/>
                      <w:lang w:val="en-US" w:eastAsia="zh-CN"/>
                    </w:rPr>
                  </w:pPr>
                  <w:r>
                    <w:rPr>
                      <w:rFonts w:hint="eastAsia"/>
                      <w:lang w:val="en-US" w:eastAsia="zh-CN"/>
                    </w:rPr>
                    <w:t>2</w:t>
                  </w:r>
                </w:p>
              </w:tc>
              <w:tc>
                <w:tcPr>
                  <w:tcW w:w="734" w:type="pct"/>
                  <w:tcBorders>
                    <w:tl2br w:val="nil"/>
                    <w:tr2bl w:val="nil"/>
                  </w:tcBorders>
                  <w:noWrap w:val="0"/>
                  <w:vAlign w:val="center"/>
                </w:tcPr>
                <w:p>
                  <w:pPr>
                    <w:bidi w:val="0"/>
                    <w:spacing w:line="240" w:lineRule="auto"/>
                    <w:jc w:val="center"/>
                    <w:rPr>
                      <w:rFonts w:hint="eastAsia"/>
                      <w:lang w:val="en-US" w:eastAsia="zh-CN"/>
                    </w:rPr>
                  </w:pPr>
                  <w:r>
                    <w:rPr>
                      <w:rFonts w:hint="eastAsia"/>
                      <w:lang w:val="en-US" w:eastAsia="zh-CN"/>
                    </w:rPr>
                    <w:t>2411m</w:t>
                  </w:r>
                  <w:r>
                    <w:rPr>
                      <w:rFonts w:hint="eastAsia"/>
                      <w:vertAlign w:val="superscript"/>
                      <w:lang w:val="en-US" w:eastAsia="zh-CN"/>
                    </w:rPr>
                    <w:t>2</w:t>
                  </w:r>
                </w:p>
              </w:tc>
              <w:tc>
                <w:tcPr>
                  <w:tcW w:w="802" w:type="pct"/>
                  <w:tcBorders>
                    <w:tl2br w:val="nil"/>
                    <w:tr2bl w:val="nil"/>
                  </w:tcBorders>
                  <w:noWrap w:val="0"/>
                  <w:vAlign w:val="center"/>
                </w:tcPr>
                <w:p>
                  <w:pPr>
                    <w:bidi w:val="0"/>
                    <w:spacing w:line="240" w:lineRule="auto"/>
                    <w:jc w:val="center"/>
                    <w:rPr>
                      <w:rFonts w:hint="eastAsia"/>
                      <w:lang w:val="en-US" w:eastAsia="zh-CN"/>
                    </w:rPr>
                  </w:pPr>
                  <w:r>
                    <w:rPr>
                      <w:rFonts w:hint="eastAsia"/>
                      <w:lang w:val="en-US" w:eastAsia="zh-CN"/>
                    </w:rPr>
                    <w:t>4.82</w:t>
                  </w:r>
                </w:p>
              </w:tc>
              <w:tc>
                <w:tcPr>
                  <w:tcW w:w="877" w:type="pct"/>
                  <w:tcBorders>
                    <w:tl2br w:val="nil"/>
                    <w:tr2bl w:val="nil"/>
                  </w:tcBorders>
                  <w:noWrap w:val="0"/>
                  <w:vAlign w:val="center"/>
                </w:tcPr>
                <w:p>
                  <w:pPr>
                    <w:bidi w:val="0"/>
                    <w:spacing w:line="240" w:lineRule="auto"/>
                    <w:jc w:val="center"/>
                    <w:rPr>
                      <w:rFonts w:hint="eastAsia"/>
                      <w:lang w:val="en-US" w:eastAsia="zh-CN"/>
                    </w:rPr>
                  </w:pPr>
                  <w:r>
                    <w:rPr>
                      <w:rFonts w:hint="eastAsia"/>
                      <w:lang w:val="en-US" w:eastAsia="zh-CN"/>
                    </w:rPr>
                    <w:t>1760.03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323" w:type="pct"/>
                  <w:tcBorders>
                    <w:tl2br w:val="nil"/>
                    <w:tr2bl w:val="nil"/>
                  </w:tcBorders>
                  <w:noWrap w:val="0"/>
                  <w:vAlign w:val="center"/>
                </w:tcPr>
                <w:p>
                  <w:pPr>
                    <w:bidi w:val="0"/>
                    <w:spacing w:line="240" w:lineRule="auto"/>
                    <w:jc w:val="center"/>
                    <w:rPr>
                      <w:rFonts w:hint="eastAsia"/>
                      <w:lang w:val="en-US" w:eastAsia="zh-CN"/>
                    </w:rPr>
                  </w:pPr>
                  <w:r>
                    <w:rPr>
                      <w:rFonts w:hint="eastAsia"/>
                      <w:lang w:val="en-US" w:eastAsia="zh-CN"/>
                    </w:rPr>
                    <w:t>6</w:t>
                  </w:r>
                </w:p>
              </w:tc>
              <w:tc>
                <w:tcPr>
                  <w:tcW w:w="1049" w:type="pct"/>
                  <w:tcBorders>
                    <w:tl2br w:val="nil"/>
                    <w:tr2bl w:val="nil"/>
                  </w:tcBorders>
                  <w:noWrap w:val="0"/>
                  <w:vAlign w:val="center"/>
                </w:tcPr>
                <w:p>
                  <w:pPr>
                    <w:bidi w:val="0"/>
                    <w:spacing w:line="240" w:lineRule="auto"/>
                    <w:jc w:val="center"/>
                    <w:rPr>
                      <w:rFonts w:hint="eastAsia"/>
                      <w:lang w:val="en-US" w:eastAsia="zh-CN"/>
                    </w:rPr>
                  </w:pPr>
                  <w:r>
                    <w:rPr>
                      <w:rFonts w:hint="eastAsia"/>
                      <w:u w:val="single"/>
                      <w:lang w:val="en-US" w:eastAsia="zh-CN"/>
                    </w:rPr>
                    <w:t>婴儿用水</w:t>
                  </w:r>
                </w:p>
              </w:tc>
              <w:tc>
                <w:tcPr>
                  <w:tcW w:w="684" w:type="pct"/>
                  <w:tcBorders>
                    <w:tl2br w:val="nil"/>
                    <w:tr2bl w:val="nil"/>
                  </w:tcBorders>
                  <w:noWrap w:val="0"/>
                  <w:vAlign w:val="center"/>
                </w:tcPr>
                <w:p>
                  <w:pPr>
                    <w:bidi w:val="0"/>
                    <w:spacing w:line="240" w:lineRule="auto"/>
                    <w:jc w:val="center"/>
                    <w:rPr>
                      <w:rFonts w:hint="eastAsia"/>
                      <w:u w:val="single"/>
                      <w:lang w:val="en-US" w:eastAsia="zh-CN"/>
                    </w:rPr>
                  </w:pPr>
                  <w:r>
                    <w:rPr>
                      <w:rFonts w:hint="eastAsia"/>
                      <w:u w:val="single"/>
                      <w:lang w:val="en-US" w:eastAsia="zh-CN"/>
                    </w:rPr>
                    <w:t>L/人·日</w:t>
                  </w:r>
                </w:p>
              </w:tc>
              <w:tc>
                <w:tcPr>
                  <w:tcW w:w="529" w:type="pct"/>
                  <w:tcBorders>
                    <w:tl2br w:val="nil"/>
                    <w:tr2bl w:val="nil"/>
                  </w:tcBorders>
                  <w:noWrap w:val="0"/>
                  <w:vAlign w:val="center"/>
                </w:tcPr>
                <w:p>
                  <w:pPr>
                    <w:bidi w:val="0"/>
                    <w:spacing w:line="240" w:lineRule="auto"/>
                    <w:jc w:val="center"/>
                    <w:rPr>
                      <w:rFonts w:hint="eastAsia"/>
                      <w:u w:val="single"/>
                      <w:lang w:val="en-US" w:eastAsia="zh-CN"/>
                    </w:rPr>
                  </w:pPr>
                  <w:r>
                    <w:rPr>
                      <w:rFonts w:hint="eastAsia"/>
                      <w:u w:val="single"/>
                      <w:lang w:val="en-US" w:eastAsia="zh-CN"/>
                    </w:rPr>
                    <w:t>450</w:t>
                  </w:r>
                </w:p>
              </w:tc>
              <w:tc>
                <w:tcPr>
                  <w:tcW w:w="734" w:type="pct"/>
                  <w:tcBorders>
                    <w:tl2br w:val="nil"/>
                    <w:tr2bl w:val="nil"/>
                  </w:tcBorders>
                  <w:noWrap w:val="0"/>
                  <w:vAlign w:val="center"/>
                </w:tcPr>
                <w:p>
                  <w:pPr>
                    <w:bidi w:val="0"/>
                    <w:spacing w:line="240" w:lineRule="auto"/>
                    <w:jc w:val="center"/>
                    <w:rPr>
                      <w:rFonts w:hint="eastAsia"/>
                      <w:u w:val="single"/>
                      <w:lang w:val="en-US" w:eastAsia="zh-CN"/>
                    </w:rPr>
                  </w:pPr>
                  <w:r>
                    <w:rPr>
                      <w:rFonts w:hint="eastAsia"/>
                      <w:u w:val="single"/>
                      <w:lang w:val="en-US" w:eastAsia="zh-CN"/>
                    </w:rPr>
                    <w:t>43</w:t>
                  </w:r>
                  <w:r>
                    <w:rPr>
                      <w:rFonts w:hint="eastAsia"/>
                      <w:lang w:val="en-US" w:eastAsia="zh-CN"/>
                    </w:rPr>
                    <w:t>人</w:t>
                  </w:r>
                </w:p>
              </w:tc>
              <w:tc>
                <w:tcPr>
                  <w:tcW w:w="802" w:type="pct"/>
                  <w:tcBorders>
                    <w:tl2br w:val="nil"/>
                    <w:tr2bl w:val="nil"/>
                  </w:tcBorders>
                  <w:noWrap w:val="0"/>
                  <w:vAlign w:val="center"/>
                </w:tcPr>
                <w:p>
                  <w:pPr>
                    <w:bidi w:val="0"/>
                    <w:spacing w:line="240" w:lineRule="auto"/>
                    <w:jc w:val="center"/>
                    <w:rPr>
                      <w:rFonts w:hint="eastAsia"/>
                      <w:u w:val="single"/>
                      <w:lang w:val="en-US" w:eastAsia="zh-CN"/>
                    </w:rPr>
                  </w:pPr>
                  <w:r>
                    <w:rPr>
                      <w:rFonts w:hint="eastAsia"/>
                      <w:u w:val="single"/>
                      <w:lang w:val="en-US" w:eastAsia="zh-CN"/>
                    </w:rPr>
                    <w:t>10.35</w:t>
                  </w:r>
                </w:p>
              </w:tc>
              <w:tc>
                <w:tcPr>
                  <w:tcW w:w="877" w:type="pct"/>
                  <w:tcBorders>
                    <w:tl2br w:val="nil"/>
                    <w:tr2bl w:val="nil"/>
                  </w:tcBorders>
                  <w:noWrap w:val="0"/>
                  <w:vAlign w:val="center"/>
                </w:tcPr>
                <w:p>
                  <w:pPr>
                    <w:bidi w:val="0"/>
                    <w:spacing w:line="240" w:lineRule="auto"/>
                    <w:jc w:val="center"/>
                    <w:rPr>
                      <w:rFonts w:hint="eastAsia"/>
                      <w:u w:val="single"/>
                      <w:lang w:val="en-US" w:eastAsia="zh-CN"/>
                    </w:rPr>
                  </w:pPr>
                  <w:r>
                    <w:rPr>
                      <w:rFonts w:hint="eastAsia"/>
                      <w:u w:val="single"/>
                      <w:lang w:val="en-US" w:eastAsia="zh-CN"/>
                    </w:rPr>
                    <w:t>3777.75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323" w:type="pct"/>
                  <w:tcBorders>
                    <w:tl2br w:val="nil"/>
                    <w:tr2bl w:val="nil"/>
                  </w:tcBorders>
                  <w:noWrap w:val="0"/>
                  <w:vAlign w:val="center"/>
                </w:tcPr>
                <w:p>
                  <w:pPr>
                    <w:bidi w:val="0"/>
                    <w:spacing w:line="240" w:lineRule="auto"/>
                    <w:jc w:val="center"/>
                    <w:rPr>
                      <w:rFonts w:hint="eastAsia"/>
                      <w:lang w:val="en-US" w:eastAsia="zh-CN"/>
                    </w:rPr>
                  </w:pPr>
                  <w:r>
                    <w:rPr>
                      <w:rFonts w:hint="eastAsia"/>
                      <w:lang w:val="en-US" w:eastAsia="zh-CN"/>
                    </w:rPr>
                    <w:t>7</w:t>
                  </w:r>
                </w:p>
              </w:tc>
              <w:tc>
                <w:tcPr>
                  <w:tcW w:w="1049" w:type="pct"/>
                  <w:tcBorders>
                    <w:tl2br w:val="nil"/>
                    <w:tr2bl w:val="nil"/>
                  </w:tcBorders>
                  <w:noWrap w:val="0"/>
                  <w:vAlign w:val="center"/>
                </w:tcPr>
                <w:p>
                  <w:pPr>
                    <w:bidi w:val="0"/>
                    <w:spacing w:line="240" w:lineRule="auto"/>
                    <w:jc w:val="center"/>
                    <w:rPr>
                      <w:rFonts w:hint="eastAsia"/>
                      <w:lang w:val="en-US" w:eastAsia="zh-CN"/>
                    </w:rPr>
                  </w:pPr>
                  <w:r>
                    <w:rPr>
                      <w:rFonts w:hint="eastAsia"/>
                      <w:lang w:val="en-US" w:eastAsia="zh-CN"/>
                    </w:rPr>
                    <w:t>小计</w:t>
                  </w:r>
                </w:p>
              </w:tc>
              <w:tc>
                <w:tcPr>
                  <w:tcW w:w="684" w:type="pct"/>
                  <w:tcBorders>
                    <w:tl2br w:val="nil"/>
                    <w:tr2bl w:val="nil"/>
                  </w:tcBorders>
                  <w:noWrap w:val="0"/>
                  <w:vAlign w:val="center"/>
                </w:tcPr>
                <w:p>
                  <w:pPr>
                    <w:bidi w:val="0"/>
                    <w:spacing w:line="240" w:lineRule="auto"/>
                    <w:jc w:val="center"/>
                    <w:rPr>
                      <w:rFonts w:hint="eastAsia"/>
                      <w:lang w:val="en-US" w:eastAsia="zh-CN"/>
                    </w:rPr>
                  </w:pPr>
                  <w:r>
                    <w:rPr>
                      <w:rFonts w:hint="eastAsia"/>
                      <w:lang w:val="en-US" w:eastAsia="zh-CN"/>
                    </w:rPr>
                    <w:t>/</w:t>
                  </w:r>
                </w:p>
              </w:tc>
              <w:tc>
                <w:tcPr>
                  <w:tcW w:w="529" w:type="pct"/>
                  <w:tcBorders>
                    <w:tl2br w:val="nil"/>
                    <w:tr2bl w:val="nil"/>
                  </w:tcBorders>
                  <w:noWrap w:val="0"/>
                  <w:vAlign w:val="center"/>
                </w:tcPr>
                <w:p>
                  <w:pPr>
                    <w:bidi w:val="0"/>
                    <w:spacing w:line="240" w:lineRule="auto"/>
                    <w:jc w:val="center"/>
                    <w:rPr>
                      <w:rFonts w:hint="eastAsia"/>
                      <w:lang w:val="en-US" w:eastAsia="zh-CN"/>
                    </w:rPr>
                  </w:pPr>
                  <w:r>
                    <w:rPr>
                      <w:rFonts w:hint="eastAsia"/>
                      <w:lang w:val="en-US" w:eastAsia="zh-CN"/>
                    </w:rPr>
                    <w:t>/</w:t>
                  </w:r>
                </w:p>
              </w:tc>
              <w:tc>
                <w:tcPr>
                  <w:tcW w:w="734" w:type="pct"/>
                  <w:tcBorders>
                    <w:tl2br w:val="nil"/>
                    <w:tr2bl w:val="nil"/>
                  </w:tcBorders>
                  <w:noWrap w:val="0"/>
                  <w:vAlign w:val="center"/>
                </w:tcPr>
                <w:p>
                  <w:pPr>
                    <w:bidi w:val="0"/>
                    <w:spacing w:line="240" w:lineRule="auto"/>
                    <w:jc w:val="center"/>
                    <w:rPr>
                      <w:rFonts w:hint="eastAsia"/>
                      <w:lang w:val="en-US" w:eastAsia="zh-CN"/>
                    </w:rPr>
                  </w:pPr>
                  <w:r>
                    <w:rPr>
                      <w:rFonts w:hint="eastAsia"/>
                      <w:lang w:val="en-US" w:eastAsia="zh-CN"/>
                    </w:rPr>
                    <w:t>/</w:t>
                  </w:r>
                </w:p>
              </w:tc>
              <w:tc>
                <w:tcPr>
                  <w:tcW w:w="802" w:type="pct"/>
                  <w:tcBorders>
                    <w:tl2br w:val="nil"/>
                    <w:tr2bl w:val="nil"/>
                  </w:tcBorders>
                  <w:noWrap w:val="0"/>
                  <w:vAlign w:val="center"/>
                </w:tcPr>
                <w:p>
                  <w:pPr>
                    <w:bidi w:val="0"/>
                    <w:spacing w:line="240" w:lineRule="auto"/>
                    <w:jc w:val="center"/>
                    <w:rPr>
                      <w:rFonts w:hint="default"/>
                      <w:u w:val="single"/>
                      <w:lang w:val="en-US" w:eastAsia="zh-CN"/>
                    </w:rPr>
                  </w:pPr>
                  <w:r>
                    <w:rPr>
                      <w:rFonts w:hint="eastAsia"/>
                      <w:u w:val="single"/>
                      <w:lang w:val="en-US" w:eastAsia="zh-CN"/>
                    </w:rPr>
                    <w:t>77.41</w:t>
                  </w:r>
                </w:p>
              </w:tc>
              <w:tc>
                <w:tcPr>
                  <w:tcW w:w="877" w:type="pct"/>
                  <w:tcBorders>
                    <w:tl2br w:val="nil"/>
                    <w:tr2bl w:val="nil"/>
                  </w:tcBorders>
                  <w:noWrap w:val="0"/>
                  <w:vAlign w:val="center"/>
                </w:tcPr>
                <w:p>
                  <w:pPr>
                    <w:bidi w:val="0"/>
                    <w:spacing w:line="240" w:lineRule="auto"/>
                    <w:jc w:val="center"/>
                    <w:rPr>
                      <w:rFonts w:hint="default"/>
                      <w:lang w:val="en-US" w:eastAsia="zh-CN"/>
                    </w:rPr>
                  </w:pPr>
                  <w:r>
                    <w:rPr>
                      <w:rFonts w:hint="eastAsia"/>
                      <w:u w:val="single"/>
                      <w:lang w:val="en-US" w:eastAsia="zh-CN"/>
                    </w:rPr>
                    <w:t>28256.43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323" w:type="pct"/>
                  <w:tcBorders>
                    <w:tl2br w:val="nil"/>
                    <w:tr2bl w:val="nil"/>
                  </w:tcBorders>
                  <w:noWrap w:val="0"/>
                  <w:vAlign w:val="center"/>
                </w:tcPr>
                <w:p>
                  <w:pPr>
                    <w:bidi w:val="0"/>
                    <w:spacing w:line="240" w:lineRule="auto"/>
                    <w:jc w:val="center"/>
                    <w:rPr>
                      <w:rFonts w:hint="eastAsia"/>
                      <w:lang w:val="en-US" w:eastAsia="zh-CN"/>
                    </w:rPr>
                  </w:pPr>
                  <w:r>
                    <w:rPr>
                      <w:rFonts w:hint="eastAsia"/>
                      <w:lang w:val="en-US" w:eastAsia="zh-CN"/>
                    </w:rPr>
                    <w:t>8</w:t>
                  </w:r>
                </w:p>
              </w:tc>
              <w:tc>
                <w:tcPr>
                  <w:tcW w:w="1049" w:type="pct"/>
                  <w:tcBorders>
                    <w:tl2br w:val="nil"/>
                    <w:tr2bl w:val="nil"/>
                  </w:tcBorders>
                  <w:noWrap w:val="0"/>
                  <w:vAlign w:val="center"/>
                </w:tcPr>
                <w:p>
                  <w:pPr>
                    <w:bidi w:val="0"/>
                    <w:spacing w:line="240" w:lineRule="auto"/>
                    <w:jc w:val="center"/>
                    <w:rPr>
                      <w:rFonts w:hint="eastAsia"/>
                      <w:lang w:val="en-US" w:eastAsia="zh-CN"/>
                    </w:rPr>
                  </w:pPr>
                  <w:r>
                    <w:rPr>
                      <w:rFonts w:hint="eastAsia"/>
                      <w:lang w:val="en-US" w:eastAsia="zh-CN"/>
                    </w:rPr>
                    <w:t>不可预见用水</w:t>
                  </w:r>
                </w:p>
              </w:tc>
              <w:tc>
                <w:tcPr>
                  <w:tcW w:w="1948" w:type="pct"/>
                  <w:gridSpan w:val="3"/>
                  <w:tcBorders>
                    <w:tl2br w:val="nil"/>
                    <w:tr2bl w:val="nil"/>
                  </w:tcBorders>
                  <w:noWrap w:val="0"/>
                  <w:vAlign w:val="center"/>
                </w:tcPr>
                <w:p>
                  <w:pPr>
                    <w:bidi w:val="0"/>
                    <w:spacing w:line="240" w:lineRule="auto"/>
                    <w:jc w:val="center"/>
                    <w:rPr>
                      <w:rFonts w:hint="eastAsia"/>
                      <w:lang w:val="en-US" w:eastAsia="zh-CN"/>
                    </w:rPr>
                  </w:pPr>
                  <w:r>
                    <w:rPr>
                      <w:rFonts w:hint="eastAsia"/>
                      <w:lang w:val="en-US" w:eastAsia="zh-CN"/>
                    </w:rPr>
                    <w:t>小计10%</w:t>
                  </w:r>
                </w:p>
              </w:tc>
              <w:tc>
                <w:tcPr>
                  <w:tcW w:w="802" w:type="pct"/>
                  <w:tcBorders>
                    <w:tl2br w:val="nil"/>
                    <w:tr2bl w:val="nil"/>
                  </w:tcBorders>
                  <w:noWrap w:val="0"/>
                  <w:vAlign w:val="center"/>
                </w:tcPr>
                <w:p>
                  <w:pPr>
                    <w:bidi w:val="0"/>
                    <w:spacing w:line="240" w:lineRule="auto"/>
                    <w:jc w:val="center"/>
                    <w:rPr>
                      <w:rFonts w:hint="default"/>
                      <w:u w:val="single"/>
                      <w:lang w:val="en-US" w:eastAsia="zh-CN"/>
                    </w:rPr>
                  </w:pPr>
                  <w:r>
                    <w:rPr>
                      <w:rFonts w:hint="eastAsia"/>
                      <w:u w:val="single"/>
                      <w:lang w:val="en-US" w:eastAsia="zh-CN"/>
                    </w:rPr>
                    <w:t>7.74</w:t>
                  </w:r>
                </w:p>
              </w:tc>
              <w:tc>
                <w:tcPr>
                  <w:tcW w:w="877" w:type="pct"/>
                  <w:tcBorders>
                    <w:tl2br w:val="nil"/>
                    <w:tr2bl w:val="nil"/>
                  </w:tcBorders>
                  <w:noWrap w:val="0"/>
                  <w:vAlign w:val="center"/>
                </w:tcPr>
                <w:p>
                  <w:pPr>
                    <w:bidi w:val="0"/>
                    <w:spacing w:line="240" w:lineRule="auto"/>
                    <w:jc w:val="center"/>
                    <w:rPr>
                      <w:rFonts w:hint="default"/>
                      <w:u w:val="single"/>
                      <w:lang w:val="en-US" w:eastAsia="zh-CN"/>
                    </w:rPr>
                  </w:pPr>
                  <w:r>
                    <w:rPr>
                      <w:rFonts w:hint="eastAsia"/>
                      <w:u w:val="single"/>
                      <w:lang w:val="en-US" w:eastAsia="zh-CN"/>
                    </w:rPr>
                    <w:t>2825.64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323" w:type="pct"/>
                  <w:tcBorders>
                    <w:tl2br w:val="nil"/>
                    <w:tr2bl w:val="nil"/>
                  </w:tcBorders>
                  <w:noWrap w:val="0"/>
                  <w:vAlign w:val="center"/>
                </w:tcPr>
                <w:p>
                  <w:pPr>
                    <w:bidi w:val="0"/>
                    <w:spacing w:line="240" w:lineRule="auto"/>
                    <w:jc w:val="center"/>
                    <w:rPr>
                      <w:rFonts w:hint="default"/>
                      <w:lang w:val="en-US" w:eastAsia="zh-CN"/>
                    </w:rPr>
                  </w:pPr>
                  <w:r>
                    <w:rPr>
                      <w:rFonts w:hint="eastAsia"/>
                      <w:lang w:val="en-US" w:eastAsia="zh-CN"/>
                    </w:rPr>
                    <w:t>9</w:t>
                  </w:r>
                </w:p>
              </w:tc>
              <w:tc>
                <w:tcPr>
                  <w:tcW w:w="1049" w:type="pct"/>
                  <w:tcBorders>
                    <w:tl2br w:val="nil"/>
                    <w:tr2bl w:val="nil"/>
                  </w:tcBorders>
                  <w:noWrap w:val="0"/>
                  <w:vAlign w:val="center"/>
                </w:tcPr>
                <w:p>
                  <w:pPr>
                    <w:bidi w:val="0"/>
                    <w:spacing w:line="240" w:lineRule="auto"/>
                    <w:jc w:val="center"/>
                    <w:rPr>
                      <w:rFonts w:hint="eastAsia"/>
                      <w:lang w:val="en-US" w:eastAsia="zh-CN"/>
                    </w:rPr>
                  </w:pPr>
                  <w:r>
                    <w:rPr>
                      <w:rFonts w:hint="eastAsia"/>
                      <w:lang w:val="en-US" w:eastAsia="zh-CN"/>
                    </w:rPr>
                    <w:t>合计</w:t>
                  </w:r>
                </w:p>
              </w:tc>
              <w:tc>
                <w:tcPr>
                  <w:tcW w:w="684" w:type="pct"/>
                  <w:tcBorders>
                    <w:tl2br w:val="nil"/>
                    <w:tr2bl w:val="nil"/>
                  </w:tcBorders>
                  <w:noWrap w:val="0"/>
                  <w:vAlign w:val="center"/>
                </w:tcPr>
                <w:p>
                  <w:pPr>
                    <w:bidi w:val="0"/>
                    <w:spacing w:line="240" w:lineRule="auto"/>
                    <w:jc w:val="center"/>
                    <w:rPr>
                      <w:rFonts w:hint="default"/>
                      <w:lang w:val="en-US" w:eastAsia="zh-CN"/>
                    </w:rPr>
                  </w:pPr>
                  <w:r>
                    <w:rPr>
                      <w:rFonts w:hint="eastAsia"/>
                      <w:lang w:val="en-US" w:eastAsia="zh-CN"/>
                    </w:rPr>
                    <w:t>/</w:t>
                  </w:r>
                </w:p>
              </w:tc>
              <w:tc>
                <w:tcPr>
                  <w:tcW w:w="529" w:type="pct"/>
                  <w:tcBorders>
                    <w:tl2br w:val="nil"/>
                    <w:tr2bl w:val="nil"/>
                  </w:tcBorders>
                  <w:noWrap w:val="0"/>
                  <w:vAlign w:val="center"/>
                </w:tcPr>
                <w:p>
                  <w:pPr>
                    <w:bidi w:val="0"/>
                    <w:spacing w:line="240" w:lineRule="auto"/>
                    <w:jc w:val="center"/>
                    <w:rPr>
                      <w:rFonts w:hint="default"/>
                      <w:lang w:val="en-US" w:eastAsia="zh-CN"/>
                    </w:rPr>
                  </w:pPr>
                  <w:r>
                    <w:rPr>
                      <w:rFonts w:hint="eastAsia"/>
                      <w:lang w:val="en-US" w:eastAsia="zh-CN"/>
                    </w:rPr>
                    <w:t>/</w:t>
                  </w:r>
                </w:p>
              </w:tc>
              <w:tc>
                <w:tcPr>
                  <w:tcW w:w="734" w:type="pct"/>
                  <w:tcBorders>
                    <w:tl2br w:val="nil"/>
                    <w:tr2bl w:val="nil"/>
                  </w:tcBorders>
                  <w:noWrap w:val="0"/>
                  <w:vAlign w:val="center"/>
                </w:tcPr>
                <w:p>
                  <w:pPr>
                    <w:bidi w:val="0"/>
                    <w:spacing w:line="240" w:lineRule="auto"/>
                    <w:jc w:val="center"/>
                    <w:rPr>
                      <w:rFonts w:hint="default"/>
                      <w:lang w:val="en-US" w:eastAsia="zh-CN"/>
                    </w:rPr>
                  </w:pPr>
                  <w:r>
                    <w:rPr>
                      <w:rFonts w:hint="eastAsia"/>
                      <w:lang w:val="en-US" w:eastAsia="zh-CN"/>
                    </w:rPr>
                    <w:t>/</w:t>
                  </w:r>
                </w:p>
              </w:tc>
              <w:tc>
                <w:tcPr>
                  <w:tcW w:w="802" w:type="pct"/>
                  <w:tcBorders>
                    <w:tl2br w:val="nil"/>
                    <w:tr2bl w:val="nil"/>
                  </w:tcBorders>
                  <w:noWrap w:val="0"/>
                  <w:vAlign w:val="center"/>
                </w:tcPr>
                <w:p>
                  <w:pPr>
                    <w:bidi w:val="0"/>
                    <w:spacing w:line="240" w:lineRule="auto"/>
                    <w:jc w:val="center"/>
                    <w:rPr>
                      <w:rFonts w:hint="default"/>
                      <w:lang w:val="en-US" w:eastAsia="zh-CN"/>
                    </w:rPr>
                  </w:pPr>
                  <w:r>
                    <w:rPr>
                      <w:rFonts w:hint="eastAsia"/>
                      <w:u w:val="single"/>
                      <w:lang w:val="en-US" w:eastAsia="zh-CN"/>
                    </w:rPr>
                    <w:t>85.15</w:t>
                  </w:r>
                </w:p>
              </w:tc>
              <w:tc>
                <w:tcPr>
                  <w:tcW w:w="877" w:type="pct"/>
                  <w:tcBorders>
                    <w:tl2br w:val="nil"/>
                    <w:tr2bl w:val="nil"/>
                  </w:tcBorders>
                  <w:noWrap w:val="0"/>
                  <w:vAlign w:val="center"/>
                </w:tcPr>
                <w:p>
                  <w:pPr>
                    <w:bidi w:val="0"/>
                    <w:spacing w:line="240" w:lineRule="auto"/>
                    <w:jc w:val="center"/>
                    <w:rPr>
                      <w:rFonts w:hint="default"/>
                      <w:u w:val="single"/>
                      <w:lang w:val="en-US" w:eastAsia="zh-CN"/>
                    </w:rPr>
                  </w:pPr>
                  <w:r>
                    <w:rPr>
                      <w:rFonts w:hint="eastAsia"/>
                      <w:u w:val="single"/>
                      <w:lang w:val="en-US" w:eastAsia="zh-CN"/>
                    </w:rPr>
                    <w:t>31082.07</w:t>
                  </w:r>
                </w:p>
              </w:tc>
            </w:tr>
          </w:tbl>
          <w:p>
            <w:pPr>
              <w:bidi w:val="0"/>
              <w:spacing w:line="360" w:lineRule="auto"/>
              <w:rPr>
                <w:rFonts w:hint="eastAsia"/>
                <w:sz w:val="24"/>
                <w:szCs w:val="24"/>
              </w:rPr>
            </w:pPr>
            <w:r>
              <w:rPr>
                <w:rFonts w:hint="eastAsia"/>
                <w:sz w:val="24"/>
                <w:szCs w:val="24"/>
              </w:rPr>
              <w:t>（2）排水</w:t>
            </w:r>
          </w:p>
          <w:p>
            <w:pPr>
              <w:bidi w:val="0"/>
              <w:spacing w:line="360" w:lineRule="auto"/>
              <w:ind w:firstLine="480" w:firstLineChars="200"/>
              <w:rPr>
                <w:rFonts w:hint="eastAsia"/>
                <w:sz w:val="24"/>
                <w:szCs w:val="24"/>
              </w:rPr>
            </w:pPr>
            <w:r>
              <w:rPr>
                <w:rFonts w:hint="eastAsia"/>
                <w:sz w:val="24"/>
                <w:szCs w:val="24"/>
              </w:rPr>
              <w:t>本项目排水采用雨污分流制，屋面雨水、室外场地雨水经管道、沟渠收集后排入雨水沟，地下车库冲洗废水排至集水坑，再</w:t>
            </w:r>
            <w:r>
              <w:rPr>
                <w:rFonts w:hint="eastAsia"/>
                <w:sz w:val="24"/>
                <w:szCs w:val="24"/>
                <w:lang w:eastAsia="zh-CN"/>
              </w:rPr>
              <w:t>采用</w:t>
            </w:r>
            <w:r>
              <w:rPr>
                <w:rFonts w:hint="eastAsia"/>
                <w:sz w:val="24"/>
                <w:szCs w:val="24"/>
              </w:rPr>
              <w:t>潜水泵提升排至室外雨水管道。项目设置污水处理站一座，医疗废水</w:t>
            </w:r>
            <w:r>
              <w:rPr>
                <w:rFonts w:hint="eastAsia"/>
                <w:sz w:val="24"/>
                <w:szCs w:val="24"/>
                <w:lang w:val="en-US" w:eastAsia="zh-CN"/>
              </w:rPr>
              <w:t>依托妇幼保健院</w:t>
            </w:r>
            <w:r>
              <w:rPr>
                <w:rFonts w:hint="eastAsia"/>
                <w:sz w:val="24"/>
                <w:szCs w:val="24"/>
              </w:rPr>
              <w:t>的污水处理站处理达到《医疗机构水污染物排放标准》（GB18466-2005）表2预处理标准后，经西侧市政污水管网，最终进入湘阴县第二污水处理厂。</w:t>
            </w:r>
          </w:p>
          <w:p>
            <w:pPr>
              <w:bidi w:val="0"/>
              <w:spacing w:line="360" w:lineRule="auto"/>
              <w:ind w:firstLine="480" w:firstLineChars="200"/>
              <w:rPr>
                <w:rFonts w:hint="eastAsia"/>
                <w:sz w:val="24"/>
                <w:szCs w:val="24"/>
                <w:u w:val="single"/>
              </w:rPr>
            </w:pPr>
            <w:r>
              <w:rPr>
                <w:rFonts w:hint="eastAsia"/>
                <w:sz w:val="24"/>
                <w:szCs w:val="24"/>
                <w:u w:val="single"/>
                <w:lang w:val="en-US" w:eastAsia="zh-CN"/>
              </w:rPr>
              <w:t>运营期的废水包括医护人员废水、病房废水、产床陪护人员废水、婴儿废水。</w:t>
            </w:r>
            <w:r>
              <w:rPr>
                <w:rFonts w:hint="eastAsia"/>
                <w:sz w:val="24"/>
                <w:szCs w:val="24"/>
                <w:u w:val="single"/>
              </w:rPr>
              <w:t>本项目废水总排放量为</w:t>
            </w:r>
            <w:r>
              <w:rPr>
                <w:rFonts w:hint="eastAsia"/>
                <w:sz w:val="24"/>
                <w:szCs w:val="24"/>
                <w:u w:val="single"/>
                <w:lang w:val="en-US" w:eastAsia="zh-CN"/>
              </w:rPr>
              <w:t>55.44</w:t>
            </w:r>
            <w:r>
              <w:rPr>
                <w:rFonts w:hint="eastAsia"/>
                <w:sz w:val="24"/>
                <w:szCs w:val="24"/>
                <w:u w:val="single"/>
              </w:rPr>
              <w:t>m</w:t>
            </w:r>
            <w:r>
              <w:rPr>
                <w:rFonts w:hint="eastAsia"/>
                <w:sz w:val="24"/>
                <w:szCs w:val="24"/>
                <w:u w:val="single"/>
                <w:vertAlign w:val="superscript"/>
              </w:rPr>
              <w:t>3</w:t>
            </w:r>
            <w:r>
              <w:rPr>
                <w:rFonts w:hint="eastAsia"/>
                <w:sz w:val="24"/>
                <w:szCs w:val="24"/>
                <w:u w:val="single"/>
              </w:rPr>
              <w:t>/d（</w:t>
            </w:r>
            <w:r>
              <w:rPr>
                <w:rFonts w:hint="eastAsia"/>
                <w:sz w:val="24"/>
                <w:szCs w:val="24"/>
                <w:u w:val="single"/>
                <w:lang w:val="en-US" w:eastAsia="zh-CN"/>
              </w:rPr>
              <w:t>20235.6</w:t>
            </w:r>
            <w:r>
              <w:rPr>
                <w:rFonts w:hint="eastAsia"/>
                <w:sz w:val="24"/>
                <w:szCs w:val="24"/>
                <w:u w:val="single"/>
              </w:rPr>
              <w:t>m</w:t>
            </w:r>
            <w:r>
              <w:rPr>
                <w:rFonts w:hint="eastAsia"/>
                <w:sz w:val="24"/>
                <w:szCs w:val="24"/>
                <w:u w:val="single"/>
                <w:vertAlign w:val="superscript"/>
              </w:rPr>
              <w:t>3</w:t>
            </w:r>
            <w:r>
              <w:rPr>
                <w:rFonts w:hint="eastAsia"/>
                <w:sz w:val="24"/>
                <w:szCs w:val="24"/>
                <w:u w:val="single"/>
              </w:rPr>
              <w:t>/a）。具体详见下表。</w:t>
            </w:r>
          </w:p>
          <w:p>
            <w:pPr>
              <w:widowControl/>
              <w:jc w:val="center"/>
              <w:rPr>
                <w:b/>
                <w:bCs/>
              </w:rPr>
            </w:pPr>
            <w:r>
              <w:rPr>
                <w:b/>
                <w:bCs/>
              </w:rPr>
              <w:t>表</w:t>
            </w:r>
            <w:r>
              <w:rPr>
                <w:rFonts w:hint="eastAsia"/>
                <w:b/>
                <w:bCs/>
                <w:lang w:val="en-US" w:eastAsia="zh-CN"/>
              </w:rPr>
              <w:t xml:space="preserve"> </w:t>
            </w:r>
            <w:r>
              <w:rPr>
                <w:rFonts w:hint="eastAsia"/>
                <w:b/>
                <w:bCs/>
              </w:rPr>
              <w:t xml:space="preserve">2-6 </w:t>
            </w:r>
            <w:r>
              <w:rPr>
                <w:b/>
                <w:bCs/>
              </w:rPr>
              <w:t>项目</w:t>
            </w:r>
            <w:r>
              <w:rPr>
                <w:rFonts w:hint="eastAsia"/>
                <w:b/>
                <w:bCs/>
              </w:rPr>
              <w:t>废水</w:t>
            </w:r>
            <w:r>
              <w:rPr>
                <w:b/>
                <w:bCs/>
              </w:rPr>
              <w:t>排放量统计表</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16"/>
              <w:gridCol w:w="2521"/>
              <w:gridCol w:w="1768"/>
              <w:gridCol w:w="1747"/>
              <w:gridCol w:w="173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67" w:type="pct"/>
                  <w:noWrap w:val="0"/>
                  <w:vAlign w:val="center"/>
                </w:tcPr>
                <w:p>
                  <w:pPr>
                    <w:widowControl/>
                    <w:jc w:val="center"/>
                  </w:pPr>
                  <w:r>
                    <w:t>序号</w:t>
                  </w:r>
                </w:p>
              </w:tc>
              <w:tc>
                <w:tcPr>
                  <w:tcW w:w="1502" w:type="pct"/>
                  <w:noWrap w:val="0"/>
                  <w:vAlign w:val="center"/>
                </w:tcPr>
                <w:p>
                  <w:pPr>
                    <w:widowControl/>
                    <w:jc w:val="center"/>
                  </w:pPr>
                  <w:r>
                    <w:t>用水项目名称</w:t>
                  </w:r>
                </w:p>
              </w:tc>
              <w:tc>
                <w:tcPr>
                  <w:tcW w:w="1053" w:type="pct"/>
                  <w:noWrap w:val="0"/>
                  <w:vAlign w:val="center"/>
                </w:tcPr>
                <w:p>
                  <w:pPr>
                    <w:widowControl/>
                    <w:jc w:val="center"/>
                  </w:pPr>
                  <w:r>
                    <w:t>日用水量m</w:t>
                  </w:r>
                  <w:r>
                    <w:rPr>
                      <w:vertAlign w:val="superscript"/>
                    </w:rPr>
                    <w:t>3</w:t>
                  </w:r>
                  <w:r>
                    <w:t>/d</w:t>
                  </w:r>
                </w:p>
              </w:tc>
              <w:tc>
                <w:tcPr>
                  <w:tcW w:w="1041" w:type="pct"/>
                  <w:noWrap w:val="0"/>
                  <w:vAlign w:val="center"/>
                </w:tcPr>
                <w:p>
                  <w:pPr>
                    <w:widowControl/>
                    <w:jc w:val="center"/>
                  </w:pPr>
                  <w:r>
                    <w:t>日排水量m</w:t>
                  </w:r>
                  <w:r>
                    <w:rPr>
                      <w:vertAlign w:val="superscript"/>
                    </w:rPr>
                    <w:t>3</w:t>
                  </w:r>
                  <w:r>
                    <w:t>/d</w:t>
                  </w:r>
                </w:p>
              </w:tc>
              <w:tc>
                <w:tcPr>
                  <w:tcW w:w="1036" w:type="pct"/>
                  <w:noWrap w:val="0"/>
                  <w:vAlign w:val="center"/>
                </w:tcPr>
                <w:p>
                  <w:pPr>
                    <w:widowControl/>
                    <w:jc w:val="center"/>
                  </w:pPr>
                  <w:r>
                    <w:t>年排水量m</w:t>
                  </w:r>
                  <w:r>
                    <w:rPr>
                      <w:vertAlign w:val="superscript"/>
                    </w:rPr>
                    <w:t>3</w:t>
                  </w:r>
                  <w:r>
                    <w: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67" w:type="pct"/>
                  <w:noWrap w:val="0"/>
                  <w:vAlign w:val="center"/>
                </w:tcPr>
                <w:p>
                  <w:pPr>
                    <w:widowControl/>
                    <w:jc w:val="center"/>
                  </w:pPr>
                  <w:r>
                    <w:t>1</w:t>
                  </w:r>
                </w:p>
              </w:tc>
              <w:tc>
                <w:tcPr>
                  <w:tcW w:w="1502" w:type="pct"/>
                  <w:noWrap w:val="0"/>
                  <w:vAlign w:val="center"/>
                </w:tcPr>
                <w:p>
                  <w:pPr>
                    <w:bidi w:val="0"/>
                    <w:jc w:val="center"/>
                  </w:pPr>
                  <w:r>
                    <w:rPr>
                      <w:rFonts w:hint="eastAsia"/>
                      <w:lang w:val="en-US" w:eastAsia="zh-CN"/>
                    </w:rPr>
                    <w:t>医护人员</w:t>
                  </w:r>
                </w:p>
              </w:tc>
              <w:tc>
                <w:tcPr>
                  <w:tcW w:w="1725" w:type="dxa"/>
                  <w:noWrap w:val="0"/>
                  <w:vAlign w:val="center"/>
                </w:tcPr>
                <w:p>
                  <w:pPr>
                    <w:bidi w:val="0"/>
                    <w:spacing w:line="240" w:lineRule="auto"/>
                    <w:jc w:val="center"/>
                    <w:rPr>
                      <w:rFonts w:hint="default"/>
                      <w:lang w:val="en-US"/>
                    </w:rPr>
                  </w:pPr>
                  <w:r>
                    <w:rPr>
                      <w:rFonts w:hint="eastAsia"/>
                      <w:lang w:val="en-US" w:eastAsia="zh-CN"/>
                    </w:rPr>
                    <w:t>44.0</w:t>
                  </w:r>
                </w:p>
              </w:tc>
              <w:tc>
                <w:tcPr>
                  <w:tcW w:w="1041" w:type="pct"/>
                  <w:noWrap w:val="0"/>
                  <w:vAlign w:val="center"/>
                </w:tcPr>
                <w:p>
                  <w:pPr>
                    <w:jc w:val="center"/>
                    <w:rPr>
                      <w:rFonts w:hint="default"/>
                      <w:lang w:val="en-US" w:eastAsia="zh-CN"/>
                    </w:rPr>
                  </w:pPr>
                  <w:r>
                    <w:rPr>
                      <w:rFonts w:hint="eastAsia"/>
                      <w:lang w:val="en-US" w:eastAsia="zh-CN"/>
                    </w:rPr>
                    <w:t>35.2</w:t>
                  </w:r>
                </w:p>
              </w:tc>
              <w:tc>
                <w:tcPr>
                  <w:tcW w:w="1036" w:type="pct"/>
                  <w:noWrap w:val="0"/>
                  <w:vAlign w:val="center"/>
                </w:tcPr>
                <w:p>
                  <w:pPr>
                    <w:jc w:val="center"/>
                    <w:rPr>
                      <w:rFonts w:hint="default"/>
                      <w:lang w:val="en-US" w:eastAsia="zh-CN"/>
                    </w:rPr>
                  </w:pPr>
                  <w:r>
                    <w:rPr>
                      <w:rFonts w:hint="eastAsia"/>
                      <w:lang w:val="en-US" w:eastAsia="zh-CN"/>
                    </w:rPr>
                    <w:t>12848.0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367" w:type="pct"/>
                  <w:noWrap w:val="0"/>
                  <w:vAlign w:val="center"/>
                </w:tcPr>
                <w:p>
                  <w:pPr>
                    <w:widowControl/>
                    <w:jc w:val="center"/>
                    <w:rPr>
                      <w:rFonts w:hint="eastAsia"/>
                    </w:rPr>
                  </w:pPr>
                  <w:r>
                    <w:rPr>
                      <w:rFonts w:hint="eastAsia"/>
                    </w:rPr>
                    <w:t>2</w:t>
                  </w:r>
                </w:p>
              </w:tc>
              <w:tc>
                <w:tcPr>
                  <w:tcW w:w="1502" w:type="pct"/>
                  <w:noWrap w:val="0"/>
                  <w:vAlign w:val="center"/>
                </w:tcPr>
                <w:p>
                  <w:pPr>
                    <w:bidi w:val="0"/>
                    <w:jc w:val="center"/>
                    <w:rPr>
                      <w:rFonts w:hint="eastAsia"/>
                    </w:rPr>
                  </w:pPr>
                  <w:r>
                    <w:rPr>
                      <w:rFonts w:hint="eastAsia"/>
                      <w:lang w:val="en-US" w:eastAsia="zh-CN"/>
                    </w:rPr>
                    <w:t>产妇</w:t>
                  </w:r>
                </w:p>
              </w:tc>
              <w:tc>
                <w:tcPr>
                  <w:tcW w:w="1725" w:type="dxa"/>
                  <w:noWrap w:val="0"/>
                  <w:vAlign w:val="center"/>
                </w:tcPr>
                <w:p>
                  <w:pPr>
                    <w:bidi w:val="0"/>
                    <w:spacing w:line="240" w:lineRule="auto"/>
                    <w:jc w:val="center"/>
                    <w:rPr>
                      <w:rFonts w:hint="eastAsia"/>
                    </w:rPr>
                  </w:pPr>
                  <w:r>
                    <w:rPr>
                      <w:rFonts w:hint="eastAsia"/>
                      <w:lang w:val="en-US" w:eastAsia="zh-CN"/>
                    </w:rPr>
                    <w:t>10.35</w:t>
                  </w:r>
                </w:p>
              </w:tc>
              <w:tc>
                <w:tcPr>
                  <w:tcW w:w="1041" w:type="pct"/>
                  <w:noWrap w:val="0"/>
                  <w:vAlign w:val="center"/>
                </w:tcPr>
                <w:p>
                  <w:pPr>
                    <w:widowControl/>
                    <w:jc w:val="center"/>
                    <w:rPr>
                      <w:rFonts w:hint="default"/>
                      <w:lang w:val="en-US" w:eastAsia="zh-CN"/>
                    </w:rPr>
                  </w:pPr>
                  <w:r>
                    <w:rPr>
                      <w:rFonts w:hint="eastAsia"/>
                      <w:lang w:val="en-US" w:eastAsia="zh-CN"/>
                    </w:rPr>
                    <w:t>8.28</w:t>
                  </w:r>
                </w:p>
              </w:tc>
              <w:tc>
                <w:tcPr>
                  <w:tcW w:w="1036" w:type="pct"/>
                  <w:noWrap w:val="0"/>
                  <w:vAlign w:val="center"/>
                </w:tcPr>
                <w:p>
                  <w:pPr>
                    <w:widowControl/>
                    <w:jc w:val="center"/>
                    <w:rPr>
                      <w:rFonts w:hint="default"/>
                      <w:lang w:val="en-US" w:eastAsia="zh-CN"/>
                    </w:rPr>
                  </w:pPr>
                  <w:r>
                    <w:rPr>
                      <w:rFonts w:hint="eastAsia"/>
                      <w:lang w:val="en-US" w:eastAsia="zh-CN"/>
                    </w:rPr>
                    <w:t>3022.2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3" w:hRule="atLeast"/>
              </w:trPr>
              <w:tc>
                <w:tcPr>
                  <w:tcW w:w="367" w:type="pct"/>
                  <w:noWrap w:val="0"/>
                  <w:vAlign w:val="center"/>
                </w:tcPr>
                <w:p>
                  <w:pPr>
                    <w:widowControl/>
                    <w:jc w:val="center"/>
                    <w:rPr>
                      <w:rFonts w:hint="eastAsia"/>
                    </w:rPr>
                  </w:pPr>
                  <w:r>
                    <w:rPr>
                      <w:rFonts w:hint="eastAsia"/>
                    </w:rPr>
                    <w:t>3</w:t>
                  </w:r>
                </w:p>
              </w:tc>
              <w:tc>
                <w:tcPr>
                  <w:tcW w:w="1502" w:type="pct"/>
                  <w:noWrap w:val="0"/>
                  <w:vAlign w:val="center"/>
                </w:tcPr>
                <w:p>
                  <w:pPr>
                    <w:bidi w:val="0"/>
                    <w:jc w:val="center"/>
                    <w:rPr>
                      <w:rFonts w:hint="eastAsia"/>
                    </w:rPr>
                  </w:pPr>
                  <w:r>
                    <w:rPr>
                      <w:rFonts w:hint="eastAsia"/>
                      <w:lang w:val="en-US" w:eastAsia="zh-CN"/>
                    </w:rPr>
                    <w:t>陪护人员</w:t>
                  </w:r>
                </w:p>
              </w:tc>
              <w:tc>
                <w:tcPr>
                  <w:tcW w:w="1725" w:type="dxa"/>
                  <w:noWrap w:val="0"/>
                  <w:vAlign w:val="center"/>
                </w:tcPr>
                <w:p>
                  <w:pPr>
                    <w:bidi w:val="0"/>
                    <w:spacing w:line="240" w:lineRule="auto"/>
                    <w:jc w:val="center"/>
                    <w:rPr>
                      <w:rFonts w:hint="default"/>
                      <w:lang w:val="en-US"/>
                    </w:rPr>
                  </w:pPr>
                  <w:r>
                    <w:rPr>
                      <w:rFonts w:hint="eastAsia"/>
                      <w:lang w:val="en-US" w:eastAsia="zh-CN"/>
                    </w:rPr>
                    <w:t>4.60</w:t>
                  </w:r>
                </w:p>
              </w:tc>
              <w:tc>
                <w:tcPr>
                  <w:tcW w:w="1041" w:type="pct"/>
                  <w:noWrap w:val="0"/>
                  <w:vAlign w:val="center"/>
                </w:tcPr>
                <w:p>
                  <w:pPr>
                    <w:jc w:val="center"/>
                    <w:rPr>
                      <w:rFonts w:hint="default"/>
                      <w:lang w:val="en-US" w:eastAsia="zh-CN"/>
                    </w:rPr>
                  </w:pPr>
                  <w:r>
                    <w:rPr>
                      <w:rFonts w:hint="eastAsia"/>
                      <w:lang w:val="en-US" w:eastAsia="zh-CN"/>
                    </w:rPr>
                    <w:t>3.68</w:t>
                  </w:r>
                </w:p>
              </w:tc>
              <w:tc>
                <w:tcPr>
                  <w:tcW w:w="1036" w:type="pct"/>
                  <w:noWrap w:val="0"/>
                  <w:vAlign w:val="center"/>
                </w:tcPr>
                <w:p>
                  <w:pPr>
                    <w:jc w:val="center"/>
                    <w:rPr>
                      <w:rFonts w:hint="default"/>
                      <w:lang w:val="en-US" w:eastAsia="zh-CN"/>
                    </w:rPr>
                  </w:pPr>
                  <w:r>
                    <w:rPr>
                      <w:rFonts w:hint="eastAsia"/>
                      <w:lang w:val="en-US" w:eastAsia="zh-CN"/>
                    </w:rPr>
                    <w:t>1343.2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3" w:hRule="atLeast"/>
              </w:trPr>
              <w:tc>
                <w:tcPr>
                  <w:tcW w:w="367" w:type="pct"/>
                  <w:noWrap w:val="0"/>
                  <w:vAlign w:val="center"/>
                </w:tcPr>
                <w:p>
                  <w:pPr>
                    <w:widowControl/>
                    <w:jc w:val="center"/>
                    <w:rPr>
                      <w:rFonts w:hint="eastAsia"/>
                    </w:rPr>
                  </w:pPr>
                  <w:r>
                    <w:rPr>
                      <w:rFonts w:hint="eastAsia"/>
                    </w:rPr>
                    <w:t>4</w:t>
                  </w:r>
                </w:p>
              </w:tc>
              <w:tc>
                <w:tcPr>
                  <w:tcW w:w="1502" w:type="pct"/>
                  <w:noWrap w:val="0"/>
                  <w:vAlign w:val="center"/>
                </w:tcPr>
                <w:p>
                  <w:pPr>
                    <w:bidi w:val="0"/>
                    <w:jc w:val="center"/>
                  </w:pPr>
                  <w:r>
                    <w:rPr>
                      <w:rFonts w:hint="eastAsia"/>
                      <w:lang w:val="en-US" w:eastAsia="zh-CN"/>
                    </w:rPr>
                    <w:t>道路与广场用水</w:t>
                  </w:r>
                </w:p>
              </w:tc>
              <w:tc>
                <w:tcPr>
                  <w:tcW w:w="1725" w:type="dxa"/>
                  <w:noWrap w:val="0"/>
                  <w:vAlign w:val="center"/>
                </w:tcPr>
                <w:p>
                  <w:pPr>
                    <w:bidi w:val="0"/>
                    <w:spacing w:line="240" w:lineRule="auto"/>
                    <w:jc w:val="center"/>
                    <w:rPr>
                      <w:rFonts w:hint="eastAsia"/>
                    </w:rPr>
                  </w:pPr>
                  <w:r>
                    <w:rPr>
                      <w:rFonts w:hint="eastAsia"/>
                      <w:lang w:val="en-US" w:eastAsia="zh-CN"/>
                    </w:rPr>
                    <w:t>3.29</w:t>
                  </w:r>
                </w:p>
              </w:tc>
              <w:tc>
                <w:tcPr>
                  <w:tcW w:w="1041" w:type="pct"/>
                  <w:noWrap w:val="0"/>
                  <w:vAlign w:val="center"/>
                </w:tcPr>
                <w:p>
                  <w:pPr>
                    <w:jc w:val="center"/>
                    <w:rPr>
                      <w:rFonts w:hint="eastAsia"/>
                      <w:lang w:val="en-US" w:eastAsia="zh-CN"/>
                    </w:rPr>
                  </w:pPr>
                  <w:r>
                    <w:rPr>
                      <w:rFonts w:hint="eastAsia"/>
                      <w:lang w:val="en-US" w:eastAsia="zh-CN"/>
                    </w:rPr>
                    <w:t>/</w:t>
                  </w:r>
                </w:p>
              </w:tc>
              <w:tc>
                <w:tcPr>
                  <w:tcW w:w="1036" w:type="pct"/>
                  <w:noWrap w:val="0"/>
                  <w:vAlign w:val="center"/>
                </w:tcPr>
                <w:p>
                  <w:pPr>
                    <w:jc w:val="center"/>
                    <w:rPr>
                      <w:rFonts w:hint="eastAsia"/>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67" w:type="pct"/>
                  <w:noWrap w:val="0"/>
                  <w:vAlign w:val="center"/>
                </w:tcPr>
                <w:p>
                  <w:pPr>
                    <w:widowControl/>
                    <w:jc w:val="center"/>
                    <w:rPr>
                      <w:rFonts w:hint="eastAsia"/>
                    </w:rPr>
                  </w:pPr>
                  <w:r>
                    <w:rPr>
                      <w:rFonts w:hint="eastAsia"/>
                    </w:rPr>
                    <w:t>5</w:t>
                  </w:r>
                </w:p>
              </w:tc>
              <w:tc>
                <w:tcPr>
                  <w:tcW w:w="1502" w:type="pct"/>
                  <w:noWrap w:val="0"/>
                  <w:vAlign w:val="center"/>
                </w:tcPr>
                <w:p>
                  <w:pPr>
                    <w:bidi w:val="0"/>
                    <w:jc w:val="center"/>
                  </w:pPr>
                  <w:r>
                    <w:rPr>
                      <w:rFonts w:hint="eastAsia"/>
                      <w:lang w:val="en-US" w:eastAsia="zh-CN"/>
                    </w:rPr>
                    <w:t>绿化洒水</w:t>
                  </w:r>
                </w:p>
              </w:tc>
              <w:tc>
                <w:tcPr>
                  <w:tcW w:w="1725" w:type="dxa"/>
                  <w:noWrap w:val="0"/>
                  <w:vAlign w:val="center"/>
                </w:tcPr>
                <w:p>
                  <w:pPr>
                    <w:bidi w:val="0"/>
                    <w:spacing w:line="240" w:lineRule="auto"/>
                    <w:jc w:val="center"/>
                  </w:pPr>
                  <w:r>
                    <w:rPr>
                      <w:rFonts w:hint="eastAsia"/>
                      <w:lang w:val="en-US" w:eastAsia="zh-CN"/>
                    </w:rPr>
                    <w:t>4.82</w:t>
                  </w:r>
                </w:p>
              </w:tc>
              <w:tc>
                <w:tcPr>
                  <w:tcW w:w="1041" w:type="pct"/>
                  <w:noWrap w:val="0"/>
                  <w:vAlign w:val="center"/>
                </w:tcPr>
                <w:p>
                  <w:pPr>
                    <w:jc w:val="center"/>
                    <w:rPr>
                      <w:rFonts w:hint="eastAsia"/>
                      <w:lang w:val="en-US" w:eastAsia="zh-CN"/>
                    </w:rPr>
                  </w:pPr>
                  <w:r>
                    <w:rPr>
                      <w:rFonts w:hint="eastAsia"/>
                      <w:lang w:val="en-US" w:eastAsia="zh-CN"/>
                    </w:rPr>
                    <w:t>/</w:t>
                  </w:r>
                </w:p>
              </w:tc>
              <w:tc>
                <w:tcPr>
                  <w:tcW w:w="1036" w:type="pct"/>
                  <w:noWrap w:val="0"/>
                  <w:vAlign w:val="center"/>
                </w:tcPr>
                <w:p>
                  <w:pPr>
                    <w:jc w:val="center"/>
                    <w:rPr>
                      <w:rFonts w:hint="eastAsia"/>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16" w:type="dxa"/>
                  <w:noWrap w:val="0"/>
                  <w:vAlign w:val="center"/>
                </w:tcPr>
                <w:p>
                  <w:pPr>
                    <w:widowControl/>
                    <w:jc w:val="center"/>
                    <w:rPr>
                      <w:rFonts w:hint="eastAsia"/>
                      <w:u w:val="single"/>
                    </w:rPr>
                  </w:pPr>
                  <w:r>
                    <w:rPr>
                      <w:rFonts w:hint="eastAsia"/>
                      <w:u w:val="single"/>
                      <w:lang w:val="en-US" w:eastAsia="zh-CN"/>
                    </w:rPr>
                    <w:t>6</w:t>
                  </w:r>
                </w:p>
              </w:tc>
              <w:tc>
                <w:tcPr>
                  <w:tcW w:w="1502" w:type="pct"/>
                  <w:noWrap w:val="0"/>
                  <w:vAlign w:val="center"/>
                </w:tcPr>
                <w:p>
                  <w:pPr>
                    <w:bidi w:val="0"/>
                    <w:jc w:val="center"/>
                    <w:rPr>
                      <w:rFonts w:hint="default"/>
                      <w:u w:val="single"/>
                      <w:lang w:val="en-US" w:eastAsia="zh-CN"/>
                    </w:rPr>
                  </w:pPr>
                  <w:r>
                    <w:rPr>
                      <w:rFonts w:hint="eastAsia"/>
                      <w:u w:val="single"/>
                      <w:lang w:val="en-US" w:eastAsia="zh-CN"/>
                    </w:rPr>
                    <w:t>婴儿</w:t>
                  </w:r>
                </w:p>
              </w:tc>
              <w:tc>
                <w:tcPr>
                  <w:tcW w:w="1725" w:type="dxa"/>
                  <w:noWrap w:val="0"/>
                  <w:vAlign w:val="center"/>
                </w:tcPr>
                <w:p>
                  <w:pPr>
                    <w:bidi w:val="0"/>
                    <w:spacing w:line="240" w:lineRule="auto"/>
                    <w:jc w:val="center"/>
                    <w:rPr>
                      <w:rFonts w:hint="eastAsia"/>
                      <w:u w:val="single"/>
                      <w:lang w:val="en-US" w:eastAsia="zh-CN"/>
                    </w:rPr>
                  </w:pPr>
                  <w:r>
                    <w:rPr>
                      <w:rFonts w:hint="eastAsia"/>
                      <w:u w:val="single"/>
                      <w:lang w:val="en-US" w:eastAsia="zh-CN"/>
                    </w:rPr>
                    <w:t>10.35</w:t>
                  </w:r>
                </w:p>
              </w:tc>
              <w:tc>
                <w:tcPr>
                  <w:tcW w:w="1747" w:type="dxa"/>
                  <w:noWrap w:val="0"/>
                  <w:vAlign w:val="center"/>
                </w:tcPr>
                <w:p>
                  <w:pPr>
                    <w:widowControl/>
                    <w:jc w:val="center"/>
                    <w:rPr>
                      <w:rFonts w:hint="eastAsia"/>
                      <w:u w:val="single"/>
                      <w:lang w:val="en-US" w:eastAsia="zh-CN"/>
                    </w:rPr>
                  </w:pPr>
                  <w:r>
                    <w:rPr>
                      <w:rFonts w:hint="eastAsia"/>
                      <w:u w:val="single"/>
                      <w:lang w:val="en-US" w:eastAsia="zh-CN"/>
                    </w:rPr>
                    <w:t>8.28</w:t>
                  </w:r>
                </w:p>
              </w:tc>
              <w:tc>
                <w:tcPr>
                  <w:tcW w:w="1739" w:type="dxa"/>
                  <w:noWrap w:val="0"/>
                  <w:vAlign w:val="center"/>
                </w:tcPr>
                <w:p>
                  <w:pPr>
                    <w:widowControl/>
                    <w:jc w:val="center"/>
                    <w:rPr>
                      <w:rFonts w:hint="eastAsia"/>
                      <w:u w:val="single"/>
                      <w:lang w:val="en-US" w:eastAsia="zh-CN"/>
                    </w:rPr>
                  </w:pPr>
                  <w:r>
                    <w:rPr>
                      <w:rFonts w:hint="eastAsia"/>
                      <w:u w:val="single"/>
                      <w:lang w:val="en-US" w:eastAsia="zh-CN"/>
                    </w:rPr>
                    <w:t>3022.2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16" w:type="dxa"/>
                  <w:noWrap w:val="0"/>
                  <w:vAlign w:val="center"/>
                </w:tcPr>
                <w:p>
                  <w:pPr>
                    <w:widowControl/>
                    <w:jc w:val="center"/>
                    <w:rPr>
                      <w:rFonts w:hint="eastAsia"/>
                      <w:u w:val="single"/>
                      <w:lang w:val="en-US" w:eastAsia="zh-CN"/>
                    </w:rPr>
                  </w:pPr>
                  <w:r>
                    <w:rPr>
                      <w:rFonts w:hint="eastAsia"/>
                      <w:u w:val="single"/>
                      <w:lang w:val="en-US" w:eastAsia="zh-CN"/>
                    </w:rPr>
                    <w:t>7</w:t>
                  </w:r>
                </w:p>
              </w:tc>
              <w:tc>
                <w:tcPr>
                  <w:tcW w:w="1502" w:type="pct"/>
                  <w:noWrap w:val="0"/>
                  <w:vAlign w:val="center"/>
                </w:tcPr>
                <w:p>
                  <w:pPr>
                    <w:bidi w:val="0"/>
                    <w:jc w:val="center"/>
                    <w:rPr>
                      <w:rFonts w:hint="eastAsia"/>
                      <w:u w:val="single"/>
                    </w:rPr>
                  </w:pPr>
                  <w:r>
                    <w:rPr>
                      <w:rFonts w:hint="eastAsia"/>
                      <w:u w:val="single"/>
                      <w:lang w:val="en-US" w:eastAsia="zh-CN"/>
                    </w:rPr>
                    <w:t>小计</w:t>
                  </w:r>
                </w:p>
              </w:tc>
              <w:tc>
                <w:tcPr>
                  <w:tcW w:w="1725" w:type="dxa"/>
                  <w:noWrap w:val="0"/>
                  <w:vAlign w:val="center"/>
                </w:tcPr>
                <w:p>
                  <w:pPr>
                    <w:bidi w:val="0"/>
                    <w:spacing w:line="240" w:lineRule="auto"/>
                    <w:jc w:val="center"/>
                    <w:rPr>
                      <w:rFonts w:hint="default"/>
                      <w:u w:val="single"/>
                      <w:lang w:val="en-US" w:eastAsia="zh-CN"/>
                    </w:rPr>
                  </w:pPr>
                  <w:r>
                    <w:rPr>
                      <w:rFonts w:hint="eastAsia"/>
                      <w:u w:val="single"/>
                      <w:lang w:val="en-US" w:eastAsia="zh-CN"/>
                    </w:rPr>
                    <w:t>77.41</w:t>
                  </w:r>
                </w:p>
              </w:tc>
              <w:tc>
                <w:tcPr>
                  <w:tcW w:w="1041" w:type="pct"/>
                  <w:noWrap w:val="0"/>
                  <w:vAlign w:val="center"/>
                </w:tcPr>
                <w:p>
                  <w:pPr>
                    <w:jc w:val="center"/>
                    <w:rPr>
                      <w:rFonts w:hint="default"/>
                      <w:u w:val="single"/>
                      <w:lang w:val="en-US" w:eastAsia="zh-CN"/>
                    </w:rPr>
                  </w:pPr>
                  <w:r>
                    <w:rPr>
                      <w:rFonts w:hint="eastAsia"/>
                      <w:u w:val="single"/>
                      <w:lang w:val="en-US" w:eastAsia="zh-CN"/>
                    </w:rPr>
                    <w:t>55.44</w:t>
                  </w:r>
                </w:p>
              </w:tc>
              <w:tc>
                <w:tcPr>
                  <w:tcW w:w="1036" w:type="pct"/>
                  <w:noWrap w:val="0"/>
                  <w:vAlign w:val="center"/>
                </w:tcPr>
                <w:p>
                  <w:pPr>
                    <w:jc w:val="center"/>
                    <w:rPr>
                      <w:rFonts w:hint="default"/>
                      <w:u w:val="single"/>
                      <w:lang w:val="en-US" w:eastAsia="zh-CN"/>
                    </w:rPr>
                  </w:pPr>
                  <w:r>
                    <w:rPr>
                      <w:rFonts w:hint="eastAsia"/>
                      <w:u w:val="single"/>
                      <w:lang w:val="en-US" w:eastAsia="zh-CN"/>
                    </w:rPr>
                    <w:t>20235.6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16" w:type="dxa"/>
                  <w:noWrap w:val="0"/>
                  <w:vAlign w:val="center"/>
                </w:tcPr>
                <w:p>
                  <w:pPr>
                    <w:widowControl/>
                    <w:jc w:val="center"/>
                    <w:rPr>
                      <w:rFonts w:hint="default"/>
                      <w:u w:val="single"/>
                      <w:lang w:val="en-US" w:eastAsia="zh-CN"/>
                    </w:rPr>
                  </w:pPr>
                  <w:r>
                    <w:rPr>
                      <w:rFonts w:hint="eastAsia"/>
                      <w:u w:val="single"/>
                      <w:lang w:val="en-US" w:eastAsia="zh-CN"/>
                    </w:rPr>
                    <w:t>8</w:t>
                  </w:r>
                </w:p>
              </w:tc>
              <w:tc>
                <w:tcPr>
                  <w:tcW w:w="1502" w:type="pct"/>
                  <w:noWrap w:val="0"/>
                  <w:vAlign w:val="center"/>
                </w:tcPr>
                <w:p>
                  <w:pPr>
                    <w:bidi w:val="0"/>
                    <w:jc w:val="center"/>
                    <w:rPr>
                      <w:rFonts w:hint="eastAsia"/>
                      <w:u w:val="single"/>
                      <w:lang w:val="en-US" w:eastAsia="zh-CN"/>
                    </w:rPr>
                  </w:pPr>
                  <w:r>
                    <w:rPr>
                      <w:rFonts w:hint="eastAsia"/>
                      <w:u w:val="single"/>
                      <w:lang w:val="en-US" w:eastAsia="zh-CN"/>
                    </w:rPr>
                    <w:t>不可预见用水</w:t>
                  </w:r>
                </w:p>
              </w:tc>
              <w:tc>
                <w:tcPr>
                  <w:tcW w:w="1725" w:type="dxa"/>
                  <w:noWrap w:val="0"/>
                  <w:vAlign w:val="center"/>
                </w:tcPr>
                <w:p>
                  <w:pPr>
                    <w:bidi w:val="0"/>
                    <w:spacing w:line="240" w:lineRule="auto"/>
                    <w:jc w:val="center"/>
                    <w:rPr>
                      <w:rFonts w:hint="default"/>
                      <w:u w:val="single"/>
                      <w:lang w:val="en-US" w:eastAsia="zh-CN"/>
                    </w:rPr>
                  </w:pPr>
                  <w:r>
                    <w:rPr>
                      <w:rFonts w:hint="eastAsia"/>
                      <w:u w:val="single"/>
                      <w:lang w:val="en-US" w:eastAsia="zh-CN"/>
                    </w:rPr>
                    <w:t>7.74</w:t>
                  </w:r>
                </w:p>
              </w:tc>
              <w:tc>
                <w:tcPr>
                  <w:tcW w:w="1041" w:type="pct"/>
                  <w:noWrap w:val="0"/>
                  <w:vAlign w:val="center"/>
                </w:tcPr>
                <w:p>
                  <w:pPr>
                    <w:jc w:val="center"/>
                    <w:rPr>
                      <w:rFonts w:hint="default"/>
                      <w:u w:val="single"/>
                      <w:lang w:val="en-US" w:eastAsia="zh-CN"/>
                    </w:rPr>
                  </w:pPr>
                  <w:r>
                    <w:rPr>
                      <w:rFonts w:hint="eastAsia"/>
                      <w:u w:val="single"/>
                      <w:lang w:val="en-US" w:eastAsia="zh-CN"/>
                    </w:rPr>
                    <w:t>/</w:t>
                  </w:r>
                </w:p>
              </w:tc>
              <w:tc>
                <w:tcPr>
                  <w:tcW w:w="1036" w:type="pct"/>
                  <w:noWrap w:val="0"/>
                  <w:vAlign w:val="center"/>
                </w:tcPr>
                <w:p>
                  <w:pPr>
                    <w:jc w:val="center"/>
                    <w:rPr>
                      <w:rFonts w:hint="default"/>
                      <w:u w:val="single"/>
                      <w:lang w:val="en-US" w:eastAsia="zh-CN"/>
                    </w:rPr>
                  </w:pPr>
                  <w:r>
                    <w:rPr>
                      <w:rFonts w:hint="eastAsia"/>
                      <w:u w:val="singl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67" w:type="pct"/>
                  <w:tcBorders>
                    <w:right w:val="single" w:color="auto" w:sz="4" w:space="0"/>
                  </w:tcBorders>
                  <w:noWrap w:val="0"/>
                  <w:vAlign w:val="center"/>
                </w:tcPr>
                <w:p>
                  <w:pPr>
                    <w:widowControl/>
                    <w:jc w:val="center"/>
                    <w:rPr>
                      <w:rFonts w:hint="default"/>
                      <w:u w:val="single"/>
                      <w:lang w:val="en-US" w:eastAsia="zh-CN"/>
                    </w:rPr>
                  </w:pPr>
                  <w:r>
                    <w:rPr>
                      <w:rFonts w:hint="eastAsia"/>
                      <w:u w:val="single"/>
                      <w:lang w:val="en-US" w:eastAsia="zh-CN"/>
                    </w:rPr>
                    <w:t>9</w:t>
                  </w:r>
                </w:p>
              </w:tc>
              <w:tc>
                <w:tcPr>
                  <w:tcW w:w="1502" w:type="pct"/>
                  <w:tcBorders>
                    <w:right w:val="single" w:color="auto" w:sz="4" w:space="0"/>
                  </w:tcBorders>
                  <w:noWrap w:val="0"/>
                  <w:vAlign w:val="center"/>
                </w:tcPr>
                <w:p>
                  <w:pPr>
                    <w:widowControl/>
                    <w:jc w:val="center"/>
                    <w:rPr>
                      <w:u w:val="single"/>
                    </w:rPr>
                  </w:pPr>
                  <w:r>
                    <w:rPr>
                      <w:u w:val="single"/>
                    </w:rPr>
                    <w:t>合计</w:t>
                  </w:r>
                </w:p>
              </w:tc>
              <w:tc>
                <w:tcPr>
                  <w:tcW w:w="1725" w:type="dxa"/>
                  <w:noWrap w:val="0"/>
                  <w:vAlign w:val="center"/>
                </w:tcPr>
                <w:p>
                  <w:pPr>
                    <w:bidi w:val="0"/>
                    <w:spacing w:line="240" w:lineRule="auto"/>
                    <w:jc w:val="center"/>
                    <w:rPr>
                      <w:rFonts w:hint="default"/>
                      <w:u w:val="single"/>
                      <w:lang w:val="en-US" w:eastAsia="zh-CN"/>
                    </w:rPr>
                  </w:pPr>
                  <w:r>
                    <w:rPr>
                      <w:rFonts w:hint="eastAsia"/>
                      <w:u w:val="single"/>
                      <w:lang w:val="en-US" w:eastAsia="zh-CN"/>
                    </w:rPr>
                    <w:t>85.15</w:t>
                  </w:r>
                </w:p>
              </w:tc>
              <w:tc>
                <w:tcPr>
                  <w:tcW w:w="1648" w:type="dxa"/>
                  <w:noWrap w:val="0"/>
                  <w:vAlign w:val="center"/>
                </w:tcPr>
                <w:p>
                  <w:pPr>
                    <w:jc w:val="center"/>
                    <w:rPr>
                      <w:rFonts w:hint="default"/>
                      <w:u w:val="single"/>
                      <w:lang w:val="en-US"/>
                    </w:rPr>
                  </w:pPr>
                  <w:r>
                    <w:rPr>
                      <w:rFonts w:hint="eastAsia"/>
                      <w:u w:val="single"/>
                      <w:lang w:val="en-US" w:eastAsia="zh-CN"/>
                    </w:rPr>
                    <w:t>55.44</w:t>
                  </w:r>
                </w:p>
              </w:tc>
              <w:tc>
                <w:tcPr>
                  <w:tcW w:w="1641" w:type="dxa"/>
                  <w:noWrap w:val="0"/>
                  <w:vAlign w:val="center"/>
                </w:tcPr>
                <w:p>
                  <w:pPr>
                    <w:jc w:val="center"/>
                    <w:rPr>
                      <w:rFonts w:hint="default"/>
                      <w:u w:val="single"/>
                      <w:lang w:val="en-US" w:eastAsia="zh-CN"/>
                    </w:rPr>
                  </w:pPr>
                  <w:r>
                    <w:rPr>
                      <w:rFonts w:hint="eastAsia"/>
                      <w:u w:val="single"/>
                      <w:lang w:val="en-US" w:eastAsia="zh-CN"/>
                    </w:rPr>
                    <w:t>20235.6</w:t>
                  </w:r>
                </w:p>
              </w:tc>
            </w:tr>
          </w:tbl>
          <w:p>
            <w:pPr>
              <w:bidi w:val="0"/>
              <w:rPr>
                <w:rFonts w:hint="default"/>
                <w:lang w:val="en-US" w:eastAsia="zh-CN"/>
              </w:rPr>
            </w:pPr>
            <w:r>
              <w:rPr>
                <w:rFonts w:hint="default"/>
                <w:lang w:val="en-US" w:eastAsia="zh-CN"/>
              </w:rPr>
              <w:drawing>
                <wp:inline distT="0" distB="0" distL="114300" distR="114300">
                  <wp:extent cx="5366385" cy="4126865"/>
                  <wp:effectExtent l="0" t="0" r="0" b="0"/>
                  <wp:docPr id="6" name="ECB019B1-382A-4266-B25C-5B523AA43C14-1" descr="C:/Users/A/AppData/Local/Temp/wps.rFnMpa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1" descr="C:/Users/A/AppData/Local/Temp/wps.rFnMpawps"/>
                          <pic:cNvPicPr>
                            <a:picLocks noChangeAspect="1"/>
                          </pic:cNvPicPr>
                        </pic:nvPicPr>
                        <pic:blipFill>
                          <a:blip r:embed="rId8"/>
                          <a:stretch>
                            <a:fillRect/>
                          </a:stretch>
                        </pic:blipFill>
                        <pic:spPr>
                          <a:xfrm>
                            <a:off x="0" y="0"/>
                            <a:ext cx="5366385" cy="4126865"/>
                          </a:xfrm>
                          <a:prstGeom prst="rect">
                            <a:avLst/>
                          </a:prstGeom>
                        </pic:spPr>
                      </pic:pic>
                    </a:graphicData>
                  </a:graphic>
                </wp:inline>
              </w:drawing>
            </w:r>
          </w:p>
          <w:p>
            <w:pPr>
              <w:jc w:val="center"/>
              <w:rPr>
                <w:rFonts w:hint="eastAsia"/>
                <w:b/>
                <w:bCs/>
                <w:lang w:val="en-US" w:eastAsia="zh-CN"/>
              </w:rPr>
            </w:pPr>
            <w:r>
              <w:rPr>
                <w:rFonts w:hint="eastAsia"/>
                <w:b/>
                <w:bCs/>
                <w:lang w:val="en-US" w:eastAsia="zh-CN"/>
              </w:rPr>
              <w:t>图2-1月子中心水平衡图 （单位：m</w:t>
            </w:r>
            <w:r>
              <w:rPr>
                <w:rFonts w:hint="eastAsia"/>
                <w:b/>
                <w:bCs/>
                <w:vertAlign w:val="superscript"/>
                <w:lang w:val="en-US" w:eastAsia="zh-CN"/>
              </w:rPr>
              <w:t>3</w:t>
            </w:r>
            <w:r>
              <w:rPr>
                <w:rFonts w:hint="eastAsia"/>
                <w:b/>
                <w:bCs/>
                <w:lang w:val="en-US" w:eastAsia="zh-CN"/>
              </w:rPr>
              <w:t>/d）</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项目医疗废水经化粪池处理后进入</w:t>
            </w:r>
            <w:r>
              <w:rPr>
                <w:rFonts w:hint="eastAsia" w:cs="Times New Roman"/>
                <w:sz w:val="24"/>
                <w:szCs w:val="24"/>
                <w:lang w:val="en-US" w:eastAsia="zh-CN"/>
              </w:rPr>
              <w:t>湘阴县妇女儿童医院（二期）</w:t>
            </w:r>
            <w:r>
              <w:rPr>
                <w:rFonts w:hint="default" w:ascii="Times New Roman" w:hAnsi="Times New Roman" w:eastAsia="宋体" w:cs="Times New Roman"/>
                <w:sz w:val="24"/>
                <w:szCs w:val="24"/>
              </w:rPr>
              <w:t>一体化污水处理设备处理达《医疗机构水污染物排放标准》(GB18466-2005)中表2预处理标准后，通过市政污水管网排入湘阴县第二污水处理厂处理达《城镇污水处理厂污染物排放标准》(GB18918-2002)一级A标准，最后汇入湘江。</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(3)供电</w:t>
            </w:r>
          </w:p>
          <w:p>
            <w:pPr>
              <w:keepNext w:val="0"/>
              <w:keepLines w:val="0"/>
              <w:pageBreakBefore w:val="0"/>
              <w:kinsoku/>
              <w:wordWrap/>
              <w:overflowPunct/>
              <w:topLinePunct w:val="0"/>
              <w:autoSpaceDE/>
              <w:autoSpaceDN/>
              <w:bidi w:val="0"/>
              <w:adjustRightInd/>
              <w:spacing w:before="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项目用电为当地供电系统提供，采用双回路供电，参照《湖南省医疗机构单位综合能耗、电耗定额及计算办法》，本项目用电按</w:t>
            </w:r>
            <w:r>
              <w:rPr>
                <w:rFonts w:hint="default" w:ascii="Times New Roman" w:hAnsi="Times New Roman" w:eastAsia="宋体" w:cs="Times New Roman"/>
                <w:sz w:val="24"/>
                <w:szCs w:val="24"/>
                <w:highlight w:val="none"/>
              </w:rPr>
              <w:t>39kwh/</w:t>
            </w:r>
            <w:r>
              <w:rPr>
                <w:rFonts w:hint="default" w:ascii="Times New Roman" w:hAnsi="Times New Roman" w:eastAsia="宋体" w:cs="Times New Roman"/>
                <w:sz w:val="24"/>
                <w:szCs w:val="24"/>
                <w:highlight w:val="none"/>
                <w:lang w:val="en-US" w:eastAsia="zh-CN"/>
              </w:rPr>
              <w:t>m</w:t>
            </w:r>
            <w:r>
              <w:rPr>
                <w:rFonts w:hint="default" w:ascii="Times New Roman" w:hAnsi="Times New Roman" w:eastAsia="宋体" w:cs="Times New Roman"/>
                <w:sz w:val="24"/>
                <w:szCs w:val="24"/>
                <w:highlight w:val="none"/>
                <w:vertAlign w:val="superscript"/>
                <w:lang w:val="en-US" w:eastAsia="zh-CN"/>
              </w:rPr>
              <w:t>2</w:t>
            </w:r>
            <w:r>
              <w:rPr>
                <w:rFonts w:hint="default" w:ascii="Times New Roman" w:hAnsi="Times New Roman" w:eastAsia="宋体" w:cs="Times New Roman"/>
                <w:sz w:val="24"/>
                <w:szCs w:val="24"/>
                <w:highlight w:val="none"/>
              </w:rPr>
              <w:t>•年的二级医院年电耗指标进行计算，项目总建筑面积</w:t>
            </w:r>
            <w:r>
              <w:rPr>
                <w:rFonts w:hint="eastAsia" w:ascii="Times New Roman" w:hAnsi="Times New Roman" w:eastAsia="宋体" w:cs="Times New Roman"/>
                <w:sz w:val="24"/>
                <w:szCs w:val="24"/>
                <w:highlight w:val="none"/>
                <w:lang w:val="en-US" w:eastAsia="zh-CN"/>
              </w:rPr>
              <w:t>6907.95</w:t>
            </w:r>
            <w:r>
              <w:rPr>
                <w:rFonts w:hint="default" w:ascii="Times New Roman" w:hAnsi="Times New Roman" w:eastAsia="宋体" w:cs="Times New Roman"/>
                <w:sz w:val="24"/>
                <w:szCs w:val="24"/>
                <w:highlight w:val="none"/>
                <w:lang w:val="en-US" w:eastAsia="zh-CN"/>
              </w:rPr>
              <w:t>m</w:t>
            </w:r>
            <w:r>
              <w:rPr>
                <w:rFonts w:hint="default" w:ascii="Times New Roman" w:hAnsi="Times New Roman" w:eastAsia="宋体" w:cs="Times New Roman"/>
                <w:sz w:val="24"/>
                <w:szCs w:val="24"/>
                <w:highlight w:val="none"/>
                <w:vertAlign w:val="superscript"/>
                <w:lang w:val="en-US" w:eastAsia="zh-CN"/>
              </w:rPr>
              <w:t>2</w:t>
            </w:r>
            <w:r>
              <w:rPr>
                <w:rFonts w:hint="default" w:ascii="Times New Roman" w:hAnsi="Times New Roman" w:eastAsia="宋体" w:cs="Times New Roman"/>
                <w:sz w:val="24"/>
                <w:szCs w:val="24"/>
                <w:highlight w:val="none"/>
              </w:rPr>
              <w:t>，则项目年用电量约为</w:t>
            </w:r>
            <w:r>
              <w:rPr>
                <w:rFonts w:hint="eastAsia" w:ascii="Times New Roman" w:hAnsi="Times New Roman" w:eastAsia="宋体" w:cs="Times New Roman"/>
                <w:sz w:val="24"/>
                <w:szCs w:val="24"/>
                <w:highlight w:val="none"/>
                <w:lang w:val="en-US" w:eastAsia="zh-CN"/>
              </w:rPr>
              <w:t>269410.05</w:t>
            </w:r>
            <w:r>
              <w:rPr>
                <w:rFonts w:hint="default" w:ascii="Times New Roman" w:hAnsi="Times New Roman" w:eastAsia="宋体" w:cs="Times New Roman"/>
                <w:sz w:val="24"/>
                <w:szCs w:val="24"/>
                <w:highlight w:val="none"/>
              </w:rPr>
              <w:t>kwh。</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(4)供暖</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本项目设置中央空调系统供暖。</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(5)供热</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本项目单独设置</w:t>
            </w:r>
            <w:r>
              <w:rPr>
                <w:rFonts w:hint="default" w:ascii="Times New Roman" w:hAnsi="Times New Roman" w:cs="Times New Roman"/>
                <w:sz w:val="24"/>
                <w:szCs w:val="24"/>
                <w:lang w:val="en-US" w:eastAsia="zh-CN"/>
              </w:rPr>
              <w:t>2台</w:t>
            </w:r>
            <w:r>
              <w:rPr>
                <w:rFonts w:hint="eastAsia" w:ascii="Times New Roman" w:hAnsi="Times New Roman" w:cs="Times New Roman"/>
                <w:sz w:val="24"/>
                <w:szCs w:val="24"/>
                <w:lang w:val="en-US" w:eastAsia="zh-CN"/>
              </w:rPr>
              <w:t>热水</w:t>
            </w:r>
            <w:r>
              <w:rPr>
                <w:rFonts w:hint="default" w:ascii="Times New Roman" w:hAnsi="Times New Roman" w:eastAsia="宋体" w:cs="Times New Roman"/>
                <w:sz w:val="24"/>
                <w:szCs w:val="24"/>
              </w:rPr>
              <w:t>锅炉，燃气锅炉集中供应热水。</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(6)通风</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各设备用房设机械排放系统；各病房及卫生间设换气设施；检验室设通风换气设施。</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(7)消防设计</w:t>
            </w:r>
          </w:p>
          <w:p>
            <w:pPr>
              <w:bidi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本项目根据《建筑设计防火规范》(GB50016-2014)(2018年版)的相关规定，设置消火栓给水系统。室内消防给水系统与生活给水系统分开独立设置，并在各科室、病房内等配置普通灭火器。</w:t>
            </w:r>
          </w:p>
          <w:p>
            <w:pPr>
              <w:spacing w:line="360" w:lineRule="auto"/>
              <w:ind w:firstLine="480" w:firstLineChars="200"/>
              <w:rPr>
                <w:rFonts w:hint="default" w:ascii="Times New Roman" w:hAnsi="Times New Roman" w:eastAsia="宋体" w:cs="Times New Roman"/>
                <w:sz w:val="24"/>
                <w:szCs w:val="24"/>
              </w:rPr>
            </w:pPr>
            <w:r>
              <w:rPr>
                <w:rFonts w:hint="eastAsia" w:cs="Times New Roman"/>
                <w:sz w:val="24"/>
                <w:szCs w:val="24"/>
                <w:lang w:eastAsia="zh-CN"/>
              </w:rPr>
              <w:t>（</w:t>
            </w:r>
            <w:r>
              <w:rPr>
                <w:rFonts w:hint="eastAsia" w:cs="Times New Roman"/>
                <w:sz w:val="24"/>
                <w:szCs w:val="24"/>
                <w:lang w:val="en-US" w:eastAsia="zh-CN"/>
              </w:rPr>
              <w:t>8</w:t>
            </w:r>
            <w:r>
              <w:rPr>
                <w:rFonts w:hint="eastAsia" w:cs="Times New Roman"/>
                <w:sz w:val="24"/>
                <w:szCs w:val="24"/>
                <w:lang w:eastAsia="zh-CN"/>
              </w:rPr>
              <w:t>）</w:t>
            </w:r>
            <w:r>
              <w:rPr>
                <w:rFonts w:hint="default" w:ascii="Times New Roman" w:hAnsi="Times New Roman" w:eastAsia="宋体" w:cs="Times New Roman"/>
                <w:sz w:val="24"/>
                <w:szCs w:val="24"/>
              </w:rPr>
              <w:t>生产制度与劳动定员</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项目采用三班制</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8小时</w:t>
            </w:r>
            <w:r>
              <w:rPr>
                <w:rFonts w:hint="default" w:ascii="Times New Roman" w:hAnsi="Times New Roman" w:eastAsia="宋体" w:cs="Times New Roman"/>
                <w:sz w:val="24"/>
                <w:szCs w:val="24"/>
                <w:lang w:val="en-US" w:eastAsia="zh-CN"/>
              </w:rPr>
              <w:t>/班</w:t>
            </w:r>
            <w:r>
              <w:rPr>
                <w:rFonts w:hint="default" w:ascii="Times New Roman" w:hAnsi="Times New Roman" w:eastAsia="宋体" w:cs="Times New Roman"/>
                <w:sz w:val="24"/>
                <w:szCs w:val="24"/>
              </w:rPr>
              <w:t>，年工作时间365天，医护人员220人。</w:t>
            </w:r>
          </w:p>
          <w:p>
            <w:pPr>
              <w:spacing w:line="360" w:lineRule="auto"/>
              <w:ind w:firstLine="480" w:firstLineChars="200"/>
              <w:rPr>
                <w:rFonts w:hint="default" w:ascii="Times New Roman" w:hAnsi="Times New Roman" w:eastAsia="宋体" w:cs="Times New Roman"/>
                <w:sz w:val="24"/>
                <w:szCs w:val="24"/>
              </w:rPr>
            </w:pPr>
            <w:r>
              <w:rPr>
                <w:rFonts w:hint="eastAsia" w:cs="Times New Roman"/>
                <w:sz w:val="24"/>
                <w:szCs w:val="24"/>
                <w:lang w:eastAsia="zh-CN"/>
              </w:rPr>
              <w:t>（</w:t>
            </w:r>
            <w:r>
              <w:rPr>
                <w:rFonts w:hint="eastAsia" w:cs="Times New Roman"/>
                <w:sz w:val="24"/>
                <w:szCs w:val="24"/>
                <w:lang w:val="en-US" w:eastAsia="zh-CN"/>
              </w:rPr>
              <w:t>9</w:t>
            </w:r>
            <w:r>
              <w:rPr>
                <w:rFonts w:hint="eastAsia" w:cs="Times New Roman"/>
                <w:sz w:val="24"/>
                <w:szCs w:val="24"/>
                <w:lang w:eastAsia="zh-CN"/>
              </w:rPr>
              <w:t>）</w:t>
            </w:r>
            <w:r>
              <w:rPr>
                <w:rFonts w:hint="default" w:ascii="Times New Roman" w:hAnsi="Times New Roman" w:eastAsia="宋体" w:cs="Times New Roman"/>
                <w:sz w:val="24"/>
                <w:szCs w:val="24"/>
              </w:rPr>
              <w:t>项目实施进度</w:t>
            </w:r>
          </w:p>
          <w:p>
            <w:pPr>
              <w:bidi w:val="0"/>
              <w:spacing w:line="360" w:lineRule="auto"/>
              <w:ind w:firstLine="480" w:firstLineChars="200"/>
              <w:rPr>
                <w:rFonts w:hint="default"/>
                <w:lang w:val="en-US" w:eastAsia="zh-CN"/>
              </w:rPr>
            </w:pPr>
            <w:r>
              <w:rPr>
                <w:rFonts w:hint="eastAsia"/>
                <w:sz w:val="24"/>
                <w:szCs w:val="24"/>
              </w:rPr>
              <w:t>项目建设工期为12个月，自2022年</w:t>
            </w:r>
            <w:r>
              <w:rPr>
                <w:rFonts w:hint="eastAsia"/>
                <w:sz w:val="24"/>
                <w:szCs w:val="24"/>
                <w:lang w:val="en-US" w:eastAsia="zh-CN"/>
              </w:rPr>
              <w:t>11</w:t>
            </w:r>
            <w:r>
              <w:rPr>
                <w:rFonts w:hint="eastAsia"/>
                <w:sz w:val="24"/>
                <w:szCs w:val="24"/>
              </w:rPr>
              <w:t>月至2023年</w:t>
            </w:r>
            <w:r>
              <w:rPr>
                <w:rFonts w:hint="eastAsia"/>
                <w:sz w:val="24"/>
                <w:szCs w:val="24"/>
                <w:lang w:val="en-US" w:eastAsia="zh-CN"/>
              </w:rPr>
              <w:t>12</w:t>
            </w:r>
            <w:r>
              <w:rPr>
                <w:rFonts w:hint="eastAsia"/>
                <w:sz w:val="24"/>
                <w:szCs w:val="24"/>
              </w:rPr>
              <w:t>月</w:t>
            </w:r>
            <w:r>
              <w:rPr>
                <w:rFonts w:hint="eastAsia"/>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823" w:type="dxa"/>
            <w:noWrap w:val="0"/>
            <w:vAlign w:val="center"/>
          </w:tcPr>
          <w:p>
            <w:pPr>
              <w:pStyle w:val="22"/>
              <w:adjustRightInd w:val="0"/>
              <w:snapToGrid w:val="0"/>
              <w:spacing w:before="0" w:beforeAutospacing="0" w:after="0" w:afterAutospacing="0"/>
              <w:jc w:val="center"/>
              <w:rPr>
                <w:rFonts w:cs="宋体"/>
                <w:sz w:val="21"/>
                <w:szCs w:val="21"/>
              </w:rPr>
            </w:pPr>
            <w:r>
              <w:rPr>
                <w:rFonts w:hint="eastAsia" w:cs="宋体"/>
                <w:sz w:val="21"/>
                <w:szCs w:val="21"/>
              </w:rPr>
              <w:t>工艺流程和产排污环节</w:t>
            </w:r>
          </w:p>
        </w:tc>
        <w:tc>
          <w:tcPr>
            <w:tcW w:w="8161" w:type="dxa"/>
            <w:noWrap w:val="0"/>
            <w:vAlign w:val="top"/>
          </w:tcPr>
          <w:p>
            <w:pPr>
              <w:bidi w:val="0"/>
              <w:spacing w:line="360" w:lineRule="auto"/>
              <w:rPr>
                <w:rFonts w:hint="default"/>
                <w:b/>
                <w:bCs/>
                <w:sz w:val="24"/>
                <w:szCs w:val="24"/>
                <w:lang w:val="en-US" w:eastAsia="zh-CN"/>
              </w:rPr>
            </w:pPr>
            <w:r>
              <w:rPr>
                <w:rFonts w:hint="default"/>
                <w:b/>
                <w:bCs/>
                <w:sz w:val="24"/>
                <w:szCs w:val="24"/>
                <w:lang w:val="en-US" w:eastAsia="zh-CN"/>
              </w:rPr>
              <w:drawing>
                <wp:inline distT="0" distB="0" distL="114300" distR="114300">
                  <wp:extent cx="5356225" cy="4358640"/>
                  <wp:effectExtent l="0" t="0" r="0" b="0"/>
                  <wp:docPr id="1" name="ECB019B1-382A-4266-B25C-5B523AA43C14-2" descr="C:/Users/A/AppData/Local/Temp/wps.LxJtep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2" descr="C:/Users/A/AppData/Local/Temp/wps.LxJtepwps"/>
                          <pic:cNvPicPr>
                            <a:picLocks noChangeAspect="1"/>
                          </pic:cNvPicPr>
                        </pic:nvPicPr>
                        <pic:blipFill>
                          <a:blip r:embed="rId9"/>
                          <a:stretch>
                            <a:fillRect/>
                          </a:stretch>
                        </pic:blipFill>
                        <pic:spPr>
                          <a:xfrm>
                            <a:off x="0" y="0"/>
                            <a:ext cx="5356225" cy="4358640"/>
                          </a:xfrm>
                          <a:prstGeom prst="rect">
                            <a:avLst/>
                          </a:prstGeom>
                        </pic:spPr>
                      </pic:pic>
                    </a:graphicData>
                  </a:graphic>
                </wp:inline>
              </w:drawing>
            </w:r>
          </w:p>
          <w:p>
            <w:pPr>
              <w:bidi w:val="0"/>
              <w:spacing w:line="360" w:lineRule="auto"/>
              <w:jc w:val="center"/>
              <w:rPr>
                <w:rFonts w:hint="default"/>
                <w:b/>
                <w:bCs/>
                <w:sz w:val="24"/>
                <w:szCs w:val="24"/>
                <w:lang w:val="en-US" w:eastAsia="zh-CN"/>
              </w:rPr>
            </w:pPr>
            <w:r>
              <w:rPr>
                <w:rFonts w:hint="eastAsia"/>
                <w:b/>
                <w:bCs/>
                <w:szCs w:val="21"/>
              </w:rPr>
              <w:t>图2-</w:t>
            </w:r>
            <w:r>
              <w:rPr>
                <w:rFonts w:hint="eastAsia"/>
                <w:b/>
                <w:bCs/>
                <w:szCs w:val="21"/>
                <w:lang w:val="en-US" w:eastAsia="zh-CN"/>
              </w:rPr>
              <w:t>2</w:t>
            </w:r>
            <w:r>
              <w:rPr>
                <w:rFonts w:hint="eastAsia"/>
                <w:b/>
                <w:bCs/>
                <w:szCs w:val="21"/>
              </w:rPr>
              <w:t xml:space="preserve">  项目</w:t>
            </w:r>
            <w:r>
              <w:rPr>
                <w:rFonts w:hint="eastAsia"/>
                <w:b/>
                <w:bCs/>
                <w:szCs w:val="21"/>
                <w:lang w:val="en-US" w:eastAsia="zh-CN"/>
              </w:rPr>
              <w:t>服务</w:t>
            </w:r>
            <w:r>
              <w:rPr>
                <w:rFonts w:hint="eastAsia"/>
                <w:b/>
                <w:bCs/>
                <w:szCs w:val="21"/>
              </w:rPr>
              <w:t>流程及产</w:t>
            </w:r>
            <w:r>
              <w:rPr>
                <w:rFonts w:hint="eastAsia"/>
                <w:b/>
                <w:bCs/>
                <w:szCs w:val="21"/>
                <w:lang w:val="en-US" w:eastAsia="zh-CN"/>
              </w:rPr>
              <w:t>污</w:t>
            </w:r>
            <w:r>
              <w:rPr>
                <w:rFonts w:hint="eastAsia"/>
                <w:b/>
                <w:bCs/>
                <w:szCs w:val="21"/>
              </w:rPr>
              <w:t>环节图</w:t>
            </w:r>
          </w:p>
          <w:p>
            <w:pPr>
              <w:numPr>
                <w:ilvl w:val="0"/>
                <w:numId w:val="0"/>
              </w:numPr>
              <w:bidi w:val="0"/>
              <w:spacing w:line="360" w:lineRule="auto"/>
              <w:rPr>
                <w:rFonts w:hint="eastAsia"/>
                <w:b/>
                <w:bCs/>
                <w:sz w:val="24"/>
                <w:szCs w:val="24"/>
                <w:lang w:val="en-US" w:eastAsia="zh-CN"/>
              </w:rPr>
            </w:pPr>
            <w:r>
              <w:rPr>
                <w:rFonts w:hint="eastAsia"/>
                <w:b/>
                <w:bCs/>
                <w:sz w:val="24"/>
                <w:szCs w:val="24"/>
                <w:lang w:val="en-US" w:eastAsia="zh-CN"/>
              </w:rPr>
              <w:t>运营期环境影响分析</w:t>
            </w:r>
          </w:p>
          <w:p>
            <w:pPr>
              <w:numPr>
                <w:ilvl w:val="0"/>
                <w:numId w:val="0"/>
              </w:numPr>
              <w:bidi w:val="0"/>
              <w:spacing w:line="360" w:lineRule="auto"/>
              <w:rPr>
                <w:sz w:val="24"/>
                <w:szCs w:val="24"/>
              </w:rPr>
            </w:pPr>
            <w:r>
              <w:rPr>
                <w:rFonts w:hint="eastAsia"/>
                <w:sz w:val="24"/>
                <w:szCs w:val="24"/>
                <w:lang w:val="en-US" w:eastAsia="zh-CN"/>
              </w:rPr>
              <w:t>（</w:t>
            </w:r>
            <w:r>
              <w:rPr>
                <w:rFonts w:hint="default"/>
                <w:sz w:val="24"/>
                <w:szCs w:val="24"/>
                <w:lang w:val="en-US" w:eastAsia="zh-CN"/>
              </w:rPr>
              <w:t>1</w:t>
            </w:r>
            <w:r>
              <w:rPr>
                <w:rFonts w:hint="eastAsia"/>
                <w:sz w:val="24"/>
                <w:szCs w:val="24"/>
                <w:lang w:val="en-US" w:eastAsia="zh-CN"/>
              </w:rPr>
              <w:t>）废水：主要是在运营期废水主要以生活废水，产妇生活废水为主。</w:t>
            </w:r>
          </w:p>
          <w:p>
            <w:pPr>
              <w:bidi w:val="0"/>
              <w:spacing w:line="360" w:lineRule="auto"/>
              <w:rPr>
                <w:sz w:val="24"/>
                <w:szCs w:val="24"/>
              </w:rPr>
            </w:pPr>
            <w:r>
              <w:rPr>
                <w:rFonts w:hint="eastAsia"/>
                <w:sz w:val="24"/>
                <w:szCs w:val="24"/>
                <w:lang w:val="en-US" w:eastAsia="zh-CN"/>
              </w:rPr>
              <w:t>（</w:t>
            </w:r>
            <w:r>
              <w:rPr>
                <w:rFonts w:hint="default"/>
                <w:sz w:val="24"/>
                <w:szCs w:val="24"/>
                <w:lang w:val="en-US" w:eastAsia="zh-CN"/>
              </w:rPr>
              <w:t>2</w:t>
            </w:r>
            <w:r>
              <w:rPr>
                <w:rFonts w:hint="eastAsia"/>
                <w:sz w:val="24"/>
                <w:szCs w:val="24"/>
                <w:lang w:val="en-US" w:eastAsia="zh-CN"/>
              </w:rPr>
              <w:t>）废气：厨房废气、锅炉废气以及污水处理站的恶臭气体对大气环境产生影响。</w:t>
            </w:r>
          </w:p>
          <w:p>
            <w:pPr>
              <w:bidi w:val="0"/>
              <w:spacing w:line="360" w:lineRule="auto"/>
              <w:rPr>
                <w:rFonts w:hint="eastAsia"/>
                <w:sz w:val="24"/>
                <w:szCs w:val="24"/>
                <w:lang w:val="en-US" w:eastAsia="zh-CN"/>
              </w:rPr>
            </w:pPr>
            <w:r>
              <w:rPr>
                <w:rFonts w:hint="eastAsia"/>
                <w:sz w:val="24"/>
                <w:szCs w:val="24"/>
                <w:lang w:val="en-US" w:eastAsia="zh-CN"/>
              </w:rPr>
              <w:t>（</w:t>
            </w:r>
            <w:r>
              <w:rPr>
                <w:rFonts w:hint="default"/>
                <w:sz w:val="24"/>
                <w:szCs w:val="24"/>
                <w:lang w:val="en-US" w:eastAsia="zh-CN"/>
              </w:rPr>
              <w:t>3</w:t>
            </w:r>
            <w:r>
              <w:rPr>
                <w:rFonts w:hint="eastAsia"/>
                <w:sz w:val="24"/>
                <w:szCs w:val="24"/>
                <w:lang w:val="en-US" w:eastAsia="zh-CN"/>
              </w:rPr>
              <w:t>）噪音：项目建成后的噪声影响较小，只有小部分设备，如发电机、空调等设备所产生的噪声，以及进出汽车鸣笛所产生的噪声。</w:t>
            </w:r>
          </w:p>
          <w:p>
            <w:pPr>
              <w:bidi w:val="0"/>
              <w:spacing w:line="360" w:lineRule="auto"/>
              <w:rPr>
                <w:rFonts w:hint="default"/>
                <w:sz w:val="24"/>
                <w:szCs w:val="24"/>
                <w:lang w:val="en-US" w:eastAsia="zh-CN"/>
              </w:rPr>
            </w:pPr>
            <w:r>
              <w:rPr>
                <w:rFonts w:hint="eastAsia"/>
                <w:sz w:val="24"/>
                <w:szCs w:val="24"/>
                <w:lang w:val="en-US" w:eastAsia="zh-CN"/>
              </w:rPr>
              <w:t>（4）固废：主要为生活垃圾、医疗废物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noWrap w:val="0"/>
            <w:vAlign w:val="center"/>
          </w:tcPr>
          <w:p>
            <w:pPr>
              <w:pStyle w:val="22"/>
              <w:adjustRightInd w:val="0"/>
              <w:snapToGrid w:val="0"/>
              <w:spacing w:before="0" w:beforeAutospacing="0" w:after="0" w:afterAutospacing="0"/>
              <w:jc w:val="center"/>
              <w:rPr>
                <w:rFonts w:cs="宋体"/>
                <w:sz w:val="21"/>
                <w:szCs w:val="21"/>
              </w:rPr>
            </w:pPr>
            <w:r>
              <w:rPr>
                <w:rFonts w:hint="eastAsia" w:cs="宋体"/>
                <w:bCs/>
                <w:kern w:val="2"/>
                <w:sz w:val="21"/>
                <w:szCs w:val="21"/>
              </w:rPr>
              <w:t>与项目有关的原有环境污染问题</w:t>
            </w:r>
          </w:p>
        </w:tc>
        <w:tc>
          <w:tcPr>
            <w:tcW w:w="8161" w:type="dxa"/>
            <w:noWrap w:val="0"/>
            <w:vAlign w:val="top"/>
          </w:tcPr>
          <w:p>
            <w:pPr>
              <w:spacing w:line="360" w:lineRule="auto"/>
              <w:ind w:firstLine="480" w:firstLineChars="200"/>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项目使用前为空地，无与项目有关的原有环境污染问题。</w:t>
            </w:r>
          </w:p>
          <w:p>
            <w:pPr>
              <w:spacing w:line="360" w:lineRule="auto"/>
              <w:ind w:firstLine="482" w:firstLineChars="200"/>
              <w:jc w:val="both"/>
              <w:rPr>
                <w:rFonts w:hint="eastAsia" w:cs="Times New Roman"/>
                <w:b/>
                <w:bCs/>
                <w:sz w:val="24"/>
                <w:szCs w:val="24"/>
                <w:lang w:val="en-US" w:eastAsia="zh-CN"/>
              </w:rPr>
            </w:pPr>
            <w:r>
              <w:rPr>
                <w:rFonts w:hint="eastAsia" w:cs="Times New Roman"/>
                <w:b/>
                <w:bCs/>
                <w:sz w:val="24"/>
                <w:szCs w:val="24"/>
                <w:lang w:val="en-US" w:eastAsia="zh-CN"/>
              </w:rPr>
              <w:t>项目“三本账”</w:t>
            </w:r>
          </w:p>
          <w:p>
            <w:pPr>
              <w:spacing w:line="360" w:lineRule="auto"/>
              <w:ind w:firstLine="480" w:firstLineChars="200"/>
              <w:jc w:val="both"/>
              <w:rPr>
                <w:rFonts w:hint="eastAsia"/>
                <w:sz w:val="24"/>
                <w:lang w:val="en-US" w:eastAsia="zh-CN"/>
              </w:rPr>
            </w:pPr>
            <w:r>
              <w:rPr>
                <w:rFonts w:hint="eastAsia"/>
                <w:sz w:val="24"/>
                <w:lang w:val="en-US" w:eastAsia="zh-CN"/>
              </w:rPr>
              <w:t>本项目建成后，移交湘阴县妇幼保健院运营，会增加</w:t>
            </w:r>
            <w:r>
              <w:rPr>
                <w:sz w:val="24"/>
              </w:rPr>
              <w:t>湘阴县妇女儿童医院（二期）建设项目</w:t>
            </w:r>
            <w:r>
              <w:rPr>
                <w:rFonts w:hint="eastAsia"/>
                <w:sz w:val="24"/>
                <w:lang w:val="en-US" w:eastAsia="zh-CN"/>
              </w:rPr>
              <w:t>相应污染物的排放量。</w:t>
            </w:r>
          </w:p>
          <w:p>
            <w:pPr>
              <w:numPr>
                <w:ilvl w:val="0"/>
                <w:numId w:val="0"/>
              </w:numPr>
              <w:adjustRightInd w:val="0"/>
              <w:snapToGrid w:val="0"/>
              <w:spacing w:line="240" w:lineRule="auto"/>
              <w:ind w:leftChars="0" w:firstLine="422" w:firstLineChars="200"/>
              <w:jc w:val="center"/>
              <w:rPr>
                <w:rFonts w:hint="eastAsia"/>
                <w:b/>
                <w:bCs/>
                <w:color w:val="auto"/>
                <w:sz w:val="21"/>
                <w:szCs w:val="21"/>
                <w:u w:val="none"/>
                <w:lang w:val="en-US" w:eastAsia="zh-CN"/>
              </w:rPr>
            </w:pPr>
            <w:r>
              <w:rPr>
                <w:rFonts w:hint="eastAsia"/>
                <w:b/>
                <w:bCs/>
                <w:color w:val="auto"/>
                <w:sz w:val="21"/>
                <w:szCs w:val="21"/>
                <w:u w:val="none"/>
                <w:lang w:val="en-US" w:eastAsia="zh-CN"/>
              </w:rPr>
              <w:t>表2-9  污染物排放“三本账”</w:t>
            </w:r>
          </w:p>
          <w:tbl>
            <w:tblPr>
              <w:tblStyle w:val="26"/>
              <w:tblW w:w="0" w:type="auto"/>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3"/>
              <w:gridCol w:w="651"/>
              <w:gridCol w:w="857"/>
              <w:gridCol w:w="988"/>
              <w:gridCol w:w="885"/>
              <w:gridCol w:w="857"/>
              <w:gridCol w:w="885"/>
              <w:gridCol w:w="857"/>
              <w:gridCol w:w="1000"/>
              <w:gridCol w:w="9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1" w:type="dxa"/>
                  <w:tcBorders>
                    <w:tl2br w:val="nil"/>
                    <w:tr2bl w:val="nil"/>
                  </w:tcBorders>
                  <w:vAlign w:val="center"/>
                </w:tcPr>
                <w:p>
                  <w:pPr>
                    <w:numPr>
                      <w:ilvl w:val="0"/>
                      <w:numId w:val="0"/>
                    </w:numPr>
                    <w:bidi w:val="0"/>
                    <w:spacing w:line="240" w:lineRule="auto"/>
                    <w:ind w:left="0" w:leftChars="0" w:firstLine="0" w:firstLineChars="0"/>
                    <w:jc w:val="center"/>
                    <w:rPr>
                      <w:rFonts w:hint="default"/>
                      <w:color w:val="auto"/>
                      <w:sz w:val="21"/>
                      <w:szCs w:val="21"/>
                      <w:highlight w:val="yellow"/>
                      <w:u w:val="none"/>
                      <w:vertAlign w:val="baseline"/>
                      <w:lang w:val="en-US" w:eastAsia="zh-CN"/>
                    </w:rPr>
                  </w:pPr>
                  <w:r>
                    <w:rPr>
                      <w:rFonts w:hint="eastAsia"/>
                      <w:b/>
                      <w:bCs/>
                      <w:color w:val="auto"/>
                      <w:sz w:val="21"/>
                      <w:szCs w:val="21"/>
                      <w:u w:val="none"/>
                      <w:vertAlign w:val="baseline"/>
                      <w:lang w:val="en-US" w:eastAsia="zh-CN"/>
                    </w:rPr>
                    <w:t>种类</w:t>
                  </w:r>
                </w:p>
              </w:tc>
              <w:tc>
                <w:tcPr>
                  <w:tcW w:w="692" w:type="dxa"/>
                  <w:tcBorders>
                    <w:tl2br w:val="nil"/>
                    <w:tr2bl w:val="nil"/>
                  </w:tcBorders>
                  <w:vAlign w:val="center"/>
                </w:tcPr>
                <w:p>
                  <w:pPr>
                    <w:numPr>
                      <w:ilvl w:val="0"/>
                      <w:numId w:val="0"/>
                    </w:numPr>
                    <w:bidi w:val="0"/>
                    <w:spacing w:line="240" w:lineRule="auto"/>
                    <w:ind w:left="0" w:leftChars="0" w:firstLine="0" w:firstLineChars="0"/>
                    <w:jc w:val="center"/>
                    <w:rPr>
                      <w:rFonts w:hint="default"/>
                      <w:color w:val="auto"/>
                      <w:sz w:val="21"/>
                      <w:szCs w:val="21"/>
                      <w:highlight w:val="yellow"/>
                      <w:u w:val="none"/>
                      <w:vertAlign w:val="baseline"/>
                      <w:lang w:val="en-US" w:eastAsia="zh-CN"/>
                    </w:rPr>
                  </w:pPr>
                  <w:r>
                    <w:rPr>
                      <w:rFonts w:hint="eastAsia"/>
                      <w:b/>
                      <w:bCs/>
                      <w:color w:val="auto"/>
                      <w:sz w:val="21"/>
                      <w:szCs w:val="21"/>
                      <w:u w:val="none"/>
                      <w:vertAlign w:val="baseline"/>
                      <w:lang w:val="en-US" w:eastAsia="zh-CN"/>
                    </w:rPr>
                    <w:t>污染物名称</w:t>
                  </w:r>
                </w:p>
              </w:tc>
              <w:tc>
                <w:tcPr>
                  <w:tcW w:w="871" w:type="dxa"/>
                  <w:tcBorders>
                    <w:tl2br w:val="nil"/>
                    <w:tr2bl w:val="nil"/>
                  </w:tcBorders>
                  <w:vAlign w:val="center"/>
                </w:tcPr>
                <w:p>
                  <w:pPr>
                    <w:numPr>
                      <w:ilvl w:val="0"/>
                      <w:numId w:val="0"/>
                    </w:numPr>
                    <w:bidi w:val="0"/>
                    <w:spacing w:line="240" w:lineRule="auto"/>
                    <w:ind w:left="0" w:leftChars="0" w:firstLine="0" w:firstLineChars="0"/>
                    <w:jc w:val="center"/>
                    <w:rPr>
                      <w:rFonts w:hint="default"/>
                      <w:color w:val="auto"/>
                      <w:sz w:val="21"/>
                      <w:szCs w:val="21"/>
                      <w:highlight w:val="yellow"/>
                      <w:u w:val="none"/>
                      <w:vertAlign w:val="baseline"/>
                      <w:lang w:val="en-US" w:eastAsia="zh-CN"/>
                    </w:rPr>
                  </w:pPr>
                  <w:r>
                    <w:rPr>
                      <w:rFonts w:hint="eastAsia"/>
                      <w:b/>
                      <w:bCs/>
                      <w:color w:val="auto"/>
                      <w:sz w:val="21"/>
                      <w:szCs w:val="21"/>
                      <w:u w:val="none"/>
                      <w:vertAlign w:val="baseline"/>
                      <w:lang w:val="en-US" w:eastAsia="zh-CN"/>
                    </w:rPr>
                    <w:t>原有工程产生量（t/a）</w:t>
                  </w:r>
                </w:p>
              </w:tc>
              <w:tc>
                <w:tcPr>
                  <w:tcW w:w="1004" w:type="dxa"/>
                  <w:tcBorders>
                    <w:tl2br w:val="nil"/>
                    <w:tr2bl w:val="nil"/>
                  </w:tcBorders>
                  <w:vAlign w:val="center"/>
                </w:tcPr>
                <w:p>
                  <w:pPr>
                    <w:numPr>
                      <w:ilvl w:val="0"/>
                      <w:numId w:val="0"/>
                    </w:numPr>
                    <w:bidi w:val="0"/>
                    <w:spacing w:line="240" w:lineRule="auto"/>
                    <w:ind w:left="0" w:leftChars="0" w:firstLine="0" w:firstLineChars="0"/>
                    <w:jc w:val="center"/>
                    <w:rPr>
                      <w:rFonts w:hint="eastAsia"/>
                      <w:color w:val="auto"/>
                      <w:sz w:val="21"/>
                      <w:szCs w:val="21"/>
                      <w:highlight w:val="yellow"/>
                      <w:u w:val="none"/>
                      <w:vertAlign w:val="baseline"/>
                      <w:lang w:val="en-US" w:eastAsia="zh-CN"/>
                    </w:rPr>
                  </w:pPr>
                  <w:r>
                    <w:rPr>
                      <w:rFonts w:hint="eastAsia"/>
                      <w:b/>
                      <w:bCs/>
                      <w:color w:val="auto"/>
                      <w:sz w:val="21"/>
                      <w:szCs w:val="21"/>
                      <w:u w:val="none"/>
                      <w:vertAlign w:val="baseline"/>
                      <w:lang w:val="en-US" w:eastAsia="zh-CN"/>
                    </w:rPr>
                    <w:t>原有工程核定排放量（t/a）</w:t>
                  </w:r>
                </w:p>
              </w:tc>
              <w:tc>
                <w:tcPr>
                  <w:tcW w:w="899" w:type="dxa"/>
                  <w:tcBorders>
                    <w:tl2br w:val="nil"/>
                    <w:tr2bl w:val="nil"/>
                  </w:tcBorders>
                  <w:vAlign w:val="center"/>
                </w:tcPr>
                <w:p>
                  <w:pPr>
                    <w:numPr>
                      <w:ilvl w:val="0"/>
                      <w:numId w:val="0"/>
                    </w:numPr>
                    <w:bidi w:val="0"/>
                    <w:spacing w:line="240" w:lineRule="auto"/>
                    <w:ind w:left="0" w:leftChars="0" w:firstLine="0" w:firstLineChars="0"/>
                    <w:jc w:val="center"/>
                    <w:rPr>
                      <w:rFonts w:hint="default"/>
                      <w:color w:val="auto"/>
                      <w:sz w:val="21"/>
                      <w:szCs w:val="21"/>
                      <w:highlight w:val="yellow"/>
                      <w:u w:val="none"/>
                      <w:vertAlign w:val="baseline"/>
                      <w:lang w:val="en-US" w:eastAsia="zh-CN"/>
                    </w:rPr>
                  </w:pPr>
                  <w:r>
                    <w:rPr>
                      <w:rFonts w:hint="eastAsia"/>
                      <w:b/>
                      <w:bCs/>
                      <w:color w:val="auto"/>
                      <w:sz w:val="21"/>
                      <w:szCs w:val="21"/>
                      <w:u w:val="none"/>
                      <w:vertAlign w:val="baseline"/>
                      <w:lang w:val="en-US" w:eastAsia="zh-CN"/>
                    </w:rPr>
                    <w:t>本项目产生量（t/a）</w:t>
                  </w:r>
                </w:p>
              </w:tc>
              <w:tc>
                <w:tcPr>
                  <w:tcW w:w="871" w:type="dxa"/>
                  <w:tcBorders>
                    <w:tl2br w:val="nil"/>
                    <w:tr2bl w:val="nil"/>
                  </w:tcBorders>
                  <w:vAlign w:val="center"/>
                </w:tcPr>
                <w:p>
                  <w:pPr>
                    <w:numPr>
                      <w:ilvl w:val="0"/>
                      <w:numId w:val="0"/>
                    </w:numPr>
                    <w:bidi w:val="0"/>
                    <w:spacing w:line="240" w:lineRule="auto"/>
                    <w:ind w:left="0" w:leftChars="0" w:firstLine="0" w:firstLineChars="0"/>
                    <w:jc w:val="center"/>
                    <w:rPr>
                      <w:rFonts w:hint="default"/>
                      <w:color w:val="auto"/>
                      <w:sz w:val="21"/>
                      <w:szCs w:val="21"/>
                      <w:highlight w:val="yellow"/>
                      <w:u w:val="none"/>
                      <w:vertAlign w:val="baseline"/>
                      <w:lang w:val="en-US" w:eastAsia="zh-CN"/>
                    </w:rPr>
                  </w:pPr>
                  <w:r>
                    <w:rPr>
                      <w:rFonts w:hint="eastAsia"/>
                      <w:b/>
                      <w:bCs/>
                      <w:color w:val="auto"/>
                      <w:sz w:val="21"/>
                      <w:szCs w:val="21"/>
                      <w:u w:val="none"/>
                      <w:vertAlign w:val="baseline"/>
                      <w:lang w:val="en-US" w:eastAsia="zh-CN"/>
                    </w:rPr>
                    <w:t>本项目消减量（t/a）</w:t>
                  </w:r>
                </w:p>
              </w:tc>
              <w:tc>
                <w:tcPr>
                  <w:tcW w:w="899" w:type="dxa"/>
                  <w:tcBorders>
                    <w:tl2br w:val="nil"/>
                    <w:tr2bl w:val="nil"/>
                  </w:tcBorders>
                  <w:vAlign w:val="center"/>
                </w:tcPr>
                <w:p>
                  <w:pPr>
                    <w:numPr>
                      <w:ilvl w:val="0"/>
                      <w:numId w:val="0"/>
                    </w:numPr>
                    <w:bidi w:val="0"/>
                    <w:spacing w:line="240" w:lineRule="auto"/>
                    <w:ind w:left="0" w:leftChars="0" w:firstLine="0" w:firstLineChars="0"/>
                    <w:jc w:val="center"/>
                    <w:rPr>
                      <w:rFonts w:hint="default"/>
                      <w:color w:val="auto"/>
                      <w:sz w:val="21"/>
                      <w:szCs w:val="21"/>
                      <w:highlight w:val="yellow"/>
                      <w:u w:val="none"/>
                      <w:vertAlign w:val="baseline"/>
                      <w:lang w:val="en-US" w:eastAsia="zh-CN"/>
                    </w:rPr>
                  </w:pPr>
                  <w:r>
                    <w:rPr>
                      <w:rFonts w:hint="eastAsia"/>
                      <w:b/>
                      <w:bCs/>
                      <w:color w:val="auto"/>
                      <w:sz w:val="21"/>
                      <w:szCs w:val="21"/>
                      <w:u w:val="none"/>
                      <w:vertAlign w:val="baseline"/>
                      <w:lang w:val="en-US" w:eastAsia="zh-CN"/>
                    </w:rPr>
                    <w:t>本项目排放量（t/a）</w:t>
                  </w:r>
                </w:p>
              </w:tc>
              <w:tc>
                <w:tcPr>
                  <w:tcW w:w="871" w:type="dxa"/>
                  <w:tcBorders>
                    <w:tl2br w:val="nil"/>
                    <w:tr2bl w:val="nil"/>
                  </w:tcBorders>
                  <w:vAlign w:val="center"/>
                </w:tcPr>
                <w:p>
                  <w:pPr>
                    <w:numPr>
                      <w:ilvl w:val="0"/>
                      <w:numId w:val="0"/>
                    </w:numPr>
                    <w:bidi w:val="0"/>
                    <w:spacing w:line="240" w:lineRule="auto"/>
                    <w:ind w:left="0" w:leftChars="0" w:firstLine="0" w:firstLineChars="0"/>
                    <w:jc w:val="center"/>
                    <w:rPr>
                      <w:rFonts w:hint="default"/>
                      <w:color w:val="auto"/>
                      <w:sz w:val="21"/>
                      <w:szCs w:val="21"/>
                      <w:highlight w:val="yellow"/>
                      <w:u w:val="none"/>
                      <w:vertAlign w:val="baseline"/>
                      <w:lang w:val="en-US" w:eastAsia="zh-CN"/>
                    </w:rPr>
                  </w:pPr>
                  <w:r>
                    <w:rPr>
                      <w:rFonts w:hint="eastAsia"/>
                      <w:b/>
                      <w:bCs/>
                      <w:color w:val="auto"/>
                      <w:sz w:val="21"/>
                      <w:szCs w:val="21"/>
                      <w:u w:val="none"/>
                      <w:vertAlign w:val="baseline"/>
                      <w:lang w:val="en-US" w:eastAsia="zh-CN"/>
                    </w:rPr>
                    <w:t>“以新带老”消减量（t/a）</w:t>
                  </w:r>
                </w:p>
              </w:tc>
              <w:tc>
                <w:tcPr>
                  <w:tcW w:w="912" w:type="dxa"/>
                  <w:tcBorders>
                    <w:tl2br w:val="nil"/>
                    <w:tr2bl w:val="nil"/>
                  </w:tcBorders>
                  <w:vAlign w:val="center"/>
                </w:tcPr>
                <w:p>
                  <w:pPr>
                    <w:numPr>
                      <w:ilvl w:val="0"/>
                      <w:numId w:val="0"/>
                    </w:numPr>
                    <w:bidi w:val="0"/>
                    <w:spacing w:line="240" w:lineRule="auto"/>
                    <w:ind w:left="0" w:leftChars="0" w:firstLine="0" w:firstLineChars="0"/>
                    <w:jc w:val="center"/>
                    <w:rPr>
                      <w:rFonts w:hint="default"/>
                      <w:color w:val="auto"/>
                      <w:sz w:val="21"/>
                      <w:szCs w:val="21"/>
                      <w:highlight w:val="yellow"/>
                      <w:u w:val="none"/>
                      <w:vertAlign w:val="baseline"/>
                      <w:lang w:val="en-US" w:eastAsia="zh-CN"/>
                    </w:rPr>
                  </w:pPr>
                  <w:r>
                    <w:rPr>
                      <w:rFonts w:hint="eastAsia"/>
                      <w:b/>
                      <w:bCs/>
                      <w:color w:val="auto"/>
                      <w:sz w:val="21"/>
                      <w:szCs w:val="21"/>
                      <w:u w:val="none"/>
                      <w:vertAlign w:val="baseline"/>
                      <w:lang w:val="en-US" w:eastAsia="zh-CN"/>
                    </w:rPr>
                    <w:t>增减量（t/a）</w:t>
                  </w:r>
                </w:p>
              </w:tc>
              <w:tc>
                <w:tcPr>
                  <w:tcW w:w="871" w:type="dxa"/>
                  <w:tcBorders>
                    <w:tl2br w:val="nil"/>
                    <w:tr2bl w:val="nil"/>
                  </w:tcBorders>
                  <w:vAlign w:val="center"/>
                </w:tcPr>
                <w:p>
                  <w:pPr>
                    <w:numPr>
                      <w:ilvl w:val="0"/>
                      <w:numId w:val="0"/>
                    </w:numPr>
                    <w:bidi w:val="0"/>
                    <w:spacing w:line="240" w:lineRule="auto"/>
                    <w:ind w:left="0" w:leftChars="0" w:firstLine="0" w:firstLineChars="0"/>
                    <w:jc w:val="center"/>
                    <w:rPr>
                      <w:rFonts w:hint="default"/>
                      <w:color w:val="auto"/>
                      <w:sz w:val="21"/>
                      <w:szCs w:val="21"/>
                      <w:highlight w:val="yellow"/>
                      <w:u w:val="none"/>
                      <w:vertAlign w:val="baseline"/>
                      <w:lang w:val="en-US" w:eastAsia="zh-CN"/>
                    </w:rPr>
                  </w:pPr>
                  <w:r>
                    <w:rPr>
                      <w:rFonts w:hint="eastAsia"/>
                      <w:b/>
                      <w:bCs/>
                      <w:color w:val="auto"/>
                      <w:sz w:val="21"/>
                      <w:szCs w:val="21"/>
                      <w:u w:val="none"/>
                      <w:vertAlign w:val="baseline"/>
                      <w:lang w:val="en-US" w:eastAsia="zh-CN"/>
                    </w:rPr>
                    <w:t>最终排放量（t/a）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1" w:type="dxa"/>
                  <w:vMerge w:val="restart"/>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废气</w:t>
                  </w:r>
                </w:p>
              </w:tc>
              <w:tc>
                <w:tcPr>
                  <w:tcW w:w="692"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烟尘</w:t>
                  </w:r>
                </w:p>
              </w:tc>
              <w:tc>
                <w:tcPr>
                  <w:tcW w:w="871"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0</w:t>
                  </w:r>
                </w:p>
              </w:tc>
              <w:tc>
                <w:tcPr>
                  <w:tcW w:w="1004"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0</w:t>
                  </w:r>
                </w:p>
              </w:tc>
              <w:tc>
                <w:tcPr>
                  <w:tcW w:w="899"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r>
                    <w:rPr>
                      <w:rFonts w:hint="eastAsia"/>
                      <w:lang w:val="en-US" w:eastAsia="zh-CN"/>
                    </w:rPr>
                    <w:t>0.12</w:t>
                  </w:r>
                </w:p>
              </w:tc>
              <w:tc>
                <w:tcPr>
                  <w:tcW w:w="871"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0</w:t>
                  </w:r>
                </w:p>
              </w:tc>
              <w:tc>
                <w:tcPr>
                  <w:tcW w:w="899" w:type="dxa"/>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default"/>
                      <w:color w:val="auto"/>
                      <w:sz w:val="21"/>
                      <w:szCs w:val="21"/>
                      <w:u w:val="none"/>
                      <w:vertAlign w:val="baseline"/>
                      <w:lang w:val="en-US" w:eastAsia="zh-CN"/>
                    </w:rPr>
                  </w:pPr>
                  <w:r>
                    <w:rPr>
                      <w:rFonts w:hint="eastAsia"/>
                      <w:lang w:val="en-US" w:eastAsia="zh-CN"/>
                    </w:rPr>
                    <w:t>0.12</w:t>
                  </w:r>
                </w:p>
              </w:tc>
              <w:tc>
                <w:tcPr>
                  <w:tcW w:w="871"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0</w:t>
                  </w:r>
                </w:p>
              </w:tc>
              <w:tc>
                <w:tcPr>
                  <w:tcW w:w="912" w:type="dxa"/>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default"/>
                      <w:color w:val="auto"/>
                      <w:sz w:val="21"/>
                      <w:szCs w:val="21"/>
                      <w:u w:val="none"/>
                      <w:vertAlign w:val="baseline"/>
                      <w:lang w:val="en-US" w:eastAsia="zh-CN"/>
                    </w:rPr>
                  </w:pPr>
                  <w:r>
                    <w:rPr>
                      <w:rFonts w:hint="eastAsia"/>
                      <w:lang w:val="en-US" w:eastAsia="zh-CN"/>
                    </w:rPr>
                    <w:t>+0.12</w:t>
                  </w:r>
                </w:p>
              </w:tc>
              <w:tc>
                <w:tcPr>
                  <w:tcW w:w="871" w:type="dxa"/>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default"/>
                      <w:color w:val="auto"/>
                      <w:sz w:val="21"/>
                      <w:szCs w:val="21"/>
                      <w:u w:val="none"/>
                      <w:vertAlign w:val="baseline"/>
                      <w:lang w:val="en-US" w:eastAsia="zh-CN"/>
                    </w:rPr>
                  </w:pPr>
                  <w:r>
                    <w:rPr>
                      <w:rFonts w:hint="eastAsia"/>
                      <w:lang w:val="en-US" w:eastAsia="zh-CN"/>
                    </w:rPr>
                    <w:t>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1" w:type="dxa"/>
                  <w:vMerge w:val="continue"/>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p>
              </w:tc>
              <w:tc>
                <w:tcPr>
                  <w:tcW w:w="692"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SO</w:t>
                  </w:r>
                  <w:r>
                    <w:rPr>
                      <w:rFonts w:hint="eastAsia"/>
                      <w:color w:val="auto"/>
                      <w:sz w:val="21"/>
                      <w:szCs w:val="21"/>
                      <w:u w:val="none"/>
                      <w:vertAlign w:val="subscript"/>
                      <w:lang w:val="en-US" w:eastAsia="zh-CN"/>
                    </w:rPr>
                    <w:t>2</w:t>
                  </w:r>
                </w:p>
              </w:tc>
              <w:tc>
                <w:tcPr>
                  <w:tcW w:w="871"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0</w:t>
                  </w:r>
                </w:p>
              </w:tc>
              <w:tc>
                <w:tcPr>
                  <w:tcW w:w="1004"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0</w:t>
                  </w:r>
                </w:p>
              </w:tc>
              <w:tc>
                <w:tcPr>
                  <w:tcW w:w="899"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r>
                    <w:rPr>
                      <w:rFonts w:hint="eastAsia"/>
                      <w:lang w:val="en-US" w:eastAsia="zh-CN"/>
                    </w:rPr>
                    <w:t>0.10</w:t>
                  </w:r>
                </w:p>
              </w:tc>
              <w:tc>
                <w:tcPr>
                  <w:tcW w:w="871"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0</w:t>
                  </w:r>
                </w:p>
              </w:tc>
              <w:tc>
                <w:tcPr>
                  <w:tcW w:w="899" w:type="dxa"/>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default"/>
                      <w:color w:val="auto"/>
                      <w:sz w:val="21"/>
                      <w:szCs w:val="21"/>
                      <w:u w:val="none"/>
                      <w:vertAlign w:val="baseline"/>
                      <w:lang w:val="en-US" w:eastAsia="zh-CN"/>
                    </w:rPr>
                  </w:pPr>
                  <w:r>
                    <w:rPr>
                      <w:rFonts w:hint="eastAsia"/>
                      <w:lang w:val="en-US" w:eastAsia="zh-CN"/>
                    </w:rPr>
                    <w:t>0.10</w:t>
                  </w:r>
                </w:p>
              </w:tc>
              <w:tc>
                <w:tcPr>
                  <w:tcW w:w="871"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0</w:t>
                  </w:r>
                </w:p>
              </w:tc>
              <w:tc>
                <w:tcPr>
                  <w:tcW w:w="912" w:type="dxa"/>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default"/>
                      <w:color w:val="auto"/>
                      <w:sz w:val="21"/>
                      <w:szCs w:val="21"/>
                      <w:u w:val="none"/>
                      <w:vertAlign w:val="baseline"/>
                      <w:lang w:val="en-US" w:eastAsia="zh-CN"/>
                    </w:rPr>
                  </w:pPr>
                  <w:r>
                    <w:rPr>
                      <w:rFonts w:hint="eastAsia"/>
                      <w:lang w:val="en-US" w:eastAsia="zh-CN"/>
                    </w:rPr>
                    <w:t>+0.10</w:t>
                  </w:r>
                </w:p>
              </w:tc>
              <w:tc>
                <w:tcPr>
                  <w:tcW w:w="871" w:type="dxa"/>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default"/>
                      <w:color w:val="auto"/>
                      <w:sz w:val="21"/>
                      <w:szCs w:val="21"/>
                      <w:u w:val="none"/>
                      <w:vertAlign w:val="baseline"/>
                      <w:lang w:val="en-US" w:eastAsia="zh-CN"/>
                    </w:rPr>
                  </w:pPr>
                  <w:r>
                    <w:rPr>
                      <w:rFonts w:hint="eastAsia"/>
                      <w:lang w:val="en-US" w:eastAsia="zh-CN"/>
                    </w:rPr>
                    <w:t>0.10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1" w:type="dxa"/>
                  <w:vMerge w:val="continue"/>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p>
              </w:tc>
              <w:tc>
                <w:tcPr>
                  <w:tcW w:w="692"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NO</w:t>
                  </w:r>
                  <w:r>
                    <w:rPr>
                      <w:rFonts w:hint="eastAsia"/>
                      <w:color w:val="auto"/>
                      <w:sz w:val="21"/>
                      <w:szCs w:val="21"/>
                      <w:u w:val="none"/>
                      <w:vertAlign w:val="subscript"/>
                      <w:lang w:val="en-US" w:eastAsia="zh-CN"/>
                    </w:rPr>
                    <w:t>X</w:t>
                  </w:r>
                </w:p>
              </w:tc>
              <w:tc>
                <w:tcPr>
                  <w:tcW w:w="871"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0</w:t>
                  </w:r>
                </w:p>
              </w:tc>
              <w:tc>
                <w:tcPr>
                  <w:tcW w:w="1004"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0</w:t>
                  </w:r>
                </w:p>
              </w:tc>
              <w:tc>
                <w:tcPr>
                  <w:tcW w:w="899"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r>
                    <w:rPr>
                      <w:rFonts w:hint="eastAsia"/>
                      <w:lang w:val="en-US" w:eastAsia="zh-CN"/>
                    </w:rPr>
                    <w:t>0.79</w:t>
                  </w:r>
                </w:p>
              </w:tc>
              <w:tc>
                <w:tcPr>
                  <w:tcW w:w="871"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0</w:t>
                  </w:r>
                </w:p>
              </w:tc>
              <w:tc>
                <w:tcPr>
                  <w:tcW w:w="899" w:type="dxa"/>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default"/>
                      <w:color w:val="auto"/>
                      <w:sz w:val="21"/>
                      <w:szCs w:val="21"/>
                      <w:u w:val="none"/>
                      <w:vertAlign w:val="baseline"/>
                      <w:lang w:val="en-US" w:eastAsia="zh-CN"/>
                    </w:rPr>
                  </w:pPr>
                  <w:r>
                    <w:rPr>
                      <w:rFonts w:hint="eastAsia"/>
                      <w:lang w:val="en-US" w:eastAsia="zh-CN"/>
                    </w:rPr>
                    <w:t>0.79</w:t>
                  </w:r>
                </w:p>
              </w:tc>
              <w:tc>
                <w:tcPr>
                  <w:tcW w:w="871"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0</w:t>
                  </w:r>
                </w:p>
              </w:tc>
              <w:tc>
                <w:tcPr>
                  <w:tcW w:w="912" w:type="dxa"/>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default"/>
                      <w:color w:val="auto"/>
                      <w:sz w:val="21"/>
                      <w:szCs w:val="21"/>
                      <w:u w:val="none"/>
                      <w:vertAlign w:val="baseline"/>
                      <w:lang w:val="en-US" w:eastAsia="zh-CN"/>
                    </w:rPr>
                  </w:pPr>
                  <w:r>
                    <w:rPr>
                      <w:rFonts w:hint="eastAsia"/>
                      <w:lang w:val="en-US" w:eastAsia="zh-CN"/>
                    </w:rPr>
                    <w:t>+0.79</w:t>
                  </w:r>
                </w:p>
              </w:tc>
              <w:tc>
                <w:tcPr>
                  <w:tcW w:w="871" w:type="dxa"/>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default"/>
                      <w:color w:val="auto"/>
                      <w:sz w:val="21"/>
                      <w:szCs w:val="21"/>
                      <w:u w:val="none"/>
                      <w:vertAlign w:val="baseline"/>
                      <w:lang w:val="en-US" w:eastAsia="zh-CN"/>
                    </w:rPr>
                  </w:pPr>
                  <w:r>
                    <w:rPr>
                      <w:rFonts w:hint="eastAsia"/>
                      <w:lang w:val="en-US" w:eastAsia="zh-CN"/>
                    </w:rPr>
                    <w:t>0.79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1" w:type="dxa"/>
                  <w:vMerge w:val="continue"/>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p>
              </w:tc>
              <w:tc>
                <w:tcPr>
                  <w:tcW w:w="692"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油烟</w:t>
                  </w:r>
                </w:p>
              </w:tc>
              <w:tc>
                <w:tcPr>
                  <w:tcW w:w="871"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0</w:t>
                  </w:r>
                </w:p>
              </w:tc>
              <w:tc>
                <w:tcPr>
                  <w:tcW w:w="1004"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0</w:t>
                  </w:r>
                </w:p>
              </w:tc>
              <w:tc>
                <w:tcPr>
                  <w:tcW w:w="899"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r>
                    <w:rPr>
                      <w:rFonts w:hint="eastAsia"/>
                      <w:lang w:val="en-US" w:eastAsia="zh-CN"/>
                    </w:rPr>
                    <w:t>0.81</w:t>
                  </w:r>
                </w:p>
              </w:tc>
              <w:tc>
                <w:tcPr>
                  <w:tcW w:w="871"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0.8019</w:t>
                  </w:r>
                </w:p>
              </w:tc>
              <w:tc>
                <w:tcPr>
                  <w:tcW w:w="899"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r>
                    <w:rPr>
                      <w:rFonts w:hint="eastAsia"/>
                      <w:lang w:val="en-US" w:eastAsia="zh-CN"/>
                    </w:rPr>
                    <w:t>0.0081</w:t>
                  </w:r>
                </w:p>
              </w:tc>
              <w:tc>
                <w:tcPr>
                  <w:tcW w:w="871"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0</w:t>
                  </w:r>
                </w:p>
              </w:tc>
              <w:tc>
                <w:tcPr>
                  <w:tcW w:w="912" w:type="dxa"/>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default"/>
                      <w:color w:val="auto"/>
                      <w:sz w:val="21"/>
                      <w:szCs w:val="21"/>
                      <w:u w:val="none"/>
                      <w:vertAlign w:val="baseline"/>
                      <w:lang w:val="en-US" w:eastAsia="zh-CN"/>
                    </w:rPr>
                  </w:pPr>
                  <w:r>
                    <w:rPr>
                      <w:rFonts w:hint="eastAsia"/>
                      <w:lang w:val="en-US" w:eastAsia="zh-CN"/>
                    </w:rPr>
                    <w:t>+0.0081</w:t>
                  </w:r>
                </w:p>
              </w:tc>
              <w:tc>
                <w:tcPr>
                  <w:tcW w:w="871" w:type="dxa"/>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default"/>
                      <w:color w:val="auto"/>
                      <w:sz w:val="21"/>
                      <w:szCs w:val="21"/>
                      <w:u w:val="none"/>
                      <w:vertAlign w:val="baseline"/>
                      <w:lang w:val="en-US" w:eastAsia="zh-CN"/>
                    </w:rPr>
                  </w:pPr>
                  <w:r>
                    <w:rPr>
                      <w:rFonts w:hint="eastAsia"/>
                      <w:lang w:val="en-US" w:eastAsia="zh-CN"/>
                    </w:rPr>
                    <w:t>0.0081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1" w:type="dxa"/>
                  <w:vMerge w:val="restart"/>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废水</w:t>
                  </w:r>
                </w:p>
              </w:tc>
              <w:tc>
                <w:tcPr>
                  <w:tcW w:w="692"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废水量</w:t>
                  </w:r>
                </w:p>
              </w:tc>
              <w:tc>
                <w:tcPr>
                  <w:tcW w:w="871"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0</w:t>
                  </w:r>
                </w:p>
              </w:tc>
              <w:tc>
                <w:tcPr>
                  <w:tcW w:w="1004" w:type="dxa"/>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30585.54</w:t>
                  </w:r>
                </w:p>
              </w:tc>
              <w:tc>
                <w:tcPr>
                  <w:tcW w:w="899" w:type="dxa"/>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u w:val="single"/>
                      <w:lang w:val="en-US" w:eastAsia="zh-CN"/>
                    </w:rPr>
                  </w:pPr>
                  <w:r>
                    <w:rPr>
                      <w:rFonts w:hint="eastAsia" w:cs="Times New Roman"/>
                      <w:u w:val="single"/>
                      <w:lang w:val="en-US" w:eastAsia="zh-CN"/>
                    </w:rPr>
                    <w:t>20235.6</w:t>
                  </w:r>
                </w:p>
              </w:tc>
              <w:tc>
                <w:tcPr>
                  <w:tcW w:w="871"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0</w:t>
                  </w:r>
                </w:p>
              </w:tc>
              <w:tc>
                <w:tcPr>
                  <w:tcW w:w="899"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single"/>
                      <w:vertAlign w:val="baseline"/>
                      <w:lang w:val="en-US" w:eastAsia="zh-CN"/>
                    </w:rPr>
                  </w:pPr>
                  <w:r>
                    <w:rPr>
                      <w:rFonts w:hint="eastAsia" w:cs="Times New Roman"/>
                      <w:u w:val="single"/>
                      <w:lang w:val="en-US" w:eastAsia="zh-CN"/>
                    </w:rPr>
                    <w:t>20235.6</w:t>
                  </w:r>
                </w:p>
              </w:tc>
              <w:tc>
                <w:tcPr>
                  <w:tcW w:w="871"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0</w:t>
                  </w:r>
                </w:p>
              </w:tc>
              <w:tc>
                <w:tcPr>
                  <w:tcW w:w="912" w:type="dxa"/>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default"/>
                      <w:color w:val="auto"/>
                      <w:sz w:val="21"/>
                      <w:szCs w:val="21"/>
                      <w:u w:val="single"/>
                      <w:vertAlign w:val="baseline"/>
                      <w:lang w:val="en-US" w:eastAsia="zh-CN"/>
                    </w:rPr>
                  </w:pPr>
                  <w:r>
                    <w:rPr>
                      <w:rFonts w:hint="eastAsia" w:ascii="Times New Roman" w:hAnsi="Times New Roman" w:eastAsia="宋体" w:cs="Times New Roman"/>
                      <w:u w:val="single"/>
                      <w:lang w:val="en-US" w:eastAsia="zh-CN"/>
                    </w:rPr>
                    <w:t>+</w:t>
                  </w:r>
                  <w:r>
                    <w:rPr>
                      <w:rFonts w:hint="eastAsia" w:cs="Times New Roman"/>
                      <w:u w:val="single"/>
                      <w:lang w:val="en-US" w:eastAsia="zh-CN"/>
                    </w:rPr>
                    <w:t>20235.6</w:t>
                  </w:r>
                </w:p>
              </w:tc>
              <w:tc>
                <w:tcPr>
                  <w:tcW w:w="871"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50821.14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1" w:type="dxa"/>
                  <w:vMerge w:val="continue"/>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p>
              </w:tc>
              <w:tc>
                <w:tcPr>
                  <w:tcW w:w="692"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COD</w:t>
                  </w:r>
                </w:p>
              </w:tc>
              <w:tc>
                <w:tcPr>
                  <w:tcW w:w="871"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0</w:t>
                  </w:r>
                </w:p>
              </w:tc>
              <w:tc>
                <w:tcPr>
                  <w:tcW w:w="1004"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single"/>
                      <w:vertAlign w:val="baseline"/>
                      <w:lang w:val="en-US" w:eastAsia="zh-CN"/>
                    </w:rPr>
                  </w:pPr>
                  <w:r>
                    <w:rPr>
                      <w:rFonts w:hint="eastAsia"/>
                      <w:color w:val="auto"/>
                      <w:szCs w:val="21"/>
                      <w:u w:val="single"/>
                      <w:lang w:val="en-US" w:eastAsia="zh-CN"/>
                    </w:rPr>
                    <w:t>7.65</w:t>
                  </w:r>
                </w:p>
              </w:tc>
              <w:tc>
                <w:tcPr>
                  <w:tcW w:w="899"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single"/>
                      <w:vertAlign w:val="baseline"/>
                      <w:lang w:val="en-US" w:eastAsia="zh-CN"/>
                    </w:rPr>
                  </w:pPr>
                  <w:r>
                    <w:rPr>
                      <w:rFonts w:hint="eastAsia"/>
                      <w:szCs w:val="21"/>
                      <w:u w:val="single"/>
                      <w:lang w:val="en-US" w:eastAsia="zh-CN"/>
                    </w:rPr>
                    <w:t>6.07</w:t>
                  </w:r>
                </w:p>
              </w:tc>
              <w:tc>
                <w:tcPr>
                  <w:tcW w:w="871"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1.01</w:t>
                  </w:r>
                </w:p>
              </w:tc>
              <w:tc>
                <w:tcPr>
                  <w:tcW w:w="899"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single"/>
                      <w:vertAlign w:val="baseline"/>
                      <w:lang w:val="en-US" w:eastAsia="zh-CN"/>
                    </w:rPr>
                  </w:pPr>
                  <w:r>
                    <w:rPr>
                      <w:rFonts w:hint="eastAsia"/>
                      <w:color w:val="auto"/>
                      <w:szCs w:val="21"/>
                      <w:u w:val="single"/>
                      <w:lang w:val="en-US" w:eastAsia="zh-CN"/>
                    </w:rPr>
                    <w:t>5.06</w:t>
                  </w:r>
                </w:p>
              </w:tc>
              <w:tc>
                <w:tcPr>
                  <w:tcW w:w="871"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0</w:t>
                  </w:r>
                </w:p>
              </w:tc>
              <w:tc>
                <w:tcPr>
                  <w:tcW w:w="912" w:type="dxa"/>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default"/>
                      <w:color w:val="auto"/>
                      <w:sz w:val="21"/>
                      <w:szCs w:val="21"/>
                      <w:u w:val="single"/>
                      <w:vertAlign w:val="baseline"/>
                      <w:lang w:val="en-US" w:eastAsia="zh-CN"/>
                    </w:rPr>
                  </w:pPr>
                  <w:r>
                    <w:rPr>
                      <w:rFonts w:hint="eastAsia"/>
                      <w:color w:val="auto"/>
                      <w:szCs w:val="21"/>
                      <w:u w:val="single"/>
                      <w:lang w:val="en-US" w:eastAsia="zh-CN"/>
                    </w:rPr>
                    <w:t>+5.06</w:t>
                  </w:r>
                </w:p>
              </w:tc>
              <w:tc>
                <w:tcPr>
                  <w:tcW w:w="871" w:type="dxa"/>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12.71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1" w:type="dxa"/>
                  <w:vMerge w:val="continue"/>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p>
              </w:tc>
              <w:tc>
                <w:tcPr>
                  <w:tcW w:w="692"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氨氮</w:t>
                  </w:r>
                </w:p>
              </w:tc>
              <w:tc>
                <w:tcPr>
                  <w:tcW w:w="871"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0</w:t>
                  </w:r>
                </w:p>
              </w:tc>
              <w:tc>
                <w:tcPr>
                  <w:tcW w:w="1004"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single"/>
                      <w:vertAlign w:val="baseline"/>
                      <w:lang w:val="en-US" w:eastAsia="zh-CN"/>
                    </w:rPr>
                  </w:pPr>
                  <w:r>
                    <w:rPr>
                      <w:rFonts w:hint="eastAsia"/>
                      <w:szCs w:val="21"/>
                      <w:u w:val="single"/>
                      <w:lang w:val="en-US" w:eastAsia="zh-CN"/>
                    </w:rPr>
                    <w:t>1.23</w:t>
                  </w:r>
                </w:p>
              </w:tc>
              <w:tc>
                <w:tcPr>
                  <w:tcW w:w="899"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single"/>
                      <w:vertAlign w:val="baseline"/>
                      <w:lang w:val="en-US" w:eastAsia="zh-CN"/>
                    </w:rPr>
                  </w:pPr>
                  <w:r>
                    <w:rPr>
                      <w:rFonts w:hint="eastAsia"/>
                      <w:szCs w:val="21"/>
                      <w:u w:val="single"/>
                      <w:lang w:val="en-US" w:eastAsia="zh-CN"/>
                    </w:rPr>
                    <w:t>0.81</w:t>
                  </w:r>
                </w:p>
              </w:tc>
              <w:tc>
                <w:tcPr>
                  <w:tcW w:w="871"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0</w:t>
                  </w:r>
                </w:p>
              </w:tc>
              <w:tc>
                <w:tcPr>
                  <w:tcW w:w="899"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single"/>
                      <w:vertAlign w:val="baseline"/>
                      <w:lang w:val="en-US" w:eastAsia="zh-CN"/>
                    </w:rPr>
                  </w:pPr>
                  <w:r>
                    <w:rPr>
                      <w:rFonts w:hint="eastAsia"/>
                      <w:szCs w:val="21"/>
                      <w:u w:val="single"/>
                      <w:lang w:val="en-US" w:eastAsia="zh-CN"/>
                    </w:rPr>
                    <w:t>0.81</w:t>
                  </w:r>
                </w:p>
              </w:tc>
              <w:tc>
                <w:tcPr>
                  <w:tcW w:w="871"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0</w:t>
                  </w:r>
                </w:p>
              </w:tc>
              <w:tc>
                <w:tcPr>
                  <w:tcW w:w="912" w:type="dxa"/>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default"/>
                      <w:color w:val="auto"/>
                      <w:sz w:val="21"/>
                      <w:szCs w:val="21"/>
                      <w:u w:val="single"/>
                      <w:vertAlign w:val="baseline"/>
                      <w:lang w:val="en-US" w:eastAsia="zh-CN"/>
                    </w:rPr>
                  </w:pPr>
                  <w:r>
                    <w:rPr>
                      <w:rFonts w:hint="eastAsia"/>
                      <w:szCs w:val="21"/>
                      <w:u w:val="single"/>
                      <w:lang w:val="en-US" w:eastAsia="zh-CN"/>
                    </w:rPr>
                    <w:t>+0.81</w:t>
                  </w:r>
                </w:p>
              </w:tc>
              <w:tc>
                <w:tcPr>
                  <w:tcW w:w="871" w:type="dxa"/>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2.04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1" w:type="dxa"/>
                  <w:vMerge w:val="restart"/>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固废</w:t>
                  </w:r>
                </w:p>
              </w:tc>
              <w:tc>
                <w:tcPr>
                  <w:tcW w:w="692"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一般固废</w:t>
                  </w:r>
                </w:p>
              </w:tc>
              <w:tc>
                <w:tcPr>
                  <w:tcW w:w="871"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0</w:t>
                  </w:r>
                </w:p>
              </w:tc>
              <w:tc>
                <w:tcPr>
                  <w:tcW w:w="1004"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6.01</w:t>
                  </w:r>
                </w:p>
              </w:tc>
              <w:tc>
                <w:tcPr>
                  <w:tcW w:w="899" w:type="dxa"/>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6.0</w:t>
                  </w:r>
                </w:p>
              </w:tc>
              <w:tc>
                <w:tcPr>
                  <w:tcW w:w="871"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0</w:t>
                  </w:r>
                </w:p>
              </w:tc>
              <w:tc>
                <w:tcPr>
                  <w:tcW w:w="899" w:type="dxa"/>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6.0</w:t>
                  </w:r>
                </w:p>
              </w:tc>
              <w:tc>
                <w:tcPr>
                  <w:tcW w:w="871"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0</w:t>
                  </w:r>
                </w:p>
              </w:tc>
              <w:tc>
                <w:tcPr>
                  <w:tcW w:w="912" w:type="dxa"/>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+6.0</w:t>
                  </w:r>
                </w:p>
              </w:tc>
              <w:tc>
                <w:tcPr>
                  <w:tcW w:w="871" w:type="dxa"/>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12.01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1" w:type="dxa"/>
                  <w:vMerge w:val="continue"/>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p>
              </w:tc>
              <w:tc>
                <w:tcPr>
                  <w:tcW w:w="692"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危险废物</w:t>
                  </w:r>
                </w:p>
              </w:tc>
              <w:tc>
                <w:tcPr>
                  <w:tcW w:w="871"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0</w:t>
                  </w:r>
                </w:p>
              </w:tc>
              <w:tc>
                <w:tcPr>
                  <w:tcW w:w="1004"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97.993</w:t>
                  </w:r>
                </w:p>
              </w:tc>
              <w:tc>
                <w:tcPr>
                  <w:tcW w:w="899" w:type="dxa"/>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9.4</w:t>
                  </w:r>
                </w:p>
              </w:tc>
              <w:tc>
                <w:tcPr>
                  <w:tcW w:w="871"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0</w:t>
                  </w:r>
                </w:p>
              </w:tc>
              <w:tc>
                <w:tcPr>
                  <w:tcW w:w="899" w:type="dxa"/>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9.4</w:t>
                  </w:r>
                </w:p>
              </w:tc>
              <w:tc>
                <w:tcPr>
                  <w:tcW w:w="871"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0</w:t>
                  </w:r>
                </w:p>
              </w:tc>
              <w:tc>
                <w:tcPr>
                  <w:tcW w:w="912" w:type="dxa"/>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+9.4</w:t>
                  </w:r>
                </w:p>
              </w:tc>
              <w:tc>
                <w:tcPr>
                  <w:tcW w:w="871" w:type="dxa"/>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107.393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1" w:type="dxa"/>
                  <w:vMerge w:val="continue"/>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p>
              </w:tc>
              <w:tc>
                <w:tcPr>
                  <w:tcW w:w="692"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生活垃圾</w:t>
                  </w:r>
                </w:p>
              </w:tc>
              <w:tc>
                <w:tcPr>
                  <w:tcW w:w="871"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0</w:t>
                  </w:r>
                </w:p>
              </w:tc>
              <w:tc>
                <w:tcPr>
                  <w:tcW w:w="1004" w:type="dxa"/>
                  <w:tcBorders>
                    <w:tl2br w:val="nil"/>
                    <w:tr2bl w:val="nil"/>
                  </w:tcBorders>
                  <w:vAlign w:val="center"/>
                </w:tcPr>
                <w:p>
                  <w:pPr>
                    <w:numPr>
                      <w:ilvl w:val="0"/>
                      <w:numId w:val="0"/>
                    </w:numPr>
                    <w:adjustRightInd w:val="0"/>
                    <w:snapToGrid w:val="0"/>
                    <w:spacing w:line="240" w:lineRule="auto"/>
                    <w:jc w:val="center"/>
                    <w:rPr>
                      <w:rFonts w:hint="default" w:eastAsia="宋体"/>
                      <w:color w:val="auto"/>
                      <w:sz w:val="21"/>
                      <w:szCs w:val="21"/>
                      <w:u w:val="none"/>
                      <w:vertAlign w:val="baseline"/>
                      <w:lang w:val="en-US" w:eastAsia="zh-CN"/>
                    </w:rPr>
                  </w:pPr>
                  <w:r>
                    <w:rPr>
                      <w:rFonts w:hint="eastAsia"/>
                      <w:szCs w:val="21"/>
                    </w:rPr>
                    <w:t>109.</w:t>
                  </w:r>
                  <w:r>
                    <w:rPr>
                      <w:rFonts w:hint="eastAsia"/>
                      <w:szCs w:val="21"/>
                      <w:lang w:val="en-US" w:eastAsia="zh-CN"/>
                    </w:rPr>
                    <w:t>40</w:t>
                  </w:r>
                </w:p>
              </w:tc>
              <w:tc>
                <w:tcPr>
                  <w:tcW w:w="899" w:type="dxa"/>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50.96</w:t>
                  </w:r>
                </w:p>
              </w:tc>
              <w:tc>
                <w:tcPr>
                  <w:tcW w:w="871"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0</w:t>
                  </w:r>
                </w:p>
              </w:tc>
              <w:tc>
                <w:tcPr>
                  <w:tcW w:w="899" w:type="dxa"/>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50.96</w:t>
                  </w:r>
                </w:p>
              </w:tc>
              <w:tc>
                <w:tcPr>
                  <w:tcW w:w="871" w:type="dxa"/>
                  <w:tcBorders>
                    <w:tl2br w:val="nil"/>
                    <w:tr2bl w:val="nil"/>
                  </w:tcBorders>
                  <w:vAlign w:val="center"/>
                </w:tcPr>
                <w:p>
                  <w:pPr>
                    <w:numPr>
                      <w:ilvl w:val="0"/>
                      <w:numId w:val="0"/>
                    </w:numPr>
                    <w:adjustRightInd w:val="0"/>
                    <w:snapToGrid w:val="0"/>
                    <w:spacing w:line="240" w:lineRule="auto"/>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0</w:t>
                  </w:r>
                </w:p>
              </w:tc>
              <w:tc>
                <w:tcPr>
                  <w:tcW w:w="912" w:type="dxa"/>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+50.96</w:t>
                  </w:r>
                </w:p>
              </w:tc>
              <w:tc>
                <w:tcPr>
                  <w:tcW w:w="871" w:type="dxa"/>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default"/>
                      <w:color w:val="auto"/>
                      <w:sz w:val="21"/>
                      <w:szCs w:val="21"/>
                      <w:u w:val="none"/>
                      <w:vertAlign w:val="baseline"/>
                      <w:lang w:val="en-US" w:eastAsia="zh-CN"/>
                    </w:rPr>
                  </w:pPr>
                  <w:r>
                    <w:rPr>
                      <w:rFonts w:hint="eastAsia"/>
                      <w:color w:val="auto"/>
                      <w:sz w:val="21"/>
                      <w:szCs w:val="21"/>
                      <w:u w:val="none"/>
                      <w:vertAlign w:val="baseline"/>
                      <w:lang w:val="en-US" w:eastAsia="zh-CN"/>
                    </w:rPr>
                    <w:t>160.36</w:t>
                  </w:r>
                </w:p>
              </w:tc>
            </w:tr>
          </w:tbl>
          <w:p>
            <w:pPr>
              <w:spacing w:line="360" w:lineRule="auto"/>
              <w:ind w:firstLine="480" w:firstLineChars="200"/>
              <w:jc w:val="both"/>
              <w:rPr>
                <w:rFonts w:hint="default"/>
                <w:sz w:val="24"/>
                <w:lang w:val="en-US" w:eastAsia="zh-CN"/>
              </w:rPr>
            </w:pPr>
            <w:r>
              <w:rPr>
                <w:rFonts w:hint="eastAsia"/>
                <w:sz w:val="24"/>
                <w:lang w:val="en-US" w:eastAsia="zh-CN"/>
              </w:rPr>
              <w:t>注：原有工程指：湘阴县妇女儿童医院（二期）建设项目。</w:t>
            </w:r>
          </w:p>
          <w:p>
            <w:pPr>
              <w:spacing w:line="360" w:lineRule="auto"/>
              <w:ind w:firstLine="480" w:firstLineChars="200"/>
              <w:jc w:val="both"/>
              <w:rPr>
                <w:rFonts w:hint="default"/>
                <w:sz w:val="24"/>
                <w:lang w:val="en-US" w:eastAsia="zh-CN"/>
              </w:rPr>
            </w:pPr>
          </w:p>
          <w:p>
            <w:pPr>
              <w:spacing w:line="360" w:lineRule="auto"/>
              <w:ind w:firstLine="480" w:firstLineChars="200"/>
              <w:jc w:val="both"/>
              <w:rPr>
                <w:rFonts w:hint="default"/>
                <w:sz w:val="24"/>
                <w:lang w:val="en-US" w:eastAsia="zh-CN"/>
              </w:rPr>
            </w:pPr>
          </w:p>
          <w:p>
            <w:pPr>
              <w:spacing w:line="360" w:lineRule="auto"/>
              <w:ind w:firstLine="480" w:firstLineChars="200"/>
              <w:jc w:val="both"/>
              <w:rPr>
                <w:rFonts w:hint="default"/>
                <w:sz w:val="24"/>
                <w:lang w:val="en-US" w:eastAsia="zh-CN"/>
              </w:rPr>
            </w:pPr>
          </w:p>
          <w:p>
            <w:pPr>
              <w:spacing w:line="360" w:lineRule="auto"/>
              <w:ind w:firstLine="480" w:firstLineChars="200"/>
              <w:jc w:val="both"/>
              <w:rPr>
                <w:rFonts w:hint="default"/>
                <w:sz w:val="24"/>
                <w:lang w:val="en-US" w:eastAsia="zh-CN"/>
              </w:rPr>
            </w:pPr>
          </w:p>
        </w:tc>
      </w:tr>
    </w:tbl>
    <w:p>
      <w:pPr>
        <w:pStyle w:val="22"/>
        <w:jc w:val="center"/>
        <w:rPr>
          <w:rFonts w:ascii="黑体" w:hAnsi="黑体" w:eastAsia="黑体"/>
          <w:snapToGrid w:val="0"/>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2"/>
        <w:jc w:val="center"/>
        <w:outlineLvl w:val="0"/>
        <w:rPr>
          <w:rFonts w:ascii="黑体" w:hAnsi="黑体" w:eastAsia="黑体"/>
          <w:snapToGrid w:val="0"/>
          <w:sz w:val="30"/>
          <w:szCs w:val="30"/>
        </w:rPr>
      </w:pPr>
      <w:bookmarkStart w:id="6" w:name="_Toc27826"/>
      <w:r>
        <w:rPr>
          <w:rFonts w:hint="eastAsia" w:ascii="黑体" w:hAnsi="黑体" w:eastAsia="黑体"/>
          <w:snapToGrid w:val="0"/>
          <w:sz w:val="30"/>
          <w:szCs w:val="30"/>
        </w:rPr>
        <w:t>三、区域环境质量现状、环境保护目标及评价标准</w:t>
      </w:r>
      <w:bookmarkEnd w:id="6"/>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26"/>
        <w:gridCol w:w="836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626" w:type="dxa"/>
            <w:noWrap w:val="0"/>
            <w:vAlign w:val="center"/>
          </w:tcPr>
          <w:p>
            <w:pPr>
              <w:adjustRightInd w:val="0"/>
              <w:snapToGrid w:val="0"/>
              <w:jc w:val="center"/>
              <w:rPr>
                <w:rFonts w:hint="eastAsia" w:ascii="宋体" w:hAnsi="宋体" w:cs="宋体"/>
                <w:kern w:val="0"/>
                <w:szCs w:val="21"/>
              </w:rPr>
            </w:pPr>
            <w:r>
              <w:rPr>
                <w:rFonts w:hint="eastAsia" w:ascii="宋体" w:hAnsi="宋体" w:cs="宋体"/>
                <w:kern w:val="0"/>
                <w:szCs w:val="21"/>
              </w:rPr>
              <w:t>区域</w:t>
            </w:r>
          </w:p>
          <w:p>
            <w:pPr>
              <w:adjustRightInd w:val="0"/>
              <w:snapToGrid w:val="0"/>
              <w:jc w:val="center"/>
              <w:rPr>
                <w:rFonts w:hint="eastAsia" w:ascii="宋体" w:hAnsi="宋体" w:cs="宋体"/>
                <w:kern w:val="0"/>
                <w:szCs w:val="21"/>
              </w:rPr>
            </w:pPr>
            <w:r>
              <w:rPr>
                <w:rFonts w:hint="eastAsia" w:ascii="宋体" w:hAnsi="宋体" w:cs="宋体"/>
                <w:kern w:val="0"/>
                <w:szCs w:val="21"/>
              </w:rPr>
              <w:t>环境</w:t>
            </w:r>
          </w:p>
          <w:p>
            <w:pPr>
              <w:adjustRightInd w:val="0"/>
              <w:snapToGrid w:val="0"/>
              <w:jc w:val="center"/>
              <w:rPr>
                <w:rFonts w:hint="eastAsia" w:ascii="宋体" w:hAnsi="宋体" w:cs="宋体"/>
                <w:kern w:val="0"/>
                <w:szCs w:val="21"/>
              </w:rPr>
            </w:pPr>
            <w:r>
              <w:rPr>
                <w:rFonts w:hint="eastAsia" w:ascii="宋体" w:hAnsi="宋体" w:cs="宋体"/>
                <w:kern w:val="0"/>
                <w:szCs w:val="21"/>
              </w:rPr>
              <w:t>质量</w:t>
            </w:r>
          </w:p>
          <w:p>
            <w:pPr>
              <w:adjustRightInd w:val="0"/>
              <w:snapToGrid w:val="0"/>
              <w:jc w:val="center"/>
              <w:rPr>
                <w:rFonts w:ascii="宋体" w:hAnsi="宋体" w:cs="宋体"/>
                <w:kern w:val="0"/>
                <w:szCs w:val="21"/>
              </w:rPr>
            </w:pPr>
            <w:r>
              <w:rPr>
                <w:rFonts w:hint="eastAsia" w:ascii="宋体" w:hAnsi="宋体" w:cs="宋体"/>
                <w:kern w:val="0"/>
                <w:szCs w:val="21"/>
              </w:rPr>
              <w:t>现状</w:t>
            </w:r>
          </w:p>
        </w:tc>
        <w:tc>
          <w:tcPr>
            <w:tcW w:w="8364" w:type="dxa"/>
            <w:noWrap w:val="0"/>
            <w:vAlign w:val="center"/>
          </w:tcPr>
          <w:p>
            <w:pPr>
              <w:pStyle w:val="56"/>
              <w:ind w:firstLine="480"/>
              <w:rPr>
                <w:rFonts w:hint="eastAsia"/>
                <w:szCs w:val="24"/>
              </w:rPr>
            </w:pPr>
            <w:r>
              <w:rPr>
                <w:rFonts w:hint="eastAsia"/>
                <w:szCs w:val="24"/>
              </w:rPr>
              <w:t>（1）空气质量达标区判定</w:t>
            </w:r>
          </w:p>
          <w:p>
            <w:pPr>
              <w:adjustRightInd w:val="0"/>
              <w:snapToGrid w:val="0"/>
              <w:spacing w:line="360" w:lineRule="auto"/>
              <w:ind w:firstLine="480" w:firstLineChars="200"/>
              <w:rPr>
                <w:sz w:val="24"/>
              </w:rPr>
            </w:pPr>
            <w:r>
              <w:rPr>
                <w:rFonts w:hint="eastAsia"/>
                <w:sz w:val="24"/>
              </w:rPr>
              <w:t>根据《环境影响评价技术导则</w:t>
            </w:r>
            <w:r>
              <w:rPr>
                <w:sz w:val="24"/>
              </w:rPr>
              <w:t>-</w:t>
            </w:r>
            <w:r>
              <w:rPr>
                <w:rFonts w:hint="eastAsia"/>
                <w:sz w:val="24"/>
              </w:rPr>
              <w:t>大气环境》（</w:t>
            </w:r>
            <w:r>
              <w:rPr>
                <w:sz w:val="24"/>
              </w:rPr>
              <w:t>HJ2.2-2018</w:t>
            </w:r>
            <w:r>
              <w:rPr>
                <w:rFonts w:hint="eastAsia"/>
                <w:sz w:val="24"/>
              </w:rPr>
              <w:t>）中</w:t>
            </w:r>
            <w:r>
              <w:rPr>
                <w:sz w:val="24"/>
              </w:rPr>
              <w:t>“</w:t>
            </w:r>
            <w:r>
              <w:rPr>
                <w:rFonts w:hint="eastAsia"/>
                <w:sz w:val="24"/>
              </w:rPr>
              <w:t>依据评价所需环境空气质量现状、气象资料等数据的可获得性、数据质量、代表性等因素，选择近</w:t>
            </w:r>
            <w:r>
              <w:rPr>
                <w:sz w:val="24"/>
              </w:rPr>
              <w:t>3</w:t>
            </w:r>
            <w:r>
              <w:rPr>
                <w:rFonts w:hint="eastAsia"/>
                <w:sz w:val="24"/>
              </w:rPr>
              <w:t>年中数据相对完整的</w:t>
            </w:r>
            <w:r>
              <w:rPr>
                <w:sz w:val="24"/>
              </w:rPr>
              <w:t>1</w:t>
            </w:r>
            <w:r>
              <w:rPr>
                <w:rFonts w:hint="eastAsia"/>
                <w:sz w:val="24"/>
              </w:rPr>
              <w:t>个日历年作为评价基准年</w:t>
            </w:r>
            <w:r>
              <w:rPr>
                <w:sz w:val="24"/>
              </w:rPr>
              <w:t>”</w:t>
            </w:r>
            <w:r>
              <w:rPr>
                <w:rFonts w:hint="eastAsia"/>
                <w:sz w:val="24"/>
              </w:rPr>
              <w:t>的内容，本项目筛选的评价基准年为2020年。本项目区域达标判定所用数据引用岳阳市生态环境局湘阴县分局发布的《湘阴县环境空气质量指数统计表（2020）年》，并且与评价范围地理位置</w:t>
            </w:r>
            <w:r>
              <w:rPr>
                <w:rFonts w:hint="eastAsia"/>
                <w:sz w:val="24"/>
                <w:lang w:eastAsia="zh-CN"/>
              </w:rPr>
              <w:t>接近</w:t>
            </w:r>
            <w:r>
              <w:rPr>
                <w:rFonts w:hint="eastAsia"/>
                <w:sz w:val="24"/>
              </w:rPr>
              <w:t>，地形、气候条件相近，故引用数据来源可靠，有效性符合导则要求。</w:t>
            </w:r>
          </w:p>
          <w:p>
            <w:pPr>
              <w:pStyle w:val="57"/>
              <w:rPr>
                <w:rFonts w:hint="eastAsia"/>
                <w:sz w:val="21"/>
                <w:szCs w:val="21"/>
              </w:rPr>
            </w:pPr>
            <w:r>
              <w:rPr>
                <w:sz w:val="21"/>
                <w:szCs w:val="21"/>
              </w:rPr>
              <w:t>表</w:t>
            </w:r>
            <w:r>
              <w:rPr>
                <w:rFonts w:hint="eastAsia"/>
                <w:sz w:val="21"/>
                <w:szCs w:val="21"/>
              </w:rPr>
              <w:t>3-1</w:t>
            </w:r>
            <w:r>
              <w:rPr>
                <w:sz w:val="21"/>
                <w:szCs w:val="21"/>
              </w:rPr>
              <w:t xml:space="preserve">  </w:t>
            </w:r>
            <w:r>
              <w:rPr>
                <w:rFonts w:hint="eastAsia"/>
                <w:sz w:val="21"/>
                <w:szCs w:val="21"/>
              </w:rPr>
              <w:t>2020年湘阴县区域空气质量现状评价</w:t>
            </w:r>
            <w:r>
              <w:rPr>
                <w:sz w:val="21"/>
                <w:szCs w:val="21"/>
              </w:rPr>
              <w:t>表</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5"/>
              <w:gridCol w:w="1926"/>
              <w:gridCol w:w="1250"/>
              <w:gridCol w:w="1355"/>
              <w:gridCol w:w="1206"/>
              <w:gridCol w:w="12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724" w:type="pct"/>
                  <w:tcBorders>
                    <w:top w:val="single" w:color="auto" w:sz="12" w:space="0"/>
                    <w:left w:val="single" w:color="auto" w:sz="12" w:space="0"/>
                    <w:bottom w:val="single" w:color="auto" w:sz="4" w:space="0"/>
                    <w:right w:val="single" w:color="auto" w:sz="4" w:space="0"/>
                  </w:tcBorders>
                  <w:noWrap w:val="0"/>
                  <w:vAlign w:val="center"/>
                </w:tcPr>
                <w:p>
                  <w:pPr>
                    <w:adjustRightInd w:val="0"/>
                    <w:snapToGrid w:val="0"/>
                    <w:jc w:val="center"/>
                  </w:pPr>
                  <w:r>
                    <w:t>污染物</w:t>
                  </w:r>
                </w:p>
              </w:tc>
              <w:tc>
                <w:tcPr>
                  <w:tcW w:w="1186" w:type="pct"/>
                  <w:tcBorders>
                    <w:top w:val="single" w:color="auto" w:sz="12" w:space="0"/>
                    <w:left w:val="single" w:color="auto" w:sz="4" w:space="0"/>
                    <w:bottom w:val="single" w:color="auto" w:sz="4" w:space="0"/>
                    <w:right w:val="single" w:color="auto" w:sz="4" w:space="0"/>
                  </w:tcBorders>
                  <w:noWrap w:val="0"/>
                  <w:vAlign w:val="center"/>
                </w:tcPr>
                <w:p>
                  <w:pPr>
                    <w:adjustRightInd w:val="0"/>
                    <w:snapToGrid w:val="0"/>
                    <w:jc w:val="center"/>
                  </w:pPr>
                  <w:r>
                    <w:t>评价指标</w:t>
                  </w:r>
                </w:p>
              </w:tc>
              <w:tc>
                <w:tcPr>
                  <w:tcW w:w="769" w:type="pct"/>
                  <w:tcBorders>
                    <w:top w:val="single" w:color="auto" w:sz="12" w:space="0"/>
                    <w:left w:val="single" w:color="auto" w:sz="4" w:space="0"/>
                    <w:bottom w:val="single" w:color="auto" w:sz="4" w:space="0"/>
                    <w:right w:val="single" w:color="auto" w:sz="4" w:space="0"/>
                  </w:tcBorders>
                  <w:noWrap w:val="0"/>
                  <w:vAlign w:val="center"/>
                </w:tcPr>
                <w:p>
                  <w:pPr>
                    <w:adjustRightInd w:val="0"/>
                    <w:snapToGrid w:val="0"/>
                    <w:jc w:val="center"/>
                  </w:pPr>
                  <w:r>
                    <w:t>现状浓度</w:t>
                  </w:r>
                </w:p>
                <w:p>
                  <w:pPr>
                    <w:adjustRightInd w:val="0"/>
                    <w:snapToGrid w:val="0"/>
                    <w:jc w:val="center"/>
                  </w:pPr>
                  <w:r>
                    <w:t>（μg/m³）</w:t>
                  </w:r>
                </w:p>
              </w:tc>
              <w:tc>
                <w:tcPr>
                  <w:tcW w:w="834" w:type="pct"/>
                  <w:tcBorders>
                    <w:top w:val="single" w:color="auto" w:sz="12" w:space="0"/>
                    <w:left w:val="single" w:color="auto" w:sz="4" w:space="0"/>
                    <w:bottom w:val="single" w:color="auto" w:sz="4" w:space="0"/>
                    <w:right w:val="single" w:color="auto" w:sz="4" w:space="0"/>
                  </w:tcBorders>
                  <w:noWrap w:val="0"/>
                  <w:vAlign w:val="center"/>
                </w:tcPr>
                <w:p>
                  <w:pPr>
                    <w:adjustRightInd w:val="0"/>
                    <w:snapToGrid w:val="0"/>
                    <w:jc w:val="center"/>
                  </w:pPr>
                  <w:r>
                    <w:t>标准值</w:t>
                  </w:r>
                </w:p>
                <w:p>
                  <w:pPr>
                    <w:adjustRightInd w:val="0"/>
                    <w:snapToGrid w:val="0"/>
                    <w:jc w:val="center"/>
                  </w:pPr>
                  <w:r>
                    <w:t>（μg/m³）</w:t>
                  </w:r>
                </w:p>
              </w:tc>
              <w:tc>
                <w:tcPr>
                  <w:tcW w:w="742" w:type="pct"/>
                  <w:tcBorders>
                    <w:top w:val="single" w:color="auto" w:sz="12" w:space="0"/>
                    <w:left w:val="single" w:color="auto" w:sz="4" w:space="0"/>
                    <w:bottom w:val="single" w:color="auto" w:sz="4" w:space="0"/>
                    <w:right w:val="single" w:color="auto" w:sz="4" w:space="0"/>
                  </w:tcBorders>
                  <w:noWrap w:val="0"/>
                  <w:vAlign w:val="center"/>
                </w:tcPr>
                <w:p>
                  <w:pPr>
                    <w:adjustRightInd w:val="0"/>
                    <w:snapToGrid w:val="0"/>
                    <w:jc w:val="center"/>
                  </w:pPr>
                  <w:r>
                    <w:rPr>
                      <w:rFonts w:hint="eastAsia"/>
                    </w:rPr>
                    <w:t>标准指数</w:t>
                  </w:r>
                </w:p>
              </w:tc>
              <w:tc>
                <w:tcPr>
                  <w:tcW w:w="742" w:type="pct"/>
                  <w:tcBorders>
                    <w:top w:val="single" w:color="auto" w:sz="12" w:space="0"/>
                    <w:left w:val="single" w:color="auto" w:sz="4" w:space="0"/>
                    <w:bottom w:val="single" w:color="auto" w:sz="4" w:space="0"/>
                    <w:right w:val="single" w:color="auto" w:sz="12" w:space="0"/>
                  </w:tcBorders>
                  <w:noWrap w:val="0"/>
                  <w:vAlign w:val="center"/>
                </w:tcPr>
                <w:p>
                  <w:pPr>
                    <w:adjustRightInd w:val="0"/>
                    <w:snapToGrid w:val="0"/>
                    <w:jc w:val="center"/>
                  </w:pPr>
                  <w: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724" w:type="pct"/>
                  <w:tcBorders>
                    <w:top w:val="single" w:color="auto" w:sz="4" w:space="0"/>
                    <w:left w:val="single" w:color="auto" w:sz="12" w:space="0"/>
                    <w:bottom w:val="single" w:color="auto" w:sz="4" w:space="0"/>
                    <w:right w:val="single" w:color="auto" w:sz="4" w:space="0"/>
                  </w:tcBorders>
                  <w:noWrap w:val="0"/>
                  <w:vAlign w:val="center"/>
                </w:tcPr>
                <w:p>
                  <w:pPr>
                    <w:adjustRightInd w:val="0"/>
                    <w:snapToGrid w:val="0"/>
                    <w:jc w:val="center"/>
                  </w:pPr>
                  <w:r>
                    <w:t>PM</w:t>
                  </w:r>
                  <w:r>
                    <w:rPr>
                      <w:vertAlign w:val="subscript"/>
                    </w:rPr>
                    <w:t>10</w:t>
                  </w:r>
                </w:p>
              </w:tc>
              <w:tc>
                <w:tcPr>
                  <w:tcW w:w="118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pPr>
                  <w:r>
                    <w:t>年平均</w:t>
                  </w:r>
                </w:p>
              </w:tc>
              <w:tc>
                <w:tcPr>
                  <w:tcW w:w="76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pPr>
                  <w:r>
                    <w:rPr>
                      <w:rFonts w:hint="eastAsia"/>
                    </w:rPr>
                    <w:t>42</w:t>
                  </w:r>
                </w:p>
              </w:tc>
              <w:tc>
                <w:tcPr>
                  <w:tcW w:w="83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pPr>
                  <w:r>
                    <w:t>70</w:t>
                  </w:r>
                </w:p>
              </w:tc>
              <w:tc>
                <w:tcPr>
                  <w:tcW w:w="74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pPr>
                  <w:r>
                    <w:rPr>
                      <w:rFonts w:hint="eastAsia"/>
                    </w:rPr>
                    <w:t>0.6</w:t>
                  </w:r>
                </w:p>
              </w:tc>
              <w:tc>
                <w:tcPr>
                  <w:tcW w:w="742" w:type="pct"/>
                  <w:tcBorders>
                    <w:top w:val="single" w:color="auto" w:sz="4" w:space="0"/>
                    <w:left w:val="single" w:color="auto" w:sz="4" w:space="0"/>
                    <w:bottom w:val="single" w:color="auto" w:sz="4" w:space="0"/>
                    <w:right w:val="single" w:color="auto" w:sz="12" w:space="0"/>
                  </w:tcBorders>
                  <w:noWrap w:val="0"/>
                  <w:vAlign w:val="center"/>
                </w:tcPr>
                <w:p>
                  <w:pPr>
                    <w:adjustRightInd w:val="0"/>
                    <w:snapToGrid w:val="0"/>
                    <w:jc w:val="center"/>
                  </w:pPr>
                  <w: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724" w:type="pct"/>
                  <w:tcBorders>
                    <w:top w:val="single" w:color="auto" w:sz="4" w:space="0"/>
                    <w:left w:val="single" w:color="auto" w:sz="12" w:space="0"/>
                    <w:bottom w:val="single" w:color="auto" w:sz="4" w:space="0"/>
                    <w:right w:val="single" w:color="auto" w:sz="4" w:space="0"/>
                  </w:tcBorders>
                  <w:noWrap w:val="0"/>
                  <w:vAlign w:val="center"/>
                </w:tcPr>
                <w:p>
                  <w:pPr>
                    <w:adjustRightInd w:val="0"/>
                    <w:snapToGrid w:val="0"/>
                    <w:jc w:val="center"/>
                  </w:pPr>
                  <w:r>
                    <w:t>PM</w:t>
                  </w:r>
                  <w:r>
                    <w:rPr>
                      <w:vertAlign w:val="subscript"/>
                    </w:rPr>
                    <w:t>2.5</w:t>
                  </w:r>
                </w:p>
              </w:tc>
              <w:tc>
                <w:tcPr>
                  <w:tcW w:w="118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pPr>
                  <w:r>
                    <w:t>年平均</w:t>
                  </w:r>
                </w:p>
              </w:tc>
              <w:tc>
                <w:tcPr>
                  <w:tcW w:w="76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pPr>
                  <w:r>
                    <w:rPr>
                      <w:rFonts w:hint="eastAsia"/>
                    </w:rPr>
                    <w:t>30</w:t>
                  </w:r>
                </w:p>
              </w:tc>
              <w:tc>
                <w:tcPr>
                  <w:tcW w:w="83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pPr>
                  <w:r>
                    <w:t xml:space="preserve">35 </w:t>
                  </w:r>
                </w:p>
              </w:tc>
              <w:tc>
                <w:tcPr>
                  <w:tcW w:w="74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pPr>
                  <w:r>
                    <w:rPr>
                      <w:rFonts w:hint="eastAsia"/>
                    </w:rPr>
                    <w:t>0.86</w:t>
                  </w:r>
                </w:p>
              </w:tc>
              <w:tc>
                <w:tcPr>
                  <w:tcW w:w="742" w:type="pct"/>
                  <w:tcBorders>
                    <w:top w:val="single" w:color="auto" w:sz="4" w:space="0"/>
                    <w:left w:val="single" w:color="auto" w:sz="4" w:space="0"/>
                    <w:bottom w:val="single" w:color="auto" w:sz="4" w:space="0"/>
                    <w:right w:val="single" w:color="auto" w:sz="12" w:space="0"/>
                  </w:tcBorders>
                  <w:noWrap w:val="0"/>
                  <w:vAlign w:val="center"/>
                </w:tcPr>
                <w:p>
                  <w:pPr>
                    <w:adjustRightInd w:val="0"/>
                    <w:snapToGrid w:val="0"/>
                    <w:jc w:val="center"/>
                  </w:pPr>
                  <w: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724" w:type="pct"/>
                  <w:tcBorders>
                    <w:top w:val="single" w:color="auto" w:sz="4" w:space="0"/>
                    <w:left w:val="single" w:color="auto" w:sz="12" w:space="0"/>
                    <w:bottom w:val="single" w:color="auto" w:sz="4" w:space="0"/>
                    <w:right w:val="single" w:color="auto" w:sz="4" w:space="0"/>
                  </w:tcBorders>
                  <w:noWrap w:val="0"/>
                  <w:vAlign w:val="center"/>
                </w:tcPr>
                <w:p>
                  <w:pPr>
                    <w:adjustRightInd w:val="0"/>
                    <w:snapToGrid w:val="0"/>
                    <w:jc w:val="center"/>
                  </w:pPr>
                  <w:r>
                    <w:t>SO</w:t>
                  </w:r>
                  <w:r>
                    <w:rPr>
                      <w:vertAlign w:val="subscript"/>
                    </w:rPr>
                    <w:t>2</w:t>
                  </w:r>
                </w:p>
              </w:tc>
              <w:tc>
                <w:tcPr>
                  <w:tcW w:w="118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pPr>
                  <w:r>
                    <w:t>年平均</w:t>
                  </w:r>
                </w:p>
              </w:tc>
              <w:tc>
                <w:tcPr>
                  <w:tcW w:w="76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rPr>
                  </w:pPr>
                  <w:r>
                    <w:rPr>
                      <w:rFonts w:hint="eastAsia"/>
                    </w:rPr>
                    <w:t>5</w:t>
                  </w:r>
                </w:p>
              </w:tc>
              <w:tc>
                <w:tcPr>
                  <w:tcW w:w="83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pPr>
                  <w:r>
                    <w:t>60</w:t>
                  </w:r>
                </w:p>
              </w:tc>
              <w:tc>
                <w:tcPr>
                  <w:tcW w:w="74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pPr>
                  <w:r>
                    <w:rPr>
                      <w:rFonts w:hint="eastAsia"/>
                    </w:rPr>
                    <w:t>0.08</w:t>
                  </w:r>
                </w:p>
              </w:tc>
              <w:tc>
                <w:tcPr>
                  <w:tcW w:w="742" w:type="pct"/>
                  <w:tcBorders>
                    <w:top w:val="single" w:color="auto" w:sz="4" w:space="0"/>
                    <w:left w:val="single" w:color="auto" w:sz="4" w:space="0"/>
                    <w:bottom w:val="single" w:color="auto" w:sz="4" w:space="0"/>
                    <w:right w:val="single" w:color="auto" w:sz="12" w:space="0"/>
                  </w:tcBorders>
                  <w:noWrap w:val="0"/>
                  <w:vAlign w:val="center"/>
                </w:tcPr>
                <w:p>
                  <w:pPr>
                    <w:adjustRightInd w:val="0"/>
                    <w:snapToGrid w:val="0"/>
                    <w:jc w:val="center"/>
                  </w:pPr>
                  <w: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724" w:type="pct"/>
                  <w:tcBorders>
                    <w:top w:val="single" w:color="auto" w:sz="4" w:space="0"/>
                    <w:left w:val="single" w:color="auto" w:sz="12" w:space="0"/>
                    <w:bottom w:val="single" w:color="auto" w:sz="4" w:space="0"/>
                    <w:right w:val="single" w:color="auto" w:sz="4" w:space="0"/>
                  </w:tcBorders>
                  <w:noWrap w:val="0"/>
                  <w:vAlign w:val="center"/>
                </w:tcPr>
                <w:p>
                  <w:pPr>
                    <w:adjustRightInd w:val="0"/>
                    <w:snapToGrid w:val="0"/>
                    <w:jc w:val="center"/>
                  </w:pPr>
                  <w:r>
                    <w:t>NO</w:t>
                  </w:r>
                  <w:r>
                    <w:rPr>
                      <w:vertAlign w:val="subscript"/>
                    </w:rPr>
                    <w:t>2</w:t>
                  </w:r>
                </w:p>
              </w:tc>
              <w:tc>
                <w:tcPr>
                  <w:tcW w:w="118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pPr>
                  <w:r>
                    <w:t>年平均</w:t>
                  </w:r>
                </w:p>
              </w:tc>
              <w:tc>
                <w:tcPr>
                  <w:tcW w:w="76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pPr>
                  <w:r>
                    <w:rPr>
                      <w:rFonts w:hint="eastAsia"/>
                    </w:rPr>
                    <w:t>20.9</w:t>
                  </w:r>
                </w:p>
              </w:tc>
              <w:tc>
                <w:tcPr>
                  <w:tcW w:w="83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pPr>
                  <w:r>
                    <w:t>40</w:t>
                  </w:r>
                </w:p>
              </w:tc>
              <w:tc>
                <w:tcPr>
                  <w:tcW w:w="74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pPr>
                  <w:r>
                    <w:rPr>
                      <w:rFonts w:hint="eastAsia"/>
                    </w:rPr>
                    <w:t>0.52</w:t>
                  </w:r>
                </w:p>
              </w:tc>
              <w:tc>
                <w:tcPr>
                  <w:tcW w:w="742" w:type="pct"/>
                  <w:tcBorders>
                    <w:top w:val="single" w:color="auto" w:sz="4" w:space="0"/>
                    <w:left w:val="single" w:color="auto" w:sz="4" w:space="0"/>
                    <w:bottom w:val="single" w:color="auto" w:sz="4" w:space="0"/>
                    <w:right w:val="single" w:color="auto" w:sz="12" w:space="0"/>
                  </w:tcBorders>
                  <w:noWrap w:val="0"/>
                  <w:vAlign w:val="center"/>
                </w:tcPr>
                <w:p>
                  <w:pPr>
                    <w:adjustRightInd w:val="0"/>
                    <w:snapToGrid w:val="0"/>
                    <w:jc w:val="center"/>
                  </w:pPr>
                  <w: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724" w:type="pct"/>
                  <w:tcBorders>
                    <w:top w:val="single" w:color="auto" w:sz="4" w:space="0"/>
                    <w:left w:val="single" w:color="auto" w:sz="12" w:space="0"/>
                    <w:bottom w:val="single" w:color="auto" w:sz="4" w:space="0"/>
                    <w:right w:val="single" w:color="auto" w:sz="4" w:space="0"/>
                  </w:tcBorders>
                  <w:noWrap w:val="0"/>
                  <w:vAlign w:val="center"/>
                </w:tcPr>
                <w:p>
                  <w:pPr>
                    <w:adjustRightInd w:val="0"/>
                    <w:snapToGrid w:val="0"/>
                    <w:jc w:val="center"/>
                  </w:pPr>
                  <w:r>
                    <w:t>CO</w:t>
                  </w:r>
                </w:p>
              </w:tc>
              <w:tc>
                <w:tcPr>
                  <w:tcW w:w="118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pPr>
                  <w:r>
                    <w:t>24小时平均（第95位百分位数）</w:t>
                  </w:r>
                </w:p>
              </w:tc>
              <w:tc>
                <w:tcPr>
                  <w:tcW w:w="76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pPr>
                  <w:r>
                    <w:rPr>
                      <w:rFonts w:hint="eastAsia"/>
                    </w:rPr>
                    <w:t>1.7</w:t>
                  </w:r>
                </w:p>
              </w:tc>
              <w:tc>
                <w:tcPr>
                  <w:tcW w:w="83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pPr>
                  <w:r>
                    <w:t>4000</w:t>
                  </w:r>
                </w:p>
              </w:tc>
              <w:tc>
                <w:tcPr>
                  <w:tcW w:w="74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pPr>
                  <w:r>
                    <w:rPr>
                      <w:rFonts w:hint="eastAsia"/>
                    </w:rPr>
                    <w:t>0.0004</w:t>
                  </w:r>
                </w:p>
              </w:tc>
              <w:tc>
                <w:tcPr>
                  <w:tcW w:w="742" w:type="pct"/>
                  <w:tcBorders>
                    <w:top w:val="single" w:color="auto" w:sz="4" w:space="0"/>
                    <w:left w:val="single" w:color="auto" w:sz="4" w:space="0"/>
                    <w:bottom w:val="single" w:color="auto" w:sz="4" w:space="0"/>
                    <w:right w:val="single" w:color="auto" w:sz="12" w:space="0"/>
                  </w:tcBorders>
                  <w:noWrap w:val="0"/>
                  <w:vAlign w:val="center"/>
                </w:tcPr>
                <w:p>
                  <w:pPr>
                    <w:adjustRightInd w:val="0"/>
                    <w:snapToGrid w:val="0"/>
                    <w:jc w:val="center"/>
                  </w:pPr>
                  <w: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724" w:type="pct"/>
                  <w:tcBorders>
                    <w:top w:val="single" w:color="auto" w:sz="4" w:space="0"/>
                    <w:left w:val="single" w:color="auto" w:sz="12" w:space="0"/>
                    <w:bottom w:val="single" w:color="auto" w:sz="12" w:space="0"/>
                    <w:right w:val="single" w:color="auto" w:sz="4" w:space="0"/>
                  </w:tcBorders>
                  <w:noWrap w:val="0"/>
                  <w:vAlign w:val="center"/>
                </w:tcPr>
                <w:p>
                  <w:pPr>
                    <w:adjustRightInd w:val="0"/>
                    <w:snapToGrid w:val="0"/>
                    <w:jc w:val="center"/>
                  </w:pPr>
                  <w:r>
                    <w:t>O</w:t>
                  </w:r>
                  <w:r>
                    <w:rPr>
                      <w:vertAlign w:val="subscript"/>
                    </w:rPr>
                    <w:t>3</w:t>
                  </w:r>
                </w:p>
              </w:tc>
              <w:tc>
                <w:tcPr>
                  <w:tcW w:w="1186" w:type="pct"/>
                  <w:tcBorders>
                    <w:top w:val="single" w:color="auto" w:sz="4" w:space="0"/>
                    <w:left w:val="single" w:color="auto" w:sz="4" w:space="0"/>
                    <w:bottom w:val="single" w:color="auto" w:sz="12" w:space="0"/>
                    <w:right w:val="single" w:color="auto" w:sz="4" w:space="0"/>
                  </w:tcBorders>
                  <w:noWrap w:val="0"/>
                  <w:vAlign w:val="center"/>
                </w:tcPr>
                <w:p>
                  <w:pPr>
                    <w:adjustRightInd w:val="0"/>
                    <w:snapToGrid w:val="0"/>
                    <w:jc w:val="center"/>
                  </w:pPr>
                  <w:r>
                    <w:t>日最大8h平均（第90位百分位数）</w:t>
                  </w:r>
                </w:p>
              </w:tc>
              <w:tc>
                <w:tcPr>
                  <w:tcW w:w="769" w:type="pct"/>
                  <w:tcBorders>
                    <w:top w:val="single" w:color="auto" w:sz="4" w:space="0"/>
                    <w:left w:val="single" w:color="auto" w:sz="4" w:space="0"/>
                    <w:bottom w:val="single" w:color="auto" w:sz="12" w:space="0"/>
                    <w:right w:val="single" w:color="auto" w:sz="4" w:space="0"/>
                  </w:tcBorders>
                  <w:noWrap w:val="0"/>
                  <w:vAlign w:val="center"/>
                </w:tcPr>
                <w:p>
                  <w:pPr>
                    <w:adjustRightInd w:val="0"/>
                    <w:snapToGrid w:val="0"/>
                    <w:jc w:val="center"/>
                  </w:pPr>
                  <w:r>
                    <w:rPr>
                      <w:rFonts w:hint="eastAsia"/>
                    </w:rPr>
                    <w:t>80</w:t>
                  </w:r>
                </w:p>
              </w:tc>
              <w:tc>
                <w:tcPr>
                  <w:tcW w:w="834" w:type="pct"/>
                  <w:tcBorders>
                    <w:top w:val="single" w:color="auto" w:sz="4" w:space="0"/>
                    <w:left w:val="single" w:color="auto" w:sz="4" w:space="0"/>
                    <w:bottom w:val="single" w:color="auto" w:sz="12" w:space="0"/>
                    <w:right w:val="single" w:color="auto" w:sz="4" w:space="0"/>
                  </w:tcBorders>
                  <w:noWrap w:val="0"/>
                  <w:vAlign w:val="center"/>
                </w:tcPr>
                <w:p>
                  <w:pPr>
                    <w:adjustRightInd w:val="0"/>
                    <w:snapToGrid w:val="0"/>
                    <w:jc w:val="center"/>
                  </w:pPr>
                  <w:r>
                    <w:t>160</w:t>
                  </w:r>
                </w:p>
              </w:tc>
              <w:tc>
                <w:tcPr>
                  <w:tcW w:w="742" w:type="pct"/>
                  <w:tcBorders>
                    <w:top w:val="single" w:color="auto" w:sz="4" w:space="0"/>
                    <w:left w:val="single" w:color="auto" w:sz="4" w:space="0"/>
                    <w:bottom w:val="single" w:color="auto" w:sz="12" w:space="0"/>
                    <w:right w:val="single" w:color="auto" w:sz="4" w:space="0"/>
                  </w:tcBorders>
                  <w:noWrap w:val="0"/>
                  <w:vAlign w:val="center"/>
                </w:tcPr>
                <w:p>
                  <w:pPr>
                    <w:adjustRightInd w:val="0"/>
                    <w:snapToGrid w:val="0"/>
                    <w:jc w:val="center"/>
                  </w:pPr>
                  <w:r>
                    <w:rPr>
                      <w:rFonts w:hint="eastAsia"/>
                    </w:rPr>
                    <w:t>0.5</w:t>
                  </w:r>
                </w:p>
              </w:tc>
              <w:tc>
                <w:tcPr>
                  <w:tcW w:w="742" w:type="pct"/>
                  <w:tcBorders>
                    <w:top w:val="single" w:color="auto" w:sz="4" w:space="0"/>
                    <w:left w:val="single" w:color="auto" w:sz="4" w:space="0"/>
                    <w:bottom w:val="single" w:color="auto" w:sz="12" w:space="0"/>
                    <w:right w:val="single" w:color="auto" w:sz="12" w:space="0"/>
                  </w:tcBorders>
                  <w:noWrap w:val="0"/>
                  <w:vAlign w:val="center"/>
                </w:tcPr>
                <w:p>
                  <w:pPr>
                    <w:adjustRightInd w:val="0"/>
                    <w:snapToGrid w:val="0"/>
                    <w:jc w:val="center"/>
                  </w:pPr>
                  <w:r>
                    <w:t>达标</w:t>
                  </w:r>
                </w:p>
              </w:tc>
            </w:tr>
          </w:tbl>
          <w:p>
            <w:pPr>
              <w:bidi w:val="0"/>
              <w:rPr>
                <w:rFonts w:hint="eastAsia"/>
              </w:rPr>
            </w:pPr>
          </w:p>
          <w:p>
            <w:pPr>
              <w:pStyle w:val="56"/>
              <w:ind w:firstLine="480"/>
              <w:rPr>
                <w:szCs w:val="24"/>
              </w:rPr>
            </w:pPr>
            <w:r>
              <w:rPr>
                <w:rFonts w:hint="eastAsia"/>
                <w:szCs w:val="24"/>
              </w:rPr>
              <w:t>根据《环境影响评价技术导则 大气环境》（HJ2.2-2018）6.4.1.1——“城市环境空气质量达标情况评价指标为</w:t>
            </w:r>
            <w:r>
              <w:rPr>
                <w:rFonts w:hint="eastAsia"/>
                <w:szCs w:val="24"/>
                <w:u w:val="none"/>
              </w:rPr>
              <w:t>SO</w:t>
            </w:r>
            <w:r>
              <w:rPr>
                <w:rFonts w:hint="eastAsia"/>
                <w:szCs w:val="24"/>
                <w:u w:val="none"/>
                <w:vertAlign w:val="subscript"/>
              </w:rPr>
              <w:t>2</w:t>
            </w:r>
            <w:r>
              <w:rPr>
                <w:rFonts w:hint="eastAsia"/>
                <w:szCs w:val="24"/>
                <w:u w:val="none"/>
              </w:rPr>
              <w:t>、NO</w:t>
            </w:r>
            <w:r>
              <w:rPr>
                <w:rFonts w:hint="eastAsia"/>
                <w:szCs w:val="24"/>
                <w:u w:val="none"/>
                <w:vertAlign w:val="subscript"/>
              </w:rPr>
              <w:t>2</w:t>
            </w:r>
            <w:r>
              <w:rPr>
                <w:rFonts w:hint="eastAsia"/>
                <w:szCs w:val="24"/>
                <w:u w:val="none"/>
              </w:rPr>
              <w:t>、PM</w:t>
            </w:r>
            <w:r>
              <w:rPr>
                <w:rFonts w:hint="eastAsia"/>
                <w:szCs w:val="24"/>
                <w:u w:val="none"/>
                <w:vertAlign w:val="subscript"/>
              </w:rPr>
              <w:t>10</w:t>
            </w:r>
            <w:r>
              <w:rPr>
                <w:rFonts w:hint="eastAsia"/>
                <w:szCs w:val="24"/>
                <w:u w:val="none"/>
              </w:rPr>
              <w:t>、PM</w:t>
            </w:r>
            <w:r>
              <w:rPr>
                <w:rFonts w:hint="eastAsia"/>
                <w:szCs w:val="24"/>
                <w:u w:val="none"/>
                <w:vertAlign w:val="subscript"/>
              </w:rPr>
              <w:t>2.5</w:t>
            </w:r>
            <w:r>
              <w:rPr>
                <w:rFonts w:hint="eastAsia"/>
                <w:szCs w:val="24"/>
                <w:u w:val="none"/>
              </w:rPr>
              <w:t>、CO和O</w:t>
            </w:r>
            <w:r>
              <w:rPr>
                <w:rFonts w:hint="eastAsia"/>
                <w:szCs w:val="24"/>
                <w:u w:val="none"/>
                <w:vertAlign w:val="subscript"/>
              </w:rPr>
              <w:t>3</w:t>
            </w:r>
            <w:r>
              <w:rPr>
                <w:rFonts w:hint="eastAsia"/>
                <w:szCs w:val="24"/>
                <w:u w:val="none"/>
              </w:rPr>
              <w:t>，</w:t>
            </w:r>
            <w:r>
              <w:rPr>
                <w:rFonts w:hint="eastAsia"/>
                <w:szCs w:val="24"/>
              </w:rPr>
              <w:t>六项污染物全部达标即为城市环境空气质量达标”；6.4.1.3——“采用HJ663中各评价项目的年评价指标进行判定。年评价指标中的平均浓度和相应百分位数24h平均或8h平均质量浓度满足GB3095中浓度限值要求的即为达标。”</w:t>
            </w:r>
          </w:p>
          <w:p>
            <w:pPr>
              <w:pStyle w:val="56"/>
              <w:ind w:firstLine="480"/>
              <w:rPr>
                <w:szCs w:val="24"/>
              </w:rPr>
            </w:pPr>
            <w:r>
              <w:rPr>
                <w:rFonts w:hint="eastAsia"/>
                <w:szCs w:val="24"/>
              </w:rPr>
              <w:t>根据湘阴县生态环境局发布的《湘阴县环境空气质量指数统计表(2020年)》中平均浓度可知2020年湘阴县的城市环境空气质量达标。属于达标区。</w:t>
            </w:r>
          </w:p>
          <w:p>
            <w:pPr>
              <w:spacing w:line="360" w:lineRule="auto"/>
              <w:ind w:firstLine="480" w:firstLineChars="200"/>
              <w:rPr>
                <w:sz w:val="24"/>
                <w:u w:val="single"/>
              </w:rPr>
            </w:pPr>
            <w:r>
              <w:rPr>
                <w:rFonts w:hint="eastAsia"/>
                <w:sz w:val="24"/>
                <w:u w:val="single"/>
              </w:rPr>
              <w:t>（2）水环境质量现状</w:t>
            </w:r>
          </w:p>
          <w:p>
            <w:pPr>
              <w:spacing w:line="360" w:lineRule="auto"/>
              <w:ind w:firstLine="480" w:firstLineChars="200"/>
              <w:rPr>
                <w:rFonts w:hint="eastAsia"/>
                <w:sz w:val="24"/>
                <w:u w:val="single"/>
              </w:rPr>
            </w:pPr>
            <w:r>
              <w:rPr>
                <w:rFonts w:hint="eastAsia"/>
                <w:sz w:val="24"/>
                <w:u w:val="single"/>
              </w:rPr>
              <w:t>本项目废水进入湘阴县第二污水处理厂处理达到《城镇污水处理厂污染物排放标准》（GB18918-2002）一级 A 标准后排入湘江。</w:t>
            </w:r>
          </w:p>
          <w:p>
            <w:pPr>
              <w:spacing w:line="360" w:lineRule="auto"/>
              <w:ind w:firstLine="480" w:firstLineChars="200"/>
              <w:rPr>
                <w:sz w:val="24"/>
                <w:u w:val="single"/>
              </w:rPr>
            </w:pPr>
            <w:r>
              <w:rPr>
                <w:sz w:val="24"/>
                <w:u w:val="single"/>
              </w:rPr>
              <w:t>为了解建设项目所在地的地表水环境状况</w:t>
            </w:r>
            <w:r>
              <w:rPr>
                <w:rFonts w:hint="eastAsia"/>
                <w:sz w:val="24"/>
                <w:u w:val="single"/>
              </w:rPr>
              <w:t>，本次环评引用2021年1月到10月湘阴县生态环境部门发布的湘江乌龙嘴断面监测数据，</w:t>
            </w:r>
            <w:r>
              <w:rPr>
                <w:sz w:val="24"/>
                <w:u w:val="single"/>
              </w:rPr>
              <w:t>具体监测情况详见下表。</w:t>
            </w:r>
          </w:p>
          <w:p>
            <w:pPr>
              <w:spacing w:line="360" w:lineRule="auto"/>
              <w:ind w:firstLine="480" w:firstLineChars="200"/>
              <w:jc w:val="left"/>
              <w:rPr>
                <w:sz w:val="24"/>
              </w:rPr>
            </w:pPr>
            <w:r>
              <w:rPr>
                <w:sz w:val="24"/>
                <w:u w:val="single"/>
              </w:rPr>
              <w:t>（1）监测布点：乌龙</w:t>
            </w:r>
            <w:r>
              <w:rPr>
                <w:rFonts w:hint="eastAsia"/>
                <w:sz w:val="24"/>
                <w:u w:val="single"/>
              </w:rPr>
              <w:t>嘴</w:t>
            </w:r>
            <w:r>
              <w:rPr>
                <w:sz w:val="24"/>
                <w:u w:val="single"/>
              </w:rPr>
              <w:t>W1</w:t>
            </w:r>
            <w:r>
              <w:rPr>
                <w:rFonts w:hint="eastAsia"/>
                <w:sz w:val="24"/>
                <w:u w:val="single"/>
              </w:rPr>
              <w:t>断面</w:t>
            </w:r>
            <w:r>
              <w:rPr>
                <w:sz w:val="24"/>
                <w:u w:val="single"/>
              </w:rPr>
              <w:t>、</w:t>
            </w:r>
            <w:r>
              <w:rPr>
                <w:rFonts w:hint="eastAsia"/>
                <w:sz w:val="24"/>
                <w:u w:val="single"/>
              </w:rPr>
              <w:t>洋沙湖湖心</w:t>
            </w:r>
            <w:r>
              <w:rPr>
                <w:sz w:val="24"/>
                <w:u w:val="single"/>
              </w:rPr>
              <w:t>W2</w:t>
            </w:r>
            <w:r>
              <w:rPr>
                <w:rFonts w:hint="eastAsia"/>
                <w:sz w:val="24"/>
                <w:u w:val="single"/>
              </w:rPr>
              <w:t>断面</w:t>
            </w:r>
            <w:r>
              <w:rPr>
                <w:sz w:val="24"/>
                <w:u w:val="single"/>
              </w:rPr>
              <w:t>。</w:t>
            </w:r>
          </w:p>
          <w:p>
            <w:pPr>
              <w:spacing w:line="360" w:lineRule="auto"/>
              <w:ind w:firstLine="480" w:firstLineChars="200"/>
              <w:jc w:val="left"/>
              <w:rPr>
                <w:sz w:val="24"/>
                <w:u w:val="single"/>
              </w:rPr>
            </w:pPr>
            <w:r>
              <w:rPr>
                <w:sz w:val="24"/>
                <w:u w:val="single"/>
              </w:rPr>
              <w:t>（2）监测因子：</w:t>
            </w:r>
            <w:r>
              <w:rPr>
                <w:rFonts w:hint="eastAsia"/>
                <w:sz w:val="24"/>
                <w:u w:val="single"/>
              </w:rPr>
              <w:t>水温、电导率、pH值、溶解氧、高锰酸盐指数、化学需氧量、生化需氧量、氨氮、总磷、铜、锌、氟化物、硒、砷、汞、镉、六价铬、铅、氰化物、挥发酚、石油类、LAS、硫化物、粪大肠菌群</w:t>
            </w:r>
            <w:r>
              <w:rPr>
                <w:sz w:val="24"/>
                <w:u w:val="single"/>
              </w:rPr>
              <w:t>等。</w:t>
            </w:r>
          </w:p>
          <w:p>
            <w:pPr>
              <w:spacing w:line="360" w:lineRule="auto"/>
              <w:ind w:firstLine="480" w:firstLineChars="200"/>
              <w:jc w:val="left"/>
              <w:rPr>
                <w:rFonts w:hint="eastAsia"/>
                <w:sz w:val="24"/>
                <w:u w:val="single"/>
              </w:rPr>
            </w:pPr>
            <w:r>
              <w:rPr>
                <w:rFonts w:hint="eastAsia"/>
                <w:sz w:val="24"/>
                <w:u w:val="single"/>
              </w:rPr>
              <w:t>（3）</w:t>
            </w:r>
            <w:r>
              <w:rPr>
                <w:sz w:val="24"/>
                <w:u w:val="single"/>
              </w:rPr>
              <w:t>监测时间：</w:t>
            </w:r>
            <w:r>
              <w:rPr>
                <w:rFonts w:hint="eastAsia"/>
                <w:sz w:val="24"/>
                <w:u w:val="single"/>
              </w:rPr>
              <w:t>乌龙嘴断面（2021年1月到10月）；洋沙湖湖心断面（20</w:t>
            </w:r>
            <w:r>
              <w:rPr>
                <w:rFonts w:hint="eastAsia"/>
                <w:sz w:val="24"/>
                <w:u w:val="single"/>
                <w:lang w:val="en-US" w:eastAsia="zh-CN"/>
              </w:rPr>
              <w:t>21</w:t>
            </w:r>
            <w:r>
              <w:rPr>
                <w:sz w:val="24"/>
                <w:u w:val="single"/>
              </w:rPr>
              <w:t>年</w:t>
            </w:r>
            <w:r>
              <w:rPr>
                <w:rFonts w:hint="eastAsia"/>
                <w:sz w:val="24"/>
                <w:u w:val="single"/>
              </w:rPr>
              <w:t>）；</w:t>
            </w:r>
            <w:r>
              <w:rPr>
                <w:sz w:val="24"/>
                <w:u w:val="single"/>
              </w:rPr>
              <w:t>监测频率：每个断面采样1次</w:t>
            </w:r>
            <w:r>
              <w:rPr>
                <w:rFonts w:hint="eastAsia"/>
                <w:sz w:val="24"/>
                <w:u w:val="single"/>
              </w:rPr>
              <w:t>。</w:t>
            </w:r>
            <w:r>
              <w:rPr>
                <w:sz w:val="24"/>
                <w:u w:val="single"/>
              </w:rPr>
              <w:t>监测频率：每个断面采样1次</w:t>
            </w:r>
            <w:r>
              <w:rPr>
                <w:rFonts w:hint="eastAsia"/>
                <w:sz w:val="24"/>
                <w:u w:val="single"/>
              </w:rPr>
              <w:t>。</w:t>
            </w:r>
          </w:p>
          <w:p>
            <w:pPr>
              <w:spacing w:line="360" w:lineRule="auto"/>
              <w:ind w:firstLine="480" w:firstLineChars="200"/>
              <w:jc w:val="left"/>
              <w:rPr>
                <w:rFonts w:hint="eastAsia"/>
                <w:sz w:val="24"/>
                <w:u w:val="single"/>
              </w:rPr>
            </w:pPr>
            <w:r>
              <w:rPr>
                <w:sz w:val="24"/>
                <w:u w:val="single"/>
              </w:rPr>
              <w:t>（</w:t>
            </w:r>
            <w:r>
              <w:rPr>
                <w:rFonts w:hint="eastAsia"/>
                <w:sz w:val="24"/>
                <w:u w:val="single"/>
              </w:rPr>
              <w:t>4</w:t>
            </w:r>
            <w:r>
              <w:rPr>
                <w:sz w:val="24"/>
                <w:u w:val="single"/>
              </w:rPr>
              <w:t>）监测结果统计与评价：监测结果统计见</w:t>
            </w:r>
            <w:r>
              <w:rPr>
                <w:rFonts w:hint="eastAsia"/>
                <w:sz w:val="24"/>
                <w:u w:val="single"/>
              </w:rPr>
              <w:t>表3-</w:t>
            </w:r>
            <w:r>
              <w:rPr>
                <w:rFonts w:hint="eastAsia"/>
                <w:sz w:val="24"/>
                <w:u w:val="single"/>
                <w:lang w:val="en-US" w:eastAsia="zh-CN"/>
              </w:rPr>
              <w:t>2</w:t>
            </w:r>
            <w:r>
              <w:rPr>
                <w:rFonts w:hint="eastAsia"/>
                <w:sz w:val="24"/>
                <w:u w:val="single"/>
              </w:rPr>
              <w:t>。</w:t>
            </w:r>
          </w:p>
          <w:p>
            <w:pPr>
              <w:pStyle w:val="59"/>
              <w:widowControl/>
              <w:spacing w:before="0" w:line="240" w:lineRule="auto"/>
              <w:ind w:right="0"/>
              <w:rPr>
                <w:rFonts w:hint="default" w:ascii="Times New Roman" w:hAnsi="Times New Roman" w:eastAsia="宋体" w:cs="Times New Roman"/>
                <w:b/>
                <w:bCs/>
              </w:rPr>
            </w:pPr>
            <w:bookmarkStart w:id="7" w:name="_Ref26564"/>
            <w:r>
              <w:rPr>
                <w:rFonts w:hint="default" w:ascii="Times New Roman" w:hAnsi="Times New Roman" w:eastAsia="宋体" w:cs="Times New Roman"/>
                <w:b/>
                <w:bCs/>
              </w:rPr>
              <w:t>表</w:t>
            </w:r>
            <w:bookmarkEnd w:id="7"/>
            <w:r>
              <w:rPr>
                <w:rFonts w:hint="default" w:ascii="Times New Roman" w:hAnsi="Times New Roman" w:eastAsia="宋体" w:cs="Times New Roman"/>
                <w:b/>
                <w:bCs/>
              </w:rPr>
              <w:t>3-</w:t>
            </w:r>
            <w:r>
              <w:rPr>
                <w:rFonts w:hint="eastAsia" w:eastAsia="宋体" w:cs="Times New Roman"/>
                <w:b/>
                <w:bCs/>
                <w:lang w:val="en-US" w:eastAsia="zh-CN"/>
              </w:rPr>
              <w:t>2</w:t>
            </w:r>
            <w:r>
              <w:rPr>
                <w:rFonts w:hint="default" w:ascii="Times New Roman" w:hAnsi="Times New Roman" w:eastAsia="宋体" w:cs="Times New Roman"/>
                <w:b/>
                <w:bCs/>
              </w:rPr>
              <w:t xml:space="preserve"> 湘江乌龙嘴断面监测数据统计</w:t>
            </w:r>
          </w:p>
          <w:p>
            <w:pPr>
              <w:pStyle w:val="59"/>
              <w:widowControl/>
              <w:spacing w:before="0" w:line="240" w:lineRule="auto"/>
              <w:ind w:right="0"/>
              <w:jc w:val="right"/>
              <w:rPr>
                <w:rFonts w:hint="default" w:ascii="Times New Roman" w:hAnsi="Times New Roman" w:eastAsia="宋体" w:cs="Times New Roman"/>
              </w:rPr>
            </w:pPr>
            <w:r>
              <w:rPr>
                <w:rFonts w:hint="default" w:ascii="Times New Roman" w:hAnsi="Times New Roman" w:eastAsia="宋体" w:cs="Times New Roman"/>
              </w:rPr>
              <w:t>单位：mg/L pH无量纲，粪大肠菌群</w:t>
            </w:r>
            <w:r>
              <w:rPr>
                <w:rFonts w:hint="eastAsia" w:eastAsia="宋体" w:cs="Times New Roman"/>
                <w:lang w:eastAsia="zh-CN"/>
              </w:rPr>
              <w:t>：</w:t>
            </w:r>
            <w:r>
              <w:rPr>
                <w:rFonts w:hint="default" w:ascii="Times New Roman" w:hAnsi="Times New Roman" w:eastAsia="宋体" w:cs="Times New Roman"/>
              </w:rPr>
              <w:t>个/L</w:t>
            </w:r>
          </w:p>
          <w:tbl>
            <w:tblPr>
              <w:tblStyle w:val="25"/>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1"/>
              <w:gridCol w:w="1714"/>
              <w:gridCol w:w="1639"/>
              <w:gridCol w:w="894"/>
              <w:gridCol w:w="1104"/>
              <w:gridCol w:w="899"/>
              <w:gridCol w:w="9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561" w:type="pct"/>
                  <w:noWrap w:val="0"/>
                  <w:vAlign w:val="center"/>
                </w:tcPr>
                <w:p>
                  <w:pPr>
                    <w:adjustRightInd w:val="0"/>
                    <w:snapToGrid w:val="0"/>
                    <w:jc w:val="center"/>
                    <w:rPr>
                      <w:rFonts w:hint="eastAsia"/>
                    </w:rPr>
                  </w:pPr>
                  <w:r>
                    <w:rPr>
                      <w:rFonts w:hint="eastAsia"/>
                    </w:rPr>
                    <w:t>监测</w:t>
                  </w:r>
                </w:p>
                <w:p>
                  <w:pPr>
                    <w:adjustRightInd w:val="0"/>
                    <w:snapToGrid w:val="0"/>
                    <w:jc w:val="center"/>
                  </w:pPr>
                  <w:r>
                    <w:rPr>
                      <w:rFonts w:hint="eastAsia"/>
                    </w:rPr>
                    <w:t>断面</w:t>
                  </w:r>
                </w:p>
              </w:tc>
              <w:tc>
                <w:tcPr>
                  <w:tcW w:w="1056" w:type="pct"/>
                  <w:noWrap w:val="0"/>
                  <w:vAlign w:val="center"/>
                </w:tcPr>
                <w:p>
                  <w:pPr>
                    <w:adjustRightInd w:val="0"/>
                    <w:snapToGrid w:val="0"/>
                    <w:jc w:val="center"/>
                  </w:pPr>
                  <w:r>
                    <w:rPr>
                      <w:rFonts w:hint="eastAsia"/>
                    </w:rPr>
                    <w:t>监测因子</w:t>
                  </w:r>
                </w:p>
              </w:tc>
              <w:tc>
                <w:tcPr>
                  <w:tcW w:w="1010" w:type="pct"/>
                  <w:noWrap w:val="0"/>
                  <w:vAlign w:val="center"/>
                </w:tcPr>
                <w:p>
                  <w:pPr>
                    <w:adjustRightInd w:val="0"/>
                    <w:snapToGrid w:val="0"/>
                    <w:jc w:val="center"/>
                    <w:rPr>
                      <w:rFonts w:hint="eastAsia"/>
                    </w:rPr>
                  </w:pPr>
                  <w:r>
                    <w:rPr>
                      <w:rFonts w:hint="eastAsia"/>
                    </w:rPr>
                    <w:t>1月-10月</w:t>
                  </w:r>
                </w:p>
                <w:p>
                  <w:pPr>
                    <w:adjustRightInd w:val="0"/>
                    <w:snapToGrid w:val="0"/>
                    <w:jc w:val="center"/>
                  </w:pPr>
                  <w:r>
                    <w:rPr>
                      <w:rFonts w:hint="eastAsia"/>
                    </w:rPr>
                    <w:t>平均值范围</w:t>
                  </w:r>
                </w:p>
              </w:tc>
              <w:tc>
                <w:tcPr>
                  <w:tcW w:w="551" w:type="pct"/>
                  <w:noWrap w:val="0"/>
                  <w:vAlign w:val="center"/>
                </w:tcPr>
                <w:p>
                  <w:pPr>
                    <w:adjustRightInd w:val="0"/>
                    <w:snapToGrid w:val="0"/>
                    <w:jc w:val="center"/>
                  </w:pPr>
                  <w:r>
                    <w:rPr>
                      <w:rFonts w:hint="eastAsia"/>
                    </w:rPr>
                    <w:t>超标率%</w:t>
                  </w:r>
                </w:p>
              </w:tc>
              <w:tc>
                <w:tcPr>
                  <w:tcW w:w="680" w:type="pct"/>
                  <w:noWrap w:val="0"/>
                  <w:vAlign w:val="center"/>
                </w:tcPr>
                <w:p>
                  <w:pPr>
                    <w:adjustRightInd w:val="0"/>
                    <w:snapToGrid w:val="0"/>
                    <w:jc w:val="center"/>
                  </w:pPr>
                  <w:r>
                    <w:rPr>
                      <w:rFonts w:hint="eastAsia"/>
                    </w:rPr>
                    <w:t>最大超标倍数%</w:t>
                  </w:r>
                </w:p>
              </w:tc>
              <w:tc>
                <w:tcPr>
                  <w:tcW w:w="554" w:type="pct"/>
                  <w:noWrap w:val="0"/>
                  <w:vAlign w:val="center"/>
                </w:tcPr>
                <w:p>
                  <w:pPr>
                    <w:adjustRightInd w:val="0"/>
                    <w:snapToGrid w:val="0"/>
                    <w:jc w:val="center"/>
                    <w:rPr>
                      <w:rFonts w:hint="eastAsia"/>
                    </w:rPr>
                  </w:pPr>
                  <w:r>
                    <w:rPr>
                      <w:rFonts w:hint="eastAsia"/>
                    </w:rPr>
                    <w:t>标准</w:t>
                  </w:r>
                </w:p>
                <w:p>
                  <w:pPr>
                    <w:adjustRightInd w:val="0"/>
                    <w:snapToGrid w:val="0"/>
                    <w:jc w:val="center"/>
                  </w:pPr>
                  <w:r>
                    <w:rPr>
                      <w:rFonts w:hint="eastAsia"/>
                    </w:rPr>
                    <w:t>限值</w:t>
                  </w:r>
                </w:p>
              </w:tc>
              <w:tc>
                <w:tcPr>
                  <w:tcW w:w="586" w:type="pct"/>
                  <w:noWrap w:val="0"/>
                  <w:vAlign w:val="center"/>
                </w:tcPr>
                <w:p>
                  <w:pPr>
                    <w:adjustRightInd w:val="0"/>
                    <w:snapToGrid w:val="0"/>
                    <w:jc w:val="center"/>
                    <w:rPr>
                      <w:rFonts w:hint="eastAsia"/>
                    </w:rPr>
                  </w:pPr>
                  <w:r>
                    <w:rPr>
                      <w:rFonts w:hint="eastAsia"/>
                    </w:rPr>
                    <w:t>是否</w:t>
                  </w:r>
                </w:p>
                <w:p>
                  <w:pPr>
                    <w:adjustRightInd w:val="0"/>
                    <w:snapToGrid w:val="0"/>
                    <w:jc w:val="cente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561" w:type="pct"/>
                  <w:vMerge w:val="restart"/>
                  <w:noWrap w:val="0"/>
                  <w:vAlign w:val="center"/>
                </w:tcPr>
                <w:p>
                  <w:pPr>
                    <w:adjustRightInd w:val="0"/>
                    <w:snapToGrid w:val="0"/>
                    <w:jc w:val="center"/>
                  </w:pPr>
                  <w:r>
                    <w:rPr>
                      <w:rFonts w:hint="eastAsia"/>
                    </w:rPr>
                    <w:t>湘江乌龙嘴断面</w:t>
                  </w:r>
                </w:p>
              </w:tc>
              <w:tc>
                <w:tcPr>
                  <w:tcW w:w="1056" w:type="pct"/>
                  <w:noWrap w:val="0"/>
                  <w:vAlign w:val="center"/>
                </w:tcPr>
                <w:p>
                  <w:pPr>
                    <w:adjustRightInd w:val="0"/>
                    <w:snapToGrid w:val="0"/>
                    <w:jc w:val="center"/>
                  </w:pPr>
                  <w:r>
                    <w:rPr>
                      <w:rFonts w:hint="eastAsia"/>
                    </w:rPr>
                    <w:t>水温</w:t>
                  </w:r>
                </w:p>
              </w:tc>
              <w:tc>
                <w:tcPr>
                  <w:tcW w:w="1010" w:type="pct"/>
                  <w:noWrap w:val="0"/>
                  <w:vAlign w:val="center"/>
                </w:tcPr>
                <w:p>
                  <w:pPr>
                    <w:adjustRightInd w:val="0"/>
                    <w:snapToGrid w:val="0"/>
                    <w:jc w:val="center"/>
                  </w:pPr>
                  <w:r>
                    <w:rPr>
                      <w:rFonts w:hint="eastAsia"/>
                    </w:rPr>
                    <w:t>8.7-30.7</w:t>
                  </w:r>
                </w:p>
              </w:tc>
              <w:tc>
                <w:tcPr>
                  <w:tcW w:w="551" w:type="pct"/>
                  <w:noWrap w:val="0"/>
                  <w:vAlign w:val="center"/>
                </w:tcPr>
                <w:p>
                  <w:pPr>
                    <w:adjustRightInd w:val="0"/>
                    <w:snapToGrid w:val="0"/>
                    <w:jc w:val="center"/>
                  </w:pPr>
                  <w:r>
                    <w:rPr>
                      <w:rFonts w:hint="eastAsia"/>
                    </w:rPr>
                    <w:t>0</w:t>
                  </w:r>
                </w:p>
              </w:tc>
              <w:tc>
                <w:tcPr>
                  <w:tcW w:w="680" w:type="pct"/>
                  <w:noWrap w:val="0"/>
                  <w:vAlign w:val="center"/>
                </w:tcPr>
                <w:p>
                  <w:pPr>
                    <w:adjustRightInd w:val="0"/>
                    <w:snapToGrid w:val="0"/>
                    <w:jc w:val="center"/>
                  </w:pPr>
                  <w:r>
                    <w:rPr>
                      <w:rFonts w:hint="eastAsia"/>
                    </w:rPr>
                    <w:t>0</w:t>
                  </w:r>
                </w:p>
              </w:tc>
              <w:tc>
                <w:tcPr>
                  <w:tcW w:w="554" w:type="pct"/>
                  <w:noWrap w:val="0"/>
                  <w:vAlign w:val="center"/>
                </w:tcPr>
                <w:p>
                  <w:pPr>
                    <w:adjustRightInd w:val="0"/>
                    <w:snapToGrid w:val="0"/>
                    <w:jc w:val="center"/>
                  </w:pPr>
                  <w:r>
                    <w:rPr>
                      <w:rFonts w:hint="eastAsia"/>
                    </w:rPr>
                    <w:t>/</w:t>
                  </w:r>
                </w:p>
              </w:tc>
              <w:tc>
                <w:tcPr>
                  <w:tcW w:w="586" w:type="pct"/>
                  <w:noWrap w:val="0"/>
                  <w:vAlign w:val="center"/>
                </w:tcPr>
                <w:p>
                  <w:pPr>
                    <w:adjustRightInd w:val="0"/>
                    <w:snapToGrid w:val="0"/>
                    <w:jc w:val="center"/>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561" w:type="pct"/>
                  <w:vMerge w:val="continue"/>
                  <w:noWrap w:val="0"/>
                  <w:vAlign w:val="center"/>
                </w:tcPr>
                <w:p>
                  <w:pPr>
                    <w:adjustRightInd w:val="0"/>
                    <w:snapToGrid w:val="0"/>
                    <w:jc w:val="center"/>
                    <w:rPr>
                      <w:rFonts w:hint="eastAsia"/>
                    </w:rPr>
                  </w:pPr>
                </w:p>
              </w:tc>
              <w:tc>
                <w:tcPr>
                  <w:tcW w:w="1056" w:type="pct"/>
                  <w:noWrap w:val="0"/>
                  <w:vAlign w:val="center"/>
                </w:tcPr>
                <w:p>
                  <w:pPr>
                    <w:adjustRightInd w:val="0"/>
                    <w:snapToGrid w:val="0"/>
                    <w:jc w:val="center"/>
                    <w:rPr>
                      <w:rFonts w:hint="eastAsia"/>
                    </w:rPr>
                  </w:pPr>
                  <w:r>
                    <w:rPr>
                      <w:rFonts w:hint="eastAsia"/>
                    </w:rPr>
                    <w:t>电导率</w:t>
                  </w:r>
                </w:p>
              </w:tc>
              <w:tc>
                <w:tcPr>
                  <w:tcW w:w="1010" w:type="pct"/>
                  <w:noWrap w:val="0"/>
                  <w:vAlign w:val="center"/>
                </w:tcPr>
                <w:p>
                  <w:pPr>
                    <w:adjustRightInd w:val="0"/>
                    <w:snapToGrid w:val="0"/>
                    <w:jc w:val="center"/>
                  </w:pPr>
                  <w:r>
                    <w:rPr>
                      <w:rFonts w:hint="eastAsia"/>
                    </w:rPr>
                    <w:t>19.6-28.3</w:t>
                  </w:r>
                </w:p>
              </w:tc>
              <w:tc>
                <w:tcPr>
                  <w:tcW w:w="551" w:type="pct"/>
                  <w:noWrap w:val="0"/>
                  <w:vAlign w:val="center"/>
                </w:tcPr>
                <w:p>
                  <w:pPr>
                    <w:adjustRightInd w:val="0"/>
                    <w:snapToGrid w:val="0"/>
                    <w:jc w:val="center"/>
                    <w:rPr>
                      <w:rFonts w:hint="eastAsia"/>
                    </w:rPr>
                  </w:pPr>
                  <w:r>
                    <w:rPr>
                      <w:rFonts w:hint="eastAsia"/>
                    </w:rPr>
                    <w:t>0</w:t>
                  </w:r>
                </w:p>
              </w:tc>
              <w:tc>
                <w:tcPr>
                  <w:tcW w:w="680" w:type="pct"/>
                  <w:noWrap w:val="0"/>
                  <w:vAlign w:val="center"/>
                </w:tcPr>
                <w:p>
                  <w:pPr>
                    <w:adjustRightInd w:val="0"/>
                    <w:snapToGrid w:val="0"/>
                    <w:jc w:val="center"/>
                    <w:rPr>
                      <w:rFonts w:hint="eastAsia"/>
                    </w:rPr>
                  </w:pPr>
                  <w:r>
                    <w:rPr>
                      <w:rFonts w:hint="eastAsia"/>
                    </w:rPr>
                    <w:t>0</w:t>
                  </w:r>
                </w:p>
              </w:tc>
              <w:tc>
                <w:tcPr>
                  <w:tcW w:w="554" w:type="pct"/>
                  <w:noWrap w:val="0"/>
                  <w:vAlign w:val="center"/>
                </w:tcPr>
                <w:p>
                  <w:pPr>
                    <w:adjustRightInd w:val="0"/>
                    <w:snapToGrid w:val="0"/>
                    <w:jc w:val="center"/>
                    <w:rPr>
                      <w:rFonts w:hint="eastAsia"/>
                    </w:rPr>
                  </w:pPr>
                  <w:r>
                    <w:rPr>
                      <w:rFonts w:hint="eastAsia"/>
                    </w:rPr>
                    <w:t>/</w:t>
                  </w:r>
                </w:p>
              </w:tc>
              <w:tc>
                <w:tcPr>
                  <w:tcW w:w="586" w:type="pct"/>
                  <w:noWrap w:val="0"/>
                  <w:vAlign w:val="center"/>
                </w:tcPr>
                <w:p>
                  <w:pPr>
                    <w:adjustRightInd w:val="0"/>
                    <w:snapToGrid w:val="0"/>
                    <w:jc w:val="center"/>
                    <w:rPr>
                      <w:rFonts w:hint="eastAsia"/>
                    </w:rPr>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561" w:type="pct"/>
                  <w:vMerge w:val="continue"/>
                  <w:noWrap w:val="0"/>
                  <w:vAlign w:val="center"/>
                </w:tcPr>
                <w:p>
                  <w:pPr>
                    <w:adjustRightInd w:val="0"/>
                    <w:snapToGrid w:val="0"/>
                    <w:jc w:val="center"/>
                  </w:pPr>
                </w:p>
              </w:tc>
              <w:tc>
                <w:tcPr>
                  <w:tcW w:w="1056" w:type="pct"/>
                  <w:noWrap w:val="0"/>
                  <w:vAlign w:val="center"/>
                </w:tcPr>
                <w:p>
                  <w:pPr>
                    <w:adjustRightInd w:val="0"/>
                    <w:snapToGrid w:val="0"/>
                    <w:jc w:val="center"/>
                  </w:pPr>
                  <w:r>
                    <w:rPr>
                      <w:rFonts w:hint="eastAsia"/>
                    </w:rPr>
                    <w:t>pH值</w:t>
                  </w:r>
                </w:p>
              </w:tc>
              <w:tc>
                <w:tcPr>
                  <w:tcW w:w="1010" w:type="pct"/>
                  <w:noWrap w:val="0"/>
                  <w:vAlign w:val="center"/>
                </w:tcPr>
                <w:p>
                  <w:pPr>
                    <w:adjustRightInd w:val="0"/>
                    <w:snapToGrid w:val="0"/>
                    <w:jc w:val="center"/>
                  </w:pPr>
                  <w:r>
                    <w:rPr>
                      <w:rFonts w:hint="eastAsia"/>
                    </w:rPr>
                    <w:t>6.77-7.62</w:t>
                  </w:r>
                </w:p>
              </w:tc>
              <w:tc>
                <w:tcPr>
                  <w:tcW w:w="551" w:type="pct"/>
                  <w:noWrap w:val="0"/>
                  <w:vAlign w:val="center"/>
                </w:tcPr>
                <w:p>
                  <w:pPr>
                    <w:adjustRightInd w:val="0"/>
                    <w:snapToGrid w:val="0"/>
                    <w:jc w:val="center"/>
                  </w:pPr>
                  <w:r>
                    <w:rPr>
                      <w:rFonts w:hint="eastAsia"/>
                    </w:rPr>
                    <w:t>0</w:t>
                  </w:r>
                </w:p>
              </w:tc>
              <w:tc>
                <w:tcPr>
                  <w:tcW w:w="680" w:type="pct"/>
                  <w:noWrap w:val="0"/>
                  <w:vAlign w:val="center"/>
                </w:tcPr>
                <w:p>
                  <w:pPr>
                    <w:adjustRightInd w:val="0"/>
                    <w:snapToGrid w:val="0"/>
                    <w:jc w:val="center"/>
                  </w:pPr>
                  <w:r>
                    <w:rPr>
                      <w:rFonts w:hint="eastAsia"/>
                    </w:rPr>
                    <w:t>0</w:t>
                  </w:r>
                </w:p>
              </w:tc>
              <w:tc>
                <w:tcPr>
                  <w:tcW w:w="554" w:type="pct"/>
                  <w:noWrap w:val="0"/>
                  <w:vAlign w:val="center"/>
                </w:tcPr>
                <w:p>
                  <w:pPr>
                    <w:adjustRightInd w:val="0"/>
                    <w:snapToGrid w:val="0"/>
                    <w:jc w:val="center"/>
                  </w:pPr>
                  <w:r>
                    <w:rPr>
                      <w:rFonts w:hint="eastAsia"/>
                    </w:rPr>
                    <w:t>6-9</w:t>
                  </w:r>
                </w:p>
              </w:tc>
              <w:tc>
                <w:tcPr>
                  <w:tcW w:w="586" w:type="pct"/>
                  <w:noWrap w:val="0"/>
                  <w:vAlign w:val="center"/>
                </w:tcPr>
                <w:p>
                  <w:pPr>
                    <w:adjustRightInd w:val="0"/>
                    <w:snapToGrid w:val="0"/>
                    <w:jc w:val="cente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561" w:type="pct"/>
                  <w:vMerge w:val="continue"/>
                  <w:noWrap w:val="0"/>
                  <w:vAlign w:val="center"/>
                </w:tcPr>
                <w:p>
                  <w:pPr>
                    <w:adjustRightInd w:val="0"/>
                    <w:snapToGrid w:val="0"/>
                    <w:jc w:val="center"/>
                  </w:pPr>
                </w:p>
              </w:tc>
              <w:tc>
                <w:tcPr>
                  <w:tcW w:w="1056" w:type="pct"/>
                  <w:noWrap w:val="0"/>
                  <w:vAlign w:val="center"/>
                </w:tcPr>
                <w:p>
                  <w:pPr>
                    <w:adjustRightInd w:val="0"/>
                    <w:snapToGrid w:val="0"/>
                    <w:jc w:val="center"/>
                  </w:pPr>
                  <w:r>
                    <w:rPr>
                      <w:rFonts w:hint="eastAsia"/>
                    </w:rPr>
                    <w:t>溶解氧</w:t>
                  </w:r>
                </w:p>
              </w:tc>
              <w:tc>
                <w:tcPr>
                  <w:tcW w:w="1010" w:type="pct"/>
                  <w:noWrap w:val="0"/>
                  <w:vAlign w:val="center"/>
                </w:tcPr>
                <w:p>
                  <w:pPr>
                    <w:adjustRightInd w:val="0"/>
                    <w:snapToGrid w:val="0"/>
                    <w:jc w:val="center"/>
                  </w:pPr>
                  <w:r>
                    <w:rPr>
                      <w:rFonts w:hint="eastAsia"/>
                    </w:rPr>
                    <w:t>6.1-7.4</w:t>
                  </w:r>
                </w:p>
              </w:tc>
              <w:tc>
                <w:tcPr>
                  <w:tcW w:w="551" w:type="pct"/>
                  <w:noWrap w:val="0"/>
                  <w:vAlign w:val="center"/>
                </w:tcPr>
                <w:p>
                  <w:pPr>
                    <w:adjustRightInd w:val="0"/>
                    <w:snapToGrid w:val="0"/>
                    <w:jc w:val="center"/>
                  </w:pPr>
                  <w:r>
                    <w:rPr>
                      <w:rFonts w:hint="eastAsia"/>
                    </w:rPr>
                    <w:t>0</w:t>
                  </w:r>
                </w:p>
              </w:tc>
              <w:tc>
                <w:tcPr>
                  <w:tcW w:w="680" w:type="pct"/>
                  <w:noWrap w:val="0"/>
                  <w:vAlign w:val="center"/>
                </w:tcPr>
                <w:p>
                  <w:pPr>
                    <w:adjustRightInd w:val="0"/>
                    <w:snapToGrid w:val="0"/>
                    <w:jc w:val="center"/>
                  </w:pPr>
                  <w:r>
                    <w:rPr>
                      <w:rFonts w:hint="eastAsia"/>
                    </w:rPr>
                    <w:t>0</w:t>
                  </w:r>
                </w:p>
              </w:tc>
              <w:tc>
                <w:tcPr>
                  <w:tcW w:w="554" w:type="pct"/>
                  <w:noWrap w:val="0"/>
                  <w:vAlign w:val="center"/>
                </w:tcPr>
                <w:p>
                  <w:pPr>
                    <w:adjustRightInd w:val="0"/>
                    <w:snapToGrid w:val="0"/>
                    <w:jc w:val="center"/>
                  </w:pPr>
                  <w:r>
                    <w:t>≥</w:t>
                  </w:r>
                  <w:r>
                    <w:rPr>
                      <w:rFonts w:hint="eastAsia"/>
                    </w:rPr>
                    <w:t>5</w:t>
                  </w:r>
                </w:p>
              </w:tc>
              <w:tc>
                <w:tcPr>
                  <w:tcW w:w="586" w:type="pct"/>
                  <w:noWrap w:val="0"/>
                  <w:vAlign w:val="center"/>
                </w:tcPr>
                <w:p>
                  <w:pPr>
                    <w:adjustRightInd w:val="0"/>
                    <w:snapToGrid w:val="0"/>
                    <w:jc w:val="cente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561" w:type="pct"/>
                  <w:vMerge w:val="continue"/>
                  <w:noWrap w:val="0"/>
                  <w:vAlign w:val="center"/>
                </w:tcPr>
                <w:p>
                  <w:pPr>
                    <w:adjustRightInd w:val="0"/>
                    <w:snapToGrid w:val="0"/>
                    <w:jc w:val="center"/>
                  </w:pPr>
                </w:p>
              </w:tc>
              <w:tc>
                <w:tcPr>
                  <w:tcW w:w="1056" w:type="pct"/>
                  <w:noWrap w:val="0"/>
                  <w:vAlign w:val="center"/>
                </w:tcPr>
                <w:p>
                  <w:pPr>
                    <w:adjustRightInd w:val="0"/>
                    <w:snapToGrid w:val="0"/>
                    <w:jc w:val="center"/>
                  </w:pPr>
                  <w:r>
                    <w:rPr>
                      <w:rFonts w:hint="eastAsia"/>
                    </w:rPr>
                    <w:t>高锰酸盐指数</w:t>
                  </w:r>
                </w:p>
              </w:tc>
              <w:tc>
                <w:tcPr>
                  <w:tcW w:w="1010" w:type="pct"/>
                  <w:noWrap w:val="0"/>
                  <w:vAlign w:val="center"/>
                </w:tcPr>
                <w:p>
                  <w:pPr>
                    <w:adjustRightInd w:val="0"/>
                    <w:snapToGrid w:val="0"/>
                    <w:jc w:val="center"/>
                  </w:pPr>
                  <w:r>
                    <w:rPr>
                      <w:rFonts w:hint="eastAsia"/>
                    </w:rPr>
                    <w:t>2.0-2.4</w:t>
                  </w:r>
                </w:p>
              </w:tc>
              <w:tc>
                <w:tcPr>
                  <w:tcW w:w="551" w:type="pct"/>
                  <w:noWrap w:val="0"/>
                  <w:vAlign w:val="center"/>
                </w:tcPr>
                <w:p>
                  <w:pPr>
                    <w:adjustRightInd w:val="0"/>
                    <w:snapToGrid w:val="0"/>
                    <w:jc w:val="center"/>
                  </w:pPr>
                  <w:r>
                    <w:rPr>
                      <w:rFonts w:hint="eastAsia"/>
                    </w:rPr>
                    <w:t>0</w:t>
                  </w:r>
                </w:p>
              </w:tc>
              <w:tc>
                <w:tcPr>
                  <w:tcW w:w="680" w:type="pct"/>
                  <w:noWrap w:val="0"/>
                  <w:vAlign w:val="center"/>
                </w:tcPr>
                <w:p>
                  <w:pPr>
                    <w:adjustRightInd w:val="0"/>
                    <w:snapToGrid w:val="0"/>
                    <w:jc w:val="center"/>
                  </w:pPr>
                  <w:r>
                    <w:rPr>
                      <w:rFonts w:hint="eastAsia"/>
                    </w:rPr>
                    <w:t>0</w:t>
                  </w:r>
                </w:p>
              </w:tc>
              <w:tc>
                <w:tcPr>
                  <w:tcW w:w="554" w:type="pct"/>
                  <w:noWrap w:val="0"/>
                  <w:vAlign w:val="center"/>
                </w:tcPr>
                <w:p>
                  <w:pPr>
                    <w:adjustRightInd w:val="0"/>
                    <w:snapToGrid w:val="0"/>
                    <w:jc w:val="center"/>
                  </w:pPr>
                  <w:r>
                    <w:rPr>
                      <w:rFonts w:hint="eastAsia"/>
                    </w:rPr>
                    <w:t>6</w:t>
                  </w:r>
                </w:p>
              </w:tc>
              <w:tc>
                <w:tcPr>
                  <w:tcW w:w="586" w:type="pct"/>
                  <w:noWrap w:val="0"/>
                  <w:vAlign w:val="center"/>
                </w:tcPr>
                <w:p>
                  <w:pPr>
                    <w:adjustRightInd w:val="0"/>
                    <w:snapToGrid w:val="0"/>
                    <w:jc w:val="cente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561" w:type="pct"/>
                  <w:vMerge w:val="continue"/>
                  <w:noWrap w:val="0"/>
                  <w:vAlign w:val="center"/>
                </w:tcPr>
                <w:p>
                  <w:pPr>
                    <w:adjustRightInd w:val="0"/>
                    <w:snapToGrid w:val="0"/>
                    <w:jc w:val="center"/>
                  </w:pPr>
                </w:p>
              </w:tc>
              <w:tc>
                <w:tcPr>
                  <w:tcW w:w="1056" w:type="pct"/>
                  <w:noWrap w:val="0"/>
                  <w:vAlign w:val="center"/>
                </w:tcPr>
                <w:p>
                  <w:pPr>
                    <w:adjustRightInd w:val="0"/>
                    <w:snapToGrid w:val="0"/>
                    <w:jc w:val="center"/>
                  </w:pPr>
                  <w:r>
                    <w:rPr>
                      <w:rFonts w:hint="eastAsia"/>
                    </w:rPr>
                    <w:t>化学需氧量</w:t>
                  </w:r>
                </w:p>
              </w:tc>
              <w:tc>
                <w:tcPr>
                  <w:tcW w:w="1010" w:type="pct"/>
                  <w:noWrap w:val="0"/>
                  <w:vAlign w:val="center"/>
                </w:tcPr>
                <w:p>
                  <w:pPr>
                    <w:adjustRightInd w:val="0"/>
                    <w:snapToGrid w:val="0"/>
                    <w:jc w:val="center"/>
                  </w:pPr>
                  <w:r>
                    <w:rPr>
                      <w:rFonts w:hint="eastAsia"/>
                    </w:rPr>
                    <w:t>9-12</w:t>
                  </w:r>
                </w:p>
              </w:tc>
              <w:tc>
                <w:tcPr>
                  <w:tcW w:w="551" w:type="pct"/>
                  <w:noWrap w:val="0"/>
                  <w:vAlign w:val="center"/>
                </w:tcPr>
                <w:p>
                  <w:pPr>
                    <w:adjustRightInd w:val="0"/>
                    <w:snapToGrid w:val="0"/>
                    <w:jc w:val="center"/>
                  </w:pPr>
                  <w:r>
                    <w:rPr>
                      <w:rFonts w:hint="eastAsia"/>
                    </w:rPr>
                    <w:t>0</w:t>
                  </w:r>
                </w:p>
              </w:tc>
              <w:tc>
                <w:tcPr>
                  <w:tcW w:w="680" w:type="pct"/>
                  <w:noWrap w:val="0"/>
                  <w:vAlign w:val="center"/>
                </w:tcPr>
                <w:p>
                  <w:pPr>
                    <w:adjustRightInd w:val="0"/>
                    <w:snapToGrid w:val="0"/>
                    <w:jc w:val="center"/>
                  </w:pPr>
                  <w:r>
                    <w:rPr>
                      <w:rFonts w:hint="eastAsia"/>
                    </w:rPr>
                    <w:t>0</w:t>
                  </w:r>
                </w:p>
              </w:tc>
              <w:tc>
                <w:tcPr>
                  <w:tcW w:w="554" w:type="pct"/>
                  <w:noWrap w:val="0"/>
                  <w:vAlign w:val="center"/>
                </w:tcPr>
                <w:p>
                  <w:pPr>
                    <w:adjustRightInd w:val="0"/>
                    <w:snapToGrid w:val="0"/>
                    <w:jc w:val="center"/>
                  </w:pPr>
                  <w:r>
                    <w:rPr>
                      <w:rFonts w:hint="eastAsia"/>
                    </w:rPr>
                    <w:t>20</w:t>
                  </w:r>
                </w:p>
              </w:tc>
              <w:tc>
                <w:tcPr>
                  <w:tcW w:w="586" w:type="pct"/>
                  <w:noWrap w:val="0"/>
                  <w:vAlign w:val="center"/>
                </w:tcPr>
                <w:p>
                  <w:pPr>
                    <w:adjustRightInd w:val="0"/>
                    <w:snapToGrid w:val="0"/>
                    <w:jc w:val="cente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561" w:type="pct"/>
                  <w:vMerge w:val="continue"/>
                  <w:noWrap w:val="0"/>
                  <w:vAlign w:val="center"/>
                </w:tcPr>
                <w:p>
                  <w:pPr>
                    <w:adjustRightInd w:val="0"/>
                    <w:snapToGrid w:val="0"/>
                    <w:jc w:val="center"/>
                  </w:pPr>
                </w:p>
              </w:tc>
              <w:tc>
                <w:tcPr>
                  <w:tcW w:w="1056" w:type="pct"/>
                  <w:noWrap w:val="0"/>
                  <w:vAlign w:val="center"/>
                </w:tcPr>
                <w:p>
                  <w:pPr>
                    <w:adjustRightInd w:val="0"/>
                    <w:snapToGrid w:val="0"/>
                    <w:jc w:val="center"/>
                  </w:pPr>
                  <w:r>
                    <w:rPr>
                      <w:rFonts w:hint="eastAsia"/>
                    </w:rPr>
                    <w:t>生化需氧量</w:t>
                  </w:r>
                </w:p>
              </w:tc>
              <w:tc>
                <w:tcPr>
                  <w:tcW w:w="1010" w:type="pct"/>
                  <w:noWrap w:val="0"/>
                  <w:vAlign w:val="center"/>
                </w:tcPr>
                <w:p>
                  <w:pPr>
                    <w:adjustRightInd w:val="0"/>
                    <w:snapToGrid w:val="0"/>
                    <w:jc w:val="center"/>
                  </w:pPr>
                  <w:r>
                    <w:rPr>
                      <w:rFonts w:hint="eastAsia"/>
                    </w:rPr>
                    <w:t>0.8-1.6</w:t>
                  </w:r>
                </w:p>
              </w:tc>
              <w:tc>
                <w:tcPr>
                  <w:tcW w:w="551" w:type="pct"/>
                  <w:noWrap w:val="0"/>
                  <w:vAlign w:val="center"/>
                </w:tcPr>
                <w:p>
                  <w:pPr>
                    <w:adjustRightInd w:val="0"/>
                    <w:snapToGrid w:val="0"/>
                    <w:jc w:val="center"/>
                  </w:pPr>
                  <w:r>
                    <w:rPr>
                      <w:rFonts w:hint="eastAsia"/>
                    </w:rPr>
                    <w:t>0</w:t>
                  </w:r>
                </w:p>
              </w:tc>
              <w:tc>
                <w:tcPr>
                  <w:tcW w:w="680" w:type="pct"/>
                  <w:noWrap w:val="0"/>
                  <w:vAlign w:val="center"/>
                </w:tcPr>
                <w:p>
                  <w:pPr>
                    <w:adjustRightInd w:val="0"/>
                    <w:snapToGrid w:val="0"/>
                    <w:jc w:val="center"/>
                  </w:pPr>
                  <w:r>
                    <w:rPr>
                      <w:rFonts w:hint="eastAsia"/>
                    </w:rPr>
                    <w:t>0</w:t>
                  </w:r>
                </w:p>
              </w:tc>
              <w:tc>
                <w:tcPr>
                  <w:tcW w:w="554" w:type="pct"/>
                  <w:noWrap w:val="0"/>
                  <w:vAlign w:val="center"/>
                </w:tcPr>
                <w:p>
                  <w:pPr>
                    <w:adjustRightInd w:val="0"/>
                    <w:snapToGrid w:val="0"/>
                    <w:jc w:val="center"/>
                  </w:pPr>
                  <w:r>
                    <w:rPr>
                      <w:rFonts w:hint="eastAsia"/>
                    </w:rPr>
                    <w:t>4</w:t>
                  </w:r>
                </w:p>
              </w:tc>
              <w:tc>
                <w:tcPr>
                  <w:tcW w:w="586" w:type="pct"/>
                  <w:noWrap w:val="0"/>
                  <w:vAlign w:val="center"/>
                </w:tcPr>
                <w:p>
                  <w:pPr>
                    <w:adjustRightInd w:val="0"/>
                    <w:snapToGrid w:val="0"/>
                    <w:jc w:val="cente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561" w:type="pct"/>
                  <w:vMerge w:val="continue"/>
                  <w:noWrap w:val="0"/>
                  <w:vAlign w:val="center"/>
                </w:tcPr>
                <w:p>
                  <w:pPr>
                    <w:adjustRightInd w:val="0"/>
                    <w:snapToGrid w:val="0"/>
                    <w:jc w:val="center"/>
                  </w:pPr>
                </w:p>
              </w:tc>
              <w:tc>
                <w:tcPr>
                  <w:tcW w:w="1056" w:type="pct"/>
                  <w:noWrap w:val="0"/>
                  <w:vAlign w:val="center"/>
                </w:tcPr>
                <w:p>
                  <w:pPr>
                    <w:adjustRightInd w:val="0"/>
                    <w:snapToGrid w:val="0"/>
                    <w:jc w:val="center"/>
                    <w:rPr>
                      <w:rFonts w:hint="eastAsia"/>
                    </w:rPr>
                  </w:pPr>
                  <w:r>
                    <w:rPr>
                      <w:rFonts w:hint="eastAsia"/>
                    </w:rPr>
                    <w:t>氨氮</w:t>
                  </w:r>
                </w:p>
              </w:tc>
              <w:tc>
                <w:tcPr>
                  <w:tcW w:w="1010" w:type="pct"/>
                  <w:noWrap w:val="0"/>
                  <w:vAlign w:val="center"/>
                </w:tcPr>
                <w:p>
                  <w:pPr>
                    <w:adjustRightInd w:val="0"/>
                    <w:snapToGrid w:val="0"/>
                    <w:jc w:val="center"/>
                  </w:pPr>
                  <w:r>
                    <w:rPr>
                      <w:rFonts w:hint="eastAsia"/>
                    </w:rPr>
                    <w:t>0.04-0.47</w:t>
                  </w:r>
                </w:p>
              </w:tc>
              <w:tc>
                <w:tcPr>
                  <w:tcW w:w="551" w:type="pct"/>
                  <w:noWrap w:val="0"/>
                  <w:vAlign w:val="center"/>
                </w:tcPr>
                <w:p>
                  <w:pPr>
                    <w:adjustRightInd w:val="0"/>
                    <w:snapToGrid w:val="0"/>
                    <w:jc w:val="center"/>
                  </w:pPr>
                  <w:r>
                    <w:rPr>
                      <w:rFonts w:hint="eastAsia"/>
                    </w:rPr>
                    <w:t>0</w:t>
                  </w:r>
                </w:p>
              </w:tc>
              <w:tc>
                <w:tcPr>
                  <w:tcW w:w="680" w:type="pct"/>
                  <w:noWrap w:val="0"/>
                  <w:vAlign w:val="center"/>
                </w:tcPr>
                <w:p>
                  <w:pPr>
                    <w:adjustRightInd w:val="0"/>
                    <w:snapToGrid w:val="0"/>
                    <w:jc w:val="center"/>
                  </w:pPr>
                  <w:r>
                    <w:rPr>
                      <w:rFonts w:hint="eastAsia"/>
                    </w:rPr>
                    <w:t>0</w:t>
                  </w:r>
                </w:p>
              </w:tc>
              <w:tc>
                <w:tcPr>
                  <w:tcW w:w="554" w:type="pct"/>
                  <w:noWrap w:val="0"/>
                  <w:vAlign w:val="center"/>
                </w:tcPr>
                <w:p>
                  <w:pPr>
                    <w:adjustRightInd w:val="0"/>
                    <w:snapToGrid w:val="0"/>
                    <w:jc w:val="center"/>
                  </w:pPr>
                  <w:r>
                    <w:rPr>
                      <w:rFonts w:hint="eastAsia"/>
                    </w:rPr>
                    <w:t>1.0</w:t>
                  </w:r>
                </w:p>
              </w:tc>
              <w:tc>
                <w:tcPr>
                  <w:tcW w:w="586" w:type="pct"/>
                  <w:noWrap w:val="0"/>
                  <w:vAlign w:val="center"/>
                </w:tcPr>
                <w:p>
                  <w:pPr>
                    <w:adjustRightInd w:val="0"/>
                    <w:snapToGrid w:val="0"/>
                    <w:jc w:val="cente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1" w:type="pct"/>
                  <w:vMerge w:val="continue"/>
                  <w:noWrap w:val="0"/>
                  <w:vAlign w:val="center"/>
                </w:tcPr>
                <w:p>
                  <w:pPr>
                    <w:adjustRightInd w:val="0"/>
                    <w:snapToGrid w:val="0"/>
                    <w:jc w:val="center"/>
                  </w:pPr>
                </w:p>
              </w:tc>
              <w:tc>
                <w:tcPr>
                  <w:tcW w:w="1056" w:type="pct"/>
                  <w:noWrap w:val="0"/>
                  <w:vAlign w:val="center"/>
                </w:tcPr>
                <w:p>
                  <w:pPr>
                    <w:adjustRightInd w:val="0"/>
                    <w:snapToGrid w:val="0"/>
                    <w:jc w:val="center"/>
                  </w:pPr>
                  <w:r>
                    <w:rPr>
                      <w:rFonts w:hint="eastAsia"/>
                    </w:rPr>
                    <w:t>总磷</w:t>
                  </w:r>
                </w:p>
              </w:tc>
              <w:tc>
                <w:tcPr>
                  <w:tcW w:w="1010" w:type="pct"/>
                  <w:noWrap w:val="0"/>
                  <w:vAlign w:val="center"/>
                </w:tcPr>
                <w:p>
                  <w:pPr>
                    <w:adjustRightInd w:val="0"/>
                    <w:snapToGrid w:val="0"/>
                    <w:jc w:val="center"/>
                  </w:pPr>
                  <w:r>
                    <w:rPr>
                      <w:rFonts w:hint="eastAsia"/>
                    </w:rPr>
                    <w:t>0.02-0.10</w:t>
                  </w:r>
                </w:p>
              </w:tc>
              <w:tc>
                <w:tcPr>
                  <w:tcW w:w="551" w:type="pct"/>
                  <w:noWrap w:val="0"/>
                  <w:vAlign w:val="center"/>
                </w:tcPr>
                <w:p>
                  <w:pPr>
                    <w:adjustRightInd w:val="0"/>
                    <w:snapToGrid w:val="0"/>
                    <w:jc w:val="center"/>
                    <w:rPr>
                      <w:rFonts w:hint="eastAsia"/>
                    </w:rPr>
                  </w:pPr>
                  <w:r>
                    <w:rPr>
                      <w:rFonts w:hint="eastAsia"/>
                    </w:rPr>
                    <w:t>0</w:t>
                  </w:r>
                </w:p>
              </w:tc>
              <w:tc>
                <w:tcPr>
                  <w:tcW w:w="680" w:type="pct"/>
                  <w:noWrap w:val="0"/>
                  <w:vAlign w:val="center"/>
                </w:tcPr>
                <w:p>
                  <w:pPr>
                    <w:adjustRightInd w:val="0"/>
                    <w:snapToGrid w:val="0"/>
                    <w:jc w:val="center"/>
                    <w:rPr>
                      <w:rFonts w:hint="eastAsia"/>
                    </w:rPr>
                  </w:pPr>
                  <w:r>
                    <w:rPr>
                      <w:rFonts w:hint="eastAsia"/>
                    </w:rPr>
                    <w:t>0</w:t>
                  </w:r>
                </w:p>
              </w:tc>
              <w:tc>
                <w:tcPr>
                  <w:tcW w:w="554" w:type="pct"/>
                  <w:noWrap w:val="0"/>
                  <w:vAlign w:val="center"/>
                </w:tcPr>
                <w:p>
                  <w:pPr>
                    <w:adjustRightInd w:val="0"/>
                    <w:snapToGrid w:val="0"/>
                    <w:jc w:val="center"/>
                  </w:pPr>
                  <w:r>
                    <w:rPr>
                      <w:rFonts w:hint="eastAsia"/>
                    </w:rPr>
                    <w:t>0.2</w:t>
                  </w:r>
                </w:p>
              </w:tc>
              <w:tc>
                <w:tcPr>
                  <w:tcW w:w="586" w:type="pct"/>
                  <w:noWrap w:val="0"/>
                  <w:vAlign w:val="center"/>
                </w:tcPr>
                <w:p>
                  <w:pPr>
                    <w:adjustRightInd w:val="0"/>
                    <w:snapToGrid w:val="0"/>
                    <w:jc w:val="cente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1" w:type="pct"/>
                  <w:vMerge w:val="continue"/>
                  <w:noWrap w:val="0"/>
                  <w:vAlign w:val="center"/>
                </w:tcPr>
                <w:p>
                  <w:pPr>
                    <w:adjustRightInd w:val="0"/>
                    <w:snapToGrid w:val="0"/>
                    <w:jc w:val="center"/>
                  </w:pPr>
                </w:p>
              </w:tc>
              <w:tc>
                <w:tcPr>
                  <w:tcW w:w="1056" w:type="pct"/>
                  <w:noWrap w:val="0"/>
                  <w:vAlign w:val="center"/>
                </w:tcPr>
                <w:p>
                  <w:pPr>
                    <w:adjustRightInd w:val="0"/>
                    <w:snapToGrid w:val="0"/>
                    <w:jc w:val="center"/>
                  </w:pPr>
                  <w:r>
                    <w:rPr>
                      <w:rFonts w:hint="eastAsia"/>
                    </w:rPr>
                    <w:t>铜</w:t>
                  </w:r>
                </w:p>
              </w:tc>
              <w:tc>
                <w:tcPr>
                  <w:tcW w:w="1010" w:type="pct"/>
                  <w:noWrap w:val="0"/>
                  <w:vAlign w:val="center"/>
                </w:tcPr>
                <w:p>
                  <w:pPr>
                    <w:adjustRightInd w:val="0"/>
                    <w:snapToGrid w:val="0"/>
                    <w:jc w:val="center"/>
                  </w:pPr>
                  <w:r>
                    <w:rPr>
                      <w:rFonts w:hint="eastAsia"/>
                    </w:rPr>
                    <w:t>0.001ND</w:t>
                  </w:r>
                </w:p>
              </w:tc>
              <w:tc>
                <w:tcPr>
                  <w:tcW w:w="551" w:type="pct"/>
                  <w:noWrap w:val="0"/>
                  <w:vAlign w:val="center"/>
                </w:tcPr>
                <w:p>
                  <w:pPr>
                    <w:adjustRightInd w:val="0"/>
                    <w:snapToGrid w:val="0"/>
                    <w:jc w:val="center"/>
                    <w:rPr>
                      <w:rFonts w:hint="eastAsia"/>
                    </w:rPr>
                  </w:pPr>
                  <w:r>
                    <w:rPr>
                      <w:rFonts w:hint="eastAsia"/>
                    </w:rPr>
                    <w:t>0</w:t>
                  </w:r>
                </w:p>
              </w:tc>
              <w:tc>
                <w:tcPr>
                  <w:tcW w:w="680" w:type="pct"/>
                  <w:noWrap w:val="0"/>
                  <w:vAlign w:val="center"/>
                </w:tcPr>
                <w:p>
                  <w:pPr>
                    <w:adjustRightInd w:val="0"/>
                    <w:snapToGrid w:val="0"/>
                    <w:jc w:val="center"/>
                    <w:rPr>
                      <w:rFonts w:hint="eastAsia"/>
                    </w:rPr>
                  </w:pPr>
                  <w:r>
                    <w:rPr>
                      <w:rFonts w:hint="eastAsia"/>
                    </w:rPr>
                    <w:t>0</w:t>
                  </w:r>
                </w:p>
              </w:tc>
              <w:tc>
                <w:tcPr>
                  <w:tcW w:w="554" w:type="pct"/>
                  <w:noWrap w:val="0"/>
                  <w:vAlign w:val="center"/>
                </w:tcPr>
                <w:p>
                  <w:pPr>
                    <w:adjustRightInd w:val="0"/>
                    <w:snapToGrid w:val="0"/>
                    <w:jc w:val="center"/>
                  </w:pPr>
                  <w:r>
                    <w:rPr>
                      <w:rFonts w:hint="eastAsia"/>
                    </w:rPr>
                    <w:t>1.0</w:t>
                  </w:r>
                </w:p>
              </w:tc>
              <w:tc>
                <w:tcPr>
                  <w:tcW w:w="586" w:type="pct"/>
                  <w:noWrap w:val="0"/>
                  <w:vAlign w:val="center"/>
                </w:tcPr>
                <w:p>
                  <w:pPr>
                    <w:adjustRightInd w:val="0"/>
                    <w:snapToGrid w:val="0"/>
                    <w:jc w:val="center"/>
                    <w:rPr>
                      <w:rFonts w:hint="eastAsia"/>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1" w:type="pct"/>
                  <w:vMerge w:val="continue"/>
                  <w:noWrap w:val="0"/>
                  <w:vAlign w:val="center"/>
                </w:tcPr>
                <w:p>
                  <w:pPr>
                    <w:adjustRightInd w:val="0"/>
                    <w:snapToGrid w:val="0"/>
                    <w:jc w:val="center"/>
                  </w:pPr>
                </w:p>
              </w:tc>
              <w:tc>
                <w:tcPr>
                  <w:tcW w:w="1056" w:type="pct"/>
                  <w:noWrap w:val="0"/>
                  <w:vAlign w:val="center"/>
                </w:tcPr>
                <w:p>
                  <w:pPr>
                    <w:adjustRightInd w:val="0"/>
                    <w:snapToGrid w:val="0"/>
                    <w:jc w:val="center"/>
                  </w:pPr>
                  <w:r>
                    <w:rPr>
                      <w:rFonts w:hint="eastAsia"/>
                    </w:rPr>
                    <w:t>锌</w:t>
                  </w:r>
                </w:p>
              </w:tc>
              <w:tc>
                <w:tcPr>
                  <w:tcW w:w="1010" w:type="pct"/>
                  <w:noWrap w:val="0"/>
                  <w:vAlign w:val="center"/>
                </w:tcPr>
                <w:p>
                  <w:pPr>
                    <w:adjustRightInd w:val="0"/>
                    <w:snapToGrid w:val="0"/>
                    <w:jc w:val="center"/>
                  </w:pPr>
                  <w:r>
                    <w:rPr>
                      <w:rFonts w:hint="eastAsia"/>
                    </w:rPr>
                    <w:t>0.05ND</w:t>
                  </w:r>
                </w:p>
              </w:tc>
              <w:tc>
                <w:tcPr>
                  <w:tcW w:w="551" w:type="pct"/>
                  <w:noWrap w:val="0"/>
                  <w:vAlign w:val="center"/>
                </w:tcPr>
                <w:p>
                  <w:pPr>
                    <w:adjustRightInd w:val="0"/>
                    <w:snapToGrid w:val="0"/>
                    <w:jc w:val="center"/>
                    <w:rPr>
                      <w:rFonts w:hint="eastAsia"/>
                    </w:rPr>
                  </w:pPr>
                  <w:r>
                    <w:rPr>
                      <w:rFonts w:hint="eastAsia"/>
                    </w:rPr>
                    <w:t>0</w:t>
                  </w:r>
                </w:p>
              </w:tc>
              <w:tc>
                <w:tcPr>
                  <w:tcW w:w="680" w:type="pct"/>
                  <w:noWrap w:val="0"/>
                  <w:vAlign w:val="center"/>
                </w:tcPr>
                <w:p>
                  <w:pPr>
                    <w:adjustRightInd w:val="0"/>
                    <w:snapToGrid w:val="0"/>
                    <w:jc w:val="center"/>
                    <w:rPr>
                      <w:rFonts w:hint="eastAsia"/>
                    </w:rPr>
                  </w:pPr>
                  <w:r>
                    <w:rPr>
                      <w:rFonts w:hint="eastAsia"/>
                    </w:rPr>
                    <w:t>0</w:t>
                  </w:r>
                </w:p>
              </w:tc>
              <w:tc>
                <w:tcPr>
                  <w:tcW w:w="554" w:type="pct"/>
                  <w:noWrap w:val="0"/>
                  <w:vAlign w:val="center"/>
                </w:tcPr>
                <w:p>
                  <w:pPr>
                    <w:adjustRightInd w:val="0"/>
                    <w:snapToGrid w:val="0"/>
                    <w:jc w:val="center"/>
                  </w:pPr>
                  <w:r>
                    <w:rPr>
                      <w:rFonts w:hint="eastAsia"/>
                    </w:rPr>
                    <w:t>1.0</w:t>
                  </w:r>
                </w:p>
              </w:tc>
              <w:tc>
                <w:tcPr>
                  <w:tcW w:w="586" w:type="pct"/>
                  <w:noWrap w:val="0"/>
                  <w:vAlign w:val="center"/>
                </w:tcPr>
                <w:p>
                  <w:pPr>
                    <w:adjustRightInd w:val="0"/>
                    <w:snapToGrid w:val="0"/>
                    <w:jc w:val="center"/>
                    <w:rPr>
                      <w:rFonts w:hint="eastAsia"/>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1" w:type="pct"/>
                  <w:vMerge w:val="continue"/>
                  <w:noWrap w:val="0"/>
                  <w:vAlign w:val="center"/>
                </w:tcPr>
                <w:p>
                  <w:pPr>
                    <w:adjustRightInd w:val="0"/>
                    <w:snapToGrid w:val="0"/>
                    <w:jc w:val="center"/>
                  </w:pPr>
                </w:p>
              </w:tc>
              <w:tc>
                <w:tcPr>
                  <w:tcW w:w="1056" w:type="pct"/>
                  <w:noWrap w:val="0"/>
                  <w:vAlign w:val="center"/>
                </w:tcPr>
                <w:p>
                  <w:pPr>
                    <w:adjustRightInd w:val="0"/>
                    <w:snapToGrid w:val="0"/>
                    <w:jc w:val="center"/>
                  </w:pPr>
                  <w:r>
                    <w:rPr>
                      <w:rFonts w:hint="eastAsia"/>
                    </w:rPr>
                    <w:t>氟化物</w:t>
                  </w:r>
                </w:p>
              </w:tc>
              <w:tc>
                <w:tcPr>
                  <w:tcW w:w="1010" w:type="pct"/>
                  <w:noWrap w:val="0"/>
                  <w:vAlign w:val="center"/>
                </w:tcPr>
                <w:p>
                  <w:pPr>
                    <w:adjustRightInd w:val="0"/>
                    <w:snapToGrid w:val="0"/>
                    <w:jc w:val="center"/>
                  </w:pPr>
                  <w:r>
                    <w:rPr>
                      <w:rFonts w:hint="eastAsia"/>
                    </w:rPr>
                    <w:t>0.234-0.297</w:t>
                  </w:r>
                </w:p>
              </w:tc>
              <w:tc>
                <w:tcPr>
                  <w:tcW w:w="551" w:type="pct"/>
                  <w:noWrap w:val="0"/>
                  <w:vAlign w:val="center"/>
                </w:tcPr>
                <w:p>
                  <w:pPr>
                    <w:adjustRightInd w:val="0"/>
                    <w:snapToGrid w:val="0"/>
                    <w:jc w:val="center"/>
                    <w:rPr>
                      <w:rFonts w:hint="eastAsia"/>
                    </w:rPr>
                  </w:pPr>
                  <w:r>
                    <w:rPr>
                      <w:rFonts w:hint="eastAsia"/>
                    </w:rPr>
                    <w:t>0</w:t>
                  </w:r>
                </w:p>
              </w:tc>
              <w:tc>
                <w:tcPr>
                  <w:tcW w:w="680" w:type="pct"/>
                  <w:noWrap w:val="0"/>
                  <w:vAlign w:val="center"/>
                </w:tcPr>
                <w:p>
                  <w:pPr>
                    <w:adjustRightInd w:val="0"/>
                    <w:snapToGrid w:val="0"/>
                    <w:jc w:val="center"/>
                    <w:rPr>
                      <w:rFonts w:hint="eastAsia"/>
                    </w:rPr>
                  </w:pPr>
                  <w:r>
                    <w:rPr>
                      <w:rFonts w:hint="eastAsia"/>
                    </w:rPr>
                    <w:t>0</w:t>
                  </w:r>
                </w:p>
              </w:tc>
              <w:tc>
                <w:tcPr>
                  <w:tcW w:w="554" w:type="pct"/>
                  <w:noWrap w:val="0"/>
                  <w:vAlign w:val="center"/>
                </w:tcPr>
                <w:p>
                  <w:pPr>
                    <w:adjustRightInd w:val="0"/>
                    <w:snapToGrid w:val="0"/>
                    <w:jc w:val="center"/>
                  </w:pPr>
                  <w:r>
                    <w:rPr>
                      <w:rFonts w:hint="eastAsia"/>
                    </w:rPr>
                    <w:t>1.0</w:t>
                  </w:r>
                </w:p>
              </w:tc>
              <w:tc>
                <w:tcPr>
                  <w:tcW w:w="586" w:type="pct"/>
                  <w:noWrap w:val="0"/>
                  <w:vAlign w:val="center"/>
                </w:tcPr>
                <w:p>
                  <w:pPr>
                    <w:adjustRightInd w:val="0"/>
                    <w:snapToGrid w:val="0"/>
                    <w:jc w:val="center"/>
                    <w:rPr>
                      <w:rFonts w:hint="eastAsia"/>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561" w:type="pct"/>
                  <w:vMerge w:val="continue"/>
                  <w:noWrap w:val="0"/>
                  <w:vAlign w:val="center"/>
                </w:tcPr>
                <w:p>
                  <w:pPr>
                    <w:adjustRightInd w:val="0"/>
                    <w:snapToGrid w:val="0"/>
                    <w:jc w:val="center"/>
                  </w:pPr>
                </w:p>
              </w:tc>
              <w:tc>
                <w:tcPr>
                  <w:tcW w:w="1056" w:type="pct"/>
                  <w:noWrap w:val="0"/>
                  <w:vAlign w:val="center"/>
                </w:tcPr>
                <w:p>
                  <w:pPr>
                    <w:adjustRightInd w:val="0"/>
                    <w:snapToGrid w:val="0"/>
                    <w:jc w:val="center"/>
                  </w:pPr>
                  <w:r>
                    <w:rPr>
                      <w:rFonts w:hint="eastAsia"/>
                    </w:rPr>
                    <w:t>硒</w:t>
                  </w:r>
                </w:p>
              </w:tc>
              <w:tc>
                <w:tcPr>
                  <w:tcW w:w="1010" w:type="pct"/>
                  <w:noWrap w:val="0"/>
                  <w:vAlign w:val="center"/>
                </w:tcPr>
                <w:p>
                  <w:pPr>
                    <w:adjustRightInd w:val="0"/>
                    <w:snapToGrid w:val="0"/>
                    <w:jc w:val="center"/>
                  </w:pPr>
                  <w:r>
                    <w:rPr>
                      <w:rFonts w:hint="eastAsia"/>
                    </w:rPr>
                    <w:t>0.0004ND</w:t>
                  </w:r>
                </w:p>
              </w:tc>
              <w:tc>
                <w:tcPr>
                  <w:tcW w:w="551" w:type="pct"/>
                  <w:noWrap w:val="0"/>
                  <w:vAlign w:val="center"/>
                </w:tcPr>
                <w:p>
                  <w:pPr>
                    <w:adjustRightInd w:val="0"/>
                    <w:snapToGrid w:val="0"/>
                    <w:jc w:val="center"/>
                    <w:rPr>
                      <w:rFonts w:hint="eastAsia"/>
                    </w:rPr>
                  </w:pPr>
                  <w:r>
                    <w:rPr>
                      <w:rFonts w:hint="eastAsia"/>
                    </w:rPr>
                    <w:t>0</w:t>
                  </w:r>
                </w:p>
              </w:tc>
              <w:tc>
                <w:tcPr>
                  <w:tcW w:w="680" w:type="pct"/>
                  <w:noWrap w:val="0"/>
                  <w:vAlign w:val="center"/>
                </w:tcPr>
                <w:p>
                  <w:pPr>
                    <w:adjustRightInd w:val="0"/>
                    <w:snapToGrid w:val="0"/>
                    <w:jc w:val="center"/>
                    <w:rPr>
                      <w:rFonts w:hint="eastAsia"/>
                    </w:rPr>
                  </w:pPr>
                  <w:r>
                    <w:rPr>
                      <w:rFonts w:hint="eastAsia"/>
                    </w:rPr>
                    <w:t>0</w:t>
                  </w:r>
                </w:p>
              </w:tc>
              <w:tc>
                <w:tcPr>
                  <w:tcW w:w="554" w:type="pct"/>
                  <w:noWrap w:val="0"/>
                  <w:vAlign w:val="center"/>
                </w:tcPr>
                <w:p>
                  <w:pPr>
                    <w:adjustRightInd w:val="0"/>
                    <w:snapToGrid w:val="0"/>
                    <w:jc w:val="center"/>
                  </w:pPr>
                  <w:r>
                    <w:rPr>
                      <w:rFonts w:hint="eastAsia"/>
                    </w:rPr>
                    <w:t>0.01</w:t>
                  </w:r>
                </w:p>
              </w:tc>
              <w:tc>
                <w:tcPr>
                  <w:tcW w:w="586" w:type="pct"/>
                  <w:noWrap w:val="0"/>
                  <w:vAlign w:val="center"/>
                </w:tcPr>
                <w:p>
                  <w:pPr>
                    <w:adjustRightInd w:val="0"/>
                    <w:snapToGrid w:val="0"/>
                    <w:jc w:val="center"/>
                    <w:rPr>
                      <w:rFonts w:hint="eastAsia"/>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1" w:type="pct"/>
                  <w:vMerge w:val="continue"/>
                  <w:noWrap w:val="0"/>
                  <w:vAlign w:val="center"/>
                </w:tcPr>
                <w:p>
                  <w:pPr>
                    <w:adjustRightInd w:val="0"/>
                    <w:snapToGrid w:val="0"/>
                    <w:jc w:val="center"/>
                  </w:pPr>
                </w:p>
              </w:tc>
              <w:tc>
                <w:tcPr>
                  <w:tcW w:w="1056" w:type="pct"/>
                  <w:noWrap w:val="0"/>
                  <w:vAlign w:val="center"/>
                </w:tcPr>
                <w:p>
                  <w:pPr>
                    <w:adjustRightInd w:val="0"/>
                    <w:snapToGrid w:val="0"/>
                    <w:jc w:val="center"/>
                  </w:pPr>
                  <w:r>
                    <w:rPr>
                      <w:rFonts w:hint="eastAsia"/>
                    </w:rPr>
                    <w:t>砷</w:t>
                  </w:r>
                </w:p>
              </w:tc>
              <w:tc>
                <w:tcPr>
                  <w:tcW w:w="1010" w:type="pct"/>
                  <w:noWrap w:val="0"/>
                  <w:vAlign w:val="center"/>
                </w:tcPr>
                <w:p>
                  <w:pPr>
                    <w:adjustRightInd w:val="0"/>
                    <w:snapToGrid w:val="0"/>
                    <w:jc w:val="center"/>
                  </w:pPr>
                  <w:r>
                    <w:rPr>
                      <w:rFonts w:hint="eastAsia"/>
                    </w:rPr>
                    <w:t>0.0003ND</w:t>
                  </w:r>
                </w:p>
              </w:tc>
              <w:tc>
                <w:tcPr>
                  <w:tcW w:w="551" w:type="pct"/>
                  <w:noWrap w:val="0"/>
                  <w:vAlign w:val="center"/>
                </w:tcPr>
                <w:p>
                  <w:pPr>
                    <w:adjustRightInd w:val="0"/>
                    <w:snapToGrid w:val="0"/>
                    <w:jc w:val="center"/>
                    <w:rPr>
                      <w:rFonts w:hint="eastAsia"/>
                    </w:rPr>
                  </w:pPr>
                  <w:r>
                    <w:rPr>
                      <w:rFonts w:hint="eastAsia"/>
                    </w:rPr>
                    <w:t>0</w:t>
                  </w:r>
                </w:p>
              </w:tc>
              <w:tc>
                <w:tcPr>
                  <w:tcW w:w="680" w:type="pct"/>
                  <w:noWrap w:val="0"/>
                  <w:vAlign w:val="center"/>
                </w:tcPr>
                <w:p>
                  <w:pPr>
                    <w:adjustRightInd w:val="0"/>
                    <w:snapToGrid w:val="0"/>
                    <w:jc w:val="center"/>
                    <w:rPr>
                      <w:rFonts w:hint="eastAsia"/>
                    </w:rPr>
                  </w:pPr>
                  <w:r>
                    <w:rPr>
                      <w:rFonts w:hint="eastAsia"/>
                    </w:rPr>
                    <w:t>0</w:t>
                  </w:r>
                </w:p>
              </w:tc>
              <w:tc>
                <w:tcPr>
                  <w:tcW w:w="554" w:type="pct"/>
                  <w:noWrap w:val="0"/>
                  <w:vAlign w:val="center"/>
                </w:tcPr>
                <w:p>
                  <w:pPr>
                    <w:adjustRightInd w:val="0"/>
                    <w:snapToGrid w:val="0"/>
                    <w:jc w:val="center"/>
                  </w:pPr>
                  <w:r>
                    <w:rPr>
                      <w:rFonts w:hint="eastAsia"/>
                    </w:rPr>
                    <w:t>0.05</w:t>
                  </w:r>
                </w:p>
              </w:tc>
              <w:tc>
                <w:tcPr>
                  <w:tcW w:w="586" w:type="pct"/>
                  <w:noWrap w:val="0"/>
                  <w:vAlign w:val="center"/>
                </w:tcPr>
                <w:p>
                  <w:pPr>
                    <w:adjustRightInd w:val="0"/>
                    <w:snapToGrid w:val="0"/>
                    <w:jc w:val="center"/>
                    <w:rPr>
                      <w:rFonts w:hint="eastAsia"/>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1" w:type="pct"/>
                  <w:vMerge w:val="continue"/>
                  <w:noWrap w:val="0"/>
                  <w:vAlign w:val="center"/>
                </w:tcPr>
                <w:p>
                  <w:pPr>
                    <w:adjustRightInd w:val="0"/>
                    <w:snapToGrid w:val="0"/>
                    <w:jc w:val="center"/>
                  </w:pPr>
                </w:p>
              </w:tc>
              <w:tc>
                <w:tcPr>
                  <w:tcW w:w="1056" w:type="pct"/>
                  <w:noWrap w:val="0"/>
                  <w:vAlign w:val="center"/>
                </w:tcPr>
                <w:p>
                  <w:pPr>
                    <w:adjustRightInd w:val="0"/>
                    <w:snapToGrid w:val="0"/>
                    <w:jc w:val="center"/>
                  </w:pPr>
                  <w:r>
                    <w:rPr>
                      <w:rFonts w:hint="eastAsia"/>
                    </w:rPr>
                    <w:t>汞</w:t>
                  </w:r>
                </w:p>
              </w:tc>
              <w:tc>
                <w:tcPr>
                  <w:tcW w:w="1010" w:type="pct"/>
                  <w:noWrap w:val="0"/>
                  <w:vAlign w:val="center"/>
                </w:tcPr>
                <w:p>
                  <w:pPr>
                    <w:adjustRightInd w:val="0"/>
                    <w:snapToGrid w:val="0"/>
                    <w:jc w:val="center"/>
                  </w:pPr>
                  <w:r>
                    <w:rPr>
                      <w:rFonts w:hint="eastAsia"/>
                    </w:rPr>
                    <w:t>0.00004ND</w:t>
                  </w:r>
                </w:p>
              </w:tc>
              <w:tc>
                <w:tcPr>
                  <w:tcW w:w="551" w:type="pct"/>
                  <w:noWrap w:val="0"/>
                  <w:vAlign w:val="center"/>
                </w:tcPr>
                <w:p>
                  <w:pPr>
                    <w:adjustRightInd w:val="0"/>
                    <w:snapToGrid w:val="0"/>
                    <w:jc w:val="center"/>
                    <w:rPr>
                      <w:rFonts w:hint="eastAsia"/>
                    </w:rPr>
                  </w:pPr>
                  <w:r>
                    <w:rPr>
                      <w:rFonts w:hint="eastAsia"/>
                    </w:rPr>
                    <w:t>0</w:t>
                  </w:r>
                </w:p>
              </w:tc>
              <w:tc>
                <w:tcPr>
                  <w:tcW w:w="680" w:type="pct"/>
                  <w:noWrap w:val="0"/>
                  <w:vAlign w:val="center"/>
                </w:tcPr>
                <w:p>
                  <w:pPr>
                    <w:adjustRightInd w:val="0"/>
                    <w:snapToGrid w:val="0"/>
                    <w:jc w:val="center"/>
                    <w:rPr>
                      <w:rFonts w:hint="eastAsia"/>
                    </w:rPr>
                  </w:pPr>
                  <w:r>
                    <w:rPr>
                      <w:rFonts w:hint="eastAsia"/>
                    </w:rPr>
                    <w:t>0</w:t>
                  </w:r>
                </w:p>
              </w:tc>
              <w:tc>
                <w:tcPr>
                  <w:tcW w:w="554" w:type="pct"/>
                  <w:noWrap w:val="0"/>
                  <w:vAlign w:val="center"/>
                </w:tcPr>
                <w:p>
                  <w:pPr>
                    <w:adjustRightInd w:val="0"/>
                    <w:snapToGrid w:val="0"/>
                    <w:jc w:val="center"/>
                  </w:pPr>
                  <w:r>
                    <w:rPr>
                      <w:rFonts w:hint="eastAsia"/>
                    </w:rPr>
                    <w:t>0.0001</w:t>
                  </w:r>
                </w:p>
              </w:tc>
              <w:tc>
                <w:tcPr>
                  <w:tcW w:w="586" w:type="pct"/>
                  <w:noWrap w:val="0"/>
                  <w:vAlign w:val="center"/>
                </w:tcPr>
                <w:p>
                  <w:pPr>
                    <w:adjustRightInd w:val="0"/>
                    <w:snapToGrid w:val="0"/>
                    <w:jc w:val="center"/>
                    <w:rPr>
                      <w:rFonts w:hint="eastAsia"/>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561" w:type="pct"/>
                  <w:vMerge w:val="continue"/>
                  <w:noWrap w:val="0"/>
                  <w:vAlign w:val="center"/>
                </w:tcPr>
                <w:p>
                  <w:pPr>
                    <w:adjustRightInd w:val="0"/>
                    <w:snapToGrid w:val="0"/>
                    <w:jc w:val="center"/>
                  </w:pPr>
                </w:p>
              </w:tc>
              <w:tc>
                <w:tcPr>
                  <w:tcW w:w="1056" w:type="pct"/>
                  <w:noWrap w:val="0"/>
                  <w:vAlign w:val="center"/>
                </w:tcPr>
                <w:p>
                  <w:pPr>
                    <w:adjustRightInd w:val="0"/>
                    <w:snapToGrid w:val="0"/>
                    <w:jc w:val="center"/>
                  </w:pPr>
                  <w:r>
                    <w:rPr>
                      <w:rFonts w:hint="eastAsia"/>
                    </w:rPr>
                    <w:t>镉</w:t>
                  </w:r>
                </w:p>
              </w:tc>
              <w:tc>
                <w:tcPr>
                  <w:tcW w:w="1010" w:type="pct"/>
                  <w:noWrap w:val="0"/>
                  <w:vAlign w:val="center"/>
                </w:tcPr>
                <w:p>
                  <w:pPr>
                    <w:adjustRightInd w:val="0"/>
                    <w:snapToGrid w:val="0"/>
                    <w:jc w:val="center"/>
                  </w:pPr>
                  <w:r>
                    <w:rPr>
                      <w:rFonts w:hint="eastAsia"/>
                    </w:rPr>
                    <w:t>0.0001ND</w:t>
                  </w:r>
                </w:p>
              </w:tc>
              <w:tc>
                <w:tcPr>
                  <w:tcW w:w="551" w:type="pct"/>
                  <w:noWrap w:val="0"/>
                  <w:vAlign w:val="center"/>
                </w:tcPr>
                <w:p>
                  <w:pPr>
                    <w:adjustRightInd w:val="0"/>
                    <w:snapToGrid w:val="0"/>
                    <w:jc w:val="center"/>
                    <w:rPr>
                      <w:rFonts w:hint="eastAsia"/>
                    </w:rPr>
                  </w:pPr>
                  <w:r>
                    <w:rPr>
                      <w:rFonts w:hint="eastAsia"/>
                    </w:rPr>
                    <w:t>0</w:t>
                  </w:r>
                </w:p>
              </w:tc>
              <w:tc>
                <w:tcPr>
                  <w:tcW w:w="680" w:type="pct"/>
                  <w:noWrap w:val="0"/>
                  <w:vAlign w:val="center"/>
                </w:tcPr>
                <w:p>
                  <w:pPr>
                    <w:adjustRightInd w:val="0"/>
                    <w:snapToGrid w:val="0"/>
                    <w:jc w:val="center"/>
                    <w:rPr>
                      <w:rFonts w:hint="eastAsia"/>
                    </w:rPr>
                  </w:pPr>
                  <w:r>
                    <w:rPr>
                      <w:rFonts w:hint="eastAsia"/>
                    </w:rPr>
                    <w:t>0</w:t>
                  </w:r>
                </w:p>
              </w:tc>
              <w:tc>
                <w:tcPr>
                  <w:tcW w:w="554" w:type="pct"/>
                  <w:noWrap w:val="0"/>
                  <w:vAlign w:val="center"/>
                </w:tcPr>
                <w:p>
                  <w:pPr>
                    <w:adjustRightInd w:val="0"/>
                    <w:snapToGrid w:val="0"/>
                    <w:jc w:val="center"/>
                  </w:pPr>
                  <w:r>
                    <w:rPr>
                      <w:rFonts w:hint="eastAsia"/>
                    </w:rPr>
                    <w:t>0.005</w:t>
                  </w:r>
                </w:p>
              </w:tc>
              <w:tc>
                <w:tcPr>
                  <w:tcW w:w="586" w:type="pct"/>
                  <w:noWrap w:val="0"/>
                  <w:vAlign w:val="center"/>
                </w:tcPr>
                <w:p>
                  <w:pPr>
                    <w:adjustRightInd w:val="0"/>
                    <w:snapToGrid w:val="0"/>
                    <w:jc w:val="center"/>
                    <w:rPr>
                      <w:rFonts w:hint="eastAsia"/>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1" w:type="pct"/>
                  <w:vMerge w:val="continue"/>
                  <w:noWrap w:val="0"/>
                  <w:vAlign w:val="center"/>
                </w:tcPr>
                <w:p>
                  <w:pPr>
                    <w:adjustRightInd w:val="0"/>
                    <w:snapToGrid w:val="0"/>
                    <w:jc w:val="center"/>
                  </w:pPr>
                </w:p>
              </w:tc>
              <w:tc>
                <w:tcPr>
                  <w:tcW w:w="1056" w:type="pct"/>
                  <w:noWrap w:val="0"/>
                  <w:vAlign w:val="center"/>
                </w:tcPr>
                <w:p>
                  <w:pPr>
                    <w:adjustRightInd w:val="0"/>
                    <w:snapToGrid w:val="0"/>
                    <w:jc w:val="center"/>
                  </w:pPr>
                  <w:r>
                    <w:rPr>
                      <w:rFonts w:hint="eastAsia"/>
                    </w:rPr>
                    <w:t>六价铬</w:t>
                  </w:r>
                </w:p>
              </w:tc>
              <w:tc>
                <w:tcPr>
                  <w:tcW w:w="1010" w:type="pct"/>
                  <w:noWrap w:val="0"/>
                  <w:vAlign w:val="center"/>
                </w:tcPr>
                <w:p>
                  <w:pPr>
                    <w:adjustRightInd w:val="0"/>
                    <w:snapToGrid w:val="0"/>
                    <w:jc w:val="center"/>
                  </w:pPr>
                  <w:r>
                    <w:rPr>
                      <w:rFonts w:hint="eastAsia"/>
                    </w:rPr>
                    <w:t>0.004ND</w:t>
                  </w:r>
                </w:p>
              </w:tc>
              <w:tc>
                <w:tcPr>
                  <w:tcW w:w="551" w:type="pct"/>
                  <w:noWrap w:val="0"/>
                  <w:vAlign w:val="center"/>
                </w:tcPr>
                <w:p>
                  <w:pPr>
                    <w:adjustRightInd w:val="0"/>
                    <w:snapToGrid w:val="0"/>
                    <w:jc w:val="center"/>
                    <w:rPr>
                      <w:rFonts w:hint="eastAsia"/>
                    </w:rPr>
                  </w:pPr>
                  <w:r>
                    <w:rPr>
                      <w:rFonts w:hint="eastAsia"/>
                    </w:rPr>
                    <w:t>0</w:t>
                  </w:r>
                </w:p>
              </w:tc>
              <w:tc>
                <w:tcPr>
                  <w:tcW w:w="680" w:type="pct"/>
                  <w:noWrap w:val="0"/>
                  <w:vAlign w:val="center"/>
                </w:tcPr>
                <w:p>
                  <w:pPr>
                    <w:adjustRightInd w:val="0"/>
                    <w:snapToGrid w:val="0"/>
                    <w:jc w:val="center"/>
                    <w:rPr>
                      <w:rFonts w:hint="eastAsia"/>
                    </w:rPr>
                  </w:pPr>
                  <w:r>
                    <w:rPr>
                      <w:rFonts w:hint="eastAsia"/>
                    </w:rPr>
                    <w:t>0</w:t>
                  </w:r>
                </w:p>
              </w:tc>
              <w:tc>
                <w:tcPr>
                  <w:tcW w:w="554" w:type="pct"/>
                  <w:noWrap w:val="0"/>
                  <w:vAlign w:val="center"/>
                </w:tcPr>
                <w:p>
                  <w:pPr>
                    <w:adjustRightInd w:val="0"/>
                    <w:snapToGrid w:val="0"/>
                    <w:jc w:val="center"/>
                  </w:pPr>
                  <w:r>
                    <w:rPr>
                      <w:rFonts w:hint="eastAsia"/>
                    </w:rPr>
                    <w:t>0.05</w:t>
                  </w:r>
                </w:p>
              </w:tc>
              <w:tc>
                <w:tcPr>
                  <w:tcW w:w="586" w:type="pct"/>
                  <w:noWrap w:val="0"/>
                  <w:vAlign w:val="center"/>
                </w:tcPr>
                <w:p>
                  <w:pPr>
                    <w:adjustRightInd w:val="0"/>
                    <w:snapToGrid w:val="0"/>
                    <w:jc w:val="center"/>
                    <w:rPr>
                      <w:rFonts w:hint="eastAsia"/>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1" w:type="pct"/>
                  <w:vMerge w:val="continue"/>
                  <w:noWrap w:val="0"/>
                  <w:vAlign w:val="center"/>
                </w:tcPr>
                <w:p>
                  <w:pPr>
                    <w:adjustRightInd w:val="0"/>
                    <w:snapToGrid w:val="0"/>
                    <w:jc w:val="center"/>
                  </w:pPr>
                </w:p>
              </w:tc>
              <w:tc>
                <w:tcPr>
                  <w:tcW w:w="1056" w:type="pct"/>
                  <w:noWrap w:val="0"/>
                  <w:vAlign w:val="center"/>
                </w:tcPr>
                <w:p>
                  <w:pPr>
                    <w:adjustRightInd w:val="0"/>
                    <w:snapToGrid w:val="0"/>
                    <w:jc w:val="center"/>
                  </w:pPr>
                  <w:r>
                    <w:rPr>
                      <w:rFonts w:hint="eastAsia"/>
                    </w:rPr>
                    <w:t>铅</w:t>
                  </w:r>
                </w:p>
              </w:tc>
              <w:tc>
                <w:tcPr>
                  <w:tcW w:w="1010" w:type="pct"/>
                  <w:noWrap w:val="0"/>
                  <w:vAlign w:val="center"/>
                </w:tcPr>
                <w:p>
                  <w:pPr>
                    <w:adjustRightInd w:val="0"/>
                    <w:snapToGrid w:val="0"/>
                    <w:jc w:val="center"/>
                  </w:pPr>
                  <w:r>
                    <w:rPr>
                      <w:rFonts w:hint="eastAsia"/>
                    </w:rPr>
                    <w:t>0.002ND</w:t>
                  </w:r>
                </w:p>
              </w:tc>
              <w:tc>
                <w:tcPr>
                  <w:tcW w:w="551" w:type="pct"/>
                  <w:noWrap w:val="0"/>
                  <w:vAlign w:val="center"/>
                </w:tcPr>
                <w:p>
                  <w:pPr>
                    <w:adjustRightInd w:val="0"/>
                    <w:snapToGrid w:val="0"/>
                    <w:jc w:val="center"/>
                    <w:rPr>
                      <w:rFonts w:hint="eastAsia"/>
                    </w:rPr>
                  </w:pPr>
                  <w:r>
                    <w:rPr>
                      <w:rFonts w:hint="eastAsia"/>
                    </w:rPr>
                    <w:t>0</w:t>
                  </w:r>
                </w:p>
              </w:tc>
              <w:tc>
                <w:tcPr>
                  <w:tcW w:w="680" w:type="pct"/>
                  <w:noWrap w:val="0"/>
                  <w:vAlign w:val="center"/>
                </w:tcPr>
                <w:p>
                  <w:pPr>
                    <w:adjustRightInd w:val="0"/>
                    <w:snapToGrid w:val="0"/>
                    <w:jc w:val="center"/>
                    <w:rPr>
                      <w:rFonts w:hint="eastAsia"/>
                    </w:rPr>
                  </w:pPr>
                  <w:r>
                    <w:rPr>
                      <w:rFonts w:hint="eastAsia"/>
                    </w:rPr>
                    <w:t>0</w:t>
                  </w:r>
                </w:p>
              </w:tc>
              <w:tc>
                <w:tcPr>
                  <w:tcW w:w="554" w:type="pct"/>
                  <w:noWrap w:val="0"/>
                  <w:vAlign w:val="center"/>
                </w:tcPr>
                <w:p>
                  <w:pPr>
                    <w:adjustRightInd w:val="0"/>
                    <w:snapToGrid w:val="0"/>
                    <w:jc w:val="center"/>
                  </w:pPr>
                  <w:r>
                    <w:rPr>
                      <w:rFonts w:hint="eastAsia"/>
                    </w:rPr>
                    <w:t>0.05</w:t>
                  </w:r>
                </w:p>
              </w:tc>
              <w:tc>
                <w:tcPr>
                  <w:tcW w:w="586" w:type="pct"/>
                  <w:noWrap w:val="0"/>
                  <w:vAlign w:val="center"/>
                </w:tcPr>
                <w:p>
                  <w:pPr>
                    <w:adjustRightInd w:val="0"/>
                    <w:snapToGrid w:val="0"/>
                    <w:jc w:val="center"/>
                    <w:rPr>
                      <w:rFonts w:hint="eastAsia"/>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1" w:type="pct"/>
                  <w:vMerge w:val="continue"/>
                  <w:noWrap w:val="0"/>
                  <w:vAlign w:val="center"/>
                </w:tcPr>
                <w:p>
                  <w:pPr>
                    <w:adjustRightInd w:val="0"/>
                    <w:snapToGrid w:val="0"/>
                    <w:jc w:val="center"/>
                  </w:pPr>
                </w:p>
              </w:tc>
              <w:tc>
                <w:tcPr>
                  <w:tcW w:w="1056" w:type="pct"/>
                  <w:noWrap w:val="0"/>
                  <w:vAlign w:val="center"/>
                </w:tcPr>
                <w:p>
                  <w:pPr>
                    <w:adjustRightInd w:val="0"/>
                    <w:snapToGrid w:val="0"/>
                    <w:jc w:val="center"/>
                  </w:pPr>
                  <w:r>
                    <w:rPr>
                      <w:rFonts w:hint="eastAsia"/>
                    </w:rPr>
                    <w:t>氰化物</w:t>
                  </w:r>
                </w:p>
              </w:tc>
              <w:tc>
                <w:tcPr>
                  <w:tcW w:w="1010" w:type="pct"/>
                  <w:noWrap w:val="0"/>
                  <w:vAlign w:val="center"/>
                </w:tcPr>
                <w:p>
                  <w:pPr>
                    <w:adjustRightInd w:val="0"/>
                    <w:snapToGrid w:val="0"/>
                    <w:jc w:val="center"/>
                  </w:pPr>
                  <w:r>
                    <w:rPr>
                      <w:rFonts w:hint="eastAsia"/>
                    </w:rPr>
                    <w:t>0.001ND</w:t>
                  </w:r>
                </w:p>
              </w:tc>
              <w:tc>
                <w:tcPr>
                  <w:tcW w:w="551" w:type="pct"/>
                  <w:noWrap w:val="0"/>
                  <w:vAlign w:val="center"/>
                </w:tcPr>
                <w:p>
                  <w:pPr>
                    <w:adjustRightInd w:val="0"/>
                    <w:snapToGrid w:val="0"/>
                    <w:jc w:val="center"/>
                    <w:rPr>
                      <w:rFonts w:hint="eastAsia"/>
                    </w:rPr>
                  </w:pPr>
                  <w:r>
                    <w:rPr>
                      <w:rFonts w:hint="eastAsia"/>
                    </w:rPr>
                    <w:t>0</w:t>
                  </w:r>
                </w:p>
              </w:tc>
              <w:tc>
                <w:tcPr>
                  <w:tcW w:w="680" w:type="pct"/>
                  <w:noWrap w:val="0"/>
                  <w:vAlign w:val="center"/>
                </w:tcPr>
                <w:p>
                  <w:pPr>
                    <w:adjustRightInd w:val="0"/>
                    <w:snapToGrid w:val="0"/>
                    <w:jc w:val="center"/>
                    <w:rPr>
                      <w:rFonts w:hint="eastAsia"/>
                    </w:rPr>
                  </w:pPr>
                  <w:r>
                    <w:rPr>
                      <w:rFonts w:hint="eastAsia"/>
                    </w:rPr>
                    <w:t>0</w:t>
                  </w:r>
                </w:p>
              </w:tc>
              <w:tc>
                <w:tcPr>
                  <w:tcW w:w="554" w:type="pct"/>
                  <w:noWrap w:val="0"/>
                  <w:vAlign w:val="center"/>
                </w:tcPr>
                <w:p>
                  <w:pPr>
                    <w:adjustRightInd w:val="0"/>
                    <w:snapToGrid w:val="0"/>
                    <w:jc w:val="center"/>
                  </w:pPr>
                  <w:r>
                    <w:rPr>
                      <w:rFonts w:hint="eastAsia"/>
                    </w:rPr>
                    <w:t>0.2</w:t>
                  </w:r>
                </w:p>
              </w:tc>
              <w:tc>
                <w:tcPr>
                  <w:tcW w:w="586" w:type="pct"/>
                  <w:noWrap w:val="0"/>
                  <w:vAlign w:val="center"/>
                </w:tcPr>
                <w:p>
                  <w:pPr>
                    <w:adjustRightInd w:val="0"/>
                    <w:snapToGrid w:val="0"/>
                    <w:jc w:val="center"/>
                    <w:rPr>
                      <w:rFonts w:hint="eastAsia"/>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1" w:type="pct"/>
                  <w:vMerge w:val="continue"/>
                  <w:noWrap w:val="0"/>
                  <w:vAlign w:val="center"/>
                </w:tcPr>
                <w:p>
                  <w:pPr>
                    <w:adjustRightInd w:val="0"/>
                    <w:snapToGrid w:val="0"/>
                    <w:jc w:val="center"/>
                  </w:pPr>
                </w:p>
              </w:tc>
              <w:tc>
                <w:tcPr>
                  <w:tcW w:w="1056" w:type="pct"/>
                  <w:noWrap w:val="0"/>
                  <w:vAlign w:val="center"/>
                </w:tcPr>
                <w:p>
                  <w:pPr>
                    <w:adjustRightInd w:val="0"/>
                    <w:snapToGrid w:val="0"/>
                    <w:jc w:val="center"/>
                    <w:rPr>
                      <w:rFonts w:hint="eastAsia"/>
                    </w:rPr>
                  </w:pPr>
                  <w:r>
                    <w:rPr>
                      <w:rFonts w:hint="eastAsia"/>
                    </w:rPr>
                    <w:t>挥发酚</w:t>
                  </w:r>
                </w:p>
              </w:tc>
              <w:tc>
                <w:tcPr>
                  <w:tcW w:w="1010" w:type="pct"/>
                  <w:noWrap w:val="0"/>
                  <w:vAlign w:val="center"/>
                </w:tcPr>
                <w:p>
                  <w:pPr>
                    <w:adjustRightInd w:val="0"/>
                    <w:snapToGrid w:val="0"/>
                    <w:jc w:val="center"/>
                  </w:pPr>
                  <w:r>
                    <w:rPr>
                      <w:rFonts w:hint="eastAsia"/>
                    </w:rPr>
                    <w:t>0.0003ND</w:t>
                  </w:r>
                </w:p>
              </w:tc>
              <w:tc>
                <w:tcPr>
                  <w:tcW w:w="551" w:type="pct"/>
                  <w:noWrap w:val="0"/>
                  <w:vAlign w:val="center"/>
                </w:tcPr>
                <w:p>
                  <w:pPr>
                    <w:adjustRightInd w:val="0"/>
                    <w:snapToGrid w:val="0"/>
                    <w:jc w:val="center"/>
                  </w:pPr>
                  <w:r>
                    <w:rPr>
                      <w:rFonts w:hint="eastAsia"/>
                    </w:rPr>
                    <w:t>0</w:t>
                  </w:r>
                </w:p>
              </w:tc>
              <w:tc>
                <w:tcPr>
                  <w:tcW w:w="680" w:type="pct"/>
                  <w:noWrap w:val="0"/>
                  <w:vAlign w:val="center"/>
                </w:tcPr>
                <w:p>
                  <w:pPr>
                    <w:adjustRightInd w:val="0"/>
                    <w:snapToGrid w:val="0"/>
                    <w:jc w:val="center"/>
                  </w:pPr>
                  <w:r>
                    <w:rPr>
                      <w:rFonts w:hint="eastAsia"/>
                    </w:rPr>
                    <w:t>0</w:t>
                  </w:r>
                </w:p>
              </w:tc>
              <w:tc>
                <w:tcPr>
                  <w:tcW w:w="554" w:type="pct"/>
                  <w:noWrap w:val="0"/>
                  <w:vAlign w:val="center"/>
                </w:tcPr>
                <w:p>
                  <w:pPr>
                    <w:adjustRightInd w:val="0"/>
                    <w:snapToGrid w:val="0"/>
                    <w:jc w:val="center"/>
                  </w:pPr>
                  <w:r>
                    <w:rPr>
                      <w:rFonts w:hint="eastAsia"/>
                    </w:rPr>
                    <w:t>0.005</w:t>
                  </w:r>
                </w:p>
              </w:tc>
              <w:tc>
                <w:tcPr>
                  <w:tcW w:w="586" w:type="pct"/>
                  <w:noWrap w:val="0"/>
                  <w:vAlign w:val="center"/>
                </w:tcPr>
                <w:p>
                  <w:pPr>
                    <w:adjustRightInd w:val="0"/>
                    <w:snapToGrid w:val="0"/>
                    <w:jc w:val="cente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1" w:type="pct"/>
                  <w:vMerge w:val="continue"/>
                  <w:noWrap w:val="0"/>
                  <w:vAlign w:val="center"/>
                </w:tcPr>
                <w:p>
                  <w:pPr>
                    <w:adjustRightInd w:val="0"/>
                    <w:snapToGrid w:val="0"/>
                    <w:jc w:val="center"/>
                  </w:pPr>
                </w:p>
              </w:tc>
              <w:tc>
                <w:tcPr>
                  <w:tcW w:w="1056" w:type="pct"/>
                  <w:noWrap w:val="0"/>
                  <w:vAlign w:val="center"/>
                </w:tcPr>
                <w:p>
                  <w:pPr>
                    <w:adjustRightInd w:val="0"/>
                    <w:snapToGrid w:val="0"/>
                    <w:jc w:val="center"/>
                    <w:rPr>
                      <w:rFonts w:hint="eastAsia"/>
                    </w:rPr>
                  </w:pPr>
                  <w:r>
                    <w:rPr>
                      <w:rFonts w:hint="eastAsia"/>
                    </w:rPr>
                    <w:t>石油类</w:t>
                  </w:r>
                </w:p>
              </w:tc>
              <w:tc>
                <w:tcPr>
                  <w:tcW w:w="1010" w:type="pct"/>
                  <w:noWrap w:val="0"/>
                  <w:vAlign w:val="center"/>
                </w:tcPr>
                <w:p>
                  <w:pPr>
                    <w:adjustRightInd w:val="0"/>
                    <w:snapToGrid w:val="0"/>
                    <w:jc w:val="center"/>
                  </w:pPr>
                  <w:r>
                    <w:rPr>
                      <w:rFonts w:hint="eastAsia"/>
                    </w:rPr>
                    <w:t>0.01-0.03</w:t>
                  </w:r>
                </w:p>
              </w:tc>
              <w:tc>
                <w:tcPr>
                  <w:tcW w:w="551" w:type="pct"/>
                  <w:noWrap w:val="0"/>
                  <w:vAlign w:val="center"/>
                </w:tcPr>
                <w:p>
                  <w:pPr>
                    <w:adjustRightInd w:val="0"/>
                    <w:snapToGrid w:val="0"/>
                    <w:jc w:val="center"/>
                  </w:pPr>
                  <w:r>
                    <w:rPr>
                      <w:rFonts w:hint="eastAsia"/>
                    </w:rPr>
                    <w:t>0</w:t>
                  </w:r>
                </w:p>
              </w:tc>
              <w:tc>
                <w:tcPr>
                  <w:tcW w:w="680" w:type="pct"/>
                  <w:noWrap w:val="0"/>
                  <w:vAlign w:val="center"/>
                </w:tcPr>
                <w:p>
                  <w:pPr>
                    <w:adjustRightInd w:val="0"/>
                    <w:snapToGrid w:val="0"/>
                    <w:jc w:val="center"/>
                  </w:pPr>
                  <w:r>
                    <w:rPr>
                      <w:rFonts w:hint="eastAsia"/>
                    </w:rPr>
                    <w:t>0</w:t>
                  </w:r>
                </w:p>
              </w:tc>
              <w:tc>
                <w:tcPr>
                  <w:tcW w:w="554" w:type="pct"/>
                  <w:noWrap w:val="0"/>
                  <w:vAlign w:val="center"/>
                </w:tcPr>
                <w:p>
                  <w:pPr>
                    <w:adjustRightInd w:val="0"/>
                    <w:snapToGrid w:val="0"/>
                    <w:jc w:val="center"/>
                  </w:pPr>
                  <w:r>
                    <w:rPr>
                      <w:rFonts w:hint="eastAsia"/>
                    </w:rPr>
                    <w:t>0.05</w:t>
                  </w:r>
                </w:p>
              </w:tc>
              <w:tc>
                <w:tcPr>
                  <w:tcW w:w="586" w:type="pct"/>
                  <w:noWrap w:val="0"/>
                  <w:vAlign w:val="center"/>
                </w:tcPr>
                <w:p>
                  <w:pPr>
                    <w:adjustRightInd w:val="0"/>
                    <w:snapToGrid w:val="0"/>
                    <w:jc w:val="cente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1" w:type="pct"/>
                  <w:vMerge w:val="continue"/>
                  <w:noWrap w:val="0"/>
                  <w:vAlign w:val="center"/>
                </w:tcPr>
                <w:p>
                  <w:pPr>
                    <w:adjustRightInd w:val="0"/>
                    <w:snapToGrid w:val="0"/>
                    <w:jc w:val="center"/>
                  </w:pPr>
                </w:p>
              </w:tc>
              <w:tc>
                <w:tcPr>
                  <w:tcW w:w="1056" w:type="pct"/>
                  <w:noWrap w:val="0"/>
                  <w:vAlign w:val="center"/>
                </w:tcPr>
                <w:p>
                  <w:pPr>
                    <w:adjustRightInd w:val="0"/>
                    <w:snapToGrid w:val="0"/>
                    <w:jc w:val="center"/>
                  </w:pPr>
                  <w:r>
                    <w:rPr>
                      <w:rFonts w:hint="eastAsia"/>
                    </w:rPr>
                    <w:t>LAS</w:t>
                  </w:r>
                </w:p>
              </w:tc>
              <w:tc>
                <w:tcPr>
                  <w:tcW w:w="1010" w:type="pct"/>
                  <w:noWrap w:val="0"/>
                  <w:vAlign w:val="center"/>
                </w:tcPr>
                <w:p>
                  <w:pPr>
                    <w:adjustRightInd w:val="0"/>
                    <w:snapToGrid w:val="0"/>
                    <w:jc w:val="center"/>
                  </w:pPr>
                  <w:r>
                    <w:rPr>
                      <w:rFonts w:hint="eastAsia"/>
                    </w:rPr>
                    <w:t>0.05ND</w:t>
                  </w:r>
                </w:p>
              </w:tc>
              <w:tc>
                <w:tcPr>
                  <w:tcW w:w="551" w:type="pct"/>
                  <w:noWrap w:val="0"/>
                  <w:vAlign w:val="center"/>
                </w:tcPr>
                <w:p>
                  <w:pPr>
                    <w:adjustRightInd w:val="0"/>
                    <w:snapToGrid w:val="0"/>
                    <w:jc w:val="center"/>
                  </w:pPr>
                  <w:r>
                    <w:rPr>
                      <w:rFonts w:hint="eastAsia"/>
                    </w:rPr>
                    <w:t>0</w:t>
                  </w:r>
                </w:p>
              </w:tc>
              <w:tc>
                <w:tcPr>
                  <w:tcW w:w="680" w:type="pct"/>
                  <w:noWrap w:val="0"/>
                  <w:vAlign w:val="center"/>
                </w:tcPr>
                <w:p>
                  <w:pPr>
                    <w:adjustRightInd w:val="0"/>
                    <w:snapToGrid w:val="0"/>
                    <w:jc w:val="center"/>
                  </w:pPr>
                  <w:r>
                    <w:rPr>
                      <w:rFonts w:hint="eastAsia"/>
                    </w:rPr>
                    <w:t>0</w:t>
                  </w:r>
                </w:p>
              </w:tc>
              <w:tc>
                <w:tcPr>
                  <w:tcW w:w="554" w:type="pct"/>
                  <w:noWrap w:val="0"/>
                  <w:vAlign w:val="center"/>
                </w:tcPr>
                <w:p>
                  <w:pPr>
                    <w:adjustRightInd w:val="0"/>
                    <w:snapToGrid w:val="0"/>
                    <w:jc w:val="center"/>
                  </w:pPr>
                  <w:r>
                    <w:rPr>
                      <w:rFonts w:hint="eastAsia"/>
                    </w:rPr>
                    <w:t>0.2</w:t>
                  </w:r>
                </w:p>
              </w:tc>
              <w:tc>
                <w:tcPr>
                  <w:tcW w:w="586" w:type="pct"/>
                  <w:noWrap w:val="0"/>
                  <w:vAlign w:val="center"/>
                </w:tcPr>
                <w:p>
                  <w:pPr>
                    <w:adjustRightInd w:val="0"/>
                    <w:snapToGrid w:val="0"/>
                    <w:jc w:val="cente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1" w:type="pct"/>
                  <w:vMerge w:val="continue"/>
                  <w:noWrap w:val="0"/>
                  <w:vAlign w:val="center"/>
                </w:tcPr>
                <w:p>
                  <w:pPr>
                    <w:adjustRightInd w:val="0"/>
                    <w:snapToGrid w:val="0"/>
                    <w:jc w:val="center"/>
                  </w:pPr>
                </w:p>
              </w:tc>
              <w:tc>
                <w:tcPr>
                  <w:tcW w:w="1056" w:type="pct"/>
                  <w:noWrap w:val="0"/>
                  <w:vAlign w:val="center"/>
                </w:tcPr>
                <w:p>
                  <w:pPr>
                    <w:adjustRightInd w:val="0"/>
                    <w:snapToGrid w:val="0"/>
                    <w:jc w:val="center"/>
                  </w:pPr>
                  <w:r>
                    <w:rPr>
                      <w:rFonts w:hint="eastAsia"/>
                    </w:rPr>
                    <w:t>硫化物</w:t>
                  </w:r>
                </w:p>
              </w:tc>
              <w:tc>
                <w:tcPr>
                  <w:tcW w:w="1010" w:type="pct"/>
                  <w:noWrap w:val="0"/>
                  <w:vAlign w:val="center"/>
                </w:tcPr>
                <w:p>
                  <w:pPr>
                    <w:adjustRightInd w:val="0"/>
                    <w:snapToGrid w:val="0"/>
                    <w:jc w:val="center"/>
                  </w:pPr>
                  <w:r>
                    <w:rPr>
                      <w:rFonts w:hint="eastAsia"/>
                    </w:rPr>
                    <w:t>0.005ND</w:t>
                  </w:r>
                </w:p>
              </w:tc>
              <w:tc>
                <w:tcPr>
                  <w:tcW w:w="551" w:type="pct"/>
                  <w:noWrap w:val="0"/>
                  <w:vAlign w:val="center"/>
                </w:tcPr>
                <w:p>
                  <w:pPr>
                    <w:adjustRightInd w:val="0"/>
                    <w:snapToGrid w:val="0"/>
                    <w:jc w:val="center"/>
                    <w:rPr>
                      <w:rFonts w:hint="eastAsia"/>
                    </w:rPr>
                  </w:pPr>
                  <w:r>
                    <w:rPr>
                      <w:rFonts w:hint="eastAsia"/>
                    </w:rPr>
                    <w:t>0</w:t>
                  </w:r>
                </w:p>
              </w:tc>
              <w:tc>
                <w:tcPr>
                  <w:tcW w:w="680" w:type="pct"/>
                  <w:noWrap w:val="0"/>
                  <w:vAlign w:val="center"/>
                </w:tcPr>
                <w:p>
                  <w:pPr>
                    <w:adjustRightInd w:val="0"/>
                    <w:snapToGrid w:val="0"/>
                    <w:jc w:val="center"/>
                    <w:rPr>
                      <w:rFonts w:hint="eastAsia"/>
                    </w:rPr>
                  </w:pPr>
                  <w:r>
                    <w:rPr>
                      <w:rFonts w:hint="eastAsia"/>
                    </w:rPr>
                    <w:t>0</w:t>
                  </w:r>
                </w:p>
              </w:tc>
              <w:tc>
                <w:tcPr>
                  <w:tcW w:w="554" w:type="pct"/>
                  <w:noWrap w:val="0"/>
                  <w:vAlign w:val="center"/>
                </w:tcPr>
                <w:p>
                  <w:pPr>
                    <w:adjustRightInd w:val="0"/>
                    <w:snapToGrid w:val="0"/>
                    <w:jc w:val="center"/>
                  </w:pPr>
                  <w:r>
                    <w:rPr>
                      <w:rFonts w:hint="eastAsia"/>
                    </w:rPr>
                    <w:t>0.2</w:t>
                  </w:r>
                </w:p>
              </w:tc>
              <w:tc>
                <w:tcPr>
                  <w:tcW w:w="586" w:type="pct"/>
                  <w:noWrap w:val="0"/>
                  <w:vAlign w:val="center"/>
                </w:tcPr>
                <w:p>
                  <w:pPr>
                    <w:adjustRightInd w:val="0"/>
                    <w:snapToGrid w:val="0"/>
                    <w:jc w:val="center"/>
                    <w:rPr>
                      <w:rFonts w:hint="eastAsia"/>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561" w:type="pct"/>
                  <w:vMerge w:val="continue"/>
                  <w:noWrap w:val="0"/>
                  <w:vAlign w:val="center"/>
                </w:tcPr>
                <w:p>
                  <w:pPr>
                    <w:adjustRightInd w:val="0"/>
                    <w:snapToGrid w:val="0"/>
                    <w:jc w:val="center"/>
                  </w:pPr>
                </w:p>
              </w:tc>
              <w:tc>
                <w:tcPr>
                  <w:tcW w:w="1056" w:type="pct"/>
                  <w:noWrap w:val="0"/>
                  <w:vAlign w:val="center"/>
                </w:tcPr>
                <w:p>
                  <w:pPr>
                    <w:adjustRightInd w:val="0"/>
                    <w:snapToGrid w:val="0"/>
                    <w:jc w:val="center"/>
                    <w:rPr>
                      <w:rFonts w:hint="eastAsia"/>
                    </w:rPr>
                  </w:pPr>
                  <w:r>
                    <w:rPr>
                      <w:rFonts w:hint="eastAsia"/>
                    </w:rPr>
                    <w:t>粪大肠菌群</w:t>
                  </w:r>
                </w:p>
              </w:tc>
              <w:tc>
                <w:tcPr>
                  <w:tcW w:w="1010" w:type="pct"/>
                  <w:noWrap w:val="0"/>
                  <w:vAlign w:val="center"/>
                </w:tcPr>
                <w:p>
                  <w:pPr>
                    <w:adjustRightInd w:val="0"/>
                    <w:snapToGrid w:val="0"/>
                    <w:jc w:val="center"/>
                  </w:pPr>
                  <w:r>
                    <w:rPr>
                      <w:rFonts w:hint="eastAsia"/>
                    </w:rPr>
                    <w:t>1633-6667</w:t>
                  </w:r>
                </w:p>
              </w:tc>
              <w:tc>
                <w:tcPr>
                  <w:tcW w:w="551" w:type="pct"/>
                  <w:noWrap w:val="0"/>
                  <w:vAlign w:val="center"/>
                </w:tcPr>
                <w:p>
                  <w:pPr>
                    <w:adjustRightInd w:val="0"/>
                    <w:snapToGrid w:val="0"/>
                    <w:jc w:val="center"/>
                    <w:rPr>
                      <w:rFonts w:hint="eastAsia"/>
                    </w:rPr>
                  </w:pPr>
                  <w:r>
                    <w:rPr>
                      <w:rFonts w:hint="eastAsia"/>
                    </w:rPr>
                    <w:t>0</w:t>
                  </w:r>
                </w:p>
              </w:tc>
              <w:tc>
                <w:tcPr>
                  <w:tcW w:w="680" w:type="pct"/>
                  <w:noWrap w:val="0"/>
                  <w:vAlign w:val="center"/>
                </w:tcPr>
                <w:p>
                  <w:pPr>
                    <w:adjustRightInd w:val="0"/>
                    <w:snapToGrid w:val="0"/>
                    <w:jc w:val="center"/>
                    <w:rPr>
                      <w:rFonts w:hint="eastAsia"/>
                    </w:rPr>
                  </w:pPr>
                  <w:r>
                    <w:rPr>
                      <w:rFonts w:hint="eastAsia"/>
                    </w:rPr>
                    <w:t>0</w:t>
                  </w:r>
                </w:p>
              </w:tc>
              <w:tc>
                <w:tcPr>
                  <w:tcW w:w="554" w:type="pct"/>
                  <w:noWrap w:val="0"/>
                  <w:vAlign w:val="center"/>
                </w:tcPr>
                <w:p>
                  <w:pPr>
                    <w:adjustRightInd w:val="0"/>
                    <w:snapToGrid w:val="0"/>
                    <w:jc w:val="center"/>
                    <w:rPr>
                      <w:rFonts w:hint="eastAsia"/>
                    </w:rPr>
                  </w:pPr>
                  <w:r>
                    <w:rPr>
                      <w:rFonts w:hint="eastAsia"/>
                    </w:rPr>
                    <w:t>10000</w:t>
                  </w:r>
                </w:p>
              </w:tc>
              <w:tc>
                <w:tcPr>
                  <w:tcW w:w="586" w:type="pct"/>
                  <w:noWrap w:val="0"/>
                  <w:vAlign w:val="center"/>
                </w:tcPr>
                <w:p>
                  <w:pPr>
                    <w:adjustRightInd w:val="0"/>
                    <w:snapToGrid w:val="0"/>
                    <w:jc w:val="center"/>
                  </w:pPr>
                  <w:r>
                    <w:rPr>
                      <w:rFonts w:hint="eastAsia"/>
                    </w:rPr>
                    <w:t>达标</w:t>
                  </w:r>
                </w:p>
              </w:tc>
            </w:tr>
          </w:tbl>
          <w:p>
            <w:pPr>
              <w:spacing w:line="240" w:lineRule="auto"/>
              <w:ind w:firstLine="480" w:firstLineChars="200"/>
              <w:rPr>
                <w:sz w:val="24"/>
              </w:rPr>
            </w:pPr>
          </w:p>
          <w:p>
            <w:pPr>
              <w:spacing w:line="360" w:lineRule="auto"/>
              <w:ind w:firstLine="480" w:firstLineChars="200"/>
              <w:rPr>
                <w:rFonts w:hint="eastAsia"/>
                <w:sz w:val="24"/>
              </w:rPr>
            </w:pPr>
            <w:r>
              <w:rPr>
                <w:sz w:val="24"/>
              </w:rPr>
              <w:t>由表可知，</w:t>
            </w:r>
            <w:r>
              <w:rPr>
                <w:rFonts w:hint="eastAsia"/>
                <w:sz w:val="24"/>
              </w:rPr>
              <w:t>2021年1月至10月其乌龙嘴断面水质</w:t>
            </w:r>
            <w:r>
              <w:rPr>
                <w:sz w:val="24"/>
              </w:rPr>
              <w:t>各项指标均达到《地表水环境质量标准》（GB3838-2002）中Ⅲ类标准</w:t>
            </w:r>
            <w:r>
              <w:rPr>
                <w:rFonts w:hint="eastAsia"/>
                <w:sz w:val="24"/>
              </w:rPr>
              <w:t>，区域水质较好。</w:t>
            </w:r>
          </w:p>
          <w:p>
            <w:pPr>
              <w:spacing w:line="360" w:lineRule="auto"/>
              <w:ind w:firstLine="480" w:firstLineChars="200"/>
              <w:rPr>
                <w:rFonts w:hint="default" w:ascii="Times New Roman" w:hAnsi="Times New Roman" w:eastAsia="宋体" w:cs="Times New Roman"/>
                <w:sz w:val="24"/>
                <w:u w:val="single"/>
                <w:lang w:val="en-US" w:eastAsia="zh-CN"/>
              </w:rPr>
            </w:pPr>
            <w:r>
              <w:rPr>
                <w:rFonts w:hint="eastAsia" w:ascii="Times New Roman" w:hAnsi="Times New Roman" w:eastAsia="宋体" w:cs="Times New Roman"/>
                <w:sz w:val="24"/>
                <w:u w:val="single"/>
                <w:lang w:val="en-US" w:eastAsia="zh-CN"/>
              </w:rPr>
              <w:t>为</w:t>
            </w:r>
            <w:r>
              <w:rPr>
                <w:rFonts w:hint="eastAsia" w:ascii="Times New Roman" w:hAnsi="Times New Roman" w:eastAsia="宋体" w:cs="Times New Roman"/>
                <w:sz w:val="24"/>
                <w:u w:val="single"/>
              </w:rPr>
              <w:t>了解项目建设区域地表水环境质量现状，本次环评引用202</w:t>
            </w:r>
            <w:r>
              <w:rPr>
                <w:rFonts w:hint="eastAsia" w:ascii="Times New Roman" w:hAnsi="Times New Roman" w:eastAsia="宋体" w:cs="Times New Roman"/>
                <w:sz w:val="24"/>
                <w:u w:val="single"/>
                <w:lang w:val="en-US" w:eastAsia="zh-CN"/>
              </w:rPr>
              <w:t>1</w:t>
            </w:r>
            <w:r>
              <w:rPr>
                <w:rFonts w:hint="eastAsia" w:ascii="Times New Roman" w:hAnsi="Times New Roman" w:eastAsia="宋体" w:cs="Times New Roman"/>
                <w:sz w:val="24"/>
                <w:u w:val="single"/>
              </w:rPr>
              <w:t>年</w:t>
            </w:r>
            <w:r>
              <w:rPr>
                <w:rFonts w:hint="eastAsia" w:ascii="Times New Roman" w:hAnsi="Times New Roman" w:eastAsia="宋体" w:cs="Times New Roman"/>
                <w:sz w:val="24"/>
                <w:u w:val="single"/>
                <w:lang w:val="en-US" w:eastAsia="zh-CN"/>
              </w:rPr>
              <w:t>4月</w:t>
            </w:r>
            <w:r>
              <w:rPr>
                <w:rFonts w:hint="eastAsia" w:ascii="Times New Roman" w:hAnsi="Times New Roman" w:eastAsia="宋体" w:cs="Times New Roman"/>
                <w:sz w:val="24"/>
                <w:u w:val="single"/>
              </w:rPr>
              <w:t>湘阴县环境监测中心对</w:t>
            </w:r>
            <w:r>
              <w:rPr>
                <w:rFonts w:hint="eastAsia" w:ascii="Times New Roman" w:hAnsi="Times New Roman" w:eastAsia="宋体" w:cs="Times New Roman"/>
                <w:sz w:val="24"/>
                <w:u w:val="single"/>
                <w:lang w:val="en-US" w:eastAsia="zh-CN"/>
              </w:rPr>
              <w:t>洋沙湖</w:t>
            </w:r>
            <w:r>
              <w:rPr>
                <w:rFonts w:hint="eastAsia" w:ascii="Times New Roman" w:hAnsi="Times New Roman" w:eastAsia="宋体" w:cs="Times New Roman"/>
                <w:sz w:val="24"/>
                <w:u w:val="single"/>
              </w:rPr>
              <w:t>断面的监测数据。具体监测情况详见</w:t>
            </w:r>
            <w:r>
              <w:rPr>
                <w:rFonts w:hint="eastAsia" w:ascii="Times New Roman" w:hAnsi="Times New Roman" w:eastAsia="宋体" w:cs="Times New Roman"/>
                <w:sz w:val="24"/>
                <w:u w:val="single"/>
                <w:lang w:val="en-US" w:eastAsia="zh-CN"/>
              </w:rPr>
              <w:t>下</w:t>
            </w:r>
            <w:r>
              <w:rPr>
                <w:rFonts w:hint="eastAsia" w:ascii="Times New Roman" w:hAnsi="Times New Roman" w:eastAsia="宋体" w:cs="Times New Roman"/>
                <w:sz w:val="24"/>
                <w:u w:val="single"/>
              </w:rPr>
              <w:t>表</w:t>
            </w:r>
            <w:r>
              <w:rPr>
                <w:rFonts w:hint="eastAsia" w:ascii="Times New Roman" w:hAnsi="Times New Roman" w:eastAsia="宋体" w:cs="Times New Roman"/>
                <w:sz w:val="24"/>
                <w:u w:val="single"/>
                <w:lang w:eastAsia="zh-CN"/>
              </w:rPr>
              <w:t>：</w:t>
            </w:r>
          </w:p>
          <w:p>
            <w:pPr>
              <w:pStyle w:val="66"/>
              <w:keepNext w:val="0"/>
              <w:keepLines w:val="0"/>
              <w:pageBreakBefore w:val="0"/>
              <w:widowControl/>
              <w:kinsoku/>
              <w:wordWrap/>
              <w:overflowPunct/>
              <w:topLinePunct w:val="0"/>
              <w:autoSpaceDE/>
              <w:autoSpaceDN/>
              <w:bidi w:val="0"/>
              <w:adjustRightInd/>
              <w:snapToGrid/>
              <w:spacing w:before="0" w:after="0" w:line="240" w:lineRule="auto"/>
              <w:textAlignment w:val="auto"/>
              <w:rPr>
                <w:rFonts w:hint="default" w:ascii="Times New Roman" w:hAnsi="Times New Roman" w:eastAsia="宋体" w:cs="Times New Roman"/>
                <w:b/>
                <w:bCs w:val="0"/>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u w:val="single"/>
                <w:lang w:val="en-US" w:eastAsia="zh-CN"/>
                <w14:textFill>
                  <w14:solidFill>
                    <w14:schemeClr w14:val="tx1"/>
                  </w14:solidFill>
                </w14:textFill>
              </w:rPr>
              <w:t>表3-</w:t>
            </w:r>
            <w:r>
              <w:rPr>
                <w:rFonts w:hint="eastAsia" w:eastAsia="宋体" w:cs="Times New Roman"/>
                <w:b/>
                <w:bCs w:val="0"/>
                <w:color w:val="000000" w:themeColor="text1"/>
                <w:sz w:val="21"/>
                <w:szCs w:val="21"/>
                <w:u w:val="single"/>
                <w:lang w:val="en-US" w:eastAsia="zh-CN"/>
                <w14:textFill>
                  <w14:solidFill>
                    <w14:schemeClr w14:val="tx1"/>
                  </w14:solidFill>
                </w14:textFill>
              </w:rPr>
              <w:t>3</w:t>
            </w:r>
            <w:r>
              <w:rPr>
                <w:rFonts w:hint="default" w:ascii="Times New Roman" w:hAnsi="Times New Roman" w:eastAsia="宋体" w:cs="Times New Roman"/>
                <w:b/>
                <w:bCs w:val="0"/>
                <w:color w:val="000000" w:themeColor="text1"/>
                <w:sz w:val="21"/>
                <w:szCs w:val="21"/>
                <w:u w:val="single"/>
                <w:lang w:val="en-US" w:eastAsia="zh-CN"/>
                <w14:textFill>
                  <w14:solidFill>
                    <w14:schemeClr w14:val="tx1"/>
                  </w14:solidFill>
                </w14:textFill>
              </w:rPr>
              <w:t xml:space="preserve">  </w:t>
            </w:r>
            <w:r>
              <w:rPr>
                <w:rFonts w:hint="eastAsia" w:ascii="Times New Roman" w:hAnsi="Times New Roman" w:eastAsia="宋体" w:cs="Times New Roman"/>
                <w:b/>
                <w:bCs w:val="0"/>
                <w:color w:val="000000" w:themeColor="text1"/>
                <w:sz w:val="21"/>
                <w:szCs w:val="21"/>
                <w:u w:val="single"/>
                <w:lang w:val="en-US" w:eastAsia="zh-CN"/>
                <w14:textFill>
                  <w14:solidFill>
                    <w14:schemeClr w14:val="tx1"/>
                  </w14:solidFill>
                </w14:textFill>
              </w:rPr>
              <w:t>洋沙湖断面</w:t>
            </w:r>
            <w:r>
              <w:rPr>
                <w:rFonts w:hint="default" w:ascii="Times New Roman" w:hAnsi="Times New Roman" w:eastAsia="宋体" w:cs="Times New Roman"/>
                <w:b/>
                <w:bCs w:val="0"/>
                <w:color w:val="000000" w:themeColor="text1"/>
                <w:sz w:val="21"/>
                <w:szCs w:val="21"/>
                <w:u w:val="single"/>
                <w:lang w:val="en-US" w:eastAsia="zh-CN"/>
                <w14:textFill>
                  <w14:solidFill>
                    <w14:schemeClr w14:val="tx1"/>
                  </w14:solidFill>
                </w14:textFill>
              </w:rPr>
              <w:t>现状监测断面与监测因子</w:t>
            </w:r>
            <w:r>
              <w:rPr>
                <w:rFonts w:hint="eastAsia" w:ascii="Times New Roman" w:hAnsi="Times New Roman" w:eastAsia="宋体" w:cs="Times New Roman"/>
                <w:b/>
                <w:bCs w:val="0"/>
                <w:color w:val="000000" w:themeColor="text1"/>
                <w:sz w:val="21"/>
                <w:szCs w:val="21"/>
                <w:u w:val="single"/>
                <w:lang w:val="en-US" w:eastAsia="zh-CN"/>
                <w14:textFill>
                  <w14:solidFill>
                    <w14:schemeClr w14:val="tx1"/>
                  </w14:solidFill>
                </w14:textFill>
              </w:rPr>
              <w:t>（2021年4月）</w:t>
            </w:r>
          </w:p>
          <w:tbl>
            <w:tblPr>
              <w:tblStyle w:val="26"/>
              <w:tblW w:w="4998" w:type="pct"/>
              <w:tblInd w:w="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3"/>
              <w:gridCol w:w="1425"/>
              <w:gridCol w:w="893"/>
              <w:gridCol w:w="1549"/>
              <w:gridCol w:w="877"/>
              <w:gridCol w:w="1140"/>
              <w:gridCol w:w="802"/>
              <w:gridCol w:w="6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4" w:type="pct"/>
                  <w:tcBorders>
                    <w:tl2br w:val="nil"/>
                    <w:tr2bl w:val="nil"/>
                  </w:tcBorders>
                  <w:noWrap w:val="0"/>
                  <w:vAlign w:val="center"/>
                </w:tcPr>
                <w:p>
                  <w:pPr>
                    <w:bidi w:val="0"/>
                    <w:jc w:val="center"/>
                    <w:rPr>
                      <w:rFonts w:hint="default"/>
                      <w:lang w:val="en-US" w:eastAsia="zh-CN"/>
                    </w:rPr>
                  </w:pPr>
                  <w:r>
                    <w:rPr>
                      <w:rFonts w:hint="default"/>
                      <w:lang w:val="en-US" w:eastAsia="zh-CN"/>
                    </w:rPr>
                    <w:t>监测断面</w:t>
                  </w:r>
                </w:p>
              </w:tc>
              <w:tc>
                <w:tcPr>
                  <w:tcW w:w="878" w:type="pct"/>
                  <w:tcBorders>
                    <w:tl2br w:val="nil"/>
                    <w:tr2bl w:val="nil"/>
                  </w:tcBorders>
                  <w:noWrap w:val="0"/>
                  <w:vAlign w:val="center"/>
                </w:tcPr>
                <w:p>
                  <w:pPr>
                    <w:bidi w:val="0"/>
                    <w:jc w:val="center"/>
                    <w:rPr>
                      <w:rFonts w:hint="default"/>
                      <w:lang w:val="en-US" w:eastAsia="zh-CN"/>
                    </w:rPr>
                  </w:pPr>
                  <w:r>
                    <w:rPr>
                      <w:rFonts w:hint="default"/>
                      <w:lang w:val="en-US" w:eastAsia="zh-CN"/>
                    </w:rPr>
                    <w:t>监测因子</w:t>
                  </w:r>
                </w:p>
              </w:tc>
              <w:tc>
                <w:tcPr>
                  <w:tcW w:w="550" w:type="pct"/>
                  <w:tcBorders>
                    <w:tl2br w:val="nil"/>
                    <w:tr2bl w:val="nil"/>
                  </w:tcBorders>
                  <w:noWrap w:val="0"/>
                  <w:vAlign w:val="center"/>
                </w:tcPr>
                <w:p>
                  <w:pPr>
                    <w:bidi w:val="0"/>
                    <w:jc w:val="center"/>
                    <w:rPr>
                      <w:rFonts w:hint="default"/>
                      <w:lang w:val="en-US" w:eastAsia="zh-CN"/>
                    </w:rPr>
                  </w:pPr>
                  <w:r>
                    <w:rPr>
                      <w:rFonts w:hint="default"/>
                      <w:lang w:val="en-US" w:eastAsia="zh-CN"/>
                    </w:rPr>
                    <w:t>单位</w:t>
                  </w:r>
                </w:p>
              </w:tc>
              <w:tc>
                <w:tcPr>
                  <w:tcW w:w="954" w:type="pct"/>
                  <w:tcBorders>
                    <w:tl2br w:val="nil"/>
                    <w:tr2bl w:val="nil"/>
                  </w:tcBorders>
                  <w:noWrap w:val="0"/>
                  <w:vAlign w:val="center"/>
                </w:tcPr>
                <w:p>
                  <w:pPr>
                    <w:bidi w:val="0"/>
                    <w:jc w:val="center"/>
                    <w:rPr>
                      <w:rFonts w:hint="default"/>
                      <w:lang w:val="en-US" w:eastAsia="zh-CN"/>
                    </w:rPr>
                  </w:pPr>
                  <w:r>
                    <w:rPr>
                      <w:rFonts w:hint="default"/>
                      <w:lang w:val="en-US" w:eastAsia="zh-CN"/>
                    </w:rPr>
                    <w:t>均值</w:t>
                  </w:r>
                </w:p>
              </w:tc>
              <w:tc>
                <w:tcPr>
                  <w:tcW w:w="540" w:type="pct"/>
                  <w:tcBorders>
                    <w:tl2br w:val="nil"/>
                    <w:tr2bl w:val="nil"/>
                  </w:tcBorders>
                  <w:noWrap w:val="0"/>
                  <w:vAlign w:val="center"/>
                </w:tcPr>
                <w:p>
                  <w:pPr>
                    <w:bidi w:val="0"/>
                    <w:jc w:val="center"/>
                    <w:rPr>
                      <w:rFonts w:hint="default"/>
                      <w:lang w:val="en-US" w:eastAsia="zh-CN"/>
                    </w:rPr>
                  </w:pPr>
                  <w:r>
                    <w:rPr>
                      <w:rFonts w:hint="default"/>
                      <w:lang w:val="en-US" w:eastAsia="zh-CN"/>
                    </w:rPr>
                    <w:t>超标率%</w:t>
                  </w:r>
                </w:p>
              </w:tc>
              <w:tc>
                <w:tcPr>
                  <w:tcW w:w="702" w:type="pct"/>
                  <w:tcBorders>
                    <w:tl2br w:val="nil"/>
                    <w:tr2bl w:val="nil"/>
                  </w:tcBorders>
                  <w:noWrap w:val="0"/>
                  <w:vAlign w:val="center"/>
                </w:tcPr>
                <w:p>
                  <w:pPr>
                    <w:bidi w:val="0"/>
                    <w:jc w:val="center"/>
                    <w:rPr>
                      <w:rFonts w:hint="default"/>
                      <w:lang w:val="en-US" w:eastAsia="zh-CN"/>
                    </w:rPr>
                  </w:pPr>
                  <w:r>
                    <w:rPr>
                      <w:rFonts w:hint="default"/>
                      <w:lang w:val="en-US" w:eastAsia="zh-CN"/>
                    </w:rPr>
                    <w:t>最大超标倍数%</w:t>
                  </w:r>
                </w:p>
              </w:tc>
              <w:tc>
                <w:tcPr>
                  <w:tcW w:w="494" w:type="pct"/>
                  <w:tcBorders>
                    <w:tl2br w:val="nil"/>
                    <w:tr2bl w:val="nil"/>
                  </w:tcBorders>
                  <w:noWrap w:val="0"/>
                  <w:vAlign w:val="center"/>
                </w:tcPr>
                <w:p>
                  <w:pPr>
                    <w:bidi w:val="0"/>
                    <w:jc w:val="center"/>
                    <w:rPr>
                      <w:rFonts w:hint="default"/>
                      <w:lang w:val="en-US" w:eastAsia="zh-CN"/>
                    </w:rPr>
                  </w:pPr>
                  <w:r>
                    <w:rPr>
                      <w:rFonts w:hint="default"/>
                      <w:lang w:val="en-US" w:eastAsia="zh-CN"/>
                    </w:rPr>
                    <w:t>标准</w:t>
                  </w:r>
                </w:p>
                <w:p>
                  <w:pPr>
                    <w:bidi w:val="0"/>
                    <w:jc w:val="center"/>
                    <w:rPr>
                      <w:rFonts w:hint="default"/>
                      <w:lang w:val="en-US" w:eastAsia="zh-CN"/>
                    </w:rPr>
                  </w:pPr>
                  <w:r>
                    <w:rPr>
                      <w:rFonts w:hint="default"/>
                      <w:lang w:val="en-US" w:eastAsia="zh-CN"/>
                    </w:rPr>
                    <w:t>限值</w:t>
                  </w:r>
                </w:p>
              </w:tc>
              <w:tc>
                <w:tcPr>
                  <w:tcW w:w="415" w:type="pct"/>
                  <w:tcBorders>
                    <w:tl2br w:val="nil"/>
                    <w:tr2bl w:val="nil"/>
                  </w:tcBorders>
                  <w:noWrap w:val="0"/>
                  <w:vAlign w:val="center"/>
                </w:tcPr>
                <w:p>
                  <w:pPr>
                    <w:bidi w:val="0"/>
                    <w:jc w:val="center"/>
                    <w:rPr>
                      <w:rFonts w:hint="default"/>
                      <w:lang w:val="en-US" w:eastAsia="zh-CN"/>
                    </w:rPr>
                  </w:pPr>
                  <w:r>
                    <w:rPr>
                      <w:rFonts w:hint="default"/>
                      <w:lang w:val="en-US" w:eastAsia="zh-CN"/>
                    </w:rPr>
                    <w:t>是否达标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4" w:type="pct"/>
                  <w:vMerge w:val="restart"/>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洋沙湖断面</w:t>
                  </w:r>
                </w:p>
              </w:tc>
              <w:tc>
                <w:tcPr>
                  <w:tcW w:w="878" w:type="pct"/>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pH值</w:t>
                  </w:r>
                </w:p>
              </w:tc>
              <w:tc>
                <w:tcPr>
                  <w:tcW w:w="550" w:type="pct"/>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无量纲</w:t>
                  </w:r>
                </w:p>
              </w:tc>
              <w:tc>
                <w:tcPr>
                  <w:tcW w:w="954" w:type="pct"/>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6.89-7.12</w:t>
                  </w:r>
                </w:p>
              </w:tc>
              <w:tc>
                <w:tcPr>
                  <w:tcW w:w="540" w:type="pct"/>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0</w:t>
                  </w:r>
                </w:p>
              </w:tc>
              <w:tc>
                <w:tcPr>
                  <w:tcW w:w="702" w:type="pct"/>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0</w:t>
                  </w:r>
                </w:p>
              </w:tc>
              <w:tc>
                <w:tcPr>
                  <w:tcW w:w="494" w:type="pct"/>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6-9</w:t>
                  </w:r>
                </w:p>
              </w:tc>
              <w:tc>
                <w:tcPr>
                  <w:tcW w:w="415" w:type="pct"/>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4" w:type="pct"/>
                  <w:vMerge w:val="continue"/>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p>
              </w:tc>
              <w:tc>
                <w:tcPr>
                  <w:tcW w:w="878" w:type="pct"/>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溶解氧</w:t>
                  </w:r>
                </w:p>
              </w:tc>
              <w:tc>
                <w:tcPr>
                  <w:tcW w:w="550" w:type="pct"/>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mg/L</w:t>
                  </w:r>
                </w:p>
              </w:tc>
              <w:tc>
                <w:tcPr>
                  <w:tcW w:w="954" w:type="pct"/>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5.74</w:t>
                  </w:r>
                </w:p>
              </w:tc>
              <w:tc>
                <w:tcPr>
                  <w:tcW w:w="540" w:type="pct"/>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0</w:t>
                  </w:r>
                </w:p>
              </w:tc>
              <w:tc>
                <w:tcPr>
                  <w:tcW w:w="702" w:type="pct"/>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0</w:t>
                  </w:r>
                </w:p>
              </w:tc>
              <w:tc>
                <w:tcPr>
                  <w:tcW w:w="494" w:type="pct"/>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r>
                    <w:rPr>
                      <w:rFonts w:hint="default"/>
                      <w:color w:val="000000" w:themeColor="text1"/>
                      <w:u w:val="single"/>
                      <w:lang w:val="en-US" w:eastAsia="zh-CN"/>
                      <w14:textFill>
                        <w14:solidFill>
                          <w14:schemeClr w14:val="tx1"/>
                        </w14:solidFill>
                      </w14:textFill>
                    </w:rPr>
                    <w:t>≥</w:t>
                  </w:r>
                  <w:r>
                    <w:rPr>
                      <w:rFonts w:hint="eastAsia"/>
                      <w:color w:val="000000" w:themeColor="text1"/>
                      <w:u w:val="single"/>
                      <w:lang w:val="en-US" w:eastAsia="zh-CN"/>
                      <w14:textFill>
                        <w14:solidFill>
                          <w14:schemeClr w14:val="tx1"/>
                        </w14:solidFill>
                      </w14:textFill>
                    </w:rPr>
                    <w:t>5</w:t>
                  </w:r>
                </w:p>
              </w:tc>
              <w:tc>
                <w:tcPr>
                  <w:tcW w:w="415" w:type="pct"/>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4" w:type="pct"/>
                  <w:vMerge w:val="continue"/>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p>
              </w:tc>
              <w:tc>
                <w:tcPr>
                  <w:tcW w:w="878" w:type="pct"/>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化学需氧量</w:t>
                  </w:r>
                </w:p>
              </w:tc>
              <w:tc>
                <w:tcPr>
                  <w:tcW w:w="550" w:type="pct"/>
                  <w:tcBorders>
                    <w:tl2br w:val="nil"/>
                    <w:tr2bl w:val="nil"/>
                  </w:tcBorders>
                  <w:noWrap w:val="0"/>
                  <w:vAlign w:val="center"/>
                </w:tcPr>
                <w:p>
                  <w:pPr>
                    <w:bidi w:val="0"/>
                    <w:jc w:val="center"/>
                    <w:rPr>
                      <w:rFonts w:hint="eastAsia"/>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mg/L</w:t>
                  </w:r>
                </w:p>
              </w:tc>
              <w:tc>
                <w:tcPr>
                  <w:tcW w:w="954" w:type="pct"/>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13.4</w:t>
                  </w:r>
                </w:p>
              </w:tc>
              <w:tc>
                <w:tcPr>
                  <w:tcW w:w="540" w:type="pct"/>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0</w:t>
                  </w:r>
                </w:p>
              </w:tc>
              <w:tc>
                <w:tcPr>
                  <w:tcW w:w="702" w:type="pct"/>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0</w:t>
                  </w:r>
                </w:p>
              </w:tc>
              <w:tc>
                <w:tcPr>
                  <w:tcW w:w="494" w:type="pct"/>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20</w:t>
                  </w:r>
                </w:p>
              </w:tc>
              <w:tc>
                <w:tcPr>
                  <w:tcW w:w="415" w:type="pct"/>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4" w:type="pct"/>
                  <w:vMerge w:val="continue"/>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p>
              </w:tc>
              <w:tc>
                <w:tcPr>
                  <w:tcW w:w="878" w:type="pct"/>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生化需氧量</w:t>
                  </w:r>
                </w:p>
              </w:tc>
              <w:tc>
                <w:tcPr>
                  <w:tcW w:w="550" w:type="pct"/>
                  <w:tcBorders>
                    <w:tl2br w:val="nil"/>
                    <w:tr2bl w:val="nil"/>
                  </w:tcBorders>
                  <w:noWrap w:val="0"/>
                  <w:vAlign w:val="center"/>
                </w:tcPr>
                <w:p>
                  <w:pPr>
                    <w:bidi w:val="0"/>
                    <w:jc w:val="center"/>
                    <w:rPr>
                      <w:rFonts w:hint="eastAsia"/>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mg/L</w:t>
                  </w:r>
                </w:p>
              </w:tc>
              <w:tc>
                <w:tcPr>
                  <w:tcW w:w="954" w:type="pct"/>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2.67</w:t>
                  </w:r>
                </w:p>
              </w:tc>
              <w:tc>
                <w:tcPr>
                  <w:tcW w:w="540" w:type="pct"/>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0</w:t>
                  </w:r>
                </w:p>
              </w:tc>
              <w:tc>
                <w:tcPr>
                  <w:tcW w:w="702" w:type="pct"/>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0</w:t>
                  </w:r>
                </w:p>
              </w:tc>
              <w:tc>
                <w:tcPr>
                  <w:tcW w:w="494" w:type="pct"/>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4</w:t>
                  </w:r>
                </w:p>
              </w:tc>
              <w:tc>
                <w:tcPr>
                  <w:tcW w:w="415" w:type="pct"/>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4" w:type="pct"/>
                  <w:vMerge w:val="continue"/>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p>
              </w:tc>
              <w:tc>
                <w:tcPr>
                  <w:tcW w:w="878" w:type="pct"/>
                  <w:tcBorders>
                    <w:tl2br w:val="nil"/>
                    <w:tr2bl w:val="nil"/>
                  </w:tcBorders>
                  <w:noWrap w:val="0"/>
                  <w:vAlign w:val="center"/>
                </w:tcPr>
                <w:p>
                  <w:pPr>
                    <w:bidi w:val="0"/>
                    <w:jc w:val="center"/>
                    <w:rPr>
                      <w:rFonts w:hint="eastAsia"/>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氨氮</w:t>
                  </w:r>
                </w:p>
              </w:tc>
              <w:tc>
                <w:tcPr>
                  <w:tcW w:w="550" w:type="pct"/>
                  <w:tcBorders>
                    <w:tl2br w:val="nil"/>
                    <w:tr2bl w:val="nil"/>
                  </w:tcBorders>
                  <w:noWrap w:val="0"/>
                  <w:vAlign w:val="center"/>
                </w:tcPr>
                <w:p>
                  <w:pPr>
                    <w:bidi w:val="0"/>
                    <w:jc w:val="center"/>
                    <w:rPr>
                      <w:rFonts w:hint="eastAsia"/>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mg/L</w:t>
                  </w:r>
                </w:p>
              </w:tc>
              <w:tc>
                <w:tcPr>
                  <w:tcW w:w="954" w:type="pct"/>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0.517</w:t>
                  </w:r>
                </w:p>
              </w:tc>
              <w:tc>
                <w:tcPr>
                  <w:tcW w:w="540" w:type="pct"/>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0</w:t>
                  </w:r>
                </w:p>
              </w:tc>
              <w:tc>
                <w:tcPr>
                  <w:tcW w:w="702" w:type="pct"/>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0</w:t>
                  </w:r>
                </w:p>
              </w:tc>
              <w:tc>
                <w:tcPr>
                  <w:tcW w:w="494" w:type="pct"/>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1.0</w:t>
                  </w:r>
                </w:p>
              </w:tc>
              <w:tc>
                <w:tcPr>
                  <w:tcW w:w="415" w:type="pct"/>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4" w:type="pct"/>
                  <w:vMerge w:val="continue"/>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p>
              </w:tc>
              <w:tc>
                <w:tcPr>
                  <w:tcW w:w="878" w:type="pct"/>
                  <w:tcBorders>
                    <w:tl2br w:val="nil"/>
                    <w:tr2bl w:val="nil"/>
                  </w:tcBorders>
                  <w:noWrap w:val="0"/>
                  <w:vAlign w:val="center"/>
                </w:tcPr>
                <w:p>
                  <w:pPr>
                    <w:bidi w:val="0"/>
                    <w:jc w:val="center"/>
                    <w:rPr>
                      <w:rFonts w:hint="eastAsia"/>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总磷</w:t>
                  </w:r>
                </w:p>
              </w:tc>
              <w:tc>
                <w:tcPr>
                  <w:tcW w:w="550" w:type="pct"/>
                  <w:tcBorders>
                    <w:tl2br w:val="nil"/>
                    <w:tr2bl w:val="nil"/>
                  </w:tcBorders>
                  <w:noWrap w:val="0"/>
                  <w:vAlign w:val="center"/>
                </w:tcPr>
                <w:p>
                  <w:pPr>
                    <w:bidi w:val="0"/>
                    <w:jc w:val="center"/>
                    <w:rPr>
                      <w:rFonts w:hint="eastAsia"/>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mg/L</w:t>
                  </w:r>
                </w:p>
              </w:tc>
              <w:tc>
                <w:tcPr>
                  <w:tcW w:w="954" w:type="pct"/>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0.084</w:t>
                  </w:r>
                </w:p>
              </w:tc>
              <w:tc>
                <w:tcPr>
                  <w:tcW w:w="540" w:type="pct"/>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0</w:t>
                  </w:r>
                </w:p>
              </w:tc>
              <w:tc>
                <w:tcPr>
                  <w:tcW w:w="702" w:type="pct"/>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0</w:t>
                  </w:r>
                </w:p>
              </w:tc>
              <w:tc>
                <w:tcPr>
                  <w:tcW w:w="494" w:type="pct"/>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0.2</w:t>
                  </w:r>
                </w:p>
              </w:tc>
              <w:tc>
                <w:tcPr>
                  <w:tcW w:w="415" w:type="pct"/>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4" w:type="pct"/>
                  <w:vMerge w:val="continue"/>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p>
              </w:tc>
              <w:tc>
                <w:tcPr>
                  <w:tcW w:w="878" w:type="pct"/>
                  <w:tcBorders>
                    <w:tl2br w:val="nil"/>
                    <w:tr2bl w:val="nil"/>
                  </w:tcBorders>
                  <w:noWrap w:val="0"/>
                  <w:vAlign w:val="center"/>
                </w:tcPr>
                <w:p>
                  <w:pPr>
                    <w:bidi w:val="0"/>
                    <w:jc w:val="center"/>
                    <w:rPr>
                      <w:rFonts w:hint="eastAsia"/>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挥发酚</w:t>
                  </w:r>
                </w:p>
              </w:tc>
              <w:tc>
                <w:tcPr>
                  <w:tcW w:w="550" w:type="pct"/>
                  <w:tcBorders>
                    <w:tl2br w:val="nil"/>
                    <w:tr2bl w:val="nil"/>
                  </w:tcBorders>
                  <w:noWrap w:val="0"/>
                  <w:vAlign w:val="center"/>
                </w:tcPr>
                <w:p>
                  <w:pPr>
                    <w:bidi w:val="0"/>
                    <w:jc w:val="center"/>
                    <w:rPr>
                      <w:rFonts w:hint="eastAsia"/>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mg/L</w:t>
                  </w:r>
                </w:p>
              </w:tc>
              <w:tc>
                <w:tcPr>
                  <w:tcW w:w="954" w:type="pct"/>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ND</w:t>
                  </w:r>
                </w:p>
              </w:tc>
              <w:tc>
                <w:tcPr>
                  <w:tcW w:w="540" w:type="pct"/>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0</w:t>
                  </w:r>
                </w:p>
              </w:tc>
              <w:tc>
                <w:tcPr>
                  <w:tcW w:w="702" w:type="pct"/>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0</w:t>
                  </w:r>
                </w:p>
              </w:tc>
              <w:tc>
                <w:tcPr>
                  <w:tcW w:w="494" w:type="pct"/>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0.005</w:t>
                  </w:r>
                </w:p>
              </w:tc>
              <w:tc>
                <w:tcPr>
                  <w:tcW w:w="415" w:type="pct"/>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4" w:type="pct"/>
                  <w:vMerge w:val="continue"/>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p>
              </w:tc>
              <w:tc>
                <w:tcPr>
                  <w:tcW w:w="878" w:type="pct"/>
                  <w:tcBorders>
                    <w:tl2br w:val="nil"/>
                    <w:tr2bl w:val="nil"/>
                  </w:tcBorders>
                  <w:noWrap w:val="0"/>
                  <w:vAlign w:val="center"/>
                </w:tcPr>
                <w:p>
                  <w:pPr>
                    <w:bidi w:val="0"/>
                    <w:jc w:val="center"/>
                    <w:rPr>
                      <w:rFonts w:hint="eastAsia"/>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石油类</w:t>
                  </w:r>
                </w:p>
              </w:tc>
              <w:tc>
                <w:tcPr>
                  <w:tcW w:w="550" w:type="pct"/>
                  <w:tcBorders>
                    <w:tl2br w:val="nil"/>
                    <w:tr2bl w:val="nil"/>
                  </w:tcBorders>
                  <w:noWrap w:val="0"/>
                  <w:vAlign w:val="center"/>
                </w:tcPr>
                <w:p>
                  <w:pPr>
                    <w:bidi w:val="0"/>
                    <w:jc w:val="center"/>
                    <w:rPr>
                      <w:rFonts w:hint="eastAsia"/>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mg/L</w:t>
                  </w:r>
                </w:p>
              </w:tc>
              <w:tc>
                <w:tcPr>
                  <w:tcW w:w="954" w:type="pct"/>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0.02</w:t>
                  </w:r>
                </w:p>
              </w:tc>
              <w:tc>
                <w:tcPr>
                  <w:tcW w:w="540" w:type="pct"/>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0</w:t>
                  </w:r>
                </w:p>
              </w:tc>
              <w:tc>
                <w:tcPr>
                  <w:tcW w:w="702" w:type="pct"/>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0</w:t>
                  </w:r>
                </w:p>
              </w:tc>
              <w:tc>
                <w:tcPr>
                  <w:tcW w:w="494" w:type="pct"/>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0.05</w:t>
                  </w:r>
                </w:p>
              </w:tc>
              <w:tc>
                <w:tcPr>
                  <w:tcW w:w="415" w:type="pct"/>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4" w:type="pct"/>
                  <w:vMerge w:val="continue"/>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p>
              </w:tc>
              <w:tc>
                <w:tcPr>
                  <w:tcW w:w="878" w:type="pct"/>
                  <w:tcBorders>
                    <w:tl2br w:val="nil"/>
                    <w:tr2bl w:val="nil"/>
                  </w:tcBorders>
                  <w:noWrap w:val="0"/>
                  <w:vAlign w:val="center"/>
                </w:tcPr>
                <w:p>
                  <w:pPr>
                    <w:bidi w:val="0"/>
                    <w:jc w:val="center"/>
                    <w:rPr>
                      <w:rFonts w:hint="eastAsia"/>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粪大肠菌群</w:t>
                  </w:r>
                </w:p>
              </w:tc>
              <w:tc>
                <w:tcPr>
                  <w:tcW w:w="550" w:type="pct"/>
                  <w:tcBorders>
                    <w:tl2br w:val="nil"/>
                    <w:tr2bl w:val="nil"/>
                  </w:tcBorders>
                  <w:noWrap w:val="0"/>
                  <w:vAlign w:val="center"/>
                </w:tcPr>
                <w:p>
                  <w:pPr>
                    <w:bidi w:val="0"/>
                    <w:jc w:val="center"/>
                    <w:rPr>
                      <w:rFonts w:hint="eastAsia"/>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个/L</w:t>
                  </w:r>
                </w:p>
              </w:tc>
              <w:tc>
                <w:tcPr>
                  <w:tcW w:w="954" w:type="pct"/>
                  <w:tcBorders>
                    <w:tl2br w:val="nil"/>
                    <w:tr2bl w:val="nil"/>
                  </w:tcBorders>
                  <w:noWrap w:val="0"/>
                  <w:vAlign w:val="center"/>
                </w:tcPr>
                <w:p>
                  <w:pPr>
                    <w:bidi w:val="0"/>
                    <w:jc w:val="center"/>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2400</w:t>
                  </w:r>
                </w:p>
              </w:tc>
              <w:tc>
                <w:tcPr>
                  <w:tcW w:w="540" w:type="pct"/>
                  <w:tcBorders>
                    <w:tl2br w:val="nil"/>
                    <w:tr2bl w:val="nil"/>
                  </w:tcBorders>
                  <w:noWrap w:val="0"/>
                  <w:vAlign w:val="center"/>
                </w:tcPr>
                <w:p>
                  <w:pPr>
                    <w:bidi w:val="0"/>
                    <w:jc w:val="center"/>
                    <w:rPr>
                      <w:rFonts w:hint="eastAsia"/>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0</w:t>
                  </w:r>
                </w:p>
              </w:tc>
              <w:tc>
                <w:tcPr>
                  <w:tcW w:w="702" w:type="pct"/>
                  <w:tcBorders>
                    <w:tl2br w:val="nil"/>
                    <w:tr2bl w:val="nil"/>
                  </w:tcBorders>
                  <w:noWrap w:val="0"/>
                  <w:vAlign w:val="center"/>
                </w:tcPr>
                <w:p>
                  <w:pPr>
                    <w:bidi w:val="0"/>
                    <w:jc w:val="center"/>
                    <w:rPr>
                      <w:rFonts w:hint="eastAsia"/>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0</w:t>
                  </w:r>
                </w:p>
              </w:tc>
              <w:tc>
                <w:tcPr>
                  <w:tcW w:w="494" w:type="pct"/>
                  <w:tcBorders>
                    <w:tl2br w:val="nil"/>
                    <w:tr2bl w:val="nil"/>
                  </w:tcBorders>
                  <w:noWrap w:val="0"/>
                  <w:vAlign w:val="center"/>
                </w:tcPr>
                <w:p>
                  <w:pPr>
                    <w:bidi w:val="0"/>
                    <w:jc w:val="center"/>
                    <w:rPr>
                      <w:rFonts w:hint="eastAsia"/>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10000</w:t>
                  </w:r>
                </w:p>
              </w:tc>
              <w:tc>
                <w:tcPr>
                  <w:tcW w:w="415" w:type="pct"/>
                  <w:tcBorders>
                    <w:tl2br w:val="nil"/>
                    <w:tr2bl w:val="nil"/>
                  </w:tcBorders>
                  <w:noWrap w:val="0"/>
                  <w:vAlign w:val="center"/>
                </w:tcPr>
                <w:p>
                  <w:pPr>
                    <w:bidi w:val="0"/>
                    <w:jc w:val="center"/>
                    <w:rPr>
                      <w:rFonts w:hint="eastAsia"/>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达标</w:t>
                  </w:r>
                </w:p>
              </w:tc>
            </w:tr>
          </w:tbl>
          <w:p>
            <w:pPr>
              <w:adjustRightInd w:val="0"/>
              <w:snapToGrid w:val="0"/>
              <w:spacing w:line="240" w:lineRule="auto"/>
              <w:ind w:firstLine="420" w:firstLineChars="200"/>
              <w:rPr>
                <w:rFonts w:hint="default" w:ascii="Times New Roman" w:hAnsi="Times New Roman" w:eastAsia="宋体" w:cs="Times New Roman"/>
                <w:color w:val="000000" w:themeColor="text1"/>
                <w:kern w:val="0"/>
                <w:szCs w:val="21"/>
                <w:u w:val="single"/>
                <w:lang w:val="en-US" w:eastAsia="zh-CN"/>
                <w14:textFill>
                  <w14:solidFill>
                    <w14:schemeClr w14:val="tx1"/>
                  </w14:solidFill>
                </w14:textFill>
              </w:rPr>
            </w:pPr>
          </w:p>
          <w:p>
            <w:pPr>
              <w:spacing w:line="360" w:lineRule="auto"/>
              <w:ind w:firstLine="480" w:firstLineChars="200"/>
              <w:rPr>
                <w:rFonts w:hint="default" w:ascii="Times New Roman" w:hAnsi="Times New Roman" w:eastAsia="宋体" w:cs="Times New Roman"/>
                <w:sz w:val="24"/>
                <w:u w:val="single"/>
                <w:lang w:val="en-US" w:eastAsia="zh-CN"/>
              </w:rPr>
            </w:pPr>
            <w:r>
              <w:rPr>
                <w:rFonts w:hint="default" w:ascii="Times New Roman" w:hAnsi="Times New Roman" w:eastAsia="宋体" w:cs="Times New Roman"/>
                <w:sz w:val="24"/>
                <w:u w:val="single"/>
                <w:lang w:val="en-US" w:eastAsia="zh-CN"/>
              </w:rPr>
              <w:t>根据监测统计结果可知，</w:t>
            </w:r>
            <w:r>
              <w:rPr>
                <w:rFonts w:hint="eastAsia" w:ascii="Times New Roman" w:hAnsi="Times New Roman" w:eastAsia="宋体" w:cs="Times New Roman"/>
                <w:sz w:val="24"/>
                <w:u w:val="single"/>
                <w:lang w:val="en-US" w:eastAsia="zh-CN"/>
              </w:rPr>
              <w:t>洋沙湖</w:t>
            </w:r>
            <w:r>
              <w:rPr>
                <w:rFonts w:hint="default" w:ascii="Times New Roman" w:hAnsi="Times New Roman" w:eastAsia="宋体" w:cs="Times New Roman"/>
                <w:sz w:val="24"/>
                <w:u w:val="single"/>
                <w:lang w:val="en-US" w:eastAsia="zh-CN"/>
              </w:rPr>
              <w:t>断面水质各项指标均达到《地表水环境质量标准》（GB3838-2002）中Ⅲ类标准，区域水质状况良好。</w:t>
            </w:r>
          </w:p>
          <w:p>
            <w:pPr>
              <w:spacing w:line="360" w:lineRule="auto"/>
              <w:ind w:firstLine="480" w:firstLineChars="200"/>
              <w:rPr>
                <w:sz w:val="24"/>
              </w:rPr>
            </w:pPr>
            <w:r>
              <w:rPr>
                <w:rFonts w:hint="eastAsia"/>
                <w:sz w:val="24"/>
              </w:rPr>
              <w:t>（3）声环境质量现状</w:t>
            </w:r>
          </w:p>
          <w:p>
            <w:pPr>
              <w:spacing w:line="360" w:lineRule="auto"/>
              <w:ind w:firstLine="480" w:firstLineChars="200"/>
              <w:rPr>
                <w:sz w:val="24"/>
              </w:rPr>
            </w:pPr>
            <w:r>
              <w:rPr>
                <w:sz w:val="24"/>
              </w:rPr>
              <w:t>根据项目噪声源和区域声环境特征相结合的原则，本次评价委托了</w:t>
            </w:r>
            <w:r>
              <w:rPr>
                <w:rFonts w:hint="eastAsia"/>
                <w:sz w:val="24"/>
              </w:rPr>
              <w:t>湖南科准检测技术有限公司</w:t>
            </w:r>
            <w:r>
              <w:rPr>
                <w:sz w:val="24"/>
              </w:rPr>
              <w:t>于202</w:t>
            </w:r>
            <w:r>
              <w:rPr>
                <w:rFonts w:hint="eastAsia"/>
                <w:sz w:val="24"/>
              </w:rPr>
              <w:t>2</w:t>
            </w:r>
            <w:r>
              <w:rPr>
                <w:sz w:val="24"/>
              </w:rPr>
              <w:t>年</w:t>
            </w:r>
            <w:r>
              <w:rPr>
                <w:rFonts w:hint="eastAsia"/>
                <w:sz w:val="24"/>
              </w:rPr>
              <w:t>5</w:t>
            </w:r>
            <w:r>
              <w:rPr>
                <w:sz w:val="24"/>
              </w:rPr>
              <w:t>月</w:t>
            </w:r>
            <w:r>
              <w:rPr>
                <w:rFonts w:hint="eastAsia"/>
                <w:sz w:val="24"/>
              </w:rPr>
              <w:t>6</w:t>
            </w:r>
            <w:r>
              <w:rPr>
                <w:sz w:val="24"/>
              </w:rPr>
              <w:t>日~</w:t>
            </w:r>
            <w:r>
              <w:rPr>
                <w:rFonts w:hint="eastAsia"/>
                <w:sz w:val="24"/>
              </w:rPr>
              <w:t>7</w:t>
            </w:r>
            <w:r>
              <w:rPr>
                <w:sz w:val="24"/>
              </w:rPr>
              <w:t>日对项目所在区域声环境进行了监测。</w:t>
            </w:r>
          </w:p>
          <w:p>
            <w:pPr>
              <w:spacing w:line="360" w:lineRule="auto"/>
              <w:ind w:firstLine="480" w:firstLineChars="200"/>
              <w:rPr>
                <w:sz w:val="24"/>
              </w:rPr>
            </w:pPr>
            <w:r>
              <w:rPr>
                <w:sz w:val="24"/>
              </w:rPr>
              <w:fldChar w:fldCharType="begin"/>
            </w:r>
            <w:r>
              <w:rPr>
                <w:sz w:val="24"/>
              </w:rPr>
              <w:instrText xml:space="preserve"> = 1 \* GB3 \* MERGEFORMAT </w:instrText>
            </w:r>
            <w:r>
              <w:rPr>
                <w:sz w:val="24"/>
              </w:rPr>
              <w:fldChar w:fldCharType="separate"/>
            </w:r>
            <w:r>
              <w:t>①</w:t>
            </w:r>
            <w:r>
              <w:rPr>
                <w:sz w:val="24"/>
              </w:rPr>
              <w:fldChar w:fldCharType="end"/>
            </w:r>
            <w:r>
              <w:rPr>
                <w:sz w:val="24"/>
              </w:rPr>
              <w:t>监测点位：项目厂界东、南、西、北面</w:t>
            </w:r>
            <w:r>
              <w:rPr>
                <w:rFonts w:hint="eastAsia"/>
                <w:sz w:val="24"/>
              </w:rPr>
              <w:t>、项目北侧居民点、南侧居民点和</w:t>
            </w:r>
            <w:r>
              <w:rPr>
                <w:rFonts w:hint="eastAsia"/>
                <w:sz w:val="24"/>
                <w:lang w:val="en-US" w:eastAsia="zh-CN"/>
              </w:rPr>
              <w:t>知</w:t>
            </w:r>
            <w:r>
              <w:rPr>
                <w:rFonts w:hint="eastAsia"/>
                <w:sz w:val="24"/>
              </w:rPr>
              <w:t>源小学</w:t>
            </w:r>
            <w:r>
              <w:rPr>
                <w:sz w:val="24"/>
              </w:rPr>
              <w:t>；</w:t>
            </w:r>
          </w:p>
          <w:p>
            <w:pPr>
              <w:spacing w:line="360" w:lineRule="auto"/>
              <w:ind w:firstLine="480" w:firstLineChars="200"/>
              <w:rPr>
                <w:sz w:val="24"/>
              </w:rPr>
            </w:pPr>
            <w:r>
              <w:rPr>
                <w:sz w:val="24"/>
              </w:rPr>
              <w:fldChar w:fldCharType="begin"/>
            </w:r>
            <w:r>
              <w:rPr>
                <w:sz w:val="24"/>
              </w:rPr>
              <w:instrText xml:space="preserve"> = 2 \* GB3 \* MERGEFORMAT </w:instrText>
            </w:r>
            <w:r>
              <w:rPr>
                <w:sz w:val="24"/>
              </w:rPr>
              <w:fldChar w:fldCharType="separate"/>
            </w:r>
            <w:r>
              <w:t>②</w:t>
            </w:r>
            <w:r>
              <w:rPr>
                <w:sz w:val="24"/>
              </w:rPr>
              <w:fldChar w:fldCharType="end"/>
            </w:r>
            <w:r>
              <w:rPr>
                <w:sz w:val="24"/>
              </w:rPr>
              <w:t>监测因子：等效连续A声级；</w:t>
            </w:r>
          </w:p>
          <w:p>
            <w:pPr>
              <w:spacing w:line="360" w:lineRule="auto"/>
              <w:ind w:firstLine="480" w:firstLineChars="200"/>
              <w:rPr>
                <w:sz w:val="24"/>
              </w:rPr>
            </w:pPr>
            <w:r>
              <w:rPr>
                <w:sz w:val="24"/>
              </w:rPr>
              <w:fldChar w:fldCharType="begin"/>
            </w:r>
            <w:r>
              <w:rPr>
                <w:sz w:val="24"/>
              </w:rPr>
              <w:instrText xml:space="preserve"> = 3 \* GB3 \* MERGEFORMAT </w:instrText>
            </w:r>
            <w:r>
              <w:rPr>
                <w:sz w:val="24"/>
              </w:rPr>
              <w:fldChar w:fldCharType="separate"/>
            </w:r>
            <w:r>
              <w:t>③</w:t>
            </w:r>
            <w:r>
              <w:rPr>
                <w:sz w:val="24"/>
              </w:rPr>
              <w:fldChar w:fldCharType="end"/>
            </w:r>
            <w:r>
              <w:rPr>
                <w:sz w:val="24"/>
              </w:rPr>
              <w:t>监测方法：按照《声环境质量标准》(GB3096-2008)中的有关规定进行；</w:t>
            </w:r>
          </w:p>
          <w:p>
            <w:pPr>
              <w:spacing w:line="360" w:lineRule="auto"/>
              <w:ind w:firstLine="480" w:firstLineChars="200"/>
              <w:rPr>
                <w:sz w:val="24"/>
              </w:rPr>
            </w:pPr>
            <w:r>
              <w:rPr>
                <w:sz w:val="24"/>
              </w:rPr>
              <w:fldChar w:fldCharType="begin"/>
            </w:r>
            <w:r>
              <w:rPr>
                <w:sz w:val="24"/>
              </w:rPr>
              <w:instrText xml:space="preserve"> = 4 \* GB3 \* MERGEFORMAT </w:instrText>
            </w:r>
            <w:r>
              <w:rPr>
                <w:sz w:val="24"/>
              </w:rPr>
              <w:fldChar w:fldCharType="separate"/>
            </w:r>
            <w:r>
              <w:t>④</w:t>
            </w:r>
            <w:r>
              <w:rPr>
                <w:sz w:val="24"/>
              </w:rPr>
              <w:fldChar w:fldCharType="end"/>
            </w:r>
            <w:r>
              <w:rPr>
                <w:sz w:val="24"/>
              </w:rPr>
              <w:t>评价方法：《环境影响评价技术导则—声环境》(HJ2.4-2009)中的相关规范进行；</w:t>
            </w:r>
          </w:p>
          <w:p>
            <w:pPr>
              <w:spacing w:line="360" w:lineRule="auto"/>
              <w:ind w:firstLine="480" w:firstLineChars="200"/>
              <w:rPr>
                <w:sz w:val="24"/>
              </w:rPr>
            </w:pPr>
            <w:r>
              <w:rPr>
                <w:sz w:val="24"/>
              </w:rPr>
              <w:fldChar w:fldCharType="begin"/>
            </w:r>
            <w:r>
              <w:rPr>
                <w:sz w:val="24"/>
              </w:rPr>
              <w:instrText xml:space="preserve"> = 5 \* GB3 \* MERGEFORMAT </w:instrText>
            </w:r>
            <w:r>
              <w:rPr>
                <w:sz w:val="24"/>
              </w:rPr>
              <w:fldChar w:fldCharType="separate"/>
            </w:r>
            <w:r>
              <w:t>⑤</w:t>
            </w:r>
            <w:r>
              <w:rPr>
                <w:sz w:val="24"/>
              </w:rPr>
              <w:fldChar w:fldCharType="end"/>
            </w:r>
            <w:r>
              <w:rPr>
                <w:sz w:val="24"/>
              </w:rPr>
              <w:t>执行标准：根据项目所在区域的环境特征，评价区执行《声环境质量标准》（GB3096-2008）中的</w:t>
            </w:r>
            <w:r>
              <w:rPr>
                <w:rFonts w:hint="eastAsia"/>
                <w:sz w:val="24"/>
              </w:rPr>
              <w:t>2</w:t>
            </w:r>
            <w:r>
              <w:rPr>
                <w:sz w:val="24"/>
              </w:rPr>
              <w:t>类标准</w:t>
            </w:r>
            <w:r>
              <w:rPr>
                <w:rFonts w:hint="eastAsia"/>
                <w:sz w:val="24"/>
              </w:rPr>
              <w:t>，临芙蓉北路一侧</w:t>
            </w:r>
            <w:r>
              <w:rPr>
                <w:sz w:val="24"/>
              </w:rPr>
              <w:t>执行《声环境质量标准》（GB3096-2008）中的</w:t>
            </w:r>
            <w:r>
              <w:rPr>
                <w:rFonts w:hint="eastAsia"/>
                <w:sz w:val="24"/>
              </w:rPr>
              <w:t>4a</w:t>
            </w:r>
            <w:r>
              <w:rPr>
                <w:sz w:val="24"/>
              </w:rPr>
              <w:t>类标准；</w:t>
            </w:r>
          </w:p>
          <w:p>
            <w:pPr>
              <w:spacing w:line="360" w:lineRule="auto"/>
              <w:ind w:firstLine="480" w:firstLineChars="200"/>
              <w:rPr>
                <w:sz w:val="24"/>
              </w:rPr>
            </w:pPr>
            <w:r>
              <w:rPr>
                <w:sz w:val="24"/>
              </w:rPr>
              <w:fldChar w:fldCharType="begin"/>
            </w:r>
            <w:r>
              <w:rPr>
                <w:sz w:val="24"/>
              </w:rPr>
              <w:instrText xml:space="preserve"> = 6 \* GB3 \* MERGEFORMAT </w:instrText>
            </w:r>
            <w:r>
              <w:rPr>
                <w:sz w:val="24"/>
              </w:rPr>
              <w:fldChar w:fldCharType="separate"/>
            </w:r>
            <w:r>
              <w:t>⑥</w:t>
            </w:r>
            <w:r>
              <w:rPr>
                <w:sz w:val="24"/>
              </w:rPr>
              <w:fldChar w:fldCharType="end"/>
            </w:r>
            <w:r>
              <w:rPr>
                <w:sz w:val="24"/>
              </w:rPr>
              <w:t>监测结果及评价：详见表3-</w:t>
            </w:r>
            <w:r>
              <w:rPr>
                <w:rFonts w:hint="eastAsia"/>
                <w:sz w:val="24"/>
                <w:lang w:val="en-US" w:eastAsia="zh-CN"/>
              </w:rPr>
              <w:t>4</w:t>
            </w:r>
            <w:r>
              <w:rPr>
                <w:sz w:val="24"/>
              </w:rPr>
              <w:t>。</w:t>
            </w:r>
          </w:p>
          <w:p>
            <w:pPr>
              <w:jc w:val="center"/>
              <w:rPr>
                <w:rFonts w:hint="eastAsia"/>
                <w:b/>
                <w:bCs/>
              </w:rPr>
            </w:pPr>
            <w:r>
              <w:rPr>
                <w:rFonts w:hint="eastAsia"/>
                <w:b/>
                <w:bCs/>
              </w:rPr>
              <w:t>表3-</w:t>
            </w:r>
            <w:r>
              <w:rPr>
                <w:rFonts w:hint="eastAsia"/>
                <w:b/>
                <w:bCs/>
                <w:lang w:val="en-US" w:eastAsia="zh-CN"/>
              </w:rPr>
              <w:t>4</w:t>
            </w:r>
            <w:r>
              <w:rPr>
                <w:rFonts w:hint="eastAsia"/>
                <w:b/>
                <w:bCs/>
              </w:rPr>
              <w:t xml:space="preserve"> 环境噪声质量现状表单位：dB(A)</w:t>
            </w:r>
          </w:p>
          <w:tbl>
            <w:tblPr>
              <w:tblStyle w:val="25"/>
              <w:tblW w:w="8078"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11"/>
              <w:gridCol w:w="2124"/>
              <w:gridCol w:w="1414"/>
              <w:gridCol w:w="1292"/>
              <w:gridCol w:w="1156"/>
              <w:gridCol w:w="108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1011" w:type="dxa"/>
                  <w:vMerge w:val="restart"/>
                  <w:noWrap w:val="0"/>
                  <w:vAlign w:val="center"/>
                </w:tcPr>
                <w:p>
                  <w:pPr>
                    <w:jc w:val="center"/>
                    <w:rPr>
                      <w:b/>
                      <w:bCs/>
                    </w:rPr>
                  </w:pPr>
                  <w:r>
                    <w:rPr>
                      <w:b/>
                      <w:bCs/>
                    </w:rPr>
                    <w:t>监测日期</w:t>
                  </w:r>
                </w:p>
              </w:tc>
              <w:tc>
                <w:tcPr>
                  <w:tcW w:w="2124" w:type="dxa"/>
                  <w:vMerge w:val="restart"/>
                  <w:noWrap w:val="0"/>
                  <w:vAlign w:val="center"/>
                </w:tcPr>
                <w:p>
                  <w:pPr>
                    <w:jc w:val="center"/>
                    <w:rPr>
                      <w:b/>
                      <w:bCs/>
                    </w:rPr>
                  </w:pPr>
                  <w:r>
                    <w:rPr>
                      <w:b/>
                      <w:bCs/>
                    </w:rPr>
                    <w:t>监测点位</w:t>
                  </w:r>
                </w:p>
              </w:tc>
              <w:tc>
                <w:tcPr>
                  <w:tcW w:w="2706" w:type="dxa"/>
                  <w:gridSpan w:val="2"/>
                  <w:noWrap w:val="0"/>
                  <w:vAlign w:val="center"/>
                </w:tcPr>
                <w:p>
                  <w:pPr>
                    <w:jc w:val="center"/>
                    <w:rPr>
                      <w:b/>
                      <w:bCs/>
                    </w:rPr>
                  </w:pPr>
                  <w:r>
                    <w:rPr>
                      <w:b/>
                      <w:bCs/>
                    </w:rPr>
                    <w:t>监测结果 (单位：dB (A) )</w:t>
                  </w:r>
                </w:p>
              </w:tc>
              <w:tc>
                <w:tcPr>
                  <w:tcW w:w="2237" w:type="dxa"/>
                  <w:gridSpan w:val="2"/>
                  <w:noWrap w:val="0"/>
                  <w:vAlign w:val="center"/>
                </w:tcPr>
                <w:p>
                  <w:pPr>
                    <w:jc w:val="center"/>
                    <w:rPr>
                      <w:b/>
                      <w:bCs/>
                    </w:rPr>
                  </w:pPr>
                  <w:r>
                    <w:rPr>
                      <w:b/>
                      <w:bCs/>
                    </w:rPr>
                    <w:t>参考限值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011" w:type="dxa"/>
                  <w:vMerge w:val="continue"/>
                  <w:noWrap w:val="0"/>
                  <w:vAlign w:val="center"/>
                </w:tcPr>
                <w:p>
                  <w:pPr>
                    <w:jc w:val="center"/>
                    <w:rPr>
                      <w:b/>
                      <w:bCs/>
                    </w:rPr>
                  </w:pPr>
                </w:p>
              </w:tc>
              <w:tc>
                <w:tcPr>
                  <w:tcW w:w="2124" w:type="dxa"/>
                  <w:vMerge w:val="continue"/>
                  <w:noWrap w:val="0"/>
                  <w:vAlign w:val="center"/>
                </w:tcPr>
                <w:p>
                  <w:pPr>
                    <w:jc w:val="center"/>
                    <w:rPr>
                      <w:b/>
                      <w:bCs/>
                    </w:rPr>
                  </w:pPr>
                </w:p>
              </w:tc>
              <w:tc>
                <w:tcPr>
                  <w:tcW w:w="1414" w:type="dxa"/>
                  <w:noWrap w:val="0"/>
                  <w:vAlign w:val="center"/>
                </w:tcPr>
                <w:p>
                  <w:pPr>
                    <w:jc w:val="center"/>
                    <w:rPr>
                      <w:b/>
                      <w:bCs/>
                    </w:rPr>
                  </w:pPr>
                  <w:r>
                    <w:rPr>
                      <w:b/>
                      <w:bCs/>
                    </w:rPr>
                    <w:t>昼间</w:t>
                  </w:r>
                </w:p>
              </w:tc>
              <w:tc>
                <w:tcPr>
                  <w:tcW w:w="1292" w:type="dxa"/>
                  <w:noWrap w:val="0"/>
                  <w:vAlign w:val="center"/>
                </w:tcPr>
                <w:p>
                  <w:pPr>
                    <w:jc w:val="center"/>
                    <w:rPr>
                      <w:b/>
                      <w:bCs/>
                    </w:rPr>
                  </w:pPr>
                  <w:r>
                    <w:rPr>
                      <w:b/>
                      <w:bCs/>
                    </w:rPr>
                    <w:t>夜间</w:t>
                  </w:r>
                </w:p>
              </w:tc>
              <w:tc>
                <w:tcPr>
                  <w:tcW w:w="1156" w:type="dxa"/>
                  <w:noWrap w:val="0"/>
                  <w:vAlign w:val="center"/>
                </w:tcPr>
                <w:p>
                  <w:pPr>
                    <w:jc w:val="center"/>
                    <w:rPr>
                      <w:b/>
                      <w:bCs/>
                    </w:rPr>
                  </w:pPr>
                  <w:r>
                    <w:rPr>
                      <w:b/>
                      <w:bCs/>
                    </w:rPr>
                    <w:t>昼间</w:t>
                  </w:r>
                </w:p>
              </w:tc>
              <w:tc>
                <w:tcPr>
                  <w:tcW w:w="1081" w:type="dxa"/>
                  <w:noWrap w:val="0"/>
                  <w:vAlign w:val="center"/>
                </w:tcPr>
                <w:p>
                  <w:pPr>
                    <w:jc w:val="center"/>
                    <w:rPr>
                      <w:b/>
                      <w:bCs/>
                    </w:rPr>
                  </w:pPr>
                  <w:r>
                    <w:rPr>
                      <w:b/>
                      <w:bCs/>
                    </w:rPr>
                    <w:t>夜间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11" w:type="dxa"/>
                  <w:vMerge w:val="restart"/>
                  <w:noWrap w:val="0"/>
                  <w:vAlign w:val="center"/>
                </w:tcPr>
                <w:p>
                  <w:pPr>
                    <w:jc w:val="center"/>
                  </w:pPr>
                  <w:r>
                    <w:t>5 月 6 日</w:t>
                  </w:r>
                </w:p>
              </w:tc>
              <w:tc>
                <w:tcPr>
                  <w:tcW w:w="2124" w:type="dxa"/>
                  <w:noWrap w:val="0"/>
                  <w:vAlign w:val="center"/>
                </w:tcPr>
                <w:p>
                  <w:pPr>
                    <w:jc w:val="center"/>
                  </w:pPr>
                  <w:r>
                    <w:t>N1项目北侧居民点</w:t>
                  </w:r>
                </w:p>
              </w:tc>
              <w:tc>
                <w:tcPr>
                  <w:tcW w:w="1414" w:type="dxa"/>
                  <w:noWrap w:val="0"/>
                  <w:vAlign w:val="center"/>
                </w:tcPr>
                <w:p>
                  <w:pPr>
                    <w:jc w:val="center"/>
                  </w:pPr>
                  <w:r>
                    <w:t>56</w:t>
                  </w:r>
                </w:p>
              </w:tc>
              <w:tc>
                <w:tcPr>
                  <w:tcW w:w="1292" w:type="dxa"/>
                  <w:noWrap w:val="0"/>
                  <w:vAlign w:val="center"/>
                </w:tcPr>
                <w:p>
                  <w:pPr>
                    <w:jc w:val="center"/>
                  </w:pPr>
                  <w:r>
                    <w:t>46</w:t>
                  </w:r>
                </w:p>
              </w:tc>
              <w:tc>
                <w:tcPr>
                  <w:tcW w:w="1156" w:type="dxa"/>
                  <w:noWrap w:val="0"/>
                  <w:vAlign w:val="center"/>
                </w:tcPr>
                <w:p>
                  <w:pPr>
                    <w:jc w:val="center"/>
                  </w:pPr>
                  <w:r>
                    <w:t>60</w:t>
                  </w:r>
                </w:p>
              </w:tc>
              <w:tc>
                <w:tcPr>
                  <w:tcW w:w="1081" w:type="dxa"/>
                  <w:noWrap w:val="0"/>
                  <w:vAlign w:val="center"/>
                </w:tcPr>
                <w:p>
                  <w:pPr>
                    <w:jc w:val="center"/>
                  </w:pPr>
                  <w: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11" w:type="dxa"/>
                  <w:vMerge w:val="continue"/>
                  <w:noWrap w:val="0"/>
                  <w:vAlign w:val="center"/>
                </w:tcPr>
                <w:p>
                  <w:pPr>
                    <w:jc w:val="center"/>
                  </w:pPr>
                </w:p>
              </w:tc>
              <w:tc>
                <w:tcPr>
                  <w:tcW w:w="2124" w:type="dxa"/>
                  <w:noWrap w:val="0"/>
                  <w:vAlign w:val="center"/>
                </w:tcPr>
                <w:p>
                  <w:pPr>
                    <w:jc w:val="center"/>
                  </w:pPr>
                  <w:r>
                    <w:t>N2项目南侧居民点</w:t>
                  </w:r>
                </w:p>
              </w:tc>
              <w:tc>
                <w:tcPr>
                  <w:tcW w:w="1414" w:type="dxa"/>
                  <w:noWrap w:val="0"/>
                  <w:vAlign w:val="center"/>
                </w:tcPr>
                <w:p>
                  <w:pPr>
                    <w:jc w:val="center"/>
                  </w:pPr>
                  <w:r>
                    <w:t>57</w:t>
                  </w:r>
                </w:p>
              </w:tc>
              <w:tc>
                <w:tcPr>
                  <w:tcW w:w="1292" w:type="dxa"/>
                  <w:noWrap w:val="0"/>
                  <w:vAlign w:val="center"/>
                </w:tcPr>
                <w:p>
                  <w:pPr>
                    <w:jc w:val="center"/>
                  </w:pPr>
                  <w:r>
                    <w:t>45</w:t>
                  </w:r>
                </w:p>
              </w:tc>
              <w:tc>
                <w:tcPr>
                  <w:tcW w:w="1156" w:type="dxa"/>
                  <w:noWrap w:val="0"/>
                  <w:vAlign w:val="center"/>
                </w:tcPr>
                <w:p>
                  <w:pPr>
                    <w:jc w:val="center"/>
                  </w:pPr>
                  <w:r>
                    <w:t>60</w:t>
                  </w:r>
                </w:p>
              </w:tc>
              <w:tc>
                <w:tcPr>
                  <w:tcW w:w="1081" w:type="dxa"/>
                  <w:noWrap w:val="0"/>
                  <w:vAlign w:val="center"/>
                </w:tcPr>
                <w:p>
                  <w:pPr>
                    <w:jc w:val="center"/>
                  </w:pPr>
                  <w: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11" w:type="dxa"/>
                  <w:vMerge w:val="continue"/>
                  <w:noWrap w:val="0"/>
                  <w:vAlign w:val="center"/>
                </w:tcPr>
                <w:p>
                  <w:pPr>
                    <w:jc w:val="center"/>
                  </w:pPr>
                </w:p>
              </w:tc>
              <w:tc>
                <w:tcPr>
                  <w:tcW w:w="2124" w:type="dxa"/>
                  <w:noWrap w:val="0"/>
                  <w:vAlign w:val="center"/>
                </w:tcPr>
                <w:p>
                  <w:pPr>
                    <w:jc w:val="center"/>
                  </w:pPr>
                  <w:r>
                    <w:t>N3</w:t>
                  </w:r>
                  <w:r>
                    <w:rPr>
                      <w:rFonts w:hint="eastAsia"/>
                      <w:szCs w:val="21"/>
                    </w:rPr>
                    <w:t>知源学校</w:t>
                  </w:r>
                </w:p>
              </w:tc>
              <w:tc>
                <w:tcPr>
                  <w:tcW w:w="1414" w:type="dxa"/>
                  <w:noWrap w:val="0"/>
                  <w:vAlign w:val="center"/>
                </w:tcPr>
                <w:p>
                  <w:pPr>
                    <w:jc w:val="center"/>
                  </w:pPr>
                  <w:r>
                    <w:t>57</w:t>
                  </w:r>
                </w:p>
              </w:tc>
              <w:tc>
                <w:tcPr>
                  <w:tcW w:w="1292" w:type="dxa"/>
                  <w:noWrap w:val="0"/>
                  <w:vAlign w:val="center"/>
                </w:tcPr>
                <w:p>
                  <w:pPr>
                    <w:jc w:val="center"/>
                  </w:pPr>
                  <w:r>
                    <w:t>45</w:t>
                  </w:r>
                </w:p>
              </w:tc>
              <w:tc>
                <w:tcPr>
                  <w:tcW w:w="1156" w:type="dxa"/>
                  <w:noWrap w:val="0"/>
                  <w:vAlign w:val="center"/>
                </w:tcPr>
                <w:p>
                  <w:pPr>
                    <w:jc w:val="center"/>
                  </w:pPr>
                  <w:r>
                    <w:t>60</w:t>
                  </w:r>
                </w:p>
              </w:tc>
              <w:tc>
                <w:tcPr>
                  <w:tcW w:w="1081" w:type="dxa"/>
                  <w:noWrap w:val="0"/>
                  <w:vAlign w:val="center"/>
                </w:tcPr>
                <w:p>
                  <w:pPr>
                    <w:jc w:val="center"/>
                  </w:pPr>
                  <w: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11" w:type="dxa"/>
                  <w:vMerge w:val="continue"/>
                  <w:noWrap w:val="0"/>
                  <w:vAlign w:val="center"/>
                </w:tcPr>
                <w:p>
                  <w:pPr>
                    <w:jc w:val="center"/>
                  </w:pPr>
                </w:p>
              </w:tc>
              <w:tc>
                <w:tcPr>
                  <w:tcW w:w="2124" w:type="dxa"/>
                  <w:noWrap w:val="0"/>
                  <w:vAlign w:val="center"/>
                </w:tcPr>
                <w:p>
                  <w:pPr>
                    <w:jc w:val="center"/>
                  </w:pPr>
                  <w:r>
                    <w:t>N4厂界东</w:t>
                  </w:r>
                </w:p>
              </w:tc>
              <w:tc>
                <w:tcPr>
                  <w:tcW w:w="1414" w:type="dxa"/>
                  <w:noWrap w:val="0"/>
                  <w:vAlign w:val="center"/>
                </w:tcPr>
                <w:p>
                  <w:pPr>
                    <w:jc w:val="center"/>
                  </w:pPr>
                  <w:r>
                    <w:t>55</w:t>
                  </w:r>
                </w:p>
              </w:tc>
              <w:tc>
                <w:tcPr>
                  <w:tcW w:w="1292" w:type="dxa"/>
                  <w:noWrap w:val="0"/>
                  <w:vAlign w:val="center"/>
                </w:tcPr>
                <w:p>
                  <w:pPr>
                    <w:jc w:val="center"/>
                  </w:pPr>
                  <w:r>
                    <w:t>44</w:t>
                  </w:r>
                </w:p>
              </w:tc>
              <w:tc>
                <w:tcPr>
                  <w:tcW w:w="1156" w:type="dxa"/>
                  <w:noWrap w:val="0"/>
                  <w:vAlign w:val="center"/>
                </w:tcPr>
                <w:p>
                  <w:pPr>
                    <w:jc w:val="center"/>
                  </w:pPr>
                  <w:r>
                    <w:t>60</w:t>
                  </w:r>
                </w:p>
              </w:tc>
              <w:tc>
                <w:tcPr>
                  <w:tcW w:w="1081" w:type="dxa"/>
                  <w:noWrap w:val="0"/>
                  <w:vAlign w:val="center"/>
                </w:tcPr>
                <w:p>
                  <w:pPr>
                    <w:jc w:val="center"/>
                  </w:pPr>
                  <w: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11" w:type="dxa"/>
                  <w:vMerge w:val="continue"/>
                  <w:noWrap w:val="0"/>
                  <w:vAlign w:val="center"/>
                </w:tcPr>
                <w:p>
                  <w:pPr>
                    <w:jc w:val="center"/>
                  </w:pPr>
                </w:p>
              </w:tc>
              <w:tc>
                <w:tcPr>
                  <w:tcW w:w="2124" w:type="dxa"/>
                  <w:noWrap w:val="0"/>
                  <w:vAlign w:val="center"/>
                </w:tcPr>
                <w:p>
                  <w:pPr>
                    <w:jc w:val="center"/>
                  </w:pPr>
                  <w:r>
                    <w:t>N5厂界南</w:t>
                  </w:r>
                </w:p>
              </w:tc>
              <w:tc>
                <w:tcPr>
                  <w:tcW w:w="1414" w:type="dxa"/>
                  <w:noWrap w:val="0"/>
                  <w:vAlign w:val="center"/>
                </w:tcPr>
                <w:p>
                  <w:pPr>
                    <w:jc w:val="center"/>
                  </w:pPr>
                  <w:r>
                    <w:t>57</w:t>
                  </w:r>
                </w:p>
              </w:tc>
              <w:tc>
                <w:tcPr>
                  <w:tcW w:w="1292" w:type="dxa"/>
                  <w:noWrap w:val="0"/>
                  <w:vAlign w:val="center"/>
                </w:tcPr>
                <w:p>
                  <w:pPr>
                    <w:jc w:val="center"/>
                  </w:pPr>
                  <w:r>
                    <w:t>46</w:t>
                  </w:r>
                </w:p>
              </w:tc>
              <w:tc>
                <w:tcPr>
                  <w:tcW w:w="1156" w:type="dxa"/>
                  <w:noWrap w:val="0"/>
                  <w:vAlign w:val="center"/>
                </w:tcPr>
                <w:p>
                  <w:pPr>
                    <w:jc w:val="center"/>
                  </w:pPr>
                  <w:r>
                    <w:t>60</w:t>
                  </w:r>
                </w:p>
              </w:tc>
              <w:tc>
                <w:tcPr>
                  <w:tcW w:w="1081" w:type="dxa"/>
                  <w:noWrap w:val="0"/>
                  <w:vAlign w:val="center"/>
                </w:tcPr>
                <w:p>
                  <w:pPr>
                    <w:jc w:val="center"/>
                  </w:pPr>
                  <w: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11" w:type="dxa"/>
                  <w:vMerge w:val="continue"/>
                  <w:noWrap w:val="0"/>
                  <w:vAlign w:val="center"/>
                </w:tcPr>
                <w:p>
                  <w:pPr>
                    <w:jc w:val="center"/>
                  </w:pPr>
                </w:p>
              </w:tc>
              <w:tc>
                <w:tcPr>
                  <w:tcW w:w="2124" w:type="dxa"/>
                  <w:noWrap w:val="0"/>
                  <w:vAlign w:val="center"/>
                </w:tcPr>
                <w:p>
                  <w:pPr>
                    <w:jc w:val="center"/>
                  </w:pPr>
                  <w:r>
                    <w:t>N6厂界西</w:t>
                  </w:r>
                </w:p>
              </w:tc>
              <w:tc>
                <w:tcPr>
                  <w:tcW w:w="1414" w:type="dxa"/>
                  <w:noWrap w:val="0"/>
                  <w:vAlign w:val="center"/>
                </w:tcPr>
                <w:p>
                  <w:pPr>
                    <w:jc w:val="center"/>
                  </w:pPr>
                  <w:r>
                    <w:t>62</w:t>
                  </w:r>
                </w:p>
              </w:tc>
              <w:tc>
                <w:tcPr>
                  <w:tcW w:w="1292" w:type="dxa"/>
                  <w:noWrap w:val="0"/>
                  <w:vAlign w:val="center"/>
                </w:tcPr>
                <w:p>
                  <w:pPr>
                    <w:jc w:val="center"/>
                  </w:pPr>
                  <w:r>
                    <w:t>47</w:t>
                  </w:r>
                </w:p>
              </w:tc>
              <w:tc>
                <w:tcPr>
                  <w:tcW w:w="1156" w:type="dxa"/>
                  <w:noWrap w:val="0"/>
                  <w:vAlign w:val="center"/>
                </w:tcPr>
                <w:p>
                  <w:pPr>
                    <w:jc w:val="center"/>
                  </w:pPr>
                  <w:r>
                    <w:t>70</w:t>
                  </w:r>
                </w:p>
              </w:tc>
              <w:tc>
                <w:tcPr>
                  <w:tcW w:w="1081" w:type="dxa"/>
                  <w:noWrap w:val="0"/>
                  <w:vAlign w:val="center"/>
                </w:tcPr>
                <w:p>
                  <w:pPr>
                    <w:jc w:val="center"/>
                  </w:pPr>
                  <w:r>
                    <w:t>55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11" w:type="dxa"/>
                  <w:vMerge w:val="continue"/>
                  <w:noWrap w:val="0"/>
                  <w:vAlign w:val="center"/>
                </w:tcPr>
                <w:p>
                  <w:pPr>
                    <w:jc w:val="center"/>
                  </w:pPr>
                </w:p>
              </w:tc>
              <w:tc>
                <w:tcPr>
                  <w:tcW w:w="2124" w:type="dxa"/>
                  <w:noWrap w:val="0"/>
                  <w:vAlign w:val="center"/>
                </w:tcPr>
                <w:p>
                  <w:pPr>
                    <w:jc w:val="center"/>
                  </w:pPr>
                  <w:r>
                    <w:t>N7厂界北</w:t>
                  </w:r>
                </w:p>
              </w:tc>
              <w:tc>
                <w:tcPr>
                  <w:tcW w:w="1414" w:type="dxa"/>
                  <w:noWrap w:val="0"/>
                  <w:vAlign w:val="center"/>
                </w:tcPr>
                <w:p>
                  <w:pPr>
                    <w:jc w:val="center"/>
                  </w:pPr>
                  <w:r>
                    <w:t>57</w:t>
                  </w:r>
                </w:p>
              </w:tc>
              <w:tc>
                <w:tcPr>
                  <w:tcW w:w="1292" w:type="dxa"/>
                  <w:noWrap w:val="0"/>
                  <w:vAlign w:val="center"/>
                </w:tcPr>
                <w:p>
                  <w:pPr>
                    <w:jc w:val="center"/>
                  </w:pPr>
                  <w:r>
                    <w:t>46</w:t>
                  </w:r>
                </w:p>
              </w:tc>
              <w:tc>
                <w:tcPr>
                  <w:tcW w:w="1156" w:type="dxa"/>
                  <w:noWrap w:val="0"/>
                  <w:vAlign w:val="center"/>
                </w:tcPr>
                <w:p>
                  <w:pPr>
                    <w:jc w:val="center"/>
                  </w:pPr>
                  <w:r>
                    <w:t>60</w:t>
                  </w:r>
                </w:p>
              </w:tc>
              <w:tc>
                <w:tcPr>
                  <w:tcW w:w="1081" w:type="dxa"/>
                  <w:noWrap w:val="0"/>
                  <w:vAlign w:val="center"/>
                </w:tcPr>
                <w:p>
                  <w:pPr>
                    <w:jc w:val="center"/>
                  </w:pPr>
                  <w: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11" w:type="dxa"/>
                  <w:vMerge w:val="restart"/>
                  <w:noWrap w:val="0"/>
                  <w:vAlign w:val="center"/>
                </w:tcPr>
                <w:p>
                  <w:pPr>
                    <w:jc w:val="center"/>
                  </w:pPr>
                  <w:r>
                    <w:t>5 月 7 日</w:t>
                  </w:r>
                </w:p>
              </w:tc>
              <w:tc>
                <w:tcPr>
                  <w:tcW w:w="2124" w:type="dxa"/>
                  <w:noWrap w:val="0"/>
                  <w:vAlign w:val="center"/>
                </w:tcPr>
                <w:p>
                  <w:pPr>
                    <w:jc w:val="center"/>
                  </w:pPr>
                  <w:r>
                    <w:t>N1项目北侧居民点</w:t>
                  </w:r>
                </w:p>
              </w:tc>
              <w:tc>
                <w:tcPr>
                  <w:tcW w:w="1414" w:type="dxa"/>
                  <w:noWrap w:val="0"/>
                  <w:vAlign w:val="center"/>
                </w:tcPr>
                <w:p>
                  <w:pPr>
                    <w:jc w:val="center"/>
                  </w:pPr>
                  <w:r>
                    <w:t>57</w:t>
                  </w:r>
                </w:p>
              </w:tc>
              <w:tc>
                <w:tcPr>
                  <w:tcW w:w="1292" w:type="dxa"/>
                  <w:noWrap w:val="0"/>
                  <w:vAlign w:val="center"/>
                </w:tcPr>
                <w:p>
                  <w:pPr>
                    <w:jc w:val="center"/>
                  </w:pPr>
                  <w:r>
                    <w:t>46</w:t>
                  </w:r>
                </w:p>
              </w:tc>
              <w:tc>
                <w:tcPr>
                  <w:tcW w:w="1156" w:type="dxa"/>
                  <w:noWrap w:val="0"/>
                  <w:vAlign w:val="center"/>
                </w:tcPr>
                <w:p>
                  <w:pPr>
                    <w:jc w:val="center"/>
                  </w:pPr>
                  <w:r>
                    <w:t>60</w:t>
                  </w:r>
                </w:p>
              </w:tc>
              <w:tc>
                <w:tcPr>
                  <w:tcW w:w="1081" w:type="dxa"/>
                  <w:noWrap w:val="0"/>
                  <w:vAlign w:val="center"/>
                </w:tcPr>
                <w:p>
                  <w:pPr>
                    <w:jc w:val="center"/>
                  </w:pPr>
                  <w: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11" w:type="dxa"/>
                  <w:vMerge w:val="continue"/>
                  <w:noWrap w:val="0"/>
                  <w:vAlign w:val="center"/>
                </w:tcPr>
                <w:p>
                  <w:pPr>
                    <w:jc w:val="center"/>
                  </w:pPr>
                </w:p>
              </w:tc>
              <w:tc>
                <w:tcPr>
                  <w:tcW w:w="2124" w:type="dxa"/>
                  <w:noWrap w:val="0"/>
                  <w:vAlign w:val="center"/>
                </w:tcPr>
                <w:p>
                  <w:pPr>
                    <w:jc w:val="center"/>
                  </w:pPr>
                  <w:r>
                    <w:t>N2项目南侧居民点</w:t>
                  </w:r>
                </w:p>
              </w:tc>
              <w:tc>
                <w:tcPr>
                  <w:tcW w:w="1414" w:type="dxa"/>
                  <w:noWrap w:val="0"/>
                  <w:vAlign w:val="center"/>
                </w:tcPr>
                <w:p>
                  <w:pPr>
                    <w:jc w:val="center"/>
                  </w:pPr>
                  <w:r>
                    <w:t>56</w:t>
                  </w:r>
                </w:p>
              </w:tc>
              <w:tc>
                <w:tcPr>
                  <w:tcW w:w="1292" w:type="dxa"/>
                  <w:noWrap w:val="0"/>
                  <w:vAlign w:val="center"/>
                </w:tcPr>
                <w:p>
                  <w:pPr>
                    <w:jc w:val="center"/>
                  </w:pPr>
                  <w:r>
                    <w:t>46</w:t>
                  </w:r>
                </w:p>
              </w:tc>
              <w:tc>
                <w:tcPr>
                  <w:tcW w:w="1156" w:type="dxa"/>
                  <w:noWrap w:val="0"/>
                  <w:vAlign w:val="center"/>
                </w:tcPr>
                <w:p>
                  <w:pPr>
                    <w:jc w:val="center"/>
                  </w:pPr>
                  <w:r>
                    <w:t>60</w:t>
                  </w:r>
                </w:p>
              </w:tc>
              <w:tc>
                <w:tcPr>
                  <w:tcW w:w="1081" w:type="dxa"/>
                  <w:noWrap w:val="0"/>
                  <w:vAlign w:val="center"/>
                </w:tcPr>
                <w:p>
                  <w:pPr>
                    <w:jc w:val="center"/>
                  </w:pPr>
                  <w: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1011" w:type="dxa"/>
                  <w:vMerge w:val="continue"/>
                  <w:noWrap w:val="0"/>
                  <w:vAlign w:val="center"/>
                </w:tcPr>
                <w:p>
                  <w:pPr>
                    <w:jc w:val="center"/>
                  </w:pPr>
                </w:p>
              </w:tc>
              <w:tc>
                <w:tcPr>
                  <w:tcW w:w="2124" w:type="dxa"/>
                  <w:noWrap w:val="0"/>
                  <w:vAlign w:val="center"/>
                </w:tcPr>
                <w:p>
                  <w:pPr>
                    <w:jc w:val="center"/>
                  </w:pPr>
                  <w:r>
                    <w:t>N3</w:t>
                  </w:r>
                  <w:r>
                    <w:rPr>
                      <w:rFonts w:hint="eastAsia"/>
                      <w:szCs w:val="21"/>
                    </w:rPr>
                    <w:t>知源学校</w:t>
                  </w:r>
                </w:p>
              </w:tc>
              <w:tc>
                <w:tcPr>
                  <w:tcW w:w="1414" w:type="dxa"/>
                  <w:noWrap w:val="0"/>
                  <w:vAlign w:val="center"/>
                </w:tcPr>
                <w:p>
                  <w:pPr>
                    <w:jc w:val="center"/>
                  </w:pPr>
                  <w:r>
                    <w:t>58</w:t>
                  </w:r>
                </w:p>
              </w:tc>
              <w:tc>
                <w:tcPr>
                  <w:tcW w:w="1292" w:type="dxa"/>
                  <w:noWrap w:val="0"/>
                  <w:vAlign w:val="center"/>
                </w:tcPr>
                <w:p>
                  <w:pPr>
                    <w:jc w:val="center"/>
                  </w:pPr>
                  <w:r>
                    <w:t>45</w:t>
                  </w:r>
                </w:p>
              </w:tc>
              <w:tc>
                <w:tcPr>
                  <w:tcW w:w="1156" w:type="dxa"/>
                  <w:noWrap w:val="0"/>
                  <w:vAlign w:val="center"/>
                </w:tcPr>
                <w:p>
                  <w:pPr>
                    <w:jc w:val="center"/>
                  </w:pPr>
                  <w:r>
                    <w:t>60</w:t>
                  </w:r>
                </w:p>
              </w:tc>
              <w:tc>
                <w:tcPr>
                  <w:tcW w:w="1081" w:type="dxa"/>
                  <w:noWrap w:val="0"/>
                  <w:vAlign w:val="center"/>
                </w:tcPr>
                <w:p>
                  <w:pPr>
                    <w:jc w:val="center"/>
                  </w:pPr>
                  <w: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11" w:type="dxa"/>
                  <w:vMerge w:val="continue"/>
                  <w:noWrap w:val="0"/>
                  <w:vAlign w:val="center"/>
                </w:tcPr>
                <w:p>
                  <w:pPr>
                    <w:jc w:val="center"/>
                  </w:pPr>
                </w:p>
              </w:tc>
              <w:tc>
                <w:tcPr>
                  <w:tcW w:w="2124" w:type="dxa"/>
                  <w:noWrap w:val="0"/>
                  <w:vAlign w:val="center"/>
                </w:tcPr>
                <w:p>
                  <w:pPr>
                    <w:jc w:val="center"/>
                  </w:pPr>
                  <w:r>
                    <w:t>N4厂界东</w:t>
                  </w:r>
                </w:p>
              </w:tc>
              <w:tc>
                <w:tcPr>
                  <w:tcW w:w="1414" w:type="dxa"/>
                  <w:noWrap w:val="0"/>
                  <w:vAlign w:val="center"/>
                </w:tcPr>
                <w:p>
                  <w:pPr>
                    <w:jc w:val="center"/>
                  </w:pPr>
                  <w:r>
                    <w:t>55</w:t>
                  </w:r>
                </w:p>
              </w:tc>
              <w:tc>
                <w:tcPr>
                  <w:tcW w:w="1292" w:type="dxa"/>
                  <w:noWrap w:val="0"/>
                  <w:vAlign w:val="center"/>
                </w:tcPr>
                <w:p>
                  <w:pPr>
                    <w:jc w:val="center"/>
                  </w:pPr>
                  <w:r>
                    <w:t>45</w:t>
                  </w:r>
                </w:p>
              </w:tc>
              <w:tc>
                <w:tcPr>
                  <w:tcW w:w="1156" w:type="dxa"/>
                  <w:noWrap w:val="0"/>
                  <w:vAlign w:val="center"/>
                </w:tcPr>
                <w:p>
                  <w:pPr>
                    <w:jc w:val="center"/>
                  </w:pPr>
                  <w:r>
                    <w:t>60</w:t>
                  </w:r>
                </w:p>
              </w:tc>
              <w:tc>
                <w:tcPr>
                  <w:tcW w:w="1081" w:type="dxa"/>
                  <w:noWrap w:val="0"/>
                  <w:vAlign w:val="center"/>
                </w:tcPr>
                <w:p>
                  <w:pPr>
                    <w:jc w:val="center"/>
                  </w:pPr>
                  <w: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11" w:type="dxa"/>
                  <w:vMerge w:val="continue"/>
                  <w:noWrap w:val="0"/>
                  <w:vAlign w:val="center"/>
                </w:tcPr>
                <w:p>
                  <w:pPr>
                    <w:jc w:val="center"/>
                  </w:pPr>
                </w:p>
              </w:tc>
              <w:tc>
                <w:tcPr>
                  <w:tcW w:w="2124" w:type="dxa"/>
                  <w:noWrap w:val="0"/>
                  <w:vAlign w:val="center"/>
                </w:tcPr>
                <w:p>
                  <w:pPr>
                    <w:jc w:val="center"/>
                  </w:pPr>
                  <w:r>
                    <w:t>N5厂界南</w:t>
                  </w:r>
                </w:p>
              </w:tc>
              <w:tc>
                <w:tcPr>
                  <w:tcW w:w="1414" w:type="dxa"/>
                  <w:noWrap w:val="0"/>
                  <w:vAlign w:val="center"/>
                </w:tcPr>
                <w:p>
                  <w:pPr>
                    <w:jc w:val="center"/>
                  </w:pPr>
                  <w:r>
                    <w:t>57</w:t>
                  </w:r>
                </w:p>
              </w:tc>
              <w:tc>
                <w:tcPr>
                  <w:tcW w:w="1292" w:type="dxa"/>
                  <w:noWrap w:val="0"/>
                  <w:vAlign w:val="center"/>
                </w:tcPr>
                <w:p>
                  <w:pPr>
                    <w:jc w:val="center"/>
                  </w:pPr>
                  <w:r>
                    <w:t>46</w:t>
                  </w:r>
                </w:p>
              </w:tc>
              <w:tc>
                <w:tcPr>
                  <w:tcW w:w="1156" w:type="dxa"/>
                  <w:noWrap w:val="0"/>
                  <w:vAlign w:val="center"/>
                </w:tcPr>
                <w:p>
                  <w:pPr>
                    <w:jc w:val="center"/>
                  </w:pPr>
                  <w:r>
                    <w:t>60</w:t>
                  </w:r>
                </w:p>
              </w:tc>
              <w:tc>
                <w:tcPr>
                  <w:tcW w:w="1081" w:type="dxa"/>
                  <w:noWrap w:val="0"/>
                  <w:vAlign w:val="center"/>
                </w:tcPr>
                <w:p>
                  <w:pPr>
                    <w:jc w:val="center"/>
                  </w:pPr>
                  <w: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11" w:type="dxa"/>
                  <w:vMerge w:val="continue"/>
                  <w:noWrap w:val="0"/>
                  <w:vAlign w:val="center"/>
                </w:tcPr>
                <w:p>
                  <w:pPr>
                    <w:jc w:val="center"/>
                  </w:pPr>
                </w:p>
              </w:tc>
              <w:tc>
                <w:tcPr>
                  <w:tcW w:w="2124" w:type="dxa"/>
                  <w:noWrap w:val="0"/>
                  <w:vAlign w:val="center"/>
                </w:tcPr>
                <w:p>
                  <w:pPr>
                    <w:jc w:val="center"/>
                  </w:pPr>
                  <w:r>
                    <w:t>N6厂界西</w:t>
                  </w:r>
                </w:p>
              </w:tc>
              <w:tc>
                <w:tcPr>
                  <w:tcW w:w="1414" w:type="dxa"/>
                  <w:noWrap w:val="0"/>
                  <w:vAlign w:val="center"/>
                </w:tcPr>
                <w:p>
                  <w:pPr>
                    <w:jc w:val="center"/>
                  </w:pPr>
                  <w:r>
                    <w:t>61</w:t>
                  </w:r>
                </w:p>
              </w:tc>
              <w:tc>
                <w:tcPr>
                  <w:tcW w:w="1292" w:type="dxa"/>
                  <w:noWrap w:val="0"/>
                  <w:vAlign w:val="center"/>
                </w:tcPr>
                <w:p>
                  <w:pPr>
                    <w:jc w:val="center"/>
                  </w:pPr>
                  <w:r>
                    <w:t>48</w:t>
                  </w:r>
                </w:p>
              </w:tc>
              <w:tc>
                <w:tcPr>
                  <w:tcW w:w="1156" w:type="dxa"/>
                  <w:noWrap w:val="0"/>
                  <w:vAlign w:val="center"/>
                </w:tcPr>
                <w:p>
                  <w:pPr>
                    <w:jc w:val="center"/>
                  </w:pPr>
                  <w:r>
                    <w:t>70</w:t>
                  </w:r>
                </w:p>
              </w:tc>
              <w:tc>
                <w:tcPr>
                  <w:tcW w:w="1081" w:type="dxa"/>
                  <w:noWrap w:val="0"/>
                  <w:vAlign w:val="center"/>
                </w:tcPr>
                <w:p>
                  <w:pPr>
                    <w:jc w:val="center"/>
                  </w:pPr>
                  <w:r>
                    <w:t>55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11" w:type="dxa"/>
                  <w:vMerge w:val="continue"/>
                  <w:noWrap w:val="0"/>
                  <w:vAlign w:val="center"/>
                </w:tcPr>
                <w:p>
                  <w:pPr>
                    <w:jc w:val="center"/>
                  </w:pPr>
                </w:p>
              </w:tc>
              <w:tc>
                <w:tcPr>
                  <w:tcW w:w="2124" w:type="dxa"/>
                  <w:noWrap w:val="0"/>
                  <w:vAlign w:val="center"/>
                </w:tcPr>
                <w:p>
                  <w:pPr>
                    <w:jc w:val="center"/>
                  </w:pPr>
                  <w:r>
                    <w:t>N7厂界北</w:t>
                  </w:r>
                </w:p>
              </w:tc>
              <w:tc>
                <w:tcPr>
                  <w:tcW w:w="1414" w:type="dxa"/>
                  <w:noWrap w:val="0"/>
                  <w:vAlign w:val="center"/>
                </w:tcPr>
                <w:p>
                  <w:pPr>
                    <w:jc w:val="center"/>
                  </w:pPr>
                  <w:r>
                    <w:t>58</w:t>
                  </w:r>
                </w:p>
              </w:tc>
              <w:tc>
                <w:tcPr>
                  <w:tcW w:w="1292" w:type="dxa"/>
                  <w:noWrap w:val="0"/>
                  <w:vAlign w:val="center"/>
                </w:tcPr>
                <w:p>
                  <w:pPr>
                    <w:jc w:val="center"/>
                  </w:pPr>
                  <w:r>
                    <w:t>46</w:t>
                  </w:r>
                </w:p>
              </w:tc>
              <w:tc>
                <w:tcPr>
                  <w:tcW w:w="1156" w:type="dxa"/>
                  <w:noWrap w:val="0"/>
                  <w:vAlign w:val="center"/>
                </w:tcPr>
                <w:p>
                  <w:pPr>
                    <w:jc w:val="center"/>
                  </w:pPr>
                  <w:r>
                    <w:t>60</w:t>
                  </w:r>
                </w:p>
              </w:tc>
              <w:tc>
                <w:tcPr>
                  <w:tcW w:w="1081" w:type="dxa"/>
                  <w:noWrap w:val="0"/>
                  <w:vAlign w:val="center"/>
                </w:tcPr>
                <w:p>
                  <w:pPr>
                    <w:jc w:val="center"/>
                  </w:pPr>
                  <w: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8078" w:type="dxa"/>
                  <w:gridSpan w:val="6"/>
                  <w:noWrap w:val="0"/>
                  <w:vAlign w:val="top"/>
                </w:tcPr>
                <w:p>
                  <w:r>
                    <w:t>备注：N6厂界西限值参考《声环境质量标准》GB 3096-2008 中4a类标准，其余点位限值均参考《声环境质量标准》GB 3096-2008 中2类标准。</w:t>
                  </w:r>
                </w:p>
              </w:tc>
            </w:tr>
          </w:tbl>
          <w:p>
            <w:pPr>
              <w:spacing w:line="240" w:lineRule="auto"/>
              <w:ind w:firstLine="480" w:firstLineChars="200"/>
              <w:rPr>
                <w:sz w:val="24"/>
              </w:rPr>
            </w:pPr>
          </w:p>
          <w:p>
            <w:pPr>
              <w:spacing w:line="360" w:lineRule="auto"/>
              <w:ind w:firstLine="480" w:firstLineChars="200"/>
              <w:rPr>
                <w:sz w:val="24"/>
              </w:rPr>
            </w:pPr>
            <w:r>
              <w:rPr>
                <w:sz w:val="24"/>
              </w:rPr>
              <w:t>从现状监测数据可知，项目N4厂界东</w:t>
            </w:r>
            <w:r>
              <w:rPr>
                <w:rFonts w:hint="eastAsia"/>
                <w:sz w:val="24"/>
              </w:rPr>
              <w:t>、</w:t>
            </w:r>
            <w:r>
              <w:rPr>
                <w:sz w:val="24"/>
              </w:rPr>
              <w:t>N5厂界南</w:t>
            </w:r>
            <w:r>
              <w:rPr>
                <w:rFonts w:hint="eastAsia"/>
                <w:sz w:val="24"/>
              </w:rPr>
              <w:t>、</w:t>
            </w:r>
            <w:r>
              <w:rPr>
                <w:sz w:val="24"/>
              </w:rPr>
              <w:t>N7厂界北</w:t>
            </w:r>
            <w:r>
              <w:rPr>
                <w:rFonts w:hint="eastAsia"/>
                <w:sz w:val="24"/>
              </w:rPr>
              <w:t>噪声</w:t>
            </w:r>
            <w:r>
              <w:rPr>
                <w:sz w:val="24"/>
              </w:rPr>
              <w:t>环境质量达到了《声环境质量标准》(GB3096-2008)中的</w:t>
            </w:r>
            <w:r>
              <w:rPr>
                <w:rFonts w:hint="eastAsia"/>
                <w:sz w:val="24"/>
              </w:rPr>
              <w:t>2</w:t>
            </w:r>
            <w:r>
              <w:rPr>
                <w:sz w:val="24"/>
              </w:rPr>
              <w:t>类标准</w:t>
            </w:r>
            <w:r>
              <w:rPr>
                <w:rFonts w:hint="eastAsia"/>
                <w:sz w:val="24"/>
              </w:rPr>
              <w:t>，临芙蓉北路一侧</w:t>
            </w:r>
            <w:r>
              <w:rPr>
                <w:sz w:val="24"/>
              </w:rPr>
              <w:t>N6厂界西达到了《声环境质量标准》(GB3096-2008)中的</w:t>
            </w:r>
            <w:r>
              <w:rPr>
                <w:rFonts w:hint="eastAsia"/>
                <w:sz w:val="24"/>
              </w:rPr>
              <w:t>4a</w:t>
            </w:r>
            <w:r>
              <w:rPr>
                <w:sz w:val="24"/>
              </w:rPr>
              <w:t>类标准。</w:t>
            </w:r>
            <w:r>
              <w:rPr>
                <w:rFonts w:hint="eastAsia"/>
                <w:sz w:val="24"/>
              </w:rPr>
              <w:t>项目地环境保护目标：项目北侧居民点、南侧居民点和</w:t>
            </w:r>
            <w:r>
              <w:rPr>
                <w:rFonts w:hint="eastAsia"/>
                <w:sz w:val="24"/>
                <w:lang w:val="en-US" w:eastAsia="zh-CN"/>
              </w:rPr>
              <w:t>知</w:t>
            </w:r>
            <w:r>
              <w:rPr>
                <w:rFonts w:hint="eastAsia"/>
                <w:sz w:val="24"/>
              </w:rPr>
              <w:t>源小学昼间</w:t>
            </w:r>
            <w:r>
              <w:rPr>
                <w:sz w:val="24"/>
              </w:rPr>
              <w:t>噪声为</w:t>
            </w:r>
            <w:r>
              <w:rPr>
                <w:rFonts w:hint="eastAsia"/>
                <w:sz w:val="24"/>
              </w:rPr>
              <w:t>56~58</w:t>
            </w:r>
            <w:r>
              <w:rPr>
                <w:sz w:val="24"/>
              </w:rPr>
              <w:t>dB(A)</w:t>
            </w:r>
            <w:r>
              <w:rPr>
                <w:rFonts w:hint="eastAsia"/>
                <w:sz w:val="24"/>
              </w:rPr>
              <w:t>、夜间</w:t>
            </w:r>
            <w:r>
              <w:rPr>
                <w:sz w:val="24"/>
              </w:rPr>
              <w:t>噪声为</w:t>
            </w:r>
            <w:r>
              <w:rPr>
                <w:rFonts w:hint="eastAsia"/>
                <w:sz w:val="24"/>
              </w:rPr>
              <w:t>45~46</w:t>
            </w:r>
            <w:r>
              <w:rPr>
                <w:sz w:val="24"/>
              </w:rPr>
              <w:t>dB(A)</w:t>
            </w:r>
            <w:r>
              <w:rPr>
                <w:rFonts w:hint="eastAsia"/>
                <w:sz w:val="24"/>
              </w:rPr>
              <w:t>，均</w:t>
            </w:r>
            <w:r>
              <w:rPr>
                <w:sz w:val="24"/>
              </w:rPr>
              <w:t>符合《</w:t>
            </w:r>
            <w:r>
              <w:rPr>
                <w:rFonts w:hint="eastAsia"/>
                <w:sz w:val="24"/>
              </w:rPr>
              <w:t>声</w:t>
            </w:r>
            <w:r>
              <w:rPr>
                <w:sz w:val="24"/>
              </w:rPr>
              <w:t>环境</w:t>
            </w:r>
            <w:r>
              <w:rPr>
                <w:rFonts w:hint="eastAsia"/>
                <w:sz w:val="24"/>
              </w:rPr>
              <w:t>质量</w:t>
            </w:r>
            <w:r>
              <w:rPr>
                <w:sz w:val="24"/>
              </w:rPr>
              <w:t>标准》</w:t>
            </w:r>
            <w:r>
              <w:rPr>
                <w:rFonts w:hint="eastAsia"/>
                <w:sz w:val="24"/>
              </w:rPr>
              <w:t>（</w:t>
            </w:r>
            <w:r>
              <w:rPr>
                <w:sz w:val="24"/>
              </w:rPr>
              <w:t>GB3096-</w:t>
            </w:r>
            <w:r>
              <w:rPr>
                <w:rFonts w:hint="eastAsia"/>
                <w:sz w:val="24"/>
              </w:rPr>
              <w:t>2008）中2</w:t>
            </w:r>
            <w:r>
              <w:rPr>
                <w:sz w:val="24"/>
              </w:rPr>
              <w:t>类标准</w:t>
            </w:r>
            <w:r>
              <w:rPr>
                <w:rFonts w:hint="eastAsia"/>
                <w:sz w:val="24"/>
              </w:rPr>
              <w:t>要求</w:t>
            </w:r>
            <w:r>
              <w:rPr>
                <w:sz w:val="24"/>
              </w:rPr>
              <w:t>。</w:t>
            </w:r>
          </w:p>
          <w:p>
            <w:pPr>
              <w:spacing w:line="360" w:lineRule="auto"/>
              <w:ind w:firstLine="480" w:firstLineChars="200"/>
              <w:rPr>
                <w:sz w:val="24"/>
              </w:rPr>
            </w:pPr>
            <w:r>
              <w:rPr>
                <w:rFonts w:hint="eastAsia"/>
                <w:sz w:val="24"/>
              </w:rPr>
              <w:t>（</w:t>
            </w:r>
            <w:r>
              <w:rPr>
                <w:rFonts w:hint="eastAsia"/>
                <w:sz w:val="24"/>
                <w:lang w:val="en-US" w:eastAsia="zh-CN"/>
              </w:rPr>
              <w:t>4</w:t>
            </w:r>
            <w:r>
              <w:rPr>
                <w:rFonts w:hint="eastAsia"/>
                <w:sz w:val="24"/>
              </w:rPr>
              <w:t>）生态现状</w:t>
            </w:r>
          </w:p>
          <w:p>
            <w:pPr>
              <w:adjustRightInd w:val="0"/>
              <w:snapToGrid w:val="0"/>
              <w:spacing w:line="360" w:lineRule="auto"/>
              <w:ind w:firstLine="480" w:firstLineChars="200"/>
              <w:jc w:val="left"/>
              <w:rPr>
                <w:rFonts w:ascii="宋体" w:hAnsi="宋体" w:cs="宋体"/>
                <w:kern w:val="0"/>
                <w:szCs w:val="21"/>
              </w:rPr>
            </w:pPr>
            <w:r>
              <w:rPr>
                <w:rFonts w:hint="eastAsia"/>
                <w:sz w:val="24"/>
              </w:rPr>
              <w:t>本项目建设地点为</w:t>
            </w:r>
            <w:r>
              <w:rPr>
                <w:sz w:val="24"/>
              </w:rPr>
              <w:t>湘阴县洋沙</w:t>
            </w:r>
            <w:r>
              <w:rPr>
                <w:rFonts w:hint="eastAsia"/>
                <w:sz w:val="24"/>
              </w:rPr>
              <w:t>湖镇（原袁家铺镇）洋沙湖村（原友爱村），评价区域内以人工环境为主，区内无重要建构筑物，也无重要的自然保护区、旅游景点或地质遗迹；评价项目周围无特殊文物保护单位等环境敏感点；无探明的矿床和珍贵的野生</w:t>
            </w:r>
            <w:r>
              <w:rPr>
                <w:rFonts w:hint="eastAsia"/>
                <w:sz w:val="24"/>
                <w:lang w:eastAsia="zh-CN"/>
              </w:rPr>
              <w:t>动植物</w:t>
            </w:r>
            <w:r>
              <w:rPr>
                <w:rFonts w:hint="eastAsia"/>
                <w:sz w:val="24"/>
              </w:rPr>
              <w:t>资源，无国家和地区指定的重点文物单位和名胜古迹。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3" w:hRule="atLeast"/>
          <w:jc w:val="center"/>
        </w:trPr>
        <w:tc>
          <w:tcPr>
            <w:tcW w:w="626" w:type="dxa"/>
            <w:noWrap w:val="0"/>
            <w:vAlign w:val="center"/>
          </w:tcPr>
          <w:p>
            <w:pPr>
              <w:adjustRightInd w:val="0"/>
              <w:snapToGrid w:val="0"/>
              <w:jc w:val="center"/>
              <w:rPr>
                <w:rFonts w:hint="eastAsia" w:ascii="宋体" w:hAnsi="宋体" w:cs="宋体"/>
                <w:kern w:val="0"/>
                <w:szCs w:val="21"/>
              </w:rPr>
            </w:pPr>
            <w:r>
              <w:rPr>
                <w:rFonts w:hint="eastAsia" w:ascii="宋体" w:hAnsi="宋体" w:cs="宋体"/>
                <w:kern w:val="0"/>
                <w:szCs w:val="21"/>
              </w:rPr>
              <w:t>环境</w:t>
            </w:r>
          </w:p>
          <w:p>
            <w:pPr>
              <w:adjustRightInd w:val="0"/>
              <w:snapToGrid w:val="0"/>
              <w:jc w:val="center"/>
              <w:rPr>
                <w:rFonts w:hint="eastAsia" w:ascii="宋体" w:hAnsi="宋体" w:cs="宋体"/>
                <w:kern w:val="0"/>
                <w:szCs w:val="21"/>
              </w:rPr>
            </w:pPr>
            <w:r>
              <w:rPr>
                <w:rFonts w:hint="eastAsia" w:ascii="宋体" w:hAnsi="宋体" w:cs="宋体"/>
                <w:kern w:val="0"/>
                <w:szCs w:val="21"/>
              </w:rPr>
              <w:t>保护</w:t>
            </w:r>
          </w:p>
          <w:p>
            <w:pPr>
              <w:adjustRightInd w:val="0"/>
              <w:snapToGrid w:val="0"/>
              <w:jc w:val="center"/>
              <w:rPr>
                <w:rFonts w:hint="eastAsia" w:ascii="宋体" w:hAnsi="宋体" w:cs="宋体"/>
                <w:kern w:val="0"/>
                <w:szCs w:val="21"/>
              </w:rPr>
            </w:pPr>
            <w:r>
              <w:rPr>
                <w:rFonts w:hint="eastAsia" w:ascii="宋体" w:hAnsi="宋体" w:cs="宋体"/>
                <w:kern w:val="0"/>
                <w:szCs w:val="21"/>
              </w:rPr>
              <w:t>目标</w:t>
            </w:r>
          </w:p>
        </w:tc>
        <w:tc>
          <w:tcPr>
            <w:tcW w:w="8364" w:type="dxa"/>
            <w:noWrap w:val="0"/>
            <w:vAlign w:val="center"/>
          </w:tcPr>
          <w:p>
            <w:pPr>
              <w:rPr>
                <w:rFonts w:hint="eastAsia" w:ascii="Times New Roman" w:hAnsi="Times New Roman" w:eastAsia="宋体" w:cs="Times New Roman"/>
                <w:b w:val="0"/>
                <w:kern w:val="0"/>
                <w:sz w:val="24"/>
                <w:szCs w:val="24"/>
              </w:rPr>
            </w:pPr>
            <w:bookmarkStart w:id="8" w:name="OLE_LINK27"/>
            <w:r>
              <w:rPr>
                <w:rFonts w:hint="eastAsia" w:ascii="Times New Roman" w:hAnsi="Times New Roman" w:eastAsia="宋体" w:cs="Times New Roman"/>
                <w:kern w:val="0"/>
                <w:sz w:val="24"/>
                <w:szCs w:val="24"/>
              </w:rPr>
              <w:t>本项目周围环境保护目标见下表。</w:t>
            </w:r>
          </w:p>
          <w:p>
            <w:pPr>
              <w:jc w:val="center"/>
              <w:rPr>
                <w:rFonts w:hint="eastAsia"/>
                <w:b/>
                <w:szCs w:val="21"/>
              </w:rPr>
            </w:pPr>
            <w:r>
              <w:rPr>
                <w:rFonts w:hint="eastAsia"/>
                <w:b/>
                <w:szCs w:val="21"/>
              </w:rPr>
              <w:t>表3-</w:t>
            </w:r>
            <w:r>
              <w:rPr>
                <w:rFonts w:hint="eastAsia"/>
                <w:b/>
                <w:szCs w:val="21"/>
                <w:lang w:val="en-US" w:eastAsia="zh-CN"/>
              </w:rPr>
              <w:t>5</w:t>
            </w:r>
            <w:r>
              <w:rPr>
                <w:rFonts w:hint="eastAsia"/>
                <w:b/>
                <w:szCs w:val="21"/>
              </w:rPr>
              <w:t xml:space="preserve">  大气环境保护目标一览表</w:t>
            </w:r>
          </w:p>
          <w:tbl>
            <w:tblPr>
              <w:tblStyle w:val="2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4" w:type="dxa"/>
                <w:bottom w:w="0" w:type="dxa"/>
                <w:right w:w="14" w:type="dxa"/>
              </w:tblCellMar>
            </w:tblPr>
            <w:tblGrid>
              <w:gridCol w:w="881"/>
              <w:gridCol w:w="921"/>
              <w:gridCol w:w="1026"/>
              <w:gridCol w:w="567"/>
              <w:gridCol w:w="1047"/>
              <w:gridCol w:w="1698"/>
              <w:gridCol w:w="713"/>
              <w:gridCol w:w="12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4" w:type="dxa"/>
                  <w:bottom w:w="0" w:type="dxa"/>
                  <w:right w:w="14" w:type="dxa"/>
                </w:tblCellMar>
              </w:tblPrEx>
              <w:trPr>
                <w:trHeight w:val="531" w:hRule="atLeast"/>
                <w:tblHeader/>
              </w:trPr>
              <w:tc>
                <w:tcPr>
                  <w:tcW w:w="881" w:type="dxa"/>
                  <w:vMerge w:val="restart"/>
                  <w:noWrap w:val="0"/>
                  <w:vAlign w:val="center"/>
                </w:tcPr>
                <w:p>
                  <w:pPr>
                    <w:jc w:val="center"/>
                    <w:rPr>
                      <w:b/>
                      <w:bCs/>
                      <w:szCs w:val="21"/>
                    </w:rPr>
                  </w:pPr>
                  <w:r>
                    <w:rPr>
                      <w:b/>
                      <w:bCs/>
                      <w:szCs w:val="21"/>
                    </w:rPr>
                    <w:t>名称</w:t>
                  </w:r>
                </w:p>
              </w:tc>
              <w:tc>
                <w:tcPr>
                  <w:tcW w:w="1947" w:type="dxa"/>
                  <w:gridSpan w:val="2"/>
                  <w:noWrap w:val="0"/>
                  <w:vAlign w:val="center"/>
                </w:tcPr>
                <w:p>
                  <w:pPr>
                    <w:jc w:val="center"/>
                    <w:rPr>
                      <w:b/>
                      <w:bCs/>
                      <w:szCs w:val="21"/>
                    </w:rPr>
                  </w:pPr>
                  <w:r>
                    <w:rPr>
                      <w:rFonts w:hint="eastAsia"/>
                      <w:b/>
                      <w:bCs/>
                      <w:szCs w:val="21"/>
                    </w:rPr>
                    <w:t>坐标</w:t>
                  </w:r>
                </w:p>
              </w:tc>
              <w:tc>
                <w:tcPr>
                  <w:tcW w:w="567" w:type="dxa"/>
                  <w:vMerge w:val="restart"/>
                  <w:noWrap w:val="0"/>
                  <w:vAlign w:val="center"/>
                </w:tcPr>
                <w:p>
                  <w:pPr>
                    <w:jc w:val="center"/>
                    <w:rPr>
                      <w:b/>
                      <w:bCs/>
                      <w:szCs w:val="21"/>
                    </w:rPr>
                  </w:pPr>
                  <w:r>
                    <w:rPr>
                      <w:rFonts w:hint="eastAsia"/>
                      <w:b/>
                      <w:bCs/>
                      <w:szCs w:val="21"/>
                    </w:rPr>
                    <w:t>保护对象</w:t>
                  </w:r>
                </w:p>
              </w:tc>
              <w:tc>
                <w:tcPr>
                  <w:tcW w:w="1047" w:type="dxa"/>
                  <w:vMerge w:val="restart"/>
                  <w:noWrap w:val="0"/>
                  <w:vAlign w:val="center"/>
                </w:tcPr>
                <w:p>
                  <w:pPr>
                    <w:jc w:val="center"/>
                    <w:rPr>
                      <w:b/>
                      <w:bCs/>
                      <w:szCs w:val="21"/>
                    </w:rPr>
                  </w:pPr>
                  <w:r>
                    <w:rPr>
                      <w:rFonts w:hint="eastAsia"/>
                      <w:b/>
                      <w:bCs/>
                      <w:szCs w:val="21"/>
                    </w:rPr>
                    <w:t>保护内容</w:t>
                  </w:r>
                </w:p>
              </w:tc>
              <w:tc>
                <w:tcPr>
                  <w:tcW w:w="1698" w:type="dxa"/>
                  <w:vMerge w:val="restart"/>
                  <w:noWrap w:val="0"/>
                  <w:vAlign w:val="center"/>
                </w:tcPr>
                <w:p>
                  <w:pPr>
                    <w:jc w:val="center"/>
                    <w:rPr>
                      <w:b/>
                      <w:bCs/>
                      <w:szCs w:val="21"/>
                    </w:rPr>
                  </w:pPr>
                  <w:r>
                    <w:rPr>
                      <w:rFonts w:hint="eastAsia"/>
                      <w:b/>
                      <w:bCs/>
                      <w:szCs w:val="21"/>
                    </w:rPr>
                    <w:t>环境功能区</w:t>
                  </w:r>
                </w:p>
              </w:tc>
              <w:tc>
                <w:tcPr>
                  <w:tcW w:w="713" w:type="dxa"/>
                  <w:vMerge w:val="restart"/>
                  <w:noWrap w:val="0"/>
                  <w:vAlign w:val="center"/>
                </w:tcPr>
                <w:p>
                  <w:pPr>
                    <w:jc w:val="center"/>
                    <w:rPr>
                      <w:b/>
                      <w:bCs/>
                      <w:szCs w:val="21"/>
                    </w:rPr>
                  </w:pPr>
                  <w:r>
                    <w:rPr>
                      <w:rFonts w:hint="eastAsia"/>
                      <w:b/>
                      <w:bCs/>
                      <w:szCs w:val="21"/>
                    </w:rPr>
                    <w:t>相对厂址方位</w:t>
                  </w:r>
                </w:p>
              </w:tc>
              <w:tc>
                <w:tcPr>
                  <w:tcW w:w="1298" w:type="dxa"/>
                  <w:vMerge w:val="restart"/>
                  <w:noWrap w:val="0"/>
                  <w:vAlign w:val="center"/>
                </w:tcPr>
                <w:p>
                  <w:pPr>
                    <w:jc w:val="center"/>
                    <w:rPr>
                      <w:b/>
                      <w:bCs/>
                      <w:szCs w:val="21"/>
                    </w:rPr>
                  </w:pPr>
                  <w:r>
                    <w:rPr>
                      <w:rFonts w:hint="eastAsia"/>
                      <w:b/>
                      <w:bCs/>
                      <w:szCs w:val="21"/>
                    </w:rPr>
                    <w:t>相对厂址距离（m）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4" w:type="dxa"/>
                  <w:bottom w:w="0" w:type="dxa"/>
                  <w:right w:w="14" w:type="dxa"/>
                </w:tblCellMar>
              </w:tblPrEx>
              <w:trPr>
                <w:trHeight w:val="247" w:hRule="atLeast"/>
                <w:tblHeader/>
              </w:trPr>
              <w:tc>
                <w:tcPr>
                  <w:tcW w:w="881" w:type="dxa"/>
                  <w:vMerge w:val="continue"/>
                  <w:noWrap w:val="0"/>
                  <w:vAlign w:val="center"/>
                </w:tcPr>
                <w:p>
                  <w:pPr>
                    <w:jc w:val="center"/>
                    <w:rPr>
                      <w:color w:val="FF0000"/>
                      <w:szCs w:val="21"/>
                    </w:rPr>
                  </w:pPr>
                </w:p>
              </w:tc>
              <w:tc>
                <w:tcPr>
                  <w:tcW w:w="921" w:type="dxa"/>
                  <w:noWrap w:val="0"/>
                  <w:vAlign w:val="center"/>
                </w:tcPr>
                <w:p>
                  <w:pPr>
                    <w:jc w:val="center"/>
                    <w:rPr>
                      <w:b/>
                      <w:bCs/>
                      <w:szCs w:val="21"/>
                    </w:rPr>
                  </w:pPr>
                  <w:r>
                    <w:rPr>
                      <w:rFonts w:hint="eastAsia"/>
                      <w:b/>
                      <w:bCs/>
                      <w:szCs w:val="21"/>
                    </w:rPr>
                    <w:t>X</w:t>
                  </w:r>
                </w:p>
              </w:tc>
              <w:tc>
                <w:tcPr>
                  <w:tcW w:w="1026" w:type="dxa"/>
                  <w:noWrap w:val="0"/>
                  <w:vAlign w:val="center"/>
                </w:tcPr>
                <w:p>
                  <w:pPr>
                    <w:jc w:val="center"/>
                    <w:rPr>
                      <w:b/>
                      <w:bCs/>
                      <w:szCs w:val="21"/>
                    </w:rPr>
                  </w:pPr>
                  <w:r>
                    <w:rPr>
                      <w:rFonts w:hint="eastAsia"/>
                      <w:b/>
                      <w:bCs/>
                      <w:szCs w:val="21"/>
                    </w:rPr>
                    <w:t>Y</w:t>
                  </w:r>
                </w:p>
              </w:tc>
              <w:tc>
                <w:tcPr>
                  <w:tcW w:w="567" w:type="dxa"/>
                  <w:vMerge w:val="continue"/>
                  <w:noWrap w:val="0"/>
                  <w:vAlign w:val="center"/>
                </w:tcPr>
                <w:p>
                  <w:pPr>
                    <w:jc w:val="center"/>
                    <w:rPr>
                      <w:color w:val="FF0000"/>
                      <w:szCs w:val="21"/>
                    </w:rPr>
                  </w:pPr>
                </w:p>
              </w:tc>
              <w:tc>
                <w:tcPr>
                  <w:tcW w:w="1047" w:type="dxa"/>
                  <w:vMerge w:val="continue"/>
                  <w:noWrap w:val="0"/>
                  <w:vAlign w:val="center"/>
                </w:tcPr>
                <w:p>
                  <w:pPr>
                    <w:jc w:val="center"/>
                    <w:rPr>
                      <w:color w:val="FF0000"/>
                      <w:szCs w:val="21"/>
                    </w:rPr>
                  </w:pPr>
                </w:p>
              </w:tc>
              <w:tc>
                <w:tcPr>
                  <w:tcW w:w="1698" w:type="dxa"/>
                  <w:vMerge w:val="continue"/>
                  <w:noWrap w:val="0"/>
                  <w:vAlign w:val="center"/>
                </w:tcPr>
                <w:p>
                  <w:pPr>
                    <w:jc w:val="center"/>
                    <w:rPr>
                      <w:color w:val="FF0000"/>
                      <w:szCs w:val="21"/>
                    </w:rPr>
                  </w:pPr>
                </w:p>
              </w:tc>
              <w:tc>
                <w:tcPr>
                  <w:tcW w:w="713" w:type="dxa"/>
                  <w:vMerge w:val="continue"/>
                  <w:noWrap w:val="0"/>
                  <w:vAlign w:val="center"/>
                </w:tcPr>
                <w:p>
                  <w:pPr>
                    <w:jc w:val="center"/>
                    <w:rPr>
                      <w:color w:val="FF0000"/>
                      <w:szCs w:val="21"/>
                    </w:rPr>
                  </w:pPr>
                </w:p>
              </w:tc>
              <w:tc>
                <w:tcPr>
                  <w:tcW w:w="1298" w:type="dxa"/>
                  <w:vMerge w:val="continue"/>
                  <w:noWrap w:val="0"/>
                  <w:vAlign w:val="center"/>
                </w:tcPr>
                <w:p>
                  <w:pPr>
                    <w:jc w:val="center"/>
                    <w:rPr>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4" w:type="dxa"/>
                  <w:bottom w:w="0" w:type="dxa"/>
                  <w:right w:w="14" w:type="dxa"/>
                </w:tblCellMar>
              </w:tblPrEx>
              <w:trPr>
                <w:trHeight w:val="247" w:hRule="atLeast"/>
                <w:tblHeader/>
              </w:trPr>
              <w:tc>
                <w:tcPr>
                  <w:tcW w:w="881" w:type="dxa"/>
                  <w:noWrap w:val="0"/>
                  <w:vAlign w:val="center"/>
                </w:tcPr>
                <w:p>
                  <w:pPr>
                    <w:jc w:val="center"/>
                    <w:rPr>
                      <w:color w:val="FF0000"/>
                      <w:szCs w:val="21"/>
                    </w:rPr>
                  </w:pPr>
                  <w:r>
                    <w:rPr>
                      <w:rFonts w:hint="eastAsia"/>
                      <w:szCs w:val="21"/>
                    </w:rPr>
                    <w:t>湘阴县知源学校</w:t>
                  </w:r>
                </w:p>
              </w:tc>
              <w:tc>
                <w:tcPr>
                  <w:tcW w:w="921" w:type="dxa"/>
                  <w:noWrap w:val="0"/>
                  <w:vAlign w:val="center"/>
                </w:tcPr>
                <w:p>
                  <w:pPr>
                    <w:pStyle w:val="58"/>
                    <w:rPr>
                      <w:szCs w:val="21"/>
                    </w:rPr>
                  </w:pPr>
                  <w:r>
                    <w:rPr>
                      <w:szCs w:val="21"/>
                    </w:rPr>
                    <w:t>687227.29</w:t>
                  </w:r>
                </w:p>
              </w:tc>
              <w:tc>
                <w:tcPr>
                  <w:tcW w:w="1026" w:type="dxa"/>
                  <w:noWrap w:val="0"/>
                  <w:vAlign w:val="center"/>
                </w:tcPr>
                <w:p>
                  <w:pPr>
                    <w:pStyle w:val="58"/>
                    <w:rPr>
                      <w:rFonts w:hint="eastAsia"/>
                      <w:szCs w:val="21"/>
                    </w:rPr>
                  </w:pPr>
                  <w:r>
                    <w:rPr>
                      <w:szCs w:val="21"/>
                    </w:rPr>
                    <w:t>3171727.35</w:t>
                  </w:r>
                </w:p>
              </w:tc>
              <w:tc>
                <w:tcPr>
                  <w:tcW w:w="567" w:type="dxa"/>
                  <w:noWrap w:val="0"/>
                  <w:vAlign w:val="center"/>
                </w:tcPr>
                <w:p>
                  <w:pPr>
                    <w:pStyle w:val="58"/>
                    <w:rPr>
                      <w:rFonts w:hint="eastAsia"/>
                      <w:szCs w:val="21"/>
                    </w:rPr>
                  </w:pPr>
                  <w:r>
                    <w:rPr>
                      <w:rFonts w:hint="eastAsia"/>
                      <w:szCs w:val="21"/>
                    </w:rPr>
                    <w:t>学校</w:t>
                  </w:r>
                </w:p>
              </w:tc>
              <w:tc>
                <w:tcPr>
                  <w:tcW w:w="1047" w:type="dxa"/>
                  <w:noWrap w:val="0"/>
                  <w:vAlign w:val="center"/>
                </w:tcPr>
                <w:p>
                  <w:pPr>
                    <w:jc w:val="center"/>
                    <w:rPr>
                      <w:color w:val="FF0000"/>
                      <w:szCs w:val="21"/>
                    </w:rPr>
                  </w:pPr>
                  <w:r>
                    <w:rPr>
                      <w:rFonts w:hint="eastAsia"/>
                      <w:szCs w:val="21"/>
                    </w:rPr>
                    <w:t>师生约5518人</w:t>
                  </w:r>
                </w:p>
              </w:tc>
              <w:tc>
                <w:tcPr>
                  <w:tcW w:w="1698" w:type="dxa"/>
                  <w:vMerge w:val="restart"/>
                  <w:noWrap w:val="0"/>
                  <w:vAlign w:val="center"/>
                </w:tcPr>
                <w:p>
                  <w:pPr>
                    <w:jc w:val="center"/>
                    <w:rPr>
                      <w:szCs w:val="21"/>
                    </w:rPr>
                  </w:pPr>
                  <w:r>
                    <w:rPr>
                      <w:rFonts w:hint="eastAsia"/>
                      <w:szCs w:val="21"/>
                    </w:rPr>
                    <w:t>二类区，执行</w:t>
                  </w:r>
                  <w:r>
                    <w:rPr>
                      <w:szCs w:val="21"/>
                    </w:rPr>
                    <w:t>《环境空气质量标准》</w:t>
                  </w:r>
                </w:p>
                <w:p>
                  <w:pPr>
                    <w:jc w:val="center"/>
                    <w:rPr>
                      <w:color w:val="FF0000"/>
                      <w:szCs w:val="21"/>
                    </w:rPr>
                  </w:pPr>
                  <w:r>
                    <w:rPr>
                      <w:szCs w:val="21"/>
                    </w:rPr>
                    <w:t>（GB3095-</w:t>
                  </w:r>
                  <w:r>
                    <w:rPr>
                      <w:rFonts w:hint="eastAsia"/>
                      <w:szCs w:val="21"/>
                    </w:rPr>
                    <w:t>2012</w:t>
                  </w:r>
                  <w:r>
                    <w:rPr>
                      <w:szCs w:val="21"/>
                    </w:rPr>
                    <w:t>）二级标准及其修改单</w:t>
                  </w:r>
                </w:p>
              </w:tc>
              <w:tc>
                <w:tcPr>
                  <w:tcW w:w="713" w:type="dxa"/>
                  <w:noWrap w:val="0"/>
                  <w:vAlign w:val="center"/>
                </w:tcPr>
                <w:p>
                  <w:pPr>
                    <w:jc w:val="center"/>
                    <w:rPr>
                      <w:rFonts w:hint="eastAsia"/>
                      <w:color w:val="FF0000"/>
                      <w:szCs w:val="21"/>
                    </w:rPr>
                  </w:pPr>
                  <w:r>
                    <w:rPr>
                      <w:rFonts w:hint="eastAsia"/>
                      <w:szCs w:val="21"/>
                    </w:rPr>
                    <w:t>南侧</w:t>
                  </w:r>
                </w:p>
              </w:tc>
              <w:tc>
                <w:tcPr>
                  <w:tcW w:w="1298" w:type="dxa"/>
                  <w:noWrap w:val="0"/>
                  <w:vAlign w:val="center"/>
                </w:tcPr>
                <w:p>
                  <w:pPr>
                    <w:jc w:val="center"/>
                    <w:rPr>
                      <w:rFonts w:hint="default" w:eastAsia="宋体"/>
                      <w:color w:val="FF0000"/>
                      <w:szCs w:val="21"/>
                      <w:lang w:val="en-US" w:eastAsia="zh-CN"/>
                    </w:rPr>
                  </w:pPr>
                  <w:r>
                    <w:rPr>
                      <w:rFonts w:hint="eastAsia"/>
                      <w:b w:val="0"/>
                      <w:bCs w:val="0"/>
                      <w:color w:val="auto"/>
                      <w:szCs w:val="21"/>
                      <w:lang w:val="en-US" w:eastAsia="zh-CN"/>
                    </w:rPr>
                    <w:t>241m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4" w:type="dxa"/>
                  <w:bottom w:w="0" w:type="dxa"/>
                  <w:right w:w="14" w:type="dxa"/>
                </w:tblCellMar>
              </w:tblPrEx>
              <w:trPr>
                <w:trHeight w:val="247" w:hRule="atLeast"/>
                <w:tblHeader/>
              </w:trPr>
              <w:tc>
                <w:tcPr>
                  <w:tcW w:w="881" w:type="dxa"/>
                  <w:noWrap w:val="0"/>
                  <w:vAlign w:val="center"/>
                </w:tcPr>
                <w:p>
                  <w:pPr>
                    <w:jc w:val="center"/>
                    <w:rPr>
                      <w:szCs w:val="21"/>
                    </w:rPr>
                  </w:pPr>
                  <w:r>
                    <w:rPr>
                      <w:rFonts w:hint="eastAsia"/>
                      <w:szCs w:val="21"/>
                    </w:rPr>
                    <w:t>袁家铺镇友爱村居民</w:t>
                  </w:r>
                  <w:r>
                    <w:rPr>
                      <w:rFonts w:hint="eastAsia"/>
                      <w:szCs w:val="21"/>
                      <w:lang w:eastAsia="zh-CN"/>
                    </w:rPr>
                    <w:t>（</w:t>
                  </w:r>
                  <w:r>
                    <w:rPr>
                      <w:rFonts w:hint="eastAsia"/>
                      <w:szCs w:val="21"/>
                      <w:lang w:val="en-US" w:eastAsia="zh-CN"/>
                    </w:rPr>
                    <w:t>一</w:t>
                  </w:r>
                  <w:r>
                    <w:rPr>
                      <w:rFonts w:hint="eastAsia"/>
                      <w:szCs w:val="21"/>
                      <w:lang w:eastAsia="zh-CN"/>
                    </w:rPr>
                    <w:t>）</w:t>
                  </w:r>
                </w:p>
              </w:tc>
              <w:tc>
                <w:tcPr>
                  <w:tcW w:w="921" w:type="dxa"/>
                  <w:noWrap w:val="0"/>
                  <w:vAlign w:val="center"/>
                </w:tcPr>
                <w:p>
                  <w:pPr>
                    <w:pStyle w:val="58"/>
                    <w:rPr>
                      <w:szCs w:val="21"/>
                    </w:rPr>
                  </w:pPr>
                  <w:r>
                    <w:rPr>
                      <w:szCs w:val="21"/>
                    </w:rPr>
                    <w:t>687172.86</w:t>
                  </w:r>
                </w:p>
              </w:tc>
              <w:tc>
                <w:tcPr>
                  <w:tcW w:w="1026" w:type="dxa"/>
                  <w:noWrap w:val="0"/>
                  <w:vAlign w:val="center"/>
                </w:tcPr>
                <w:p>
                  <w:pPr>
                    <w:pStyle w:val="58"/>
                    <w:rPr>
                      <w:rFonts w:hint="eastAsia"/>
                      <w:szCs w:val="21"/>
                    </w:rPr>
                  </w:pPr>
                  <w:r>
                    <w:rPr>
                      <w:szCs w:val="21"/>
                    </w:rPr>
                    <w:t>3171866.81</w:t>
                  </w:r>
                </w:p>
              </w:tc>
              <w:tc>
                <w:tcPr>
                  <w:tcW w:w="567" w:type="dxa"/>
                  <w:noWrap w:val="0"/>
                  <w:vAlign w:val="center"/>
                </w:tcPr>
                <w:p>
                  <w:pPr>
                    <w:pStyle w:val="58"/>
                    <w:rPr>
                      <w:rFonts w:hint="eastAsia"/>
                      <w:szCs w:val="21"/>
                    </w:rPr>
                  </w:pPr>
                  <w:r>
                    <w:rPr>
                      <w:rFonts w:hint="eastAsia"/>
                      <w:szCs w:val="21"/>
                    </w:rPr>
                    <w:t>居民</w:t>
                  </w:r>
                </w:p>
              </w:tc>
              <w:tc>
                <w:tcPr>
                  <w:tcW w:w="1047" w:type="dxa"/>
                  <w:noWrap w:val="0"/>
                  <w:vAlign w:val="center"/>
                </w:tcPr>
                <w:p>
                  <w:pPr>
                    <w:jc w:val="center"/>
                    <w:rPr>
                      <w:szCs w:val="21"/>
                    </w:rPr>
                  </w:pPr>
                  <w:r>
                    <w:rPr>
                      <w:rFonts w:hint="eastAsia"/>
                      <w:szCs w:val="21"/>
                    </w:rPr>
                    <w:t>约126户，约378人</w:t>
                  </w:r>
                </w:p>
              </w:tc>
              <w:tc>
                <w:tcPr>
                  <w:tcW w:w="1698" w:type="dxa"/>
                  <w:vMerge w:val="continue"/>
                  <w:noWrap w:val="0"/>
                  <w:vAlign w:val="center"/>
                </w:tcPr>
                <w:p>
                  <w:pPr>
                    <w:jc w:val="center"/>
                    <w:rPr>
                      <w:color w:val="FF0000"/>
                      <w:szCs w:val="21"/>
                    </w:rPr>
                  </w:pPr>
                </w:p>
              </w:tc>
              <w:tc>
                <w:tcPr>
                  <w:tcW w:w="713" w:type="dxa"/>
                  <w:noWrap w:val="0"/>
                  <w:vAlign w:val="center"/>
                </w:tcPr>
                <w:p>
                  <w:pPr>
                    <w:jc w:val="center"/>
                    <w:rPr>
                      <w:rFonts w:hint="eastAsia"/>
                      <w:szCs w:val="21"/>
                    </w:rPr>
                  </w:pPr>
                  <w:r>
                    <w:rPr>
                      <w:rFonts w:hint="eastAsia"/>
                      <w:szCs w:val="21"/>
                    </w:rPr>
                    <w:t>东南侧</w:t>
                  </w:r>
                </w:p>
              </w:tc>
              <w:tc>
                <w:tcPr>
                  <w:tcW w:w="1298" w:type="dxa"/>
                  <w:noWrap w:val="0"/>
                  <w:vAlign w:val="center"/>
                </w:tcPr>
                <w:p>
                  <w:pPr>
                    <w:jc w:val="center"/>
                    <w:rPr>
                      <w:rFonts w:hint="default" w:eastAsia="宋体"/>
                      <w:szCs w:val="21"/>
                      <w:lang w:val="en-US" w:eastAsia="zh-CN"/>
                    </w:rPr>
                  </w:pPr>
                  <w:r>
                    <w:rPr>
                      <w:rFonts w:hint="eastAsia"/>
                      <w:szCs w:val="21"/>
                      <w:lang w:val="en-US" w:eastAsia="zh-CN"/>
                    </w:rPr>
                    <w:t>50-50m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4" w:type="dxa"/>
                  <w:bottom w:w="0" w:type="dxa"/>
                  <w:right w:w="14" w:type="dxa"/>
                </w:tblCellMar>
              </w:tblPrEx>
              <w:trPr>
                <w:trHeight w:val="247" w:hRule="atLeast"/>
                <w:tblHeader/>
              </w:trPr>
              <w:tc>
                <w:tcPr>
                  <w:tcW w:w="881" w:type="dxa"/>
                  <w:noWrap w:val="0"/>
                  <w:vAlign w:val="center"/>
                </w:tcPr>
                <w:p>
                  <w:pPr>
                    <w:jc w:val="center"/>
                    <w:rPr>
                      <w:color w:val="FF0000"/>
                      <w:szCs w:val="21"/>
                    </w:rPr>
                  </w:pPr>
                  <w:r>
                    <w:rPr>
                      <w:rFonts w:hint="eastAsia"/>
                      <w:szCs w:val="21"/>
                    </w:rPr>
                    <w:t>袁家铺镇傅家湾村居民</w:t>
                  </w:r>
                </w:p>
              </w:tc>
              <w:tc>
                <w:tcPr>
                  <w:tcW w:w="921" w:type="dxa"/>
                  <w:noWrap w:val="0"/>
                  <w:vAlign w:val="center"/>
                </w:tcPr>
                <w:p>
                  <w:pPr>
                    <w:pStyle w:val="58"/>
                    <w:rPr>
                      <w:rFonts w:hint="eastAsia"/>
                      <w:szCs w:val="21"/>
                    </w:rPr>
                  </w:pPr>
                  <w:r>
                    <w:rPr>
                      <w:szCs w:val="21"/>
                    </w:rPr>
                    <w:t>686759.38</w:t>
                  </w:r>
                </w:p>
              </w:tc>
              <w:tc>
                <w:tcPr>
                  <w:tcW w:w="1026" w:type="dxa"/>
                  <w:noWrap w:val="0"/>
                  <w:vAlign w:val="center"/>
                </w:tcPr>
                <w:p>
                  <w:pPr>
                    <w:pStyle w:val="58"/>
                    <w:rPr>
                      <w:szCs w:val="21"/>
                    </w:rPr>
                  </w:pPr>
                  <w:r>
                    <w:rPr>
                      <w:szCs w:val="21"/>
                    </w:rPr>
                    <w:t>3172009.74</w:t>
                  </w:r>
                </w:p>
              </w:tc>
              <w:tc>
                <w:tcPr>
                  <w:tcW w:w="567" w:type="dxa"/>
                  <w:noWrap w:val="0"/>
                  <w:vAlign w:val="center"/>
                </w:tcPr>
                <w:p>
                  <w:pPr>
                    <w:pStyle w:val="58"/>
                    <w:rPr>
                      <w:rFonts w:hint="eastAsia"/>
                      <w:szCs w:val="21"/>
                    </w:rPr>
                  </w:pPr>
                  <w:r>
                    <w:rPr>
                      <w:rFonts w:hint="eastAsia"/>
                      <w:szCs w:val="21"/>
                    </w:rPr>
                    <w:t>居民</w:t>
                  </w:r>
                </w:p>
              </w:tc>
              <w:tc>
                <w:tcPr>
                  <w:tcW w:w="1047" w:type="dxa"/>
                  <w:noWrap w:val="0"/>
                  <w:vAlign w:val="center"/>
                </w:tcPr>
                <w:p>
                  <w:pPr>
                    <w:jc w:val="center"/>
                    <w:rPr>
                      <w:color w:val="FF0000"/>
                      <w:szCs w:val="21"/>
                    </w:rPr>
                  </w:pPr>
                  <w:r>
                    <w:rPr>
                      <w:rFonts w:hint="eastAsia"/>
                      <w:szCs w:val="21"/>
                    </w:rPr>
                    <w:t>约110户，约330人</w:t>
                  </w:r>
                </w:p>
              </w:tc>
              <w:tc>
                <w:tcPr>
                  <w:tcW w:w="1698" w:type="dxa"/>
                  <w:vMerge w:val="continue"/>
                  <w:noWrap w:val="0"/>
                  <w:vAlign w:val="center"/>
                </w:tcPr>
                <w:p>
                  <w:pPr>
                    <w:jc w:val="center"/>
                    <w:rPr>
                      <w:color w:val="FF0000"/>
                      <w:szCs w:val="21"/>
                    </w:rPr>
                  </w:pPr>
                </w:p>
              </w:tc>
              <w:tc>
                <w:tcPr>
                  <w:tcW w:w="713" w:type="dxa"/>
                  <w:noWrap w:val="0"/>
                  <w:vAlign w:val="center"/>
                </w:tcPr>
                <w:p>
                  <w:pPr>
                    <w:jc w:val="center"/>
                    <w:rPr>
                      <w:rFonts w:hint="eastAsia"/>
                      <w:szCs w:val="21"/>
                    </w:rPr>
                  </w:pPr>
                  <w:r>
                    <w:rPr>
                      <w:rFonts w:hint="eastAsia"/>
                      <w:szCs w:val="21"/>
                    </w:rPr>
                    <w:t>西北侧</w:t>
                  </w:r>
                </w:p>
              </w:tc>
              <w:tc>
                <w:tcPr>
                  <w:tcW w:w="1298" w:type="dxa"/>
                  <w:noWrap w:val="0"/>
                  <w:vAlign w:val="center"/>
                </w:tcPr>
                <w:p>
                  <w:pPr>
                    <w:jc w:val="center"/>
                    <w:rPr>
                      <w:rFonts w:hint="default" w:eastAsia="宋体"/>
                      <w:szCs w:val="21"/>
                      <w:lang w:val="en-US" w:eastAsia="zh-CN"/>
                    </w:rPr>
                  </w:pPr>
                  <w:r>
                    <w:rPr>
                      <w:rFonts w:hint="eastAsia"/>
                      <w:szCs w:val="21"/>
                      <w:lang w:val="en-US" w:eastAsia="zh-CN"/>
                    </w:rPr>
                    <w:t>290-500m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4" w:type="dxa"/>
                  <w:bottom w:w="0" w:type="dxa"/>
                  <w:right w:w="14" w:type="dxa"/>
                </w:tblCellMar>
              </w:tblPrEx>
              <w:trPr>
                <w:trHeight w:val="247" w:hRule="atLeast"/>
                <w:tblHeader/>
              </w:trPr>
              <w:tc>
                <w:tcPr>
                  <w:tcW w:w="881" w:type="dxa"/>
                  <w:noWrap w:val="0"/>
                  <w:vAlign w:val="center"/>
                </w:tcPr>
                <w:p>
                  <w:pPr>
                    <w:jc w:val="center"/>
                    <w:rPr>
                      <w:color w:val="FF0000"/>
                      <w:szCs w:val="21"/>
                    </w:rPr>
                  </w:pPr>
                  <w:r>
                    <w:rPr>
                      <w:rFonts w:hint="eastAsia"/>
                      <w:szCs w:val="21"/>
                    </w:rPr>
                    <w:t>袁家铺镇友爱村居民</w:t>
                  </w:r>
                  <w:r>
                    <w:rPr>
                      <w:rFonts w:hint="eastAsia"/>
                      <w:szCs w:val="21"/>
                      <w:lang w:eastAsia="zh-CN"/>
                    </w:rPr>
                    <w:t>（</w:t>
                  </w:r>
                  <w:r>
                    <w:rPr>
                      <w:rFonts w:hint="eastAsia"/>
                      <w:szCs w:val="21"/>
                      <w:lang w:val="en-US" w:eastAsia="zh-CN"/>
                    </w:rPr>
                    <w:t>二</w:t>
                  </w:r>
                  <w:r>
                    <w:rPr>
                      <w:rFonts w:hint="eastAsia"/>
                      <w:szCs w:val="21"/>
                      <w:lang w:eastAsia="zh-CN"/>
                    </w:rPr>
                    <w:t>）</w:t>
                  </w:r>
                </w:p>
              </w:tc>
              <w:tc>
                <w:tcPr>
                  <w:tcW w:w="921" w:type="dxa"/>
                  <w:noWrap w:val="0"/>
                  <w:vAlign w:val="center"/>
                </w:tcPr>
                <w:p>
                  <w:pPr>
                    <w:pStyle w:val="58"/>
                    <w:rPr>
                      <w:rFonts w:hint="eastAsia"/>
                      <w:szCs w:val="21"/>
                    </w:rPr>
                  </w:pPr>
                  <w:r>
                    <w:rPr>
                      <w:szCs w:val="21"/>
                    </w:rPr>
                    <w:t>687040.41</w:t>
                  </w:r>
                </w:p>
              </w:tc>
              <w:tc>
                <w:tcPr>
                  <w:tcW w:w="1026" w:type="dxa"/>
                  <w:noWrap w:val="0"/>
                  <w:vAlign w:val="center"/>
                </w:tcPr>
                <w:p>
                  <w:pPr>
                    <w:pStyle w:val="58"/>
                    <w:rPr>
                      <w:szCs w:val="21"/>
                    </w:rPr>
                  </w:pPr>
                  <w:r>
                    <w:rPr>
                      <w:szCs w:val="21"/>
                    </w:rPr>
                    <w:t>3171950.02</w:t>
                  </w:r>
                </w:p>
              </w:tc>
              <w:tc>
                <w:tcPr>
                  <w:tcW w:w="567" w:type="dxa"/>
                  <w:noWrap w:val="0"/>
                  <w:vAlign w:val="center"/>
                </w:tcPr>
                <w:p>
                  <w:pPr>
                    <w:pStyle w:val="58"/>
                    <w:rPr>
                      <w:szCs w:val="21"/>
                    </w:rPr>
                  </w:pPr>
                  <w:r>
                    <w:rPr>
                      <w:rFonts w:hint="eastAsia"/>
                      <w:szCs w:val="21"/>
                    </w:rPr>
                    <w:t>居民</w:t>
                  </w:r>
                </w:p>
              </w:tc>
              <w:tc>
                <w:tcPr>
                  <w:tcW w:w="1047" w:type="dxa"/>
                  <w:noWrap w:val="0"/>
                  <w:vAlign w:val="center"/>
                </w:tcPr>
                <w:p>
                  <w:pPr>
                    <w:jc w:val="center"/>
                    <w:rPr>
                      <w:szCs w:val="21"/>
                    </w:rPr>
                  </w:pPr>
                  <w:r>
                    <w:rPr>
                      <w:rFonts w:hint="eastAsia"/>
                      <w:szCs w:val="21"/>
                    </w:rPr>
                    <w:t>约38户，约114人</w:t>
                  </w:r>
                </w:p>
              </w:tc>
              <w:tc>
                <w:tcPr>
                  <w:tcW w:w="1698" w:type="dxa"/>
                  <w:vMerge w:val="continue"/>
                  <w:noWrap w:val="0"/>
                  <w:vAlign w:val="center"/>
                </w:tcPr>
                <w:p>
                  <w:pPr>
                    <w:jc w:val="center"/>
                    <w:rPr>
                      <w:color w:val="FF0000"/>
                      <w:szCs w:val="21"/>
                    </w:rPr>
                  </w:pPr>
                </w:p>
              </w:tc>
              <w:tc>
                <w:tcPr>
                  <w:tcW w:w="713" w:type="dxa"/>
                  <w:noWrap w:val="0"/>
                  <w:vAlign w:val="center"/>
                </w:tcPr>
                <w:p>
                  <w:pPr>
                    <w:jc w:val="center"/>
                    <w:rPr>
                      <w:szCs w:val="21"/>
                    </w:rPr>
                  </w:pPr>
                  <w:r>
                    <w:rPr>
                      <w:rFonts w:hint="eastAsia"/>
                      <w:szCs w:val="21"/>
                    </w:rPr>
                    <w:t>北侧</w:t>
                  </w:r>
                </w:p>
              </w:tc>
              <w:tc>
                <w:tcPr>
                  <w:tcW w:w="1298" w:type="dxa"/>
                  <w:noWrap w:val="0"/>
                  <w:vAlign w:val="center"/>
                </w:tcPr>
                <w:p>
                  <w:pPr>
                    <w:jc w:val="center"/>
                    <w:rPr>
                      <w:rFonts w:hint="default" w:eastAsia="宋体"/>
                      <w:szCs w:val="21"/>
                      <w:lang w:val="en-US" w:eastAsia="zh-CN"/>
                    </w:rPr>
                  </w:pPr>
                  <w:r>
                    <w:rPr>
                      <w:rFonts w:hint="eastAsia"/>
                      <w:szCs w:val="21"/>
                      <w:lang w:val="en-US" w:eastAsia="zh-CN"/>
                    </w:rPr>
                    <w:t>35-330m</w:t>
                  </w:r>
                </w:p>
              </w:tc>
            </w:tr>
          </w:tbl>
          <w:p>
            <w:pPr>
              <w:jc w:val="center"/>
              <w:rPr>
                <w:rFonts w:hint="eastAsia"/>
                <w:b/>
                <w:bCs/>
                <w:szCs w:val="21"/>
              </w:rPr>
            </w:pPr>
          </w:p>
          <w:p>
            <w:pPr>
              <w:jc w:val="center"/>
              <w:rPr>
                <w:szCs w:val="21"/>
              </w:rPr>
            </w:pPr>
            <w:r>
              <w:rPr>
                <w:rFonts w:hint="eastAsia"/>
                <w:b/>
                <w:bCs/>
                <w:szCs w:val="21"/>
              </w:rPr>
              <w:t>表3-</w:t>
            </w:r>
            <w:r>
              <w:rPr>
                <w:rFonts w:hint="eastAsia"/>
                <w:b/>
                <w:bCs/>
                <w:szCs w:val="21"/>
                <w:lang w:val="en-US" w:eastAsia="zh-CN"/>
              </w:rPr>
              <w:t>6</w:t>
            </w:r>
            <w:r>
              <w:rPr>
                <w:rFonts w:hint="eastAsia"/>
                <w:b/>
                <w:bCs/>
                <w:szCs w:val="21"/>
              </w:rPr>
              <w:t xml:space="preserve">  项目声环境</w:t>
            </w:r>
            <w:r>
              <w:rPr>
                <w:b/>
                <w:bCs/>
                <w:szCs w:val="21"/>
              </w:rPr>
              <w:t>保护目标表</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4" w:type="dxa"/>
                <w:bottom w:w="0" w:type="dxa"/>
                <w:right w:w="14" w:type="dxa"/>
              </w:tblCellMar>
            </w:tblPr>
            <w:tblGrid>
              <w:gridCol w:w="518"/>
              <w:gridCol w:w="1524"/>
              <w:gridCol w:w="1093"/>
              <w:gridCol w:w="1970"/>
              <w:gridCol w:w="30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4" w:type="dxa"/>
                  <w:bottom w:w="0" w:type="dxa"/>
                  <w:right w:w="14" w:type="dxa"/>
                </w:tblCellMar>
              </w:tblPrEx>
              <w:trPr>
                <w:trHeight w:val="605" w:hRule="atLeast"/>
                <w:tblHeader/>
                <w:jc w:val="center"/>
              </w:trPr>
              <w:tc>
                <w:tcPr>
                  <w:tcW w:w="319" w:type="pct"/>
                  <w:noWrap w:val="0"/>
                  <w:vAlign w:val="center"/>
                </w:tcPr>
                <w:p>
                  <w:pPr>
                    <w:jc w:val="center"/>
                    <w:rPr>
                      <w:b/>
                      <w:bCs/>
                      <w:szCs w:val="21"/>
                    </w:rPr>
                  </w:pPr>
                  <w:r>
                    <w:rPr>
                      <w:b/>
                      <w:bCs/>
                      <w:szCs w:val="21"/>
                    </w:rPr>
                    <w:t>项目</w:t>
                  </w:r>
                </w:p>
              </w:tc>
              <w:tc>
                <w:tcPr>
                  <w:tcW w:w="938" w:type="pct"/>
                  <w:noWrap w:val="0"/>
                  <w:vAlign w:val="center"/>
                </w:tcPr>
                <w:p>
                  <w:pPr>
                    <w:jc w:val="center"/>
                    <w:rPr>
                      <w:b/>
                      <w:bCs/>
                      <w:szCs w:val="21"/>
                    </w:rPr>
                  </w:pPr>
                  <w:r>
                    <w:rPr>
                      <w:b/>
                      <w:bCs/>
                      <w:szCs w:val="21"/>
                    </w:rPr>
                    <w:t>目标名称</w:t>
                  </w:r>
                </w:p>
              </w:tc>
              <w:tc>
                <w:tcPr>
                  <w:tcW w:w="673" w:type="pct"/>
                  <w:noWrap w:val="0"/>
                  <w:vAlign w:val="center"/>
                </w:tcPr>
                <w:p>
                  <w:pPr>
                    <w:jc w:val="center"/>
                    <w:rPr>
                      <w:b/>
                      <w:bCs/>
                      <w:szCs w:val="21"/>
                    </w:rPr>
                  </w:pPr>
                  <w:r>
                    <w:rPr>
                      <w:b/>
                      <w:bCs/>
                      <w:szCs w:val="21"/>
                    </w:rPr>
                    <w:t>规模</w:t>
                  </w:r>
                </w:p>
              </w:tc>
              <w:tc>
                <w:tcPr>
                  <w:tcW w:w="1213" w:type="pct"/>
                  <w:noWrap w:val="0"/>
                  <w:vAlign w:val="center"/>
                </w:tcPr>
                <w:p>
                  <w:pPr>
                    <w:jc w:val="center"/>
                    <w:rPr>
                      <w:b/>
                      <w:bCs/>
                      <w:szCs w:val="21"/>
                    </w:rPr>
                  </w:pPr>
                  <w:r>
                    <w:rPr>
                      <w:b/>
                      <w:bCs/>
                      <w:szCs w:val="21"/>
                    </w:rPr>
                    <w:t>相对项目厂址方位及厂界距离</w:t>
                  </w:r>
                </w:p>
              </w:tc>
              <w:tc>
                <w:tcPr>
                  <w:tcW w:w="1853" w:type="pct"/>
                  <w:noWrap w:val="0"/>
                  <w:vAlign w:val="center"/>
                </w:tcPr>
                <w:p>
                  <w:pPr>
                    <w:jc w:val="center"/>
                    <w:rPr>
                      <w:b/>
                      <w:bCs/>
                      <w:szCs w:val="21"/>
                    </w:rPr>
                  </w:pPr>
                  <w:r>
                    <w:rPr>
                      <w:b/>
                      <w:bCs/>
                      <w:szCs w:val="21"/>
                    </w:rPr>
                    <w:t>环境功能及保护级别</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4" w:type="dxa"/>
                  <w:bottom w:w="0" w:type="dxa"/>
                  <w:right w:w="14" w:type="dxa"/>
                </w:tblCellMar>
              </w:tblPrEx>
              <w:trPr>
                <w:trHeight w:val="791" w:hRule="atLeast"/>
                <w:jc w:val="center"/>
              </w:trPr>
              <w:tc>
                <w:tcPr>
                  <w:tcW w:w="319" w:type="pct"/>
                  <w:vMerge w:val="restart"/>
                  <w:noWrap w:val="0"/>
                  <w:vAlign w:val="center"/>
                </w:tcPr>
                <w:p>
                  <w:pPr>
                    <w:jc w:val="center"/>
                    <w:rPr>
                      <w:szCs w:val="21"/>
                    </w:rPr>
                  </w:pPr>
                  <w:r>
                    <w:rPr>
                      <w:szCs w:val="21"/>
                    </w:rPr>
                    <w:t>声环境</w:t>
                  </w:r>
                </w:p>
              </w:tc>
              <w:tc>
                <w:tcPr>
                  <w:tcW w:w="938" w:type="pct"/>
                  <w:noWrap w:val="0"/>
                  <w:vAlign w:val="center"/>
                </w:tcPr>
                <w:p>
                  <w:pPr>
                    <w:jc w:val="center"/>
                    <w:rPr>
                      <w:szCs w:val="21"/>
                    </w:rPr>
                  </w:pPr>
                  <w:r>
                    <w:rPr>
                      <w:rFonts w:hint="eastAsia"/>
                      <w:szCs w:val="21"/>
                    </w:rPr>
                    <w:t>湘阴县知源学校</w:t>
                  </w:r>
                </w:p>
              </w:tc>
              <w:tc>
                <w:tcPr>
                  <w:tcW w:w="673" w:type="pct"/>
                  <w:noWrap w:val="0"/>
                  <w:vAlign w:val="center"/>
                </w:tcPr>
                <w:p>
                  <w:pPr>
                    <w:jc w:val="center"/>
                    <w:rPr>
                      <w:szCs w:val="21"/>
                    </w:rPr>
                  </w:pPr>
                  <w:r>
                    <w:rPr>
                      <w:rFonts w:hint="eastAsia"/>
                      <w:szCs w:val="21"/>
                    </w:rPr>
                    <w:t>师生约5518人</w:t>
                  </w:r>
                </w:p>
              </w:tc>
              <w:tc>
                <w:tcPr>
                  <w:tcW w:w="1213" w:type="pct"/>
                  <w:noWrap w:val="0"/>
                  <w:vAlign w:val="center"/>
                </w:tcPr>
                <w:p>
                  <w:pPr>
                    <w:jc w:val="center"/>
                    <w:rPr>
                      <w:rFonts w:hint="eastAsia" w:eastAsia="宋体"/>
                      <w:szCs w:val="21"/>
                      <w:lang w:val="en-US" w:eastAsia="zh-CN"/>
                    </w:rPr>
                  </w:pPr>
                  <w:r>
                    <w:rPr>
                      <w:rFonts w:hint="eastAsia"/>
                      <w:szCs w:val="21"/>
                    </w:rPr>
                    <w:t>南侧，</w:t>
                  </w:r>
                  <w:r>
                    <w:rPr>
                      <w:rFonts w:hint="eastAsia"/>
                      <w:szCs w:val="21"/>
                      <w:lang w:val="en-US" w:eastAsia="zh-CN"/>
                    </w:rPr>
                    <w:t>15m</w:t>
                  </w:r>
                </w:p>
              </w:tc>
              <w:tc>
                <w:tcPr>
                  <w:tcW w:w="1853" w:type="pct"/>
                  <w:vMerge w:val="restart"/>
                  <w:noWrap w:val="0"/>
                  <w:vAlign w:val="center"/>
                </w:tcPr>
                <w:p>
                  <w:pPr>
                    <w:jc w:val="center"/>
                    <w:rPr>
                      <w:szCs w:val="21"/>
                    </w:rPr>
                  </w:pPr>
                  <w:r>
                    <w:rPr>
                      <w:szCs w:val="21"/>
                    </w:rPr>
                    <w:t>《声环境质量标准》</w:t>
                  </w:r>
                </w:p>
                <w:p>
                  <w:pPr>
                    <w:jc w:val="center"/>
                    <w:rPr>
                      <w:szCs w:val="21"/>
                    </w:rPr>
                  </w:pPr>
                  <w:r>
                    <w:rPr>
                      <w:szCs w:val="21"/>
                    </w:rPr>
                    <w:t>GB3096-2008中2类标准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4" w:type="dxa"/>
                  <w:bottom w:w="0" w:type="dxa"/>
                  <w:right w:w="14" w:type="dxa"/>
                </w:tblCellMar>
              </w:tblPrEx>
              <w:trPr>
                <w:trHeight w:val="596" w:hRule="atLeast"/>
                <w:jc w:val="center"/>
              </w:trPr>
              <w:tc>
                <w:tcPr>
                  <w:tcW w:w="319" w:type="pct"/>
                  <w:vMerge w:val="continue"/>
                  <w:noWrap w:val="0"/>
                  <w:vAlign w:val="center"/>
                </w:tcPr>
                <w:p>
                  <w:pPr>
                    <w:jc w:val="center"/>
                    <w:rPr>
                      <w:color w:val="FF0000"/>
                      <w:szCs w:val="21"/>
                    </w:rPr>
                  </w:pPr>
                </w:p>
              </w:tc>
              <w:tc>
                <w:tcPr>
                  <w:tcW w:w="938" w:type="pct"/>
                  <w:noWrap w:val="0"/>
                  <w:vAlign w:val="center"/>
                </w:tcPr>
                <w:p>
                  <w:pPr>
                    <w:jc w:val="center"/>
                    <w:rPr>
                      <w:rFonts w:hint="eastAsia" w:eastAsia="宋体"/>
                      <w:color w:val="FF0000"/>
                      <w:szCs w:val="21"/>
                      <w:lang w:eastAsia="zh-CN"/>
                    </w:rPr>
                  </w:pPr>
                  <w:r>
                    <w:rPr>
                      <w:rFonts w:hint="eastAsia"/>
                      <w:szCs w:val="21"/>
                    </w:rPr>
                    <w:t>袁家铺镇友爱村居民</w:t>
                  </w:r>
                  <w:r>
                    <w:rPr>
                      <w:rFonts w:hint="eastAsia"/>
                      <w:szCs w:val="21"/>
                      <w:lang w:eastAsia="zh-CN"/>
                    </w:rPr>
                    <w:t>（</w:t>
                  </w:r>
                  <w:r>
                    <w:rPr>
                      <w:rFonts w:hint="eastAsia"/>
                      <w:szCs w:val="21"/>
                      <w:lang w:val="en-US" w:eastAsia="zh-CN"/>
                    </w:rPr>
                    <w:t>一</w:t>
                  </w:r>
                  <w:r>
                    <w:rPr>
                      <w:rFonts w:hint="eastAsia"/>
                      <w:szCs w:val="21"/>
                      <w:lang w:eastAsia="zh-CN"/>
                    </w:rPr>
                    <w:t>）</w:t>
                  </w:r>
                </w:p>
              </w:tc>
              <w:tc>
                <w:tcPr>
                  <w:tcW w:w="673" w:type="pct"/>
                  <w:noWrap w:val="0"/>
                  <w:vAlign w:val="center"/>
                </w:tcPr>
                <w:p>
                  <w:pPr>
                    <w:jc w:val="center"/>
                    <w:rPr>
                      <w:color w:val="FF0000"/>
                      <w:szCs w:val="21"/>
                    </w:rPr>
                  </w:pPr>
                  <w:r>
                    <w:rPr>
                      <w:rFonts w:hint="eastAsia"/>
                      <w:szCs w:val="21"/>
                    </w:rPr>
                    <w:t>居民约126户，378人</w:t>
                  </w:r>
                </w:p>
              </w:tc>
              <w:tc>
                <w:tcPr>
                  <w:tcW w:w="1213" w:type="pct"/>
                  <w:noWrap w:val="0"/>
                  <w:vAlign w:val="center"/>
                </w:tcPr>
                <w:p>
                  <w:pPr>
                    <w:jc w:val="center"/>
                    <w:rPr>
                      <w:color w:val="FF0000"/>
                      <w:szCs w:val="21"/>
                    </w:rPr>
                  </w:pPr>
                  <w:r>
                    <w:rPr>
                      <w:rFonts w:hint="eastAsia"/>
                      <w:szCs w:val="21"/>
                    </w:rPr>
                    <w:t>东南侧，</w:t>
                  </w:r>
                  <w:r>
                    <w:rPr>
                      <w:rFonts w:hint="eastAsia"/>
                      <w:szCs w:val="21"/>
                      <w:lang w:val="en-US" w:eastAsia="zh-CN"/>
                    </w:rPr>
                    <w:t>2</w:t>
                  </w:r>
                  <w:r>
                    <w:rPr>
                      <w:rFonts w:hint="eastAsia"/>
                      <w:szCs w:val="21"/>
                    </w:rPr>
                    <w:t>m</w:t>
                  </w:r>
                </w:p>
              </w:tc>
              <w:tc>
                <w:tcPr>
                  <w:tcW w:w="1853" w:type="pct"/>
                  <w:vMerge w:val="continue"/>
                  <w:noWrap w:val="0"/>
                  <w:vAlign w:val="center"/>
                </w:tcPr>
                <w:p>
                  <w:pPr>
                    <w:jc w:val="center"/>
                    <w:rPr>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4" w:type="dxa"/>
                  <w:bottom w:w="0" w:type="dxa"/>
                  <w:right w:w="14" w:type="dxa"/>
                </w:tblCellMar>
              </w:tblPrEx>
              <w:trPr>
                <w:trHeight w:val="596" w:hRule="atLeast"/>
                <w:jc w:val="center"/>
              </w:trPr>
              <w:tc>
                <w:tcPr>
                  <w:tcW w:w="319" w:type="pct"/>
                  <w:vMerge w:val="continue"/>
                  <w:noWrap w:val="0"/>
                  <w:vAlign w:val="center"/>
                </w:tcPr>
                <w:p>
                  <w:pPr>
                    <w:jc w:val="center"/>
                    <w:rPr>
                      <w:color w:val="FF0000"/>
                      <w:szCs w:val="21"/>
                    </w:rPr>
                  </w:pPr>
                </w:p>
              </w:tc>
              <w:tc>
                <w:tcPr>
                  <w:tcW w:w="938" w:type="pct"/>
                  <w:noWrap w:val="0"/>
                  <w:vAlign w:val="center"/>
                </w:tcPr>
                <w:p>
                  <w:pPr>
                    <w:jc w:val="center"/>
                    <w:rPr>
                      <w:rFonts w:hint="eastAsia" w:eastAsia="宋体"/>
                      <w:color w:val="FF0000"/>
                      <w:szCs w:val="21"/>
                      <w:lang w:eastAsia="zh-CN"/>
                    </w:rPr>
                  </w:pPr>
                  <w:r>
                    <w:rPr>
                      <w:rFonts w:hint="eastAsia"/>
                      <w:szCs w:val="21"/>
                    </w:rPr>
                    <w:t>袁家铺镇友爱村居民</w:t>
                  </w:r>
                  <w:r>
                    <w:rPr>
                      <w:rFonts w:hint="eastAsia"/>
                      <w:szCs w:val="21"/>
                      <w:lang w:eastAsia="zh-CN"/>
                    </w:rPr>
                    <w:t>（</w:t>
                  </w:r>
                  <w:r>
                    <w:rPr>
                      <w:rFonts w:hint="eastAsia"/>
                      <w:szCs w:val="21"/>
                      <w:lang w:val="en-US" w:eastAsia="zh-CN"/>
                    </w:rPr>
                    <w:t>二</w:t>
                  </w:r>
                  <w:r>
                    <w:rPr>
                      <w:rFonts w:hint="eastAsia"/>
                      <w:szCs w:val="21"/>
                      <w:lang w:eastAsia="zh-CN"/>
                    </w:rPr>
                    <w:t>）</w:t>
                  </w:r>
                </w:p>
              </w:tc>
              <w:tc>
                <w:tcPr>
                  <w:tcW w:w="673" w:type="pct"/>
                  <w:noWrap w:val="0"/>
                  <w:vAlign w:val="center"/>
                </w:tcPr>
                <w:p>
                  <w:pPr>
                    <w:jc w:val="center"/>
                    <w:rPr>
                      <w:rFonts w:hint="eastAsia"/>
                      <w:color w:val="FF0000"/>
                      <w:szCs w:val="21"/>
                    </w:rPr>
                  </w:pPr>
                  <w:r>
                    <w:rPr>
                      <w:rFonts w:hint="eastAsia"/>
                      <w:szCs w:val="21"/>
                    </w:rPr>
                    <w:t>居民约38户，114人</w:t>
                  </w:r>
                </w:p>
              </w:tc>
              <w:tc>
                <w:tcPr>
                  <w:tcW w:w="1213" w:type="pct"/>
                  <w:noWrap w:val="0"/>
                  <w:vAlign w:val="center"/>
                </w:tcPr>
                <w:p>
                  <w:pPr>
                    <w:jc w:val="center"/>
                    <w:rPr>
                      <w:rFonts w:hint="eastAsia"/>
                      <w:color w:val="FF0000"/>
                      <w:szCs w:val="21"/>
                    </w:rPr>
                  </w:pPr>
                  <w:r>
                    <w:rPr>
                      <w:rFonts w:hint="eastAsia"/>
                      <w:szCs w:val="21"/>
                    </w:rPr>
                    <w:t>北侧，</w:t>
                  </w:r>
                  <w:r>
                    <w:rPr>
                      <w:rFonts w:hint="eastAsia"/>
                      <w:szCs w:val="21"/>
                      <w:lang w:val="en-US" w:eastAsia="zh-CN"/>
                    </w:rPr>
                    <w:t>70</w:t>
                  </w:r>
                  <w:r>
                    <w:rPr>
                      <w:rFonts w:hint="eastAsia"/>
                      <w:szCs w:val="21"/>
                    </w:rPr>
                    <w:t>m</w:t>
                  </w:r>
                </w:p>
              </w:tc>
              <w:tc>
                <w:tcPr>
                  <w:tcW w:w="1853" w:type="pct"/>
                  <w:vMerge w:val="continue"/>
                  <w:noWrap w:val="0"/>
                  <w:vAlign w:val="center"/>
                </w:tcPr>
                <w:p>
                  <w:pPr>
                    <w:jc w:val="center"/>
                    <w:rPr>
                      <w:color w:val="FF0000"/>
                      <w:szCs w:val="21"/>
                    </w:rPr>
                  </w:pPr>
                </w:p>
              </w:tc>
            </w:tr>
          </w:tbl>
          <w:p>
            <w:pPr>
              <w:jc w:val="center"/>
              <w:rPr>
                <w:rFonts w:hint="eastAsia"/>
                <w:b/>
                <w:bCs/>
                <w:szCs w:val="21"/>
              </w:rPr>
            </w:pPr>
          </w:p>
          <w:p>
            <w:pPr>
              <w:jc w:val="center"/>
              <w:rPr>
                <w:szCs w:val="21"/>
              </w:rPr>
            </w:pPr>
            <w:r>
              <w:rPr>
                <w:rFonts w:hint="eastAsia"/>
                <w:b/>
                <w:bCs/>
                <w:szCs w:val="21"/>
              </w:rPr>
              <w:t>表3-</w:t>
            </w:r>
            <w:r>
              <w:rPr>
                <w:rFonts w:hint="eastAsia"/>
                <w:b/>
                <w:bCs/>
                <w:szCs w:val="21"/>
                <w:lang w:val="en-US" w:eastAsia="zh-CN"/>
              </w:rPr>
              <w:t>7</w:t>
            </w:r>
            <w:r>
              <w:rPr>
                <w:rFonts w:hint="eastAsia"/>
                <w:b/>
                <w:bCs/>
                <w:szCs w:val="21"/>
              </w:rPr>
              <w:t xml:space="preserve"> 项目地表水环境</w:t>
            </w:r>
            <w:r>
              <w:rPr>
                <w:b/>
                <w:bCs/>
                <w:szCs w:val="21"/>
              </w:rPr>
              <w:t>保护目标表</w:t>
            </w:r>
          </w:p>
          <w:bookmarkEnd w:id="8"/>
          <w:tbl>
            <w:tblPr>
              <w:tblStyle w:val="25"/>
              <w:tblW w:w="4996"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4" w:type="dxa"/>
                <w:bottom w:w="0" w:type="dxa"/>
                <w:right w:w="14" w:type="dxa"/>
              </w:tblCellMar>
            </w:tblPr>
            <w:tblGrid>
              <w:gridCol w:w="342"/>
              <w:gridCol w:w="519"/>
              <w:gridCol w:w="1040"/>
              <w:gridCol w:w="1163"/>
              <w:gridCol w:w="482"/>
              <w:gridCol w:w="1326"/>
              <w:gridCol w:w="2108"/>
              <w:gridCol w:w="11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4" w:type="dxa"/>
                  <w:bottom w:w="0" w:type="dxa"/>
                  <w:right w:w="14" w:type="dxa"/>
                </w:tblCellMar>
              </w:tblPrEx>
              <w:trPr>
                <w:trHeight w:val="401" w:hRule="atLeast"/>
                <w:tblHeader/>
              </w:trPr>
              <w:tc>
                <w:tcPr>
                  <w:tcW w:w="211" w:type="pct"/>
                  <w:vMerge w:val="restart"/>
                  <w:noWrap w:val="0"/>
                  <w:vAlign w:val="center"/>
                </w:tcPr>
                <w:p>
                  <w:pPr>
                    <w:adjustRightInd w:val="0"/>
                    <w:jc w:val="center"/>
                    <w:rPr>
                      <w:b/>
                      <w:bCs/>
                      <w:szCs w:val="21"/>
                    </w:rPr>
                  </w:pPr>
                  <w:r>
                    <w:rPr>
                      <w:rFonts w:hint="eastAsia"/>
                      <w:b/>
                      <w:bCs/>
                      <w:szCs w:val="21"/>
                    </w:rPr>
                    <w:t>项目</w:t>
                  </w:r>
                </w:p>
              </w:tc>
              <w:tc>
                <w:tcPr>
                  <w:tcW w:w="320" w:type="pct"/>
                  <w:vMerge w:val="restart"/>
                  <w:noWrap w:val="0"/>
                  <w:vAlign w:val="center"/>
                </w:tcPr>
                <w:p>
                  <w:pPr>
                    <w:adjustRightInd w:val="0"/>
                    <w:jc w:val="center"/>
                    <w:rPr>
                      <w:b/>
                      <w:bCs/>
                      <w:szCs w:val="21"/>
                    </w:rPr>
                  </w:pPr>
                  <w:r>
                    <w:rPr>
                      <w:rFonts w:hint="eastAsia"/>
                      <w:b/>
                      <w:bCs/>
                      <w:szCs w:val="21"/>
                    </w:rPr>
                    <w:t>目标名称</w:t>
                  </w:r>
                </w:p>
              </w:tc>
              <w:tc>
                <w:tcPr>
                  <w:tcW w:w="1357" w:type="pct"/>
                  <w:gridSpan w:val="2"/>
                  <w:noWrap w:val="0"/>
                  <w:vAlign w:val="center"/>
                </w:tcPr>
                <w:p>
                  <w:pPr>
                    <w:adjustRightInd w:val="0"/>
                    <w:jc w:val="center"/>
                    <w:rPr>
                      <w:rFonts w:hint="eastAsia"/>
                      <w:b/>
                      <w:bCs/>
                      <w:szCs w:val="21"/>
                    </w:rPr>
                  </w:pPr>
                  <w:r>
                    <w:rPr>
                      <w:rFonts w:hint="eastAsia"/>
                      <w:b/>
                      <w:bCs/>
                      <w:szCs w:val="21"/>
                    </w:rPr>
                    <w:t>坐标</w:t>
                  </w:r>
                </w:p>
              </w:tc>
              <w:tc>
                <w:tcPr>
                  <w:tcW w:w="297" w:type="pct"/>
                  <w:vMerge w:val="restart"/>
                  <w:noWrap w:val="0"/>
                  <w:vAlign w:val="center"/>
                </w:tcPr>
                <w:p>
                  <w:pPr>
                    <w:adjustRightInd w:val="0"/>
                    <w:jc w:val="center"/>
                    <w:rPr>
                      <w:b/>
                      <w:bCs/>
                      <w:szCs w:val="21"/>
                    </w:rPr>
                  </w:pPr>
                  <w:r>
                    <w:rPr>
                      <w:rFonts w:hint="eastAsia"/>
                      <w:b/>
                      <w:bCs/>
                      <w:szCs w:val="21"/>
                    </w:rPr>
                    <w:t>高差</w:t>
                  </w:r>
                </w:p>
                <w:p>
                  <w:pPr>
                    <w:adjustRightInd w:val="0"/>
                    <w:jc w:val="center"/>
                    <w:rPr>
                      <w:b/>
                      <w:bCs/>
                      <w:szCs w:val="21"/>
                    </w:rPr>
                  </w:pPr>
                  <w:r>
                    <w:rPr>
                      <w:b/>
                      <w:bCs/>
                      <w:szCs w:val="21"/>
                    </w:rPr>
                    <w:t>(m)</w:t>
                  </w:r>
                </w:p>
              </w:tc>
              <w:tc>
                <w:tcPr>
                  <w:tcW w:w="817" w:type="pct"/>
                  <w:vMerge w:val="restart"/>
                  <w:noWrap w:val="0"/>
                  <w:vAlign w:val="center"/>
                </w:tcPr>
                <w:p>
                  <w:pPr>
                    <w:adjustRightInd w:val="0"/>
                    <w:jc w:val="center"/>
                    <w:rPr>
                      <w:b/>
                      <w:bCs/>
                      <w:szCs w:val="21"/>
                    </w:rPr>
                  </w:pPr>
                  <w:r>
                    <w:rPr>
                      <w:rFonts w:hint="eastAsia"/>
                      <w:b/>
                      <w:bCs/>
                      <w:szCs w:val="21"/>
                    </w:rPr>
                    <w:t>相对项目厂址方位及厂界距离</w:t>
                  </w:r>
                </w:p>
              </w:tc>
              <w:tc>
                <w:tcPr>
                  <w:tcW w:w="1298" w:type="pct"/>
                  <w:vMerge w:val="restart"/>
                  <w:noWrap w:val="0"/>
                  <w:vAlign w:val="center"/>
                </w:tcPr>
                <w:p>
                  <w:pPr>
                    <w:adjustRightInd w:val="0"/>
                    <w:jc w:val="center"/>
                    <w:rPr>
                      <w:b/>
                      <w:bCs/>
                      <w:szCs w:val="21"/>
                    </w:rPr>
                  </w:pPr>
                  <w:r>
                    <w:rPr>
                      <w:rFonts w:hint="eastAsia"/>
                      <w:b/>
                      <w:bCs/>
                      <w:szCs w:val="21"/>
                    </w:rPr>
                    <w:t>环境功能及保护级别</w:t>
                  </w:r>
                </w:p>
              </w:tc>
              <w:tc>
                <w:tcPr>
                  <w:tcW w:w="696" w:type="pct"/>
                  <w:vMerge w:val="restart"/>
                  <w:noWrap w:val="0"/>
                  <w:vAlign w:val="center"/>
                </w:tcPr>
                <w:p>
                  <w:pPr>
                    <w:adjustRightInd w:val="0"/>
                    <w:jc w:val="center"/>
                    <w:rPr>
                      <w:b/>
                      <w:bCs/>
                      <w:szCs w:val="21"/>
                    </w:rPr>
                  </w:pPr>
                  <w:r>
                    <w:rPr>
                      <w:rFonts w:hint="eastAsia"/>
                      <w:b/>
                      <w:bCs/>
                      <w:szCs w:val="21"/>
                    </w:rPr>
                    <w:t>与建设项目水力联系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01" w:hRule="atLeast"/>
                <w:tblHeader/>
              </w:trPr>
              <w:tc>
                <w:tcPr>
                  <w:tcW w:w="211" w:type="pct"/>
                  <w:vMerge w:val="continue"/>
                  <w:noWrap w:val="0"/>
                  <w:vAlign w:val="center"/>
                </w:tcPr>
                <w:p>
                  <w:pPr>
                    <w:adjustRightInd w:val="0"/>
                    <w:jc w:val="center"/>
                  </w:pPr>
                </w:p>
              </w:tc>
              <w:tc>
                <w:tcPr>
                  <w:tcW w:w="320" w:type="pct"/>
                  <w:vMerge w:val="continue"/>
                  <w:noWrap w:val="0"/>
                  <w:vAlign w:val="center"/>
                </w:tcPr>
                <w:p>
                  <w:pPr>
                    <w:adjustRightInd w:val="0"/>
                    <w:jc w:val="center"/>
                  </w:pPr>
                </w:p>
              </w:tc>
              <w:tc>
                <w:tcPr>
                  <w:tcW w:w="641" w:type="pct"/>
                  <w:noWrap w:val="0"/>
                  <w:vAlign w:val="center"/>
                </w:tcPr>
                <w:p>
                  <w:pPr>
                    <w:jc w:val="center"/>
                    <w:rPr>
                      <w:b/>
                      <w:bCs/>
                    </w:rPr>
                  </w:pPr>
                  <w:r>
                    <w:rPr>
                      <w:rFonts w:hint="eastAsia"/>
                      <w:b/>
                      <w:bCs/>
                      <w:szCs w:val="21"/>
                    </w:rPr>
                    <w:t>X</w:t>
                  </w:r>
                </w:p>
              </w:tc>
              <w:tc>
                <w:tcPr>
                  <w:tcW w:w="716" w:type="pct"/>
                  <w:noWrap w:val="0"/>
                  <w:vAlign w:val="center"/>
                </w:tcPr>
                <w:p>
                  <w:pPr>
                    <w:jc w:val="center"/>
                    <w:rPr>
                      <w:b/>
                      <w:bCs/>
                    </w:rPr>
                  </w:pPr>
                  <w:r>
                    <w:rPr>
                      <w:rFonts w:hint="eastAsia"/>
                      <w:b/>
                      <w:bCs/>
                      <w:szCs w:val="21"/>
                    </w:rPr>
                    <w:t>Y</w:t>
                  </w:r>
                </w:p>
              </w:tc>
              <w:tc>
                <w:tcPr>
                  <w:tcW w:w="297" w:type="pct"/>
                  <w:vMerge w:val="continue"/>
                  <w:noWrap w:val="0"/>
                  <w:vAlign w:val="center"/>
                </w:tcPr>
                <w:p>
                  <w:pPr>
                    <w:adjustRightInd w:val="0"/>
                    <w:jc w:val="center"/>
                  </w:pPr>
                </w:p>
              </w:tc>
              <w:tc>
                <w:tcPr>
                  <w:tcW w:w="817" w:type="pct"/>
                  <w:vMerge w:val="continue"/>
                  <w:noWrap w:val="0"/>
                  <w:vAlign w:val="center"/>
                </w:tcPr>
                <w:p>
                  <w:pPr>
                    <w:adjustRightInd w:val="0"/>
                    <w:jc w:val="center"/>
                  </w:pPr>
                </w:p>
              </w:tc>
              <w:tc>
                <w:tcPr>
                  <w:tcW w:w="1298" w:type="pct"/>
                  <w:vMerge w:val="continue"/>
                  <w:noWrap w:val="0"/>
                  <w:vAlign w:val="center"/>
                </w:tcPr>
                <w:p>
                  <w:pPr>
                    <w:adjustRightInd w:val="0"/>
                    <w:jc w:val="center"/>
                  </w:pPr>
                </w:p>
              </w:tc>
              <w:tc>
                <w:tcPr>
                  <w:tcW w:w="696" w:type="pct"/>
                  <w:vMerge w:val="continue"/>
                  <w:noWrap w:val="0"/>
                  <w:vAlign w:val="center"/>
                </w:tcPr>
                <w:p>
                  <w:pPr>
                    <w:adjustRightInd w:val="0"/>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4" w:type="dxa"/>
                  <w:bottom w:w="0" w:type="dxa"/>
                  <w:right w:w="14" w:type="dxa"/>
                </w:tblCellMar>
              </w:tblPrEx>
              <w:trPr>
                <w:trHeight w:val="606" w:hRule="atLeast"/>
              </w:trPr>
              <w:tc>
                <w:tcPr>
                  <w:tcW w:w="211" w:type="pct"/>
                  <w:vMerge w:val="restart"/>
                  <w:noWrap w:val="0"/>
                  <w:vAlign w:val="center"/>
                </w:tcPr>
                <w:p>
                  <w:pPr>
                    <w:adjustRightInd w:val="0"/>
                    <w:jc w:val="center"/>
                    <w:rPr>
                      <w:szCs w:val="21"/>
                    </w:rPr>
                  </w:pPr>
                  <w:r>
                    <w:rPr>
                      <w:rFonts w:hint="eastAsia"/>
                      <w:szCs w:val="21"/>
                    </w:rPr>
                    <w:t>地表水</w:t>
                  </w:r>
                </w:p>
              </w:tc>
              <w:tc>
                <w:tcPr>
                  <w:tcW w:w="320" w:type="pct"/>
                  <w:noWrap w:val="0"/>
                  <w:vAlign w:val="center"/>
                </w:tcPr>
                <w:p>
                  <w:pPr>
                    <w:autoSpaceDE w:val="0"/>
                    <w:autoSpaceDN w:val="0"/>
                    <w:adjustRightInd w:val="0"/>
                    <w:snapToGrid w:val="0"/>
                    <w:jc w:val="center"/>
                    <w:textAlignment w:val="baseline"/>
                    <w:rPr>
                      <w:rFonts w:hint="eastAsia"/>
                      <w:szCs w:val="21"/>
                    </w:rPr>
                  </w:pPr>
                  <w:r>
                    <w:rPr>
                      <w:rFonts w:hint="eastAsia"/>
                      <w:szCs w:val="21"/>
                    </w:rPr>
                    <w:t>洋沙湖</w:t>
                  </w:r>
                </w:p>
              </w:tc>
              <w:tc>
                <w:tcPr>
                  <w:tcW w:w="641" w:type="pct"/>
                  <w:noWrap w:val="0"/>
                  <w:vAlign w:val="center"/>
                </w:tcPr>
                <w:p>
                  <w:pPr>
                    <w:adjustRightInd w:val="0"/>
                    <w:jc w:val="center"/>
                    <w:rPr>
                      <w:szCs w:val="21"/>
                    </w:rPr>
                  </w:pPr>
                  <w:r>
                    <w:rPr>
                      <w:szCs w:val="21"/>
                    </w:rPr>
                    <w:t>683298.60</w:t>
                  </w:r>
                </w:p>
              </w:tc>
              <w:tc>
                <w:tcPr>
                  <w:tcW w:w="716" w:type="pct"/>
                  <w:noWrap w:val="0"/>
                  <w:vAlign w:val="center"/>
                </w:tcPr>
                <w:p>
                  <w:pPr>
                    <w:adjustRightInd w:val="0"/>
                    <w:jc w:val="center"/>
                    <w:rPr>
                      <w:rFonts w:hint="eastAsia"/>
                      <w:szCs w:val="21"/>
                    </w:rPr>
                  </w:pPr>
                  <w:r>
                    <w:rPr>
                      <w:szCs w:val="21"/>
                    </w:rPr>
                    <w:t>3169858.53</w:t>
                  </w:r>
                </w:p>
              </w:tc>
              <w:tc>
                <w:tcPr>
                  <w:tcW w:w="297" w:type="pct"/>
                  <w:noWrap w:val="0"/>
                  <w:vAlign w:val="center"/>
                </w:tcPr>
                <w:p>
                  <w:pPr>
                    <w:adjustRightInd w:val="0"/>
                    <w:jc w:val="center"/>
                    <w:rPr>
                      <w:szCs w:val="21"/>
                    </w:rPr>
                  </w:pPr>
                  <w:r>
                    <w:rPr>
                      <w:szCs w:val="21"/>
                    </w:rPr>
                    <w:t>0</w:t>
                  </w:r>
                </w:p>
              </w:tc>
              <w:tc>
                <w:tcPr>
                  <w:tcW w:w="817" w:type="pct"/>
                  <w:noWrap w:val="0"/>
                  <w:vAlign w:val="center"/>
                </w:tcPr>
                <w:p>
                  <w:pPr>
                    <w:autoSpaceDE w:val="0"/>
                    <w:autoSpaceDN w:val="0"/>
                    <w:adjustRightInd w:val="0"/>
                    <w:snapToGrid w:val="0"/>
                    <w:jc w:val="center"/>
                    <w:textAlignment w:val="baseline"/>
                    <w:rPr>
                      <w:szCs w:val="21"/>
                    </w:rPr>
                  </w:pPr>
                  <w:r>
                    <w:rPr>
                      <w:rFonts w:hint="eastAsia"/>
                      <w:szCs w:val="21"/>
                    </w:rPr>
                    <w:t>南侧4.1k</w:t>
                  </w:r>
                  <w:r>
                    <w:rPr>
                      <w:szCs w:val="21"/>
                    </w:rPr>
                    <w:t>m</w:t>
                  </w:r>
                </w:p>
              </w:tc>
              <w:tc>
                <w:tcPr>
                  <w:tcW w:w="1298" w:type="pct"/>
                  <w:vMerge w:val="restart"/>
                  <w:noWrap w:val="0"/>
                  <w:vAlign w:val="center"/>
                </w:tcPr>
                <w:p>
                  <w:pPr>
                    <w:adjustRightInd w:val="0"/>
                    <w:jc w:val="center"/>
                    <w:rPr>
                      <w:szCs w:val="21"/>
                    </w:rPr>
                  </w:pPr>
                  <w:r>
                    <w:rPr>
                      <w:rFonts w:hint="eastAsia"/>
                      <w:szCs w:val="21"/>
                    </w:rPr>
                    <w:t>《地表水环境质量标准（</w:t>
                  </w:r>
                  <w:r>
                    <w:rPr>
                      <w:szCs w:val="21"/>
                    </w:rPr>
                    <w:t>GB3838-2002</w:t>
                  </w:r>
                  <w:r>
                    <w:rPr>
                      <w:rFonts w:hint="eastAsia"/>
                      <w:szCs w:val="21"/>
                    </w:rPr>
                    <w:t>）》中</w:t>
                  </w:r>
                  <w:r>
                    <w:rPr>
                      <w:rFonts w:hint="default"/>
                      <w:szCs w:val="21"/>
                    </w:rPr>
                    <w:t>Ⅲ</w:t>
                  </w:r>
                  <w:r>
                    <w:rPr>
                      <w:rFonts w:hint="eastAsia"/>
                      <w:szCs w:val="21"/>
                    </w:rPr>
                    <w:t>类标准</w:t>
                  </w:r>
                </w:p>
              </w:tc>
              <w:tc>
                <w:tcPr>
                  <w:tcW w:w="696" w:type="pct"/>
                  <w:noWrap w:val="0"/>
                  <w:vAlign w:val="center"/>
                </w:tcPr>
                <w:p>
                  <w:pPr>
                    <w:adjustRightInd w:val="0"/>
                    <w:jc w:val="center"/>
                    <w:rPr>
                      <w:szCs w:val="21"/>
                    </w:rPr>
                  </w:pPr>
                  <w:r>
                    <w:rPr>
                      <w:rFonts w:hint="eastAsia"/>
                      <w:szCs w:val="21"/>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4" w:type="dxa"/>
                  <w:bottom w:w="0" w:type="dxa"/>
                  <w:right w:w="14" w:type="dxa"/>
                </w:tblCellMar>
              </w:tblPrEx>
              <w:trPr>
                <w:trHeight w:val="606" w:hRule="atLeast"/>
              </w:trPr>
              <w:tc>
                <w:tcPr>
                  <w:tcW w:w="211" w:type="pct"/>
                  <w:vMerge w:val="continue"/>
                  <w:noWrap w:val="0"/>
                  <w:vAlign w:val="center"/>
                </w:tcPr>
                <w:p>
                  <w:pPr>
                    <w:widowControl/>
                    <w:jc w:val="left"/>
                    <w:rPr>
                      <w:szCs w:val="21"/>
                    </w:rPr>
                  </w:pPr>
                </w:p>
              </w:tc>
              <w:tc>
                <w:tcPr>
                  <w:tcW w:w="320" w:type="pct"/>
                  <w:noWrap w:val="0"/>
                  <w:vAlign w:val="center"/>
                </w:tcPr>
                <w:p>
                  <w:pPr>
                    <w:autoSpaceDE w:val="0"/>
                    <w:autoSpaceDN w:val="0"/>
                    <w:adjustRightInd w:val="0"/>
                    <w:snapToGrid w:val="0"/>
                    <w:jc w:val="center"/>
                    <w:textAlignment w:val="baseline"/>
                    <w:rPr>
                      <w:rFonts w:hint="eastAsia"/>
                      <w:szCs w:val="21"/>
                    </w:rPr>
                  </w:pPr>
                  <w:r>
                    <w:rPr>
                      <w:rFonts w:hint="eastAsia"/>
                      <w:szCs w:val="21"/>
                    </w:rPr>
                    <w:t>湘江</w:t>
                  </w:r>
                </w:p>
              </w:tc>
              <w:tc>
                <w:tcPr>
                  <w:tcW w:w="641" w:type="pct"/>
                  <w:noWrap w:val="0"/>
                  <w:vAlign w:val="center"/>
                </w:tcPr>
                <w:p>
                  <w:pPr>
                    <w:adjustRightInd w:val="0"/>
                    <w:jc w:val="center"/>
                    <w:rPr>
                      <w:szCs w:val="21"/>
                    </w:rPr>
                  </w:pPr>
                  <w:r>
                    <w:rPr>
                      <w:szCs w:val="21"/>
                    </w:rPr>
                    <w:t>682781.00</w:t>
                  </w:r>
                </w:p>
              </w:tc>
              <w:tc>
                <w:tcPr>
                  <w:tcW w:w="716" w:type="pct"/>
                  <w:noWrap w:val="0"/>
                  <w:vAlign w:val="center"/>
                </w:tcPr>
                <w:p>
                  <w:pPr>
                    <w:adjustRightInd w:val="0"/>
                    <w:jc w:val="center"/>
                    <w:rPr>
                      <w:rFonts w:hint="eastAsia"/>
                      <w:szCs w:val="21"/>
                    </w:rPr>
                  </w:pPr>
                  <w:r>
                    <w:rPr>
                      <w:szCs w:val="21"/>
                    </w:rPr>
                    <w:t>3171558.16</w:t>
                  </w:r>
                </w:p>
              </w:tc>
              <w:tc>
                <w:tcPr>
                  <w:tcW w:w="297" w:type="pct"/>
                  <w:noWrap w:val="0"/>
                  <w:vAlign w:val="center"/>
                </w:tcPr>
                <w:p>
                  <w:pPr>
                    <w:adjustRightInd w:val="0"/>
                    <w:jc w:val="center"/>
                    <w:rPr>
                      <w:szCs w:val="21"/>
                    </w:rPr>
                  </w:pPr>
                  <w:r>
                    <w:rPr>
                      <w:szCs w:val="21"/>
                    </w:rPr>
                    <w:t>0</w:t>
                  </w:r>
                </w:p>
              </w:tc>
              <w:tc>
                <w:tcPr>
                  <w:tcW w:w="817" w:type="pct"/>
                  <w:noWrap w:val="0"/>
                  <w:vAlign w:val="center"/>
                </w:tcPr>
                <w:p>
                  <w:pPr>
                    <w:autoSpaceDE w:val="0"/>
                    <w:autoSpaceDN w:val="0"/>
                    <w:adjustRightInd w:val="0"/>
                    <w:snapToGrid w:val="0"/>
                    <w:jc w:val="center"/>
                    <w:textAlignment w:val="baseline"/>
                    <w:rPr>
                      <w:szCs w:val="21"/>
                    </w:rPr>
                  </w:pPr>
                  <w:r>
                    <w:rPr>
                      <w:rFonts w:hint="eastAsia"/>
                      <w:szCs w:val="21"/>
                    </w:rPr>
                    <w:t>西侧4.2k</w:t>
                  </w:r>
                  <w:r>
                    <w:rPr>
                      <w:szCs w:val="21"/>
                    </w:rPr>
                    <w:t>m</w:t>
                  </w:r>
                </w:p>
              </w:tc>
              <w:tc>
                <w:tcPr>
                  <w:tcW w:w="1298" w:type="pct"/>
                  <w:vMerge w:val="continue"/>
                  <w:noWrap w:val="0"/>
                  <w:vAlign w:val="center"/>
                </w:tcPr>
                <w:p>
                  <w:pPr>
                    <w:widowControl/>
                    <w:jc w:val="left"/>
                    <w:rPr>
                      <w:szCs w:val="21"/>
                    </w:rPr>
                  </w:pPr>
                </w:p>
              </w:tc>
              <w:tc>
                <w:tcPr>
                  <w:tcW w:w="696" w:type="pct"/>
                  <w:noWrap w:val="0"/>
                  <w:vAlign w:val="center"/>
                </w:tcPr>
                <w:p>
                  <w:pPr>
                    <w:adjustRightInd w:val="0"/>
                    <w:jc w:val="center"/>
                    <w:rPr>
                      <w:szCs w:val="21"/>
                    </w:rPr>
                  </w:pPr>
                  <w:r>
                    <w:rPr>
                      <w:rFonts w:hint="eastAsia"/>
                      <w:szCs w:val="21"/>
                    </w:rPr>
                    <w:t>无直接水力联系，湘阴县第二污水处理厂的受纳水体</w:t>
                  </w:r>
                </w:p>
              </w:tc>
            </w:tr>
          </w:tbl>
          <w:p>
            <w:pPr>
              <w:adjustRightInd w:val="0"/>
              <w:snapToGrid w:val="0"/>
              <w:jc w:val="center"/>
              <w:rPr>
                <w:rFonts w:hint="eastAsia"/>
                <w:b/>
                <w:bCs/>
                <w:szCs w:val="21"/>
              </w:rPr>
            </w:pPr>
          </w:p>
          <w:p>
            <w:pPr>
              <w:adjustRightInd w:val="0"/>
              <w:snapToGrid w:val="0"/>
              <w:jc w:val="center"/>
              <w:rPr>
                <w:b/>
                <w:bCs/>
                <w:szCs w:val="21"/>
              </w:rPr>
            </w:pPr>
            <w:r>
              <w:rPr>
                <w:rFonts w:hint="eastAsia"/>
                <w:b/>
                <w:bCs/>
                <w:szCs w:val="21"/>
              </w:rPr>
              <w:t>表3-</w:t>
            </w:r>
            <w:r>
              <w:rPr>
                <w:rFonts w:hint="eastAsia"/>
                <w:b/>
                <w:bCs/>
                <w:szCs w:val="21"/>
                <w:lang w:val="en-US" w:eastAsia="zh-CN"/>
              </w:rPr>
              <w:t>8</w:t>
            </w:r>
            <w:r>
              <w:rPr>
                <w:rFonts w:hint="eastAsia"/>
                <w:b/>
                <w:bCs/>
                <w:szCs w:val="21"/>
              </w:rPr>
              <w:t xml:space="preserve"> 生态环境保护目标一览表</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3"/>
              <w:gridCol w:w="1618"/>
              <w:gridCol w:w="1483"/>
              <w:gridCol w:w="2565"/>
              <w:gridCol w:w="15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562" w:type="pct"/>
                  <w:tcBorders>
                    <w:tl2br w:val="nil"/>
                    <w:tr2bl w:val="nil"/>
                  </w:tcBorders>
                  <w:noWrap w:val="0"/>
                  <w:vAlign w:val="center"/>
                </w:tcPr>
                <w:p>
                  <w:pPr>
                    <w:autoSpaceDE w:val="0"/>
                    <w:autoSpaceDN w:val="0"/>
                    <w:adjustRightInd w:val="0"/>
                    <w:snapToGrid w:val="0"/>
                    <w:jc w:val="center"/>
                    <w:textAlignment w:val="baseline"/>
                    <w:rPr>
                      <w:b/>
                      <w:bCs/>
                      <w:szCs w:val="21"/>
                    </w:rPr>
                  </w:pPr>
                  <w:r>
                    <w:rPr>
                      <w:rFonts w:hint="eastAsia"/>
                      <w:b/>
                      <w:bCs/>
                      <w:szCs w:val="21"/>
                    </w:rPr>
                    <w:t>类别</w:t>
                  </w:r>
                </w:p>
              </w:tc>
              <w:tc>
                <w:tcPr>
                  <w:tcW w:w="996" w:type="pct"/>
                  <w:tcBorders>
                    <w:tl2br w:val="nil"/>
                    <w:tr2bl w:val="nil"/>
                  </w:tcBorders>
                  <w:noWrap w:val="0"/>
                  <w:vAlign w:val="center"/>
                </w:tcPr>
                <w:p>
                  <w:pPr>
                    <w:autoSpaceDE w:val="0"/>
                    <w:autoSpaceDN w:val="0"/>
                    <w:adjustRightInd w:val="0"/>
                    <w:snapToGrid w:val="0"/>
                    <w:jc w:val="center"/>
                    <w:textAlignment w:val="baseline"/>
                    <w:rPr>
                      <w:b/>
                      <w:bCs/>
                      <w:szCs w:val="21"/>
                    </w:rPr>
                  </w:pPr>
                  <w:r>
                    <w:rPr>
                      <w:rFonts w:hint="eastAsia"/>
                      <w:b/>
                      <w:bCs/>
                      <w:szCs w:val="21"/>
                    </w:rPr>
                    <w:t>保护目标</w:t>
                  </w:r>
                </w:p>
              </w:tc>
              <w:tc>
                <w:tcPr>
                  <w:tcW w:w="913" w:type="pct"/>
                  <w:tcBorders>
                    <w:tl2br w:val="nil"/>
                    <w:tr2bl w:val="nil"/>
                  </w:tcBorders>
                  <w:noWrap w:val="0"/>
                  <w:vAlign w:val="center"/>
                </w:tcPr>
                <w:p>
                  <w:pPr>
                    <w:autoSpaceDE w:val="0"/>
                    <w:autoSpaceDN w:val="0"/>
                    <w:adjustRightInd w:val="0"/>
                    <w:snapToGrid w:val="0"/>
                    <w:jc w:val="center"/>
                    <w:textAlignment w:val="baseline"/>
                    <w:rPr>
                      <w:b/>
                      <w:bCs/>
                      <w:szCs w:val="21"/>
                    </w:rPr>
                  </w:pPr>
                  <w:r>
                    <w:rPr>
                      <w:rFonts w:hint="eastAsia"/>
                      <w:b/>
                      <w:bCs/>
                      <w:szCs w:val="21"/>
                    </w:rPr>
                    <w:t>相对项目厂址及距离</w:t>
                  </w:r>
                </w:p>
              </w:tc>
              <w:tc>
                <w:tcPr>
                  <w:tcW w:w="1579" w:type="pct"/>
                  <w:tcBorders>
                    <w:tl2br w:val="nil"/>
                    <w:tr2bl w:val="nil"/>
                  </w:tcBorders>
                  <w:noWrap w:val="0"/>
                  <w:vAlign w:val="center"/>
                </w:tcPr>
                <w:p>
                  <w:pPr>
                    <w:autoSpaceDE w:val="0"/>
                    <w:autoSpaceDN w:val="0"/>
                    <w:adjustRightInd w:val="0"/>
                    <w:snapToGrid w:val="0"/>
                    <w:jc w:val="center"/>
                    <w:textAlignment w:val="baseline"/>
                    <w:rPr>
                      <w:b/>
                      <w:bCs/>
                      <w:szCs w:val="21"/>
                    </w:rPr>
                  </w:pPr>
                  <w:r>
                    <w:rPr>
                      <w:rFonts w:hint="eastAsia"/>
                      <w:b/>
                      <w:bCs/>
                      <w:szCs w:val="21"/>
                    </w:rPr>
                    <w:t>功能与规模</w:t>
                  </w:r>
                </w:p>
              </w:tc>
              <w:tc>
                <w:tcPr>
                  <w:tcW w:w="947" w:type="pct"/>
                  <w:tcBorders>
                    <w:tl2br w:val="nil"/>
                    <w:tr2bl w:val="nil"/>
                  </w:tcBorders>
                  <w:noWrap w:val="0"/>
                  <w:vAlign w:val="center"/>
                </w:tcPr>
                <w:p>
                  <w:pPr>
                    <w:autoSpaceDE w:val="0"/>
                    <w:autoSpaceDN w:val="0"/>
                    <w:adjustRightInd w:val="0"/>
                    <w:snapToGrid w:val="0"/>
                    <w:jc w:val="center"/>
                    <w:textAlignment w:val="baseline"/>
                    <w:rPr>
                      <w:b/>
                      <w:bCs/>
                      <w:szCs w:val="21"/>
                    </w:rPr>
                  </w:pPr>
                  <w:r>
                    <w:rPr>
                      <w:rFonts w:hint="eastAsia"/>
                      <w:b/>
                      <w:bCs/>
                      <w:szCs w:val="21"/>
                    </w:rPr>
                    <w:t>环境保护功能类别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62" w:type="pct"/>
                  <w:tcBorders>
                    <w:tl2br w:val="nil"/>
                    <w:tr2bl w:val="nil"/>
                  </w:tcBorders>
                  <w:noWrap w:val="0"/>
                  <w:vAlign w:val="center"/>
                </w:tcPr>
                <w:p>
                  <w:pPr>
                    <w:autoSpaceDE w:val="0"/>
                    <w:autoSpaceDN w:val="0"/>
                    <w:adjustRightInd w:val="0"/>
                    <w:snapToGrid w:val="0"/>
                    <w:jc w:val="center"/>
                    <w:textAlignment w:val="baseline"/>
                    <w:rPr>
                      <w:szCs w:val="21"/>
                    </w:rPr>
                  </w:pPr>
                  <w:r>
                    <w:rPr>
                      <w:rFonts w:hint="eastAsia"/>
                      <w:szCs w:val="21"/>
                    </w:rPr>
                    <w:t>生态环境</w:t>
                  </w:r>
                </w:p>
              </w:tc>
              <w:tc>
                <w:tcPr>
                  <w:tcW w:w="996" w:type="pct"/>
                  <w:tcBorders>
                    <w:tl2br w:val="nil"/>
                    <w:tr2bl w:val="nil"/>
                  </w:tcBorders>
                  <w:noWrap w:val="0"/>
                  <w:vAlign w:val="center"/>
                </w:tcPr>
                <w:p>
                  <w:pPr>
                    <w:autoSpaceDE w:val="0"/>
                    <w:autoSpaceDN w:val="0"/>
                    <w:adjustRightInd w:val="0"/>
                    <w:snapToGrid w:val="0"/>
                    <w:jc w:val="center"/>
                    <w:textAlignment w:val="baseline"/>
                    <w:rPr>
                      <w:szCs w:val="21"/>
                    </w:rPr>
                  </w:pPr>
                  <w:r>
                    <w:rPr>
                      <w:rFonts w:hint="eastAsia"/>
                      <w:szCs w:val="21"/>
                    </w:rPr>
                    <w:t>周边山地植被、林地</w:t>
                  </w:r>
                </w:p>
              </w:tc>
              <w:tc>
                <w:tcPr>
                  <w:tcW w:w="913" w:type="pct"/>
                  <w:tcBorders>
                    <w:tl2br w:val="nil"/>
                    <w:tr2bl w:val="nil"/>
                  </w:tcBorders>
                  <w:noWrap w:val="0"/>
                  <w:vAlign w:val="center"/>
                </w:tcPr>
                <w:p>
                  <w:pPr>
                    <w:autoSpaceDE w:val="0"/>
                    <w:autoSpaceDN w:val="0"/>
                    <w:adjustRightInd w:val="0"/>
                    <w:snapToGrid w:val="0"/>
                    <w:jc w:val="center"/>
                    <w:textAlignment w:val="baseline"/>
                    <w:rPr>
                      <w:szCs w:val="21"/>
                    </w:rPr>
                  </w:pPr>
                  <w:r>
                    <w:rPr>
                      <w:rFonts w:hint="eastAsia"/>
                      <w:szCs w:val="21"/>
                    </w:rPr>
                    <w:t>本项目周边</w:t>
                  </w:r>
                  <w:r>
                    <w:rPr>
                      <w:szCs w:val="21"/>
                    </w:rPr>
                    <w:t>200m</w:t>
                  </w:r>
                  <w:r>
                    <w:rPr>
                      <w:rFonts w:hint="eastAsia"/>
                      <w:szCs w:val="21"/>
                    </w:rPr>
                    <w:t>范围内</w:t>
                  </w:r>
                </w:p>
              </w:tc>
              <w:tc>
                <w:tcPr>
                  <w:tcW w:w="1579" w:type="pct"/>
                  <w:tcBorders>
                    <w:tl2br w:val="nil"/>
                    <w:tr2bl w:val="nil"/>
                  </w:tcBorders>
                  <w:noWrap w:val="0"/>
                  <w:vAlign w:val="center"/>
                </w:tcPr>
                <w:p>
                  <w:pPr>
                    <w:autoSpaceDE w:val="0"/>
                    <w:autoSpaceDN w:val="0"/>
                    <w:adjustRightInd w:val="0"/>
                    <w:snapToGrid w:val="0"/>
                    <w:jc w:val="center"/>
                    <w:textAlignment w:val="baseline"/>
                    <w:rPr>
                      <w:szCs w:val="21"/>
                    </w:rPr>
                  </w:pPr>
                  <w:r>
                    <w:rPr>
                      <w:rFonts w:hint="eastAsia"/>
                      <w:szCs w:val="21"/>
                    </w:rPr>
                    <w:t>无需要特殊保护物种</w:t>
                  </w:r>
                </w:p>
              </w:tc>
              <w:tc>
                <w:tcPr>
                  <w:tcW w:w="947" w:type="pct"/>
                  <w:tcBorders>
                    <w:tl2br w:val="nil"/>
                    <w:tr2bl w:val="nil"/>
                  </w:tcBorders>
                  <w:noWrap w:val="0"/>
                  <w:vAlign w:val="center"/>
                </w:tcPr>
                <w:p>
                  <w:pPr>
                    <w:autoSpaceDE w:val="0"/>
                    <w:autoSpaceDN w:val="0"/>
                    <w:adjustRightInd w:val="0"/>
                    <w:snapToGrid w:val="0"/>
                    <w:jc w:val="center"/>
                    <w:textAlignment w:val="baseline"/>
                    <w:rPr>
                      <w:szCs w:val="21"/>
                    </w:rPr>
                  </w:pPr>
                  <w:r>
                    <w:rPr>
                      <w:rFonts w:hint="eastAsia"/>
                      <w:szCs w:val="21"/>
                    </w:rPr>
                    <w:t>一般生态区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62" w:type="pct"/>
                  <w:tcBorders>
                    <w:tl2br w:val="nil"/>
                    <w:tr2bl w:val="nil"/>
                  </w:tcBorders>
                  <w:noWrap w:val="0"/>
                  <w:vAlign w:val="center"/>
                </w:tcPr>
                <w:p>
                  <w:pPr>
                    <w:autoSpaceDE w:val="0"/>
                    <w:autoSpaceDN w:val="0"/>
                    <w:adjustRightInd w:val="0"/>
                    <w:snapToGrid w:val="0"/>
                    <w:jc w:val="center"/>
                    <w:textAlignment w:val="baseline"/>
                    <w:rPr>
                      <w:rFonts w:hint="eastAsia"/>
                      <w:szCs w:val="21"/>
                    </w:rPr>
                  </w:pPr>
                  <w:r>
                    <w:rPr>
                      <w:rFonts w:hint="eastAsia"/>
                      <w:szCs w:val="21"/>
                    </w:rPr>
                    <w:t>湘阴县望滨公园</w:t>
                  </w:r>
                </w:p>
              </w:tc>
              <w:tc>
                <w:tcPr>
                  <w:tcW w:w="996" w:type="pct"/>
                  <w:tcBorders>
                    <w:tl2br w:val="nil"/>
                    <w:tr2bl w:val="nil"/>
                  </w:tcBorders>
                  <w:noWrap w:val="0"/>
                  <w:vAlign w:val="center"/>
                </w:tcPr>
                <w:p>
                  <w:pPr>
                    <w:autoSpaceDE w:val="0"/>
                    <w:autoSpaceDN w:val="0"/>
                    <w:adjustRightInd w:val="0"/>
                    <w:snapToGrid w:val="0"/>
                    <w:jc w:val="center"/>
                    <w:textAlignment w:val="baseline"/>
                    <w:rPr>
                      <w:rFonts w:hint="eastAsia"/>
                      <w:szCs w:val="21"/>
                    </w:rPr>
                  </w:pPr>
                  <w:r>
                    <w:rPr>
                      <w:rFonts w:hint="eastAsia"/>
                      <w:szCs w:val="21"/>
                    </w:rPr>
                    <w:t>周边山地植被、林地</w:t>
                  </w:r>
                </w:p>
              </w:tc>
              <w:tc>
                <w:tcPr>
                  <w:tcW w:w="913" w:type="pct"/>
                  <w:tcBorders>
                    <w:tl2br w:val="nil"/>
                    <w:tr2bl w:val="nil"/>
                  </w:tcBorders>
                  <w:noWrap w:val="0"/>
                  <w:vAlign w:val="center"/>
                </w:tcPr>
                <w:p>
                  <w:pPr>
                    <w:autoSpaceDE w:val="0"/>
                    <w:autoSpaceDN w:val="0"/>
                    <w:adjustRightInd w:val="0"/>
                    <w:snapToGrid w:val="0"/>
                    <w:jc w:val="center"/>
                    <w:textAlignment w:val="baseline"/>
                    <w:rPr>
                      <w:rFonts w:hint="eastAsia"/>
                      <w:szCs w:val="21"/>
                    </w:rPr>
                  </w:pPr>
                  <w:r>
                    <w:rPr>
                      <w:rFonts w:hint="eastAsia"/>
                      <w:szCs w:val="21"/>
                    </w:rPr>
                    <w:t>东侧180</w:t>
                  </w:r>
                  <w:r>
                    <w:rPr>
                      <w:szCs w:val="21"/>
                    </w:rPr>
                    <w:t>m</w:t>
                  </w:r>
                </w:p>
              </w:tc>
              <w:tc>
                <w:tcPr>
                  <w:tcW w:w="1579" w:type="pct"/>
                  <w:tcBorders>
                    <w:tl2br w:val="nil"/>
                    <w:tr2bl w:val="nil"/>
                  </w:tcBorders>
                  <w:noWrap w:val="0"/>
                  <w:vAlign w:val="center"/>
                </w:tcPr>
                <w:p>
                  <w:pPr>
                    <w:autoSpaceDE w:val="0"/>
                    <w:autoSpaceDN w:val="0"/>
                    <w:adjustRightInd w:val="0"/>
                    <w:snapToGrid w:val="0"/>
                    <w:jc w:val="center"/>
                    <w:textAlignment w:val="baseline"/>
                    <w:rPr>
                      <w:rFonts w:hint="eastAsia"/>
                      <w:szCs w:val="21"/>
                    </w:rPr>
                  </w:pPr>
                  <w:r>
                    <w:rPr>
                      <w:rFonts w:hint="eastAsia"/>
                      <w:szCs w:val="21"/>
                    </w:rPr>
                    <w:t>湘阴县望滨公园及其周边区域</w:t>
                  </w:r>
                  <w:r>
                    <w:rPr>
                      <w:szCs w:val="21"/>
                    </w:rPr>
                    <w:t xml:space="preserve"> </w:t>
                  </w:r>
                </w:p>
              </w:tc>
              <w:tc>
                <w:tcPr>
                  <w:tcW w:w="947" w:type="pct"/>
                  <w:tcBorders>
                    <w:tl2br w:val="nil"/>
                    <w:tr2bl w:val="nil"/>
                  </w:tcBorders>
                  <w:noWrap w:val="0"/>
                  <w:vAlign w:val="center"/>
                </w:tcPr>
                <w:p>
                  <w:pPr>
                    <w:autoSpaceDE w:val="0"/>
                    <w:autoSpaceDN w:val="0"/>
                    <w:adjustRightInd w:val="0"/>
                    <w:snapToGrid w:val="0"/>
                    <w:jc w:val="center"/>
                    <w:textAlignment w:val="baseline"/>
                    <w:rPr>
                      <w:rFonts w:hint="eastAsia"/>
                      <w:szCs w:val="21"/>
                    </w:rPr>
                  </w:pPr>
                  <w:r>
                    <w:rPr>
                      <w:rFonts w:hint="eastAsia"/>
                      <w:szCs w:val="21"/>
                    </w:rPr>
                    <w:t>一般生态区</w:t>
                  </w:r>
                </w:p>
              </w:tc>
            </w:tr>
          </w:tbl>
          <w:p>
            <w:pPr>
              <w:adjustRightInd w:val="0"/>
              <w:snapToGrid w:val="0"/>
              <w:jc w:val="center"/>
              <w:rPr>
                <w:rFonts w:hint="eastAsia"/>
                <w:sz w:val="24"/>
              </w:rPr>
            </w:pPr>
          </w:p>
          <w:p>
            <w:pPr>
              <w:adjustRightInd w:val="0"/>
              <w:snapToGrid w:val="0"/>
              <w:ind w:firstLine="480" w:firstLineChars="200"/>
              <w:jc w:val="both"/>
              <w:rPr>
                <w:rFonts w:ascii="宋体" w:hAnsi="宋体" w:cs="宋体"/>
                <w:kern w:val="0"/>
                <w:szCs w:val="21"/>
              </w:rPr>
            </w:pPr>
            <w:r>
              <w:rPr>
                <w:rFonts w:hint="eastAsia"/>
                <w:sz w:val="24"/>
              </w:rPr>
              <w:t>环境保护目标详见附图3。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26" w:type="dxa"/>
            <w:noWrap w:val="0"/>
            <w:tcMar>
              <w:left w:w="28" w:type="dxa"/>
              <w:right w:w="28" w:type="dxa"/>
            </w:tcMar>
            <w:vAlign w:val="center"/>
          </w:tcPr>
          <w:p>
            <w:pPr>
              <w:adjustRightInd w:val="0"/>
              <w:snapToGrid w:val="0"/>
              <w:jc w:val="center"/>
              <w:rPr>
                <w:rFonts w:hint="eastAsia" w:ascii="宋体" w:hAnsi="宋体" w:cs="宋体"/>
                <w:kern w:val="0"/>
                <w:szCs w:val="21"/>
              </w:rPr>
            </w:pPr>
            <w:r>
              <w:rPr>
                <w:rFonts w:hint="eastAsia" w:ascii="宋体" w:hAnsi="宋体" w:cs="宋体"/>
                <w:kern w:val="0"/>
                <w:szCs w:val="21"/>
              </w:rPr>
              <w:t>污染</w:t>
            </w:r>
          </w:p>
          <w:p>
            <w:pPr>
              <w:adjustRightInd w:val="0"/>
              <w:snapToGrid w:val="0"/>
              <w:jc w:val="center"/>
              <w:rPr>
                <w:rFonts w:hint="eastAsia" w:ascii="宋体" w:hAnsi="宋体" w:cs="宋体"/>
                <w:kern w:val="0"/>
                <w:szCs w:val="21"/>
              </w:rPr>
            </w:pPr>
            <w:r>
              <w:rPr>
                <w:rFonts w:hint="eastAsia" w:ascii="宋体" w:hAnsi="宋体" w:cs="宋体"/>
                <w:kern w:val="0"/>
                <w:szCs w:val="21"/>
              </w:rPr>
              <w:t>物排</w:t>
            </w:r>
          </w:p>
          <w:p>
            <w:pPr>
              <w:adjustRightInd w:val="0"/>
              <w:snapToGrid w:val="0"/>
              <w:jc w:val="center"/>
              <w:rPr>
                <w:rFonts w:hint="eastAsia" w:ascii="宋体" w:hAnsi="宋体" w:cs="宋体"/>
                <w:kern w:val="0"/>
                <w:szCs w:val="21"/>
              </w:rPr>
            </w:pPr>
            <w:r>
              <w:rPr>
                <w:rFonts w:hint="eastAsia" w:ascii="宋体" w:hAnsi="宋体" w:cs="宋体"/>
                <w:kern w:val="0"/>
                <w:szCs w:val="21"/>
              </w:rPr>
              <w:t>放控</w:t>
            </w:r>
          </w:p>
          <w:p>
            <w:pPr>
              <w:adjustRightInd w:val="0"/>
              <w:snapToGrid w:val="0"/>
              <w:jc w:val="center"/>
              <w:rPr>
                <w:rFonts w:hint="eastAsia" w:ascii="宋体" w:hAnsi="宋体" w:cs="宋体"/>
                <w:kern w:val="0"/>
                <w:szCs w:val="21"/>
              </w:rPr>
            </w:pPr>
            <w:r>
              <w:rPr>
                <w:rFonts w:hint="eastAsia" w:ascii="宋体" w:hAnsi="宋体" w:cs="宋体"/>
                <w:kern w:val="0"/>
                <w:szCs w:val="21"/>
              </w:rPr>
              <w:t>制标</w:t>
            </w:r>
          </w:p>
          <w:p>
            <w:pPr>
              <w:adjustRightInd w:val="0"/>
              <w:snapToGrid w:val="0"/>
              <w:jc w:val="center"/>
              <w:rPr>
                <w:rFonts w:ascii="宋体" w:hAnsi="宋体" w:cs="宋体"/>
                <w:kern w:val="0"/>
                <w:szCs w:val="21"/>
              </w:rPr>
            </w:pPr>
            <w:r>
              <w:rPr>
                <w:rFonts w:hint="eastAsia" w:ascii="宋体" w:hAnsi="宋体" w:cs="宋体"/>
                <w:kern w:val="0"/>
                <w:szCs w:val="21"/>
              </w:rPr>
              <w:t>准</w:t>
            </w:r>
          </w:p>
        </w:tc>
        <w:tc>
          <w:tcPr>
            <w:tcW w:w="8364" w:type="dxa"/>
            <w:noWrap w:val="0"/>
            <w:vAlign w:val="center"/>
          </w:tcPr>
          <w:p>
            <w:pPr>
              <w:tabs>
                <w:tab w:val="left" w:pos="503"/>
                <w:tab w:val="left" w:pos="683"/>
              </w:tabs>
              <w:spacing w:line="360" w:lineRule="auto"/>
              <w:rPr>
                <w:b/>
                <w:sz w:val="24"/>
              </w:rPr>
            </w:pPr>
            <w:r>
              <w:rPr>
                <w:b/>
                <w:sz w:val="24"/>
              </w:rPr>
              <w:t>1、废水</w:t>
            </w:r>
          </w:p>
          <w:p>
            <w:pPr>
              <w:spacing w:line="360" w:lineRule="auto"/>
              <w:ind w:firstLine="601"/>
              <w:rPr>
                <w:sz w:val="24"/>
              </w:rPr>
            </w:pPr>
            <w:r>
              <w:rPr>
                <w:rFonts w:hint="eastAsia"/>
                <w:sz w:val="24"/>
              </w:rPr>
              <w:t>项目施工期废水生活污水经化粪池处理达到《污水综合排放标准》（</w:t>
            </w:r>
            <w:r>
              <w:rPr>
                <w:sz w:val="24"/>
              </w:rPr>
              <w:t>GB8978-1996</w:t>
            </w:r>
            <w:r>
              <w:rPr>
                <w:rFonts w:hint="eastAsia"/>
                <w:sz w:val="24"/>
              </w:rPr>
              <w:t>）表</w:t>
            </w:r>
            <w:r>
              <w:rPr>
                <w:sz w:val="24"/>
              </w:rPr>
              <w:t>4</w:t>
            </w:r>
            <w:r>
              <w:rPr>
                <w:rFonts w:hint="eastAsia"/>
                <w:sz w:val="24"/>
              </w:rPr>
              <w:t>三级标准后，排入市政管网；施工废水经处理后大部分回用，不能回用的处理达到《污水综合排放标准》（</w:t>
            </w:r>
            <w:r>
              <w:rPr>
                <w:sz w:val="24"/>
              </w:rPr>
              <w:t>GB8978-1996</w:t>
            </w:r>
            <w:r>
              <w:rPr>
                <w:rFonts w:hint="eastAsia"/>
                <w:sz w:val="24"/>
              </w:rPr>
              <w:t>）表</w:t>
            </w:r>
            <w:r>
              <w:rPr>
                <w:sz w:val="24"/>
              </w:rPr>
              <w:t>4</w:t>
            </w:r>
            <w:r>
              <w:rPr>
                <w:rFonts w:hint="eastAsia"/>
                <w:sz w:val="24"/>
              </w:rPr>
              <w:t>三级标准排入市政管网，其标准值见下表。</w:t>
            </w:r>
          </w:p>
          <w:p>
            <w:pPr>
              <w:adjustRightInd w:val="0"/>
              <w:snapToGrid w:val="0"/>
              <w:jc w:val="center"/>
              <w:rPr>
                <w:b/>
                <w:szCs w:val="21"/>
              </w:rPr>
            </w:pPr>
            <w:r>
              <w:rPr>
                <w:rFonts w:hint="eastAsia"/>
                <w:b/>
                <w:szCs w:val="21"/>
              </w:rPr>
              <w:t>表3-</w:t>
            </w:r>
            <w:r>
              <w:rPr>
                <w:rFonts w:hint="eastAsia"/>
                <w:b/>
                <w:szCs w:val="21"/>
                <w:lang w:val="en-US" w:eastAsia="zh-CN"/>
              </w:rPr>
              <w:t>9</w:t>
            </w:r>
            <w:r>
              <w:rPr>
                <w:rFonts w:hint="eastAsia"/>
                <w:b/>
                <w:szCs w:val="21"/>
              </w:rPr>
              <w:t xml:space="preserve">  污水综合排放标准（表</w:t>
            </w:r>
            <w:r>
              <w:rPr>
                <w:b/>
                <w:szCs w:val="21"/>
              </w:rPr>
              <w:t>4</w:t>
            </w:r>
            <w:r>
              <w:rPr>
                <w:rFonts w:hint="eastAsia"/>
                <w:b/>
                <w:szCs w:val="21"/>
              </w:rPr>
              <w:t>三级标准）</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26"/>
              <w:gridCol w:w="2536"/>
              <w:gridCol w:w="2032"/>
              <w:gridCol w:w="20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40" w:type="pct"/>
                  <w:tcBorders>
                    <w:top w:val="single" w:color="auto" w:sz="12" w:space="0"/>
                    <w:left w:val="single" w:color="auto" w:sz="12" w:space="0"/>
                    <w:bottom w:val="single" w:color="auto" w:sz="6" w:space="0"/>
                    <w:right w:val="single" w:color="auto" w:sz="6" w:space="0"/>
                  </w:tcBorders>
                  <w:noWrap w:val="0"/>
                  <w:vAlign w:val="center"/>
                </w:tcPr>
                <w:p>
                  <w:pPr>
                    <w:adjustRightInd w:val="0"/>
                    <w:snapToGrid w:val="0"/>
                    <w:jc w:val="center"/>
                    <w:rPr>
                      <w:b/>
                      <w:szCs w:val="21"/>
                    </w:rPr>
                  </w:pPr>
                  <w:r>
                    <w:rPr>
                      <w:rFonts w:hint="eastAsia"/>
                      <w:b/>
                      <w:szCs w:val="21"/>
                    </w:rPr>
                    <w:t>序号</w:t>
                  </w:r>
                </w:p>
              </w:tc>
              <w:tc>
                <w:tcPr>
                  <w:tcW w:w="1562" w:type="pct"/>
                  <w:tcBorders>
                    <w:top w:val="single" w:color="auto" w:sz="12" w:space="0"/>
                    <w:left w:val="single" w:color="auto" w:sz="6" w:space="0"/>
                    <w:bottom w:val="single" w:color="auto" w:sz="6" w:space="0"/>
                    <w:right w:val="single" w:color="auto" w:sz="6" w:space="0"/>
                  </w:tcBorders>
                  <w:noWrap w:val="0"/>
                  <w:vAlign w:val="center"/>
                </w:tcPr>
                <w:p>
                  <w:pPr>
                    <w:adjustRightInd w:val="0"/>
                    <w:snapToGrid w:val="0"/>
                    <w:jc w:val="center"/>
                    <w:rPr>
                      <w:b/>
                      <w:szCs w:val="21"/>
                    </w:rPr>
                  </w:pPr>
                  <w:r>
                    <w:rPr>
                      <w:rFonts w:hint="eastAsia"/>
                      <w:b/>
                      <w:szCs w:val="21"/>
                    </w:rPr>
                    <w:t>控制项目</w:t>
                  </w:r>
                </w:p>
              </w:tc>
              <w:tc>
                <w:tcPr>
                  <w:tcW w:w="1251" w:type="pct"/>
                  <w:tcBorders>
                    <w:top w:val="single" w:color="auto" w:sz="12" w:space="0"/>
                    <w:left w:val="single" w:color="auto" w:sz="6" w:space="0"/>
                    <w:bottom w:val="single" w:color="auto" w:sz="6" w:space="0"/>
                    <w:right w:val="single" w:color="auto" w:sz="6" w:space="0"/>
                  </w:tcBorders>
                  <w:noWrap w:val="0"/>
                  <w:vAlign w:val="center"/>
                </w:tcPr>
                <w:p>
                  <w:pPr>
                    <w:adjustRightInd w:val="0"/>
                    <w:snapToGrid w:val="0"/>
                    <w:jc w:val="center"/>
                    <w:rPr>
                      <w:b/>
                      <w:szCs w:val="21"/>
                    </w:rPr>
                  </w:pPr>
                  <w:r>
                    <w:rPr>
                      <w:rFonts w:hint="eastAsia"/>
                      <w:b/>
                      <w:szCs w:val="21"/>
                    </w:rPr>
                    <w:t>标准值</w:t>
                  </w:r>
                </w:p>
              </w:tc>
              <w:tc>
                <w:tcPr>
                  <w:tcW w:w="1247" w:type="pct"/>
                  <w:tcBorders>
                    <w:top w:val="single" w:color="auto" w:sz="12" w:space="0"/>
                    <w:left w:val="single" w:color="auto" w:sz="6" w:space="0"/>
                    <w:bottom w:val="single" w:color="auto" w:sz="6" w:space="0"/>
                    <w:right w:val="single" w:color="auto" w:sz="12" w:space="0"/>
                  </w:tcBorders>
                  <w:noWrap w:val="0"/>
                  <w:vAlign w:val="center"/>
                </w:tcPr>
                <w:p>
                  <w:pPr>
                    <w:adjustRightInd w:val="0"/>
                    <w:snapToGrid w:val="0"/>
                    <w:jc w:val="center"/>
                    <w:rPr>
                      <w:b/>
                      <w:szCs w:val="21"/>
                    </w:rPr>
                  </w:pPr>
                  <w:r>
                    <w:rPr>
                      <w:rFonts w:hint="eastAsia"/>
                      <w:b/>
                      <w:szCs w:val="21"/>
                    </w:rPr>
                    <w:t>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40" w:type="pct"/>
                  <w:tcBorders>
                    <w:top w:val="single" w:color="auto" w:sz="6" w:space="0"/>
                    <w:left w:val="single" w:color="auto" w:sz="12" w:space="0"/>
                    <w:bottom w:val="single" w:color="auto" w:sz="6" w:space="0"/>
                    <w:right w:val="single" w:color="auto" w:sz="6" w:space="0"/>
                  </w:tcBorders>
                  <w:noWrap w:val="0"/>
                  <w:vAlign w:val="center"/>
                </w:tcPr>
                <w:p>
                  <w:pPr>
                    <w:adjustRightInd w:val="0"/>
                    <w:snapToGrid w:val="0"/>
                    <w:jc w:val="center"/>
                    <w:rPr>
                      <w:szCs w:val="21"/>
                    </w:rPr>
                  </w:pPr>
                  <w:r>
                    <w:rPr>
                      <w:szCs w:val="21"/>
                    </w:rPr>
                    <w:t>1</w:t>
                  </w:r>
                </w:p>
              </w:tc>
              <w:tc>
                <w:tcPr>
                  <w:tcW w:w="1562"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szCs w:val="21"/>
                    </w:rPr>
                  </w:pPr>
                  <w:r>
                    <w:rPr>
                      <w:szCs w:val="21"/>
                    </w:rPr>
                    <w:t>pH</w:t>
                  </w:r>
                </w:p>
              </w:tc>
              <w:tc>
                <w:tcPr>
                  <w:tcW w:w="1251"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szCs w:val="21"/>
                    </w:rPr>
                  </w:pPr>
                  <w:r>
                    <w:rPr>
                      <w:szCs w:val="21"/>
                    </w:rPr>
                    <w:t>6~9</w:t>
                  </w:r>
                </w:p>
              </w:tc>
              <w:tc>
                <w:tcPr>
                  <w:tcW w:w="1247" w:type="pct"/>
                  <w:tcBorders>
                    <w:top w:val="single" w:color="auto" w:sz="6" w:space="0"/>
                    <w:left w:val="single" w:color="auto" w:sz="6" w:space="0"/>
                    <w:bottom w:val="single" w:color="auto" w:sz="6" w:space="0"/>
                    <w:right w:val="single" w:color="auto" w:sz="12" w:space="0"/>
                  </w:tcBorders>
                  <w:noWrap w:val="0"/>
                  <w:vAlign w:val="center"/>
                </w:tcPr>
                <w:p>
                  <w:pPr>
                    <w:adjustRightInd w:val="0"/>
                    <w:snapToGrid w:val="0"/>
                    <w:jc w:val="center"/>
                    <w:rPr>
                      <w:szCs w:val="21"/>
                    </w:rPr>
                  </w:pPr>
                  <w:r>
                    <w:rPr>
                      <w:rFonts w:hint="eastAsia"/>
                      <w:szCs w:val="21"/>
                    </w:rPr>
                    <w:t>无量纲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40" w:type="pct"/>
                  <w:tcBorders>
                    <w:top w:val="single" w:color="auto" w:sz="6" w:space="0"/>
                    <w:left w:val="single" w:color="auto" w:sz="12" w:space="0"/>
                    <w:bottom w:val="single" w:color="auto" w:sz="6" w:space="0"/>
                    <w:right w:val="single" w:color="auto" w:sz="6" w:space="0"/>
                  </w:tcBorders>
                  <w:noWrap w:val="0"/>
                  <w:vAlign w:val="center"/>
                </w:tcPr>
                <w:p>
                  <w:pPr>
                    <w:adjustRightInd w:val="0"/>
                    <w:snapToGrid w:val="0"/>
                    <w:jc w:val="center"/>
                    <w:rPr>
                      <w:szCs w:val="21"/>
                    </w:rPr>
                  </w:pPr>
                  <w:r>
                    <w:rPr>
                      <w:szCs w:val="21"/>
                    </w:rPr>
                    <w:t>2</w:t>
                  </w:r>
                </w:p>
              </w:tc>
              <w:tc>
                <w:tcPr>
                  <w:tcW w:w="1562"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szCs w:val="21"/>
                    </w:rPr>
                  </w:pPr>
                  <w:r>
                    <w:rPr>
                      <w:szCs w:val="21"/>
                    </w:rPr>
                    <w:t>COD</w:t>
                  </w:r>
                  <w:r>
                    <w:rPr>
                      <w:szCs w:val="21"/>
                      <w:vertAlign w:val="subscript"/>
                    </w:rPr>
                    <w:t>Cr</w:t>
                  </w:r>
                </w:p>
              </w:tc>
              <w:tc>
                <w:tcPr>
                  <w:tcW w:w="1251"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szCs w:val="21"/>
                    </w:rPr>
                  </w:pPr>
                  <w:r>
                    <w:rPr>
                      <w:szCs w:val="21"/>
                    </w:rPr>
                    <w:t>500</w:t>
                  </w:r>
                </w:p>
              </w:tc>
              <w:tc>
                <w:tcPr>
                  <w:tcW w:w="1247" w:type="pct"/>
                  <w:tcBorders>
                    <w:top w:val="single" w:color="auto" w:sz="6" w:space="0"/>
                    <w:left w:val="single" w:color="auto" w:sz="6" w:space="0"/>
                    <w:bottom w:val="single" w:color="auto" w:sz="6" w:space="0"/>
                    <w:right w:val="single" w:color="auto" w:sz="12" w:space="0"/>
                  </w:tcBorders>
                  <w:noWrap w:val="0"/>
                  <w:vAlign w:val="center"/>
                </w:tcPr>
                <w:p>
                  <w:pPr>
                    <w:adjustRightInd w:val="0"/>
                    <w:snapToGrid w:val="0"/>
                    <w:jc w:val="center"/>
                    <w:rPr>
                      <w:szCs w:val="21"/>
                    </w:rPr>
                  </w:pPr>
                  <w:r>
                    <w:rPr>
                      <w:szCs w:val="21"/>
                    </w:rPr>
                    <w:t>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40" w:type="pct"/>
                  <w:tcBorders>
                    <w:top w:val="single" w:color="auto" w:sz="6" w:space="0"/>
                    <w:left w:val="single" w:color="auto" w:sz="12" w:space="0"/>
                    <w:bottom w:val="single" w:color="auto" w:sz="6" w:space="0"/>
                    <w:right w:val="single" w:color="auto" w:sz="6" w:space="0"/>
                  </w:tcBorders>
                  <w:noWrap w:val="0"/>
                  <w:vAlign w:val="center"/>
                </w:tcPr>
                <w:p>
                  <w:pPr>
                    <w:adjustRightInd w:val="0"/>
                    <w:snapToGrid w:val="0"/>
                    <w:jc w:val="center"/>
                    <w:rPr>
                      <w:szCs w:val="21"/>
                    </w:rPr>
                  </w:pPr>
                  <w:r>
                    <w:rPr>
                      <w:szCs w:val="21"/>
                    </w:rPr>
                    <w:t>3</w:t>
                  </w:r>
                </w:p>
              </w:tc>
              <w:tc>
                <w:tcPr>
                  <w:tcW w:w="1562"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szCs w:val="21"/>
                    </w:rPr>
                  </w:pPr>
                  <w:r>
                    <w:rPr>
                      <w:szCs w:val="21"/>
                    </w:rPr>
                    <w:t>SS</w:t>
                  </w:r>
                </w:p>
              </w:tc>
              <w:tc>
                <w:tcPr>
                  <w:tcW w:w="1251"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szCs w:val="21"/>
                    </w:rPr>
                  </w:pPr>
                  <w:r>
                    <w:rPr>
                      <w:szCs w:val="21"/>
                    </w:rPr>
                    <w:t>400</w:t>
                  </w:r>
                </w:p>
              </w:tc>
              <w:tc>
                <w:tcPr>
                  <w:tcW w:w="1247" w:type="pct"/>
                  <w:tcBorders>
                    <w:top w:val="single" w:color="auto" w:sz="6" w:space="0"/>
                    <w:left w:val="single" w:color="auto" w:sz="6" w:space="0"/>
                    <w:bottom w:val="single" w:color="auto" w:sz="6" w:space="0"/>
                    <w:right w:val="single" w:color="auto" w:sz="12" w:space="0"/>
                  </w:tcBorders>
                  <w:noWrap w:val="0"/>
                  <w:vAlign w:val="center"/>
                </w:tcPr>
                <w:p>
                  <w:pPr>
                    <w:adjustRightInd w:val="0"/>
                    <w:snapToGrid w:val="0"/>
                    <w:jc w:val="center"/>
                    <w:rPr>
                      <w:szCs w:val="21"/>
                    </w:rPr>
                  </w:pPr>
                  <w:r>
                    <w:rPr>
                      <w:szCs w:val="21"/>
                    </w:rPr>
                    <w:t>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40" w:type="pct"/>
                  <w:tcBorders>
                    <w:top w:val="single" w:color="auto" w:sz="6" w:space="0"/>
                    <w:left w:val="single" w:color="auto" w:sz="12" w:space="0"/>
                    <w:bottom w:val="single" w:color="auto" w:sz="6" w:space="0"/>
                    <w:right w:val="single" w:color="auto" w:sz="6" w:space="0"/>
                  </w:tcBorders>
                  <w:noWrap w:val="0"/>
                  <w:vAlign w:val="center"/>
                </w:tcPr>
                <w:p>
                  <w:pPr>
                    <w:adjustRightInd w:val="0"/>
                    <w:snapToGrid w:val="0"/>
                    <w:jc w:val="center"/>
                    <w:rPr>
                      <w:szCs w:val="21"/>
                    </w:rPr>
                  </w:pPr>
                  <w:r>
                    <w:rPr>
                      <w:szCs w:val="21"/>
                    </w:rPr>
                    <w:t>4</w:t>
                  </w:r>
                </w:p>
              </w:tc>
              <w:tc>
                <w:tcPr>
                  <w:tcW w:w="1562"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szCs w:val="21"/>
                    </w:rPr>
                  </w:pPr>
                  <w:r>
                    <w:rPr>
                      <w:szCs w:val="21"/>
                    </w:rPr>
                    <w:t>BOD</w:t>
                  </w:r>
                  <w:r>
                    <w:rPr>
                      <w:szCs w:val="21"/>
                      <w:vertAlign w:val="subscript"/>
                    </w:rPr>
                    <w:t>5</w:t>
                  </w:r>
                </w:p>
              </w:tc>
              <w:tc>
                <w:tcPr>
                  <w:tcW w:w="1251"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szCs w:val="21"/>
                    </w:rPr>
                  </w:pPr>
                  <w:r>
                    <w:rPr>
                      <w:szCs w:val="21"/>
                    </w:rPr>
                    <w:t>300</w:t>
                  </w:r>
                </w:p>
              </w:tc>
              <w:tc>
                <w:tcPr>
                  <w:tcW w:w="1247" w:type="pct"/>
                  <w:tcBorders>
                    <w:top w:val="single" w:color="auto" w:sz="6" w:space="0"/>
                    <w:left w:val="single" w:color="auto" w:sz="6" w:space="0"/>
                    <w:bottom w:val="single" w:color="auto" w:sz="6" w:space="0"/>
                    <w:right w:val="single" w:color="auto" w:sz="12" w:space="0"/>
                  </w:tcBorders>
                  <w:noWrap w:val="0"/>
                  <w:vAlign w:val="center"/>
                </w:tcPr>
                <w:p>
                  <w:pPr>
                    <w:adjustRightInd w:val="0"/>
                    <w:snapToGrid w:val="0"/>
                    <w:jc w:val="center"/>
                    <w:rPr>
                      <w:szCs w:val="21"/>
                    </w:rPr>
                  </w:pPr>
                  <w:r>
                    <w:rPr>
                      <w:szCs w:val="21"/>
                    </w:rPr>
                    <w:t>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40" w:type="pct"/>
                  <w:tcBorders>
                    <w:top w:val="single" w:color="auto" w:sz="6" w:space="0"/>
                    <w:left w:val="single" w:color="auto" w:sz="12" w:space="0"/>
                    <w:bottom w:val="single" w:color="auto" w:sz="6" w:space="0"/>
                    <w:right w:val="single" w:color="auto" w:sz="6" w:space="0"/>
                  </w:tcBorders>
                  <w:noWrap w:val="0"/>
                  <w:vAlign w:val="center"/>
                </w:tcPr>
                <w:p>
                  <w:pPr>
                    <w:adjustRightInd w:val="0"/>
                    <w:snapToGrid w:val="0"/>
                    <w:jc w:val="center"/>
                    <w:rPr>
                      <w:szCs w:val="21"/>
                    </w:rPr>
                  </w:pPr>
                  <w:r>
                    <w:rPr>
                      <w:szCs w:val="21"/>
                    </w:rPr>
                    <w:t>5</w:t>
                  </w:r>
                </w:p>
              </w:tc>
              <w:tc>
                <w:tcPr>
                  <w:tcW w:w="1562"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szCs w:val="21"/>
                    </w:rPr>
                  </w:pPr>
                  <w:r>
                    <w:rPr>
                      <w:rFonts w:hint="eastAsia"/>
                      <w:szCs w:val="21"/>
                    </w:rPr>
                    <w:t>氨氮</w:t>
                  </w:r>
                </w:p>
              </w:tc>
              <w:tc>
                <w:tcPr>
                  <w:tcW w:w="1251"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eastAsia" w:eastAsia="宋体"/>
                      <w:szCs w:val="21"/>
                      <w:lang w:eastAsia="zh-CN"/>
                    </w:rPr>
                  </w:pPr>
                  <w:r>
                    <w:rPr>
                      <w:rFonts w:hint="eastAsia"/>
                      <w:szCs w:val="21"/>
                      <w:lang w:val="en-US" w:eastAsia="zh-CN"/>
                    </w:rPr>
                    <w:t>-</w:t>
                  </w:r>
                </w:p>
              </w:tc>
              <w:tc>
                <w:tcPr>
                  <w:tcW w:w="1247" w:type="pct"/>
                  <w:tcBorders>
                    <w:top w:val="single" w:color="auto" w:sz="6" w:space="0"/>
                    <w:left w:val="single" w:color="auto" w:sz="6" w:space="0"/>
                    <w:bottom w:val="single" w:color="auto" w:sz="6" w:space="0"/>
                    <w:right w:val="single" w:color="auto" w:sz="12" w:space="0"/>
                  </w:tcBorders>
                  <w:noWrap w:val="0"/>
                  <w:vAlign w:val="center"/>
                </w:tcPr>
                <w:p>
                  <w:pPr>
                    <w:adjustRightInd w:val="0"/>
                    <w:snapToGrid w:val="0"/>
                    <w:jc w:val="center"/>
                    <w:rPr>
                      <w:szCs w:val="21"/>
                    </w:rPr>
                  </w:pPr>
                  <w:r>
                    <w:rPr>
                      <w:szCs w:val="21"/>
                    </w:rPr>
                    <w:t>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40" w:type="pct"/>
                  <w:tcBorders>
                    <w:top w:val="single" w:color="auto" w:sz="6" w:space="0"/>
                    <w:left w:val="single" w:color="auto" w:sz="12" w:space="0"/>
                    <w:bottom w:val="single" w:color="auto" w:sz="12" w:space="0"/>
                    <w:right w:val="single" w:color="auto" w:sz="6" w:space="0"/>
                  </w:tcBorders>
                  <w:noWrap w:val="0"/>
                  <w:vAlign w:val="center"/>
                </w:tcPr>
                <w:p>
                  <w:pPr>
                    <w:adjustRightInd w:val="0"/>
                    <w:snapToGrid w:val="0"/>
                    <w:jc w:val="center"/>
                    <w:rPr>
                      <w:szCs w:val="21"/>
                    </w:rPr>
                  </w:pPr>
                  <w:r>
                    <w:rPr>
                      <w:szCs w:val="21"/>
                    </w:rPr>
                    <w:t>6</w:t>
                  </w:r>
                </w:p>
              </w:tc>
              <w:tc>
                <w:tcPr>
                  <w:tcW w:w="1562" w:type="pct"/>
                  <w:tcBorders>
                    <w:top w:val="single" w:color="auto" w:sz="6" w:space="0"/>
                    <w:left w:val="single" w:color="auto" w:sz="6" w:space="0"/>
                    <w:bottom w:val="single" w:color="auto" w:sz="12" w:space="0"/>
                    <w:right w:val="single" w:color="auto" w:sz="6" w:space="0"/>
                  </w:tcBorders>
                  <w:noWrap w:val="0"/>
                  <w:vAlign w:val="center"/>
                </w:tcPr>
                <w:p>
                  <w:pPr>
                    <w:adjustRightInd w:val="0"/>
                    <w:snapToGrid w:val="0"/>
                    <w:jc w:val="center"/>
                    <w:rPr>
                      <w:szCs w:val="21"/>
                    </w:rPr>
                  </w:pPr>
                  <w:r>
                    <w:rPr>
                      <w:rFonts w:hint="eastAsia"/>
                      <w:szCs w:val="21"/>
                    </w:rPr>
                    <w:t>石油类</w:t>
                  </w:r>
                </w:p>
              </w:tc>
              <w:tc>
                <w:tcPr>
                  <w:tcW w:w="1251" w:type="pct"/>
                  <w:tcBorders>
                    <w:top w:val="single" w:color="auto" w:sz="6" w:space="0"/>
                    <w:left w:val="single" w:color="auto" w:sz="6" w:space="0"/>
                    <w:bottom w:val="single" w:color="auto" w:sz="12" w:space="0"/>
                    <w:right w:val="single" w:color="auto" w:sz="6" w:space="0"/>
                  </w:tcBorders>
                  <w:noWrap w:val="0"/>
                  <w:vAlign w:val="center"/>
                </w:tcPr>
                <w:p>
                  <w:pPr>
                    <w:adjustRightInd w:val="0"/>
                    <w:snapToGrid w:val="0"/>
                    <w:jc w:val="center"/>
                    <w:rPr>
                      <w:szCs w:val="21"/>
                    </w:rPr>
                  </w:pPr>
                  <w:r>
                    <w:rPr>
                      <w:szCs w:val="21"/>
                    </w:rPr>
                    <w:t>20</w:t>
                  </w:r>
                </w:p>
              </w:tc>
              <w:tc>
                <w:tcPr>
                  <w:tcW w:w="1247" w:type="pct"/>
                  <w:tcBorders>
                    <w:top w:val="single" w:color="auto" w:sz="6" w:space="0"/>
                    <w:left w:val="single" w:color="auto" w:sz="6" w:space="0"/>
                    <w:bottom w:val="single" w:color="auto" w:sz="12" w:space="0"/>
                    <w:right w:val="single" w:color="auto" w:sz="12" w:space="0"/>
                  </w:tcBorders>
                  <w:noWrap w:val="0"/>
                  <w:vAlign w:val="center"/>
                </w:tcPr>
                <w:p>
                  <w:pPr>
                    <w:adjustRightInd w:val="0"/>
                    <w:snapToGrid w:val="0"/>
                    <w:jc w:val="center"/>
                    <w:rPr>
                      <w:szCs w:val="21"/>
                    </w:rPr>
                  </w:pPr>
                  <w:r>
                    <w:rPr>
                      <w:szCs w:val="21"/>
                    </w:rPr>
                    <w:t>mg/L</w:t>
                  </w:r>
                </w:p>
              </w:tc>
            </w:tr>
          </w:tbl>
          <w:p>
            <w:pPr>
              <w:spacing w:line="240" w:lineRule="auto"/>
              <w:ind w:firstLine="601"/>
              <w:rPr>
                <w:rFonts w:hint="eastAsia"/>
                <w:sz w:val="24"/>
              </w:rPr>
            </w:pPr>
          </w:p>
          <w:p>
            <w:pPr>
              <w:spacing w:line="360" w:lineRule="auto"/>
              <w:ind w:firstLine="601"/>
              <w:rPr>
                <w:sz w:val="24"/>
              </w:rPr>
            </w:pPr>
            <w:r>
              <w:rPr>
                <w:rFonts w:hint="eastAsia"/>
                <w:sz w:val="24"/>
                <w:u w:val="single"/>
              </w:rPr>
              <w:t>本项目</w:t>
            </w:r>
            <w:r>
              <w:rPr>
                <w:rFonts w:hint="eastAsia"/>
                <w:sz w:val="24"/>
                <w:u w:val="single"/>
                <w:lang w:val="en-US" w:eastAsia="zh-CN"/>
              </w:rPr>
              <w:t>运营期</w:t>
            </w:r>
            <w:r>
              <w:rPr>
                <w:rFonts w:hint="eastAsia"/>
                <w:sz w:val="24"/>
                <w:u w:val="single"/>
              </w:rPr>
              <w:t>产生的污水收集后，经预处理再经</w:t>
            </w:r>
            <w:r>
              <w:rPr>
                <w:rFonts w:hint="eastAsia"/>
                <w:sz w:val="24"/>
                <w:u w:val="single"/>
                <w:lang w:val="en-US" w:eastAsia="zh-CN"/>
              </w:rPr>
              <w:t>湘阴县妇女儿童医院（二期）项目</w:t>
            </w:r>
            <w:r>
              <w:rPr>
                <w:rFonts w:hint="eastAsia"/>
                <w:sz w:val="24"/>
                <w:u w:val="single"/>
              </w:rPr>
              <w:t>一体化医疗污水处理设备处理后达到《医疗机构水污染物排放标准》（</w:t>
            </w:r>
            <w:r>
              <w:rPr>
                <w:sz w:val="24"/>
                <w:u w:val="single"/>
              </w:rPr>
              <w:t>GB18466-2005</w:t>
            </w:r>
            <w:r>
              <w:rPr>
                <w:rFonts w:hint="eastAsia"/>
                <w:sz w:val="24"/>
                <w:u w:val="single"/>
              </w:rPr>
              <w:t>）表</w:t>
            </w:r>
            <w:r>
              <w:rPr>
                <w:sz w:val="24"/>
                <w:u w:val="single"/>
              </w:rPr>
              <w:t>2</w:t>
            </w:r>
            <w:r>
              <w:rPr>
                <w:rFonts w:hint="eastAsia"/>
                <w:sz w:val="24"/>
                <w:u w:val="single"/>
              </w:rPr>
              <w:t>处理标准</w:t>
            </w:r>
            <w:r>
              <w:rPr>
                <w:rFonts w:hint="eastAsia"/>
                <w:sz w:val="24"/>
                <w:u w:val="single"/>
                <w:lang w:eastAsia="zh-CN"/>
              </w:rPr>
              <w:t>（</w:t>
            </w:r>
            <w:r>
              <w:rPr>
                <w:rFonts w:hint="eastAsia"/>
                <w:sz w:val="24"/>
                <w:u w:val="single"/>
                <w:lang w:val="en-US" w:eastAsia="zh-CN"/>
              </w:rPr>
              <w:t>其中</w:t>
            </w:r>
            <w:r>
              <w:rPr>
                <w:rFonts w:hint="eastAsia"/>
                <w:sz w:val="24"/>
                <w:u w:val="single"/>
              </w:rPr>
              <w:t>氨氮、</w:t>
            </w:r>
            <w:r>
              <w:rPr>
                <w:rFonts w:hint="eastAsia"/>
                <w:sz w:val="24"/>
                <w:u w:val="single"/>
                <w:lang w:val="en-US" w:eastAsia="zh-CN"/>
              </w:rPr>
              <w:t>总氮、</w:t>
            </w:r>
            <w:r>
              <w:rPr>
                <w:rFonts w:hint="eastAsia"/>
                <w:sz w:val="24"/>
                <w:u w:val="single"/>
              </w:rPr>
              <w:t>总磷执行《污水排入城镇下水道水质标准》（GB/T31962-2015）表1中A级限值</w:t>
            </w:r>
            <w:r>
              <w:rPr>
                <w:rFonts w:hint="eastAsia"/>
                <w:sz w:val="24"/>
                <w:u w:val="single"/>
                <w:lang w:eastAsia="zh-CN"/>
              </w:rPr>
              <w:t>）</w:t>
            </w:r>
            <w:r>
              <w:rPr>
                <w:rFonts w:hint="eastAsia"/>
                <w:sz w:val="24"/>
                <w:u w:val="single"/>
                <w:lang w:val="en-US" w:eastAsia="zh-CN"/>
              </w:rPr>
              <w:t>以及湘阴县第二污水处理厂进水标准，</w:t>
            </w:r>
            <w:r>
              <w:rPr>
                <w:rFonts w:hint="eastAsia"/>
                <w:sz w:val="24"/>
              </w:rPr>
              <w:t>排入市政污水管网，进入湘阴县第二污水处理厂处理。经湘阴县第二污水处理厂处理达到《城镇污水处理厂污染物排放标准》</w:t>
            </w:r>
            <w:r>
              <w:rPr>
                <w:sz w:val="24"/>
              </w:rPr>
              <w:t>(GB18918-2002)</w:t>
            </w:r>
            <w:r>
              <w:rPr>
                <w:rFonts w:hint="eastAsia"/>
                <w:sz w:val="24"/>
              </w:rPr>
              <w:t>一级</w:t>
            </w:r>
            <w:r>
              <w:rPr>
                <w:sz w:val="24"/>
              </w:rPr>
              <w:t>A</w:t>
            </w:r>
            <w:r>
              <w:rPr>
                <w:rFonts w:hint="eastAsia"/>
                <w:sz w:val="24"/>
              </w:rPr>
              <w:t>标准及表2标准后排入</w:t>
            </w:r>
            <w:r>
              <w:rPr>
                <w:rFonts w:hint="eastAsia"/>
                <w:sz w:val="24"/>
                <w:lang w:val="en-US" w:eastAsia="zh-CN"/>
              </w:rPr>
              <w:t>湘江</w:t>
            </w:r>
            <w:r>
              <w:rPr>
                <w:rFonts w:hint="eastAsia"/>
                <w:sz w:val="24"/>
              </w:rPr>
              <w:t>。其标准值见下表。</w:t>
            </w:r>
          </w:p>
          <w:p>
            <w:pPr>
              <w:adjustRightInd w:val="0"/>
              <w:snapToGrid w:val="0"/>
              <w:jc w:val="center"/>
              <w:rPr>
                <w:b/>
                <w:szCs w:val="21"/>
              </w:rPr>
            </w:pPr>
            <w:r>
              <w:rPr>
                <w:rFonts w:hint="eastAsia"/>
                <w:b/>
                <w:szCs w:val="21"/>
              </w:rPr>
              <w:t>表3-</w:t>
            </w:r>
            <w:r>
              <w:rPr>
                <w:rFonts w:hint="eastAsia"/>
                <w:b/>
                <w:szCs w:val="21"/>
                <w:lang w:val="en-US" w:eastAsia="zh-CN"/>
              </w:rPr>
              <w:t>10</w:t>
            </w:r>
            <w:r>
              <w:rPr>
                <w:rFonts w:hint="eastAsia"/>
                <w:b/>
                <w:szCs w:val="21"/>
              </w:rPr>
              <w:t xml:space="preserve">  运营期废水排放标准</w:t>
            </w:r>
          </w:p>
          <w:tbl>
            <w:tblPr>
              <w:tblStyle w:val="25"/>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73"/>
              <w:gridCol w:w="1073"/>
              <w:gridCol w:w="1158"/>
              <w:gridCol w:w="1942"/>
              <w:gridCol w:w="1513"/>
              <w:gridCol w:w="18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4" w:type="pct"/>
                  <w:tcBorders>
                    <w:tl2br w:val="nil"/>
                    <w:tr2bl w:val="nil"/>
                  </w:tcBorders>
                  <w:noWrap w:val="0"/>
                  <w:vAlign w:val="center"/>
                </w:tcPr>
                <w:p>
                  <w:pPr>
                    <w:adjustRightInd w:val="0"/>
                    <w:snapToGrid w:val="0"/>
                    <w:jc w:val="center"/>
                    <w:rPr>
                      <w:b/>
                      <w:szCs w:val="21"/>
                      <w:u w:val="single"/>
                    </w:rPr>
                  </w:pPr>
                  <w:r>
                    <w:rPr>
                      <w:rFonts w:hint="eastAsia"/>
                      <w:b/>
                      <w:szCs w:val="21"/>
                      <w:u w:val="single"/>
                    </w:rPr>
                    <w:t>序号</w:t>
                  </w:r>
                </w:p>
              </w:tc>
              <w:tc>
                <w:tcPr>
                  <w:tcW w:w="661" w:type="pct"/>
                  <w:tcBorders>
                    <w:tl2br w:val="nil"/>
                    <w:tr2bl w:val="nil"/>
                  </w:tcBorders>
                  <w:noWrap w:val="0"/>
                  <w:vAlign w:val="center"/>
                </w:tcPr>
                <w:p>
                  <w:pPr>
                    <w:adjustRightInd w:val="0"/>
                    <w:snapToGrid w:val="0"/>
                    <w:jc w:val="center"/>
                    <w:rPr>
                      <w:b/>
                      <w:szCs w:val="21"/>
                      <w:u w:val="single"/>
                    </w:rPr>
                  </w:pPr>
                  <w:r>
                    <w:rPr>
                      <w:rFonts w:hint="eastAsia"/>
                      <w:b/>
                      <w:szCs w:val="21"/>
                      <w:u w:val="single"/>
                    </w:rPr>
                    <w:t>控制项目</w:t>
                  </w:r>
                </w:p>
              </w:tc>
              <w:tc>
                <w:tcPr>
                  <w:tcW w:w="713" w:type="pct"/>
                  <w:tcBorders>
                    <w:tl2br w:val="nil"/>
                    <w:tr2bl w:val="nil"/>
                  </w:tcBorders>
                  <w:noWrap w:val="0"/>
                  <w:vAlign w:val="center"/>
                </w:tcPr>
                <w:p>
                  <w:pPr>
                    <w:adjustRightInd w:val="0"/>
                    <w:snapToGrid w:val="0"/>
                    <w:jc w:val="center"/>
                    <w:rPr>
                      <w:b/>
                      <w:szCs w:val="21"/>
                      <w:u w:val="single"/>
                    </w:rPr>
                  </w:pPr>
                  <w:r>
                    <w:rPr>
                      <w:rFonts w:hint="eastAsia"/>
                      <w:b/>
                      <w:szCs w:val="21"/>
                      <w:u w:val="single"/>
                    </w:rPr>
                    <w:t>单位</w:t>
                  </w:r>
                </w:p>
              </w:tc>
              <w:tc>
                <w:tcPr>
                  <w:tcW w:w="1196" w:type="pct"/>
                  <w:tcBorders>
                    <w:tl2br w:val="nil"/>
                    <w:tr2bl w:val="nil"/>
                  </w:tcBorders>
                  <w:noWrap w:val="0"/>
                  <w:vAlign w:val="center"/>
                </w:tcPr>
                <w:p>
                  <w:pPr>
                    <w:adjustRightInd w:val="0"/>
                    <w:snapToGrid w:val="0"/>
                    <w:jc w:val="center"/>
                    <w:rPr>
                      <w:rFonts w:hint="eastAsia"/>
                      <w:b/>
                      <w:szCs w:val="21"/>
                      <w:u w:val="single"/>
                    </w:rPr>
                  </w:pPr>
                  <w:r>
                    <w:rPr>
                      <w:rFonts w:hint="eastAsia"/>
                      <w:b/>
                      <w:szCs w:val="21"/>
                      <w:u w:val="single"/>
                    </w:rPr>
                    <w:t>《医疗机构水污染物排放标准》（GB18466-2005）</w:t>
                  </w:r>
                </w:p>
              </w:tc>
              <w:tc>
                <w:tcPr>
                  <w:tcW w:w="932" w:type="pct"/>
                  <w:tcBorders>
                    <w:tl2br w:val="nil"/>
                    <w:tr2bl w:val="nil"/>
                  </w:tcBorders>
                  <w:noWrap w:val="0"/>
                  <w:vAlign w:val="center"/>
                </w:tcPr>
                <w:p>
                  <w:pPr>
                    <w:adjustRightInd w:val="0"/>
                    <w:snapToGrid w:val="0"/>
                    <w:jc w:val="center"/>
                    <w:rPr>
                      <w:rFonts w:hint="default" w:eastAsia="宋体"/>
                      <w:b/>
                      <w:szCs w:val="21"/>
                      <w:u w:val="single"/>
                      <w:lang w:val="en-US" w:eastAsia="zh-CN"/>
                    </w:rPr>
                  </w:pPr>
                  <w:r>
                    <w:rPr>
                      <w:rFonts w:hint="eastAsia"/>
                      <w:b/>
                      <w:szCs w:val="21"/>
                      <w:u w:val="single"/>
                    </w:rPr>
                    <w:t>湘阴县第二污水处理厂</w:t>
                  </w:r>
                  <w:r>
                    <w:rPr>
                      <w:rFonts w:hint="eastAsia"/>
                      <w:b/>
                      <w:szCs w:val="21"/>
                      <w:u w:val="single"/>
                      <w:lang w:val="en-US" w:eastAsia="zh-CN"/>
                    </w:rPr>
                    <w:t>进水标准</w:t>
                  </w:r>
                </w:p>
              </w:tc>
              <w:tc>
                <w:tcPr>
                  <w:tcW w:w="1141" w:type="pct"/>
                  <w:tcBorders>
                    <w:tl2br w:val="nil"/>
                    <w:tr2bl w:val="nil"/>
                  </w:tcBorders>
                  <w:noWrap w:val="0"/>
                  <w:vAlign w:val="center"/>
                </w:tcPr>
                <w:p>
                  <w:pPr>
                    <w:adjustRightInd w:val="0"/>
                    <w:snapToGrid w:val="0"/>
                    <w:jc w:val="center"/>
                    <w:rPr>
                      <w:rFonts w:hint="default" w:eastAsia="宋体"/>
                      <w:b/>
                      <w:szCs w:val="21"/>
                      <w:u w:val="single"/>
                      <w:lang w:val="en-US" w:eastAsia="zh-CN"/>
                    </w:rPr>
                  </w:pPr>
                  <w:r>
                    <w:rPr>
                      <w:rFonts w:hint="eastAsia"/>
                      <w:b/>
                      <w:szCs w:val="21"/>
                      <w:u w:val="single"/>
                      <w:lang w:val="en-US" w:eastAsia="zh-CN"/>
                    </w:rPr>
                    <w:t>最终执行标准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4" w:type="pct"/>
                  <w:tcBorders>
                    <w:tl2br w:val="nil"/>
                    <w:tr2bl w:val="nil"/>
                  </w:tcBorders>
                  <w:noWrap w:val="0"/>
                  <w:vAlign w:val="center"/>
                </w:tcPr>
                <w:p>
                  <w:pPr>
                    <w:adjustRightInd w:val="0"/>
                    <w:snapToGrid w:val="0"/>
                    <w:jc w:val="center"/>
                    <w:rPr>
                      <w:szCs w:val="21"/>
                      <w:u w:val="single"/>
                    </w:rPr>
                  </w:pPr>
                  <w:r>
                    <w:rPr>
                      <w:szCs w:val="21"/>
                      <w:u w:val="single"/>
                    </w:rPr>
                    <w:t>1</w:t>
                  </w:r>
                </w:p>
              </w:tc>
              <w:tc>
                <w:tcPr>
                  <w:tcW w:w="661" w:type="pct"/>
                  <w:tcBorders>
                    <w:tl2br w:val="nil"/>
                    <w:tr2bl w:val="nil"/>
                  </w:tcBorders>
                  <w:noWrap w:val="0"/>
                  <w:vAlign w:val="center"/>
                </w:tcPr>
                <w:p>
                  <w:pPr>
                    <w:adjustRightInd w:val="0"/>
                    <w:snapToGrid w:val="0"/>
                    <w:jc w:val="center"/>
                    <w:rPr>
                      <w:szCs w:val="21"/>
                      <w:u w:val="single"/>
                    </w:rPr>
                  </w:pPr>
                  <w:r>
                    <w:rPr>
                      <w:szCs w:val="21"/>
                      <w:u w:val="single"/>
                    </w:rPr>
                    <w:t>pH</w:t>
                  </w:r>
                </w:p>
              </w:tc>
              <w:tc>
                <w:tcPr>
                  <w:tcW w:w="713" w:type="pct"/>
                  <w:tcBorders>
                    <w:tl2br w:val="nil"/>
                    <w:tr2bl w:val="nil"/>
                  </w:tcBorders>
                  <w:noWrap w:val="0"/>
                  <w:vAlign w:val="center"/>
                </w:tcPr>
                <w:p>
                  <w:pPr>
                    <w:adjustRightInd w:val="0"/>
                    <w:snapToGrid w:val="0"/>
                    <w:jc w:val="center"/>
                    <w:rPr>
                      <w:szCs w:val="21"/>
                      <w:u w:val="single"/>
                    </w:rPr>
                  </w:pPr>
                  <w:r>
                    <w:rPr>
                      <w:rFonts w:hint="eastAsia"/>
                      <w:szCs w:val="21"/>
                      <w:u w:val="single"/>
                    </w:rPr>
                    <w:t>无量纲</w:t>
                  </w:r>
                </w:p>
              </w:tc>
              <w:tc>
                <w:tcPr>
                  <w:tcW w:w="1196" w:type="pct"/>
                  <w:tcBorders>
                    <w:tl2br w:val="nil"/>
                    <w:tr2bl w:val="nil"/>
                  </w:tcBorders>
                  <w:noWrap w:val="0"/>
                  <w:vAlign w:val="center"/>
                </w:tcPr>
                <w:p>
                  <w:pPr>
                    <w:adjustRightInd w:val="0"/>
                    <w:snapToGrid w:val="0"/>
                    <w:jc w:val="center"/>
                    <w:rPr>
                      <w:rFonts w:hint="eastAsia"/>
                      <w:szCs w:val="21"/>
                      <w:u w:val="single"/>
                    </w:rPr>
                  </w:pPr>
                  <w:r>
                    <w:rPr>
                      <w:szCs w:val="21"/>
                      <w:u w:val="single"/>
                    </w:rPr>
                    <w:t>6~9</w:t>
                  </w:r>
                </w:p>
              </w:tc>
              <w:tc>
                <w:tcPr>
                  <w:tcW w:w="932" w:type="pct"/>
                  <w:tcBorders>
                    <w:tl2br w:val="nil"/>
                    <w:tr2bl w:val="nil"/>
                  </w:tcBorders>
                  <w:noWrap w:val="0"/>
                  <w:vAlign w:val="center"/>
                </w:tcPr>
                <w:p>
                  <w:pPr>
                    <w:adjustRightInd w:val="0"/>
                    <w:snapToGrid w:val="0"/>
                    <w:jc w:val="center"/>
                    <w:rPr>
                      <w:rFonts w:hint="default" w:eastAsia="宋体"/>
                      <w:szCs w:val="21"/>
                      <w:u w:val="single"/>
                      <w:lang w:val="en-US" w:eastAsia="zh-CN"/>
                    </w:rPr>
                  </w:pPr>
                  <w:r>
                    <w:rPr>
                      <w:rFonts w:hint="eastAsia"/>
                      <w:szCs w:val="21"/>
                      <w:u w:val="single"/>
                      <w:lang w:val="en-US" w:eastAsia="zh-CN"/>
                    </w:rPr>
                    <w:t>6~9</w:t>
                  </w:r>
                </w:p>
              </w:tc>
              <w:tc>
                <w:tcPr>
                  <w:tcW w:w="1813" w:type="dxa"/>
                  <w:tcBorders>
                    <w:tl2br w:val="nil"/>
                    <w:tr2bl w:val="nil"/>
                  </w:tcBorders>
                  <w:noWrap w:val="0"/>
                  <w:vAlign w:val="center"/>
                </w:tcPr>
                <w:p>
                  <w:pPr>
                    <w:adjustRightInd w:val="0"/>
                    <w:snapToGrid w:val="0"/>
                    <w:jc w:val="center"/>
                    <w:rPr>
                      <w:rFonts w:hint="eastAsia"/>
                      <w:szCs w:val="21"/>
                      <w:u w:val="single"/>
                    </w:rPr>
                  </w:pPr>
                  <w:r>
                    <w:rPr>
                      <w:szCs w:val="21"/>
                      <w:u w:val="single"/>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4" w:type="pct"/>
                  <w:tcBorders>
                    <w:tl2br w:val="nil"/>
                    <w:tr2bl w:val="nil"/>
                  </w:tcBorders>
                  <w:noWrap w:val="0"/>
                  <w:vAlign w:val="center"/>
                </w:tcPr>
                <w:p>
                  <w:pPr>
                    <w:adjustRightInd w:val="0"/>
                    <w:snapToGrid w:val="0"/>
                    <w:jc w:val="center"/>
                    <w:rPr>
                      <w:szCs w:val="21"/>
                      <w:u w:val="single"/>
                    </w:rPr>
                  </w:pPr>
                  <w:r>
                    <w:rPr>
                      <w:szCs w:val="21"/>
                      <w:u w:val="single"/>
                    </w:rPr>
                    <w:t>2</w:t>
                  </w:r>
                </w:p>
              </w:tc>
              <w:tc>
                <w:tcPr>
                  <w:tcW w:w="661" w:type="pct"/>
                  <w:tcBorders>
                    <w:tl2br w:val="nil"/>
                    <w:tr2bl w:val="nil"/>
                  </w:tcBorders>
                  <w:noWrap w:val="0"/>
                  <w:vAlign w:val="center"/>
                </w:tcPr>
                <w:p>
                  <w:pPr>
                    <w:adjustRightInd w:val="0"/>
                    <w:snapToGrid w:val="0"/>
                    <w:jc w:val="center"/>
                    <w:rPr>
                      <w:szCs w:val="21"/>
                      <w:u w:val="single"/>
                    </w:rPr>
                  </w:pPr>
                  <w:r>
                    <w:rPr>
                      <w:szCs w:val="21"/>
                      <w:u w:val="single"/>
                    </w:rPr>
                    <w:t>COD</w:t>
                  </w:r>
                  <w:r>
                    <w:rPr>
                      <w:szCs w:val="21"/>
                      <w:u w:val="single"/>
                      <w:vertAlign w:val="subscript"/>
                    </w:rPr>
                    <w:t>Cr</w:t>
                  </w:r>
                </w:p>
              </w:tc>
              <w:tc>
                <w:tcPr>
                  <w:tcW w:w="713" w:type="pct"/>
                  <w:tcBorders>
                    <w:tl2br w:val="nil"/>
                    <w:tr2bl w:val="nil"/>
                  </w:tcBorders>
                  <w:noWrap w:val="0"/>
                  <w:vAlign w:val="center"/>
                </w:tcPr>
                <w:p>
                  <w:pPr>
                    <w:adjustRightInd w:val="0"/>
                    <w:snapToGrid w:val="0"/>
                    <w:jc w:val="center"/>
                    <w:rPr>
                      <w:szCs w:val="21"/>
                      <w:u w:val="single"/>
                    </w:rPr>
                  </w:pPr>
                  <w:r>
                    <w:rPr>
                      <w:szCs w:val="21"/>
                      <w:u w:val="single"/>
                    </w:rPr>
                    <w:t>mg/L</w:t>
                  </w:r>
                </w:p>
              </w:tc>
              <w:tc>
                <w:tcPr>
                  <w:tcW w:w="1196" w:type="pct"/>
                  <w:tcBorders>
                    <w:tl2br w:val="nil"/>
                    <w:tr2bl w:val="nil"/>
                  </w:tcBorders>
                  <w:noWrap w:val="0"/>
                  <w:vAlign w:val="center"/>
                </w:tcPr>
                <w:p>
                  <w:pPr>
                    <w:adjustRightInd w:val="0"/>
                    <w:snapToGrid w:val="0"/>
                    <w:jc w:val="center"/>
                    <w:rPr>
                      <w:szCs w:val="21"/>
                      <w:u w:val="single"/>
                    </w:rPr>
                  </w:pPr>
                  <w:r>
                    <w:rPr>
                      <w:rFonts w:hint="eastAsia"/>
                      <w:szCs w:val="21"/>
                      <w:u w:val="single"/>
                    </w:rPr>
                    <w:t>250</w:t>
                  </w:r>
                </w:p>
              </w:tc>
              <w:tc>
                <w:tcPr>
                  <w:tcW w:w="932" w:type="pct"/>
                  <w:tcBorders>
                    <w:tl2br w:val="nil"/>
                    <w:tr2bl w:val="nil"/>
                  </w:tcBorders>
                  <w:noWrap w:val="0"/>
                  <w:vAlign w:val="center"/>
                </w:tcPr>
                <w:p>
                  <w:pPr>
                    <w:adjustRightInd w:val="0"/>
                    <w:snapToGrid w:val="0"/>
                    <w:jc w:val="center"/>
                    <w:rPr>
                      <w:szCs w:val="21"/>
                      <w:u w:val="single"/>
                    </w:rPr>
                  </w:pPr>
                  <w:r>
                    <w:rPr>
                      <w:rFonts w:hint="eastAsia" w:cs="Times New Roman"/>
                      <w:snapToGrid/>
                      <w:kern w:val="0"/>
                      <w:sz w:val="21"/>
                      <w:szCs w:val="21"/>
                      <w:u w:val="single"/>
                      <w:lang w:val="en-US" w:eastAsia="zh-CN"/>
                    </w:rPr>
                    <w:t>500</w:t>
                  </w:r>
                </w:p>
              </w:tc>
              <w:tc>
                <w:tcPr>
                  <w:tcW w:w="1813" w:type="dxa"/>
                  <w:tcBorders>
                    <w:tl2br w:val="nil"/>
                    <w:tr2bl w:val="nil"/>
                  </w:tcBorders>
                  <w:noWrap w:val="0"/>
                  <w:vAlign w:val="center"/>
                </w:tcPr>
                <w:p>
                  <w:pPr>
                    <w:adjustRightInd w:val="0"/>
                    <w:snapToGrid w:val="0"/>
                    <w:jc w:val="center"/>
                    <w:rPr>
                      <w:szCs w:val="21"/>
                      <w:u w:val="single"/>
                    </w:rPr>
                  </w:pPr>
                  <w:r>
                    <w:rPr>
                      <w:rFonts w:hint="eastAsia"/>
                      <w:szCs w:val="21"/>
                      <w:u w:val="single"/>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4" w:type="pct"/>
                  <w:tcBorders>
                    <w:tl2br w:val="nil"/>
                    <w:tr2bl w:val="nil"/>
                  </w:tcBorders>
                  <w:noWrap w:val="0"/>
                  <w:vAlign w:val="center"/>
                </w:tcPr>
                <w:p>
                  <w:pPr>
                    <w:adjustRightInd w:val="0"/>
                    <w:snapToGrid w:val="0"/>
                    <w:jc w:val="center"/>
                    <w:rPr>
                      <w:szCs w:val="21"/>
                      <w:u w:val="single"/>
                    </w:rPr>
                  </w:pPr>
                  <w:r>
                    <w:rPr>
                      <w:szCs w:val="21"/>
                      <w:u w:val="single"/>
                    </w:rPr>
                    <w:t>3</w:t>
                  </w:r>
                </w:p>
              </w:tc>
              <w:tc>
                <w:tcPr>
                  <w:tcW w:w="661" w:type="pct"/>
                  <w:tcBorders>
                    <w:tl2br w:val="nil"/>
                    <w:tr2bl w:val="nil"/>
                  </w:tcBorders>
                  <w:noWrap w:val="0"/>
                  <w:vAlign w:val="center"/>
                </w:tcPr>
                <w:p>
                  <w:pPr>
                    <w:adjustRightInd w:val="0"/>
                    <w:snapToGrid w:val="0"/>
                    <w:jc w:val="center"/>
                    <w:rPr>
                      <w:szCs w:val="21"/>
                      <w:u w:val="single"/>
                    </w:rPr>
                  </w:pPr>
                  <w:r>
                    <w:rPr>
                      <w:szCs w:val="21"/>
                      <w:u w:val="single"/>
                    </w:rPr>
                    <w:t>SS</w:t>
                  </w:r>
                </w:p>
              </w:tc>
              <w:tc>
                <w:tcPr>
                  <w:tcW w:w="713" w:type="pct"/>
                  <w:tcBorders>
                    <w:tl2br w:val="nil"/>
                    <w:tr2bl w:val="nil"/>
                  </w:tcBorders>
                  <w:noWrap w:val="0"/>
                  <w:vAlign w:val="center"/>
                </w:tcPr>
                <w:p>
                  <w:pPr>
                    <w:adjustRightInd w:val="0"/>
                    <w:snapToGrid w:val="0"/>
                    <w:jc w:val="center"/>
                    <w:rPr>
                      <w:szCs w:val="21"/>
                      <w:u w:val="single"/>
                    </w:rPr>
                  </w:pPr>
                  <w:r>
                    <w:rPr>
                      <w:szCs w:val="21"/>
                      <w:u w:val="single"/>
                    </w:rPr>
                    <w:t>mg/L</w:t>
                  </w:r>
                </w:p>
              </w:tc>
              <w:tc>
                <w:tcPr>
                  <w:tcW w:w="1196" w:type="pct"/>
                  <w:tcBorders>
                    <w:tl2br w:val="nil"/>
                    <w:tr2bl w:val="nil"/>
                  </w:tcBorders>
                  <w:noWrap w:val="0"/>
                  <w:vAlign w:val="center"/>
                </w:tcPr>
                <w:p>
                  <w:pPr>
                    <w:adjustRightInd w:val="0"/>
                    <w:snapToGrid w:val="0"/>
                    <w:jc w:val="center"/>
                    <w:rPr>
                      <w:szCs w:val="21"/>
                      <w:u w:val="single"/>
                    </w:rPr>
                  </w:pPr>
                  <w:r>
                    <w:rPr>
                      <w:szCs w:val="21"/>
                      <w:u w:val="single"/>
                    </w:rPr>
                    <w:t>60</w:t>
                  </w:r>
                </w:p>
              </w:tc>
              <w:tc>
                <w:tcPr>
                  <w:tcW w:w="932" w:type="pct"/>
                  <w:tcBorders>
                    <w:tl2br w:val="nil"/>
                    <w:tr2bl w:val="nil"/>
                  </w:tcBorders>
                  <w:noWrap w:val="0"/>
                  <w:vAlign w:val="center"/>
                </w:tcPr>
                <w:p>
                  <w:pPr>
                    <w:adjustRightInd w:val="0"/>
                    <w:snapToGrid w:val="0"/>
                    <w:jc w:val="center"/>
                    <w:rPr>
                      <w:rFonts w:hint="default" w:eastAsia="宋体"/>
                      <w:szCs w:val="21"/>
                      <w:u w:val="single"/>
                      <w:lang w:val="en-US" w:eastAsia="zh-CN"/>
                    </w:rPr>
                  </w:pPr>
                  <w:r>
                    <w:rPr>
                      <w:rFonts w:hint="eastAsia"/>
                      <w:szCs w:val="21"/>
                      <w:u w:val="single"/>
                      <w:lang w:val="en-US" w:eastAsia="zh-CN"/>
                    </w:rPr>
                    <w:t>400</w:t>
                  </w:r>
                </w:p>
              </w:tc>
              <w:tc>
                <w:tcPr>
                  <w:tcW w:w="1813" w:type="dxa"/>
                  <w:tcBorders>
                    <w:tl2br w:val="nil"/>
                    <w:tr2bl w:val="nil"/>
                  </w:tcBorders>
                  <w:noWrap w:val="0"/>
                  <w:vAlign w:val="center"/>
                </w:tcPr>
                <w:p>
                  <w:pPr>
                    <w:adjustRightInd w:val="0"/>
                    <w:snapToGrid w:val="0"/>
                    <w:jc w:val="center"/>
                    <w:rPr>
                      <w:szCs w:val="21"/>
                      <w:u w:val="single"/>
                    </w:rPr>
                  </w:pPr>
                  <w:r>
                    <w:rPr>
                      <w:szCs w:val="21"/>
                      <w:u w:val="single"/>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4" w:type="pct"/>
                  <w:tcBorders>
                    <w:tl2br w:val="nil"/>
                    <w:tr2bl w:val="nil"/>
                  </w:tcBorders>
                  <w:noWrap w:val="0"/>
                  <w:vAlign w:val="center"/>
                </w:tcPr>
                <w:p>
                  <w:pPr>
                    <w:adjustRightInd w:val="0"/>
                    <w:snapToGrid w:val="0"/>
                    <w:jc w:val="center"/>
                    <w:rPr>
                      <w:szCs w:val="21"/>
                      <w:u w:val="single"/>
                    </w:rPr>
                  </w:pPr>
                  <w:r>
                    <w:rPr>
                      <w:szCs w:val="21"/>
                      <w:u w:val="single"/>
                    </w:rPr>
                    <w:t>4</w:t>
                  </w:r>
                </w:p>
              </w:tc>
              <w:tc>
                <w:tcPr>
                  <w:tcW w:w="661" w:type="pct"/>
                  <w:tcBorders>
                    <w:tl2br w:val="nil"/>
                    <w:tr2bl w:val="nil"/>
                  </w:tcBorders>
                  <w:noWrap w:val="0"/>
                  <w:vAlign w:val="center"/>
                </w:tcPr>
                <w:p>
                  <w:pPr>
                    <w:adjustRightInd w:val="0"/>
                    <w:snapToGrid w:val="0"/>
                    <w:jc w:val="center"/>
                    <w:rPr>
                      <w:szCs w:val="21"/>
                      <w:u w:val="single"/>
                    </w:rPr>
                  </w:pPr>
                  <w:r>
                    <w:rPr>
                      <w:szCs w:val="21"/>
                      <w:u w:val="single"/>
                    </w:rPr>
                    <w:t>BOD</w:t>
                  </w:r>
                  <w:r>
                    <w:rPr>
                      <w:szCs w:val="21"/>
                      <w:u w:val="single"/>
                      <w:vertAlign w:val="subscript"/>
                    </w:rPr>
                    <w:t>5</w:t>
                  </w:r>
                </w:p>
              </w:tc>
              <w:tc>
                <w:tcPr>
                  <w:tcW w:w="713" w:type="pct"/>
                  <w:tcBorders>
                    <w:tl2br w:val="nil"/>
                    <w:tr2bl w:val="nil"/>
                  </w:tcBorders>
                  <w:noWrap w:val="0"/>
                  <w:vAlign w:val="center"/>
                </w:tcPr>
                <w:p>
                  <w:pPr>
                    <w:adjustRightInd w:val="0"/>
                    <w:snapToGrid w:val="0"/>
                    <w:jc w:val="center"/>
                    <w:rPr>
                      <w:szCs w:val="21"/>
                      <w:u w:val="single"/>
                    </w:rPr>
                  </w:pPr>
                  <w:r>
                    <w:rPr>
                      <w:szCs w:val="21"/>
                      <w:u w:val="single"/>
                    </w:rPr>
                    <w:t>mg/L</w:t>
                  </w:r>
                </w:p>
              </w:tc>
              <w:tc>
                <w:tcPr>
                  <w:tcW w:w="1196" w:type="pct"/>
                  <w:tcBorders>
                    <w:tl2br w:val="nil"/>
                    <w:tr2bl w:val="nil"/>
                  </w:tcBorders>
                  <w:noWrap w:val="0"/>
                  <w:vAlign w:val="center"/>
                </w:tcPr>
                <w:p>
                  <w:pPr>
                    <w:adjustRightInd w:val="0"/>
                    <w:snapToGrid w:val="0"/>
                    <w:jc w:val="center"/>
                    <w:rPr>
                      <w:szCs w:val="21"/>
                      <w:u w:val="single"/>
                    </w:rPr>
                  </w:pPr>
                  <w:r>
                    <w:rPr>
                      <w:szCs w:val="21"/>
                      <w:u w:val="single"/>
                    </w:rPr>
                    <w:t>100</w:t>
                  </w:r>
                </w:p>
              </w:tc>
              <w:tc>
                <w:tcPr>
                  <w:tcW w:w="932" w:type="pct"/>
                  <w:tcBorders>
                    <w:tl2br w:val="nil"/>
                    <w:tr2bl w:val="nil"/>
                  </w:tcBorders>
                  <w:noWrap w:val="0"/>
                  <w:vAlign w:val="center"/>
                </w:tcPr>
                <w:p>
                  <w:pPr>
                    <w:adjustRightInd w:val="0"/>
                    <w:snapToGrid w:val="0"/>
                    <w:jc w:val="center"/>
                    <w:rPr>
                      <w:rFonts w:hint="default" w:eastAsia="宋体"/>
                      <w:szCs w:val="21"/>
                      <w:u w:val="single"/>
                      <w:lang w:val="en-US" w:eastAsia="zh-CN"/>
                    </w:rPr>
                  </w:pPr>
                  <w:r>
                    <w:rPr>
                      <w:rFonts w:hint="eastAsia"/>
                      <w:szCs w:val="21"/>
                      <w:u w:val="single"/>
                      <w:lang w:val="en-US" w:eastAsia="zh-CN"/>
                    </w:rPr>
                    <w:t>350</w:t>
                  </w:r>
                </w:p>
              </w:tc>
              <w:tc>
                <w:tcPr>
                  <w:tcW w:w="1813" w:type="dxa"/>
                  <w:tcBorders>
                    <w:tl2br w:val="nil"/>
                    <w:tr2bl w:val="nil"/>
                  </w:tcBorders>
                  <w:noWrap w:val="0"/>
                  <w:vAlign w:val="center"/>
                </w:tcPr>
                <w:p>
                  <w:pPr>
                    <w:adjustRightInd w:val="0"/>
                    <w:snapToGrid w:val="0"/>
                    <w:jc w:val="center"/>
                    <w:rPr>
                      <w:szCs w:val="21"/>
                      <w:u w:val="single"/>
                    </w:rPr>
                  </w:pPr>
                  <w:r>
                    <w:rPr>
                      <w:szCs w:val="21"/>
                      <w:u w:val="single"/>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4" w:type="pct"/>
                  <w:tcBorders>
                    <w:tl2br w:val="nil"/>
                    <w:tr2bl w:val="nil"/>
                  </w:tcBorders>
                  <w:noWrap w:val="0"/>
                  <w:vAlign w:val="center"/>
                </w:tcPr>
                <w:p>
                  <w:pPr>
                    <w:adjustRightInd w:val="0"/>
                    <w:snapToGrid w:val="0"/>
                    <w:jc w:val="center"/>
                    <w:rPr>
                      <w:szCs w:val="21"/>
                      <w:u w:val="single"/>
                    </w:rPr>
                  </w:pPr>
                  <w:r>
                    <w:rPr>
                      <w:szCs w:val="21"/>
                      <w:u w:val="single"/>
                    </w:rPr>
                    <w:t>5</w:t>
                  </w:r>
                </w:p>
              </w:tc>
              <w:tc>
                <w:tcPr>
                  <w:tcW w:w="661" w:type="pct"/>
                  <w:tcBorders>
                    <w:tl2br w:val="nil"/>
                    <w:tr2bl w:val="nil"/>
                  </w:tcBorders>
                  <w:noWrap w:val="0"/>
                  <w:vAlign w:val="center"/>
                </w:tcPr>
                <w:p>
                  <w:pPr>
                    <w:adjustRightInd w:val="0"/>
                    <w:snapToGrid w:val="0"/>
                    <w:jc w:val="center"/>
                    <w:rPr>
                      <w:szCs w:val="21"/>
                      <w:u w:val="single"/>
                    </w:rPr>
                  </w:pPr>
                  <w:r>
                    <w:rPr>
                      <w:rFonts w:hint="eastAsia"/>
                      <w:szCs w:val="21"/>
                      <w:u w:val="single"/>
                    </w:rPr>
                    <w:t>氨氮</w:t>
                  </w:r>
                </w:p>
              </w:tc>
              <w:tc>
                <w:tcPr>
                  <w:tcW w:w="713" w:type="pct"/>
                  <w:tcBorders>
                    <w:tl2br w:val="nil"/>
                    <w:tr2bl w:val="nil"/>
                  </w:tcBorders>
                  <w:noWrap w:val="0"/>
                  <w:vAlign w:val="center"/>
                </w:tcPr>
                <w:p>
                  <w:pPr>
                    <w:adjustRightInd w:val="0"/>
                    <w:snapToGrid w:val="0"/>
                    <w:jc w:val="center"/>
                    <w:rPr>
                      <w:szCs w:val="21"/>
                      <w:u w:val="single"/>
                    </w:rPr>
                  </w:pPr>
                  <w:r>
                    <w:rPr>
                      <w:szCs w:val="21"/>
                      <w:u w:val="single"/>
                    </w:rPr>
                    <w:t>mg/L</w:t>
                  </w:r>
                </w:p>
              </w:tc>
              <w:tc>
                <w:tcPr>
                  <w:tcW w:w="1196" w:type="pct"/>
                  <w:tcBorders>
                    <w:tl2br w:val="nil"/>
                    <w:tr2bl w:val="nil"/>
                  </w:tcBorders>
                  <w:noWrap w:val="0"/>
                  <w:vAlign w:val="center"/>
                </w:tcPr>
                <w:p>
                  <w:pPr>
                    <w:adjustRightInd w:val="0"/>
                    <w:snapToGrid w:val="0"/>
                    <w:jc w:val="center"/>
                    <w:rPr>
                      <w:szCs w:val="21"/>
                      <w:u w:val="single"/>
                    </w:rPr>
                  </w:pPr>
                  <w:r>
                    <w:rPr>
                      <w:rFonts w:hint="eastAsia"/>
                      <w:szCs w:val="21"/>
                      <w:u w:val="single"/>
                      <w:lang w:val="en-US" w:eastAsia="zh-CN"/>
                    </w:rPr>
                    <w:t>45</w:t>
                  </w:r>
                </w:p>
              </w:tc>
              <w:tc>
                <w:tcPr>
                  <w:tcW w:w="932" w:type="pct"/>
                  <w:tcBorders>
                    <w:tl2br w:val="nil"/>
                    <w:tr2bl w:val="nil"/>
                  </w:tcBorders>
                  <w:noWrap w:val="0"/>
                  <w:vAlign w:val="center"/>
                </w:tcPr>
                <w:p>
                  <w:pPr>
                    <w:adjustRightInd w:val="0"/>
                    <w:snapToGrid w:val="0"/>
                    <w:jc w:val="center"/>
                    <w:rPr>
                      <w:rFonts w:hint="default" w:eastAsia="宋体"/>
                      <w:szCs w:val="21"/>
                      <w:u w:val="single"/>
                      <w:lang w:val="en-US" w:eastAsia="zh-CN"/>
                    </w:rPr>
                  </w:pPr>
                  <w:r>
                    <w:rPr>
                      <w:rFonts w:hint="eastAsia"/>
                      <w:szCs w:val="21"/>
                      <w:u w:val="single"/>
                      <w:lang w:val="en-US" w:eastAsia="zh-CN"/>
                    </w:rPr>
                    <w:t>45</w:t>
                  </w:r>
                </w:p>
              </w:tc>
              <w:tc>
                <w:tcPr>
                  <w:tcW w:w="1813" w:type="dxa"/>
                  <w:tcBorders>
                    <w:tl2br w:val="nil"/>
                    <w:tr2bl w:val="nil"/>
                  </w:tcBorders>
                  <w:noWrap w:val="0"/>
                  <w:vAlign w:val="center"/>
                </w:tcPr>
                <w:p>
                  <w:pPr>
                    <w:adjustRightInd w:val="0"/>
                    <w:snapToGrid w:val="0"/>
                    <w:jc w:val="center"/>
                    <w:rPr>
                      <w:szCs w:val="21"/>
                      <w:u w:val="single"/>
                    </w:rPr>
                  </w:pPr>
                  <w:r>
                    <w:rPr>
                      <w:rFonts w:hint="eastAsia"/>
                      <w:szCs w:val="21"/>
                      <w:u w:val="single"/>
                      <w:lang w:val="en-US" w:eastAsia="zh-CN"/>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4" w:type="pct"/>
                  <w:tcBorders>
                    <w:tl2br w:val="nil"/>
                    <w:tr2bl w:val="nil"/>
                  </w:tcBorders>
                  <w:noWrap w:val="0"/>
                  <w:vAlign w:val="center"/>
                </w:tcPr>
                <w:p>
                  <w:pPr>
                    <w:adjustRightInd w:val="0"/>
                    <w:snapToGrid w:val="0"/>
                    <w:jc w:val="center"/>
                    <w:rPr>
                      <w:szCs w:val="21"/>
                      <w:u w:val="single"/>
                    </w:rPr>
                  </w:pPr>
                  <w:r>
                    <w:rPr>
                      <w:szCs w:val="21"/>
                      <w:u w:val="single"/>
                    </w:rPr>
                    <w:t>6</w:t>
                  </w:r>
                </w:p>
              </w:tc>
              <w:tc>
                <w:tcPr>
                  <w:tcW w:w="661" w:type="pct"/>
                  <w:tcBorders>
                    <w:tl2br w:val="nil"/>
                    <w:tr2bl w:val="nil"/>
                  </w:tcBorders>
                  <w:noWrap w:val="0"/>
                  <w:vAlign w:val="center"/>
                </w:tcPr>
                <w:p>
                  <w:pPr>
                    <w:jc w:val="center"/>
                    <w:rPr>
                      <w:szCs w:val="21"/>
                      <w:u w:val="single"/>
                    </w:rPr>
                  </w:pPr>
                  <w:r>
                    <w:rPr>
                      <w:rFonts w:hint="eastAsia"/>
                      <w:szCs w:val="21"/>
                      <w:u w:val="single"/>
                    </w:rPr>
                    <w:t>总氮</w:t>
                  </w:r>
                </w:p>
              </w:tc>
              <w:tc>
                <w:tcPr>
                  <w:tcW w:w="713" w:type="pct"/>
                  <w:tcBorders>
                    <w:tl2br w:val="nil"/>
                    <w:tr2bl w:val="nil"/>
                  </w:tcBorders>
                  <w:noWrap w:val="0"/>
                  <w:vAlign w:val="center"/>
                </w:tcPr>
                <w:p>
                  <w:pPr>
                    <w:adjustRightInd w:val="0"/>
                    <w:snapToGrid w:val="0"/>
                    <w:jc w:val="center"/>
                    <w:rPr>
                      <w:szCs w:val="21"/>
                      <w:u w:val="single"/>
                    </w:rPr>
                  </w:pPr>
                  <w:r>
                    <w:rPr>
                      <w:szCs w:val="21"/>
                      <w:u w:val="single"/>
                    </w:rPr>
                    <w:t>mg/L</w:t>
                  </w:r>
                </w:p>
              </w:tc>
              <w:tc>
                <w:tcPr>
                  <w:tcW w:w="1196" w:type="pct"/>
                  <w:tcBorders>
                    <w:tl2br w:val="nil"/>
                    <w:tr2bl w:val="nil"/>
                  </w:tcBorders>
                  <w:noWrap w:val="0"/>
                  <w:vAlign w:val="center"/>
                </w:tcPr>
                <w:p>
                  <w:pPr>
                    <w:adjustRightInd w:val="0"/>
                    <w:snapToGrid w:val="0"/>
                    <w:jc w:val="center"/>
                    <w:rPr>
                      <w:szCs w:val="21"/>
                      <w:u w:val="single"/>
                    </w:rPr>
                  </w:pPr>
                  <w:r>
                    <w:rPr>
                      <w:rFonts w:hint="eastAsia"/>
                      <w:szCs w:val="21"/>
                      <w:u w:val="single"/>
                      <w:lang w:val="en-US" w:eastAsia="zh-CN"/>
                    </w:rPr>
                    <w:t>70</w:t>
                  </w:r>
                </w:p>
              </w:tc>
              <w:tc>
                <w:tcPr>
                  <w:tcW w:w="932" w:type="pct"/>
                  <w:tcBorders>
                    <w:tl2br w:val="nil"/>
                    <w:tr2bl w:val="nil"/>
                  </w:tcBorders>
                  <w:noWrap w:val="0"/>
                  <w:vAlign w:val="center"/>
                </w:tcPr>
                <w:p>
                  <w:pPr>
                    <w:adjustRightInd w:val="0"/>
                    <w:snapToGrid w:val="0"/>
                    <w:jc w:val="center"/>
                    <w:rPr>
                      <w:rFonts w:hint="default" w:eastAsia="宋体"/>
                      <w:szCs w:val="21"/>
                      <w:u w:val="single"/>
                      <w:lang w:val="en-US" w:eastAsia="zh-CN"/>
                    </w:rPr>
                  </w:pPr>
                  <w:r>
                    <w:rPr>
                      <w:rFonts w:hint="eastAsia"/>
                      <w:szCs w:val="21"/>
                      <w:u w:val="single"/>
                      <w:lang w:val="en-US" w:eastAsia="zh-CN"/>
                    </w:rPr>
                    <w:t>70</w:t>
                  </w:r>
                </w:p>
              </w:tc>
              <w:tc>
                <w:tcPr>
                  <w:tcW w:w="1813" w:type="dxa"/>
                  <w:tcBorders>
                    <w:tl2br w:val="nil"/>
                    <w:tr2bl w:val="nil"/>
                  </w:tcBorders>
                  <w:noWrap w:val="0"/>
                  <w:vAlign w:val="center"/>
                </w:tcPr>
                <w:p>
                  <w:pPr>
                    <w:adjustRightInd w:val="0"/>
                    <w:snapToGrid w:val="0"/>
                    <w:jc w:val="center"/>
                    <w:rPr>
                      <w:szCs w:val="21"/>
                      <w:u w:val="single"/>
                    </w:rPr>
                  </w:pPr>
                  <w:r>
                    <w:rPr>
                      <w:rFonts w:hint="eastAsia"/>
                      <w:szCs w:val="21"/>
                      <w:u w:val="single"/>
                      <w:lang w:val="en-US" w:eastAsia="zh-CN"/>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4" w:type="pct"/>
                  <w:tcBorders>
                    <w:tl2br w:val="nil"/>
                    <w:tr2bl w:val="nil"/>
                  </w:tcBorders>
                  <w:noWrap w:val="0"/>
                  <w:vAlign w:val="center"/>
                </w:tcPr>
                <w:p>
                  <w:pPr>
                    <w:adjustRightInd w:val="0"/>
                    <w:snapToGrid w:val="0"/>
                    <w:jc w:val="center"/>
                    <w:rPr>
                      <w:szCs w:val="21"/>
                      <w:u w:val="single"/>
                    </w:rPr>
                  </w:pPr>
                  <w:r>
                    <w:rPr>
                      <w:szCs w:val="21"/>
                      <w:u w:val="single"/>
                    </w:rPr>
                    <w:t>7</w:t>
                  </w:r>
                </w:p>
              </w:tc>
              <w:tc>
                <w:tcPr>
                  <w:tcW w:w="661" w:type="pct"/>
                  <w:tcBorders>
                    <w:tl2br w:val="nil"/>
                    <w:tr2bl w:val="nil"/>
                  </w:tcBorders>
                  <w:noWrap w:val="0"/>
                  <w:vAlign w:val="center"/>
                </w:tcPr>
                <w:p>
                  <w:pPr>
                    <w:jc w:val="center"/>
                    <w:rPr>
                      <w:szCs w:val="21"/>
                      <w:u w:val="single"/>
                    </w:rPr>
                  </w:pPr>
                  <w:r>
                    <w:rPr>
                      <w:rFonts w:hint="eastAsia"/>
                      <w:szCs w:val="21"/>
                      <w:u w:val="single"/>
                    </w:rPr>
                    <w:t>总磷</w:t>
                  </w:r>
                </w:p>
              </w:tc>
              <w:tc>
                <w:tcPr>
                  <w:tcW w:w="713" w:type="pct"/>
                  <w:tcBorders>
                    <w:tl2br w:val="nil"/>
                    <w:tr2bl w:val="nil"/>
                  </w:tcBorders>
                  <w:noWrap w:val="0"/>
                  <w:vAlign w:val="center"/>
                </w:tcPr>
                <w:p>
                  <w:pPr>
                    <w:adjustRightInd w:val="0"/>
                    <w:snapToGrid w:val="0"/>
                    <w:jc w:val="center"/>
                    <w:rPr>
                      <w:szCs w:val="21"/>
                      <w:u w:val="single"/>
                    </w:rPr>
                  </w:pPr>
                  <w:r>
                    <w:rPr>
                      <w:szCs w:val="21"/>
                      <w:u w:val="single"/>
                    </w:rPr>
                    <w:t>mg/L</w:t>
                  </w:r>
                </w:p>
              </w:tc>
              <w:tc>
                <w:tcPr>
                  <w:tcW w:w="1196" w:type="pct"/>
                  <w:tcBorders>
                    <w:tl2br w:val="nil"/>
                    <w:tr2bl w:val="nil"/>
                  </w:tcBorders>
                  <w:noWrap w:val="0"/>
                  <w:vAlign w:val="center"/>
                </w:tcPr>
                <w:p>
                  <w:pPr>
                    <w:adjustRightInd w:val="0"/>
                    <w:snapToGrid w:val="0"/>
                    <w:jc w:val="center"/>
                    <w:rPr>
                      <w:szCs w:val="21"/>
                      <w:u w:val="single"/>
                    </w:rPr>
                  </w:pPr>
                  <w:r>
                    <w:rPr>
                      <w:rFonts w:hint="eastAsia"/>
                      <w:szCs w:val="21"/>
                      <w:u w:val="single"/>
                      <w:lang w:val="en-US" w:eastAsia="zh-CN"/>
                    </w:rPr>
                    <w:t>8</w:t>
                  </w:r>
                </w:p>
              </w:tc>
              <w:tc>
                <w:tcPr>
                  <w:tcW w:w="932" w:type="pct"/>
                  <w:tcBorders>
                    <w:tl2br w:val="nil"/>
                    <w:tr2bl w:val="nil"/>
                  </w:tcBorders>
                  <w:noWrap w:val="0"/>
                  <w:vAlign w:val="center"/>
                </w:tcPr>
                <w:p>
                  <w:pPr>
                    <w:adjustRightInd w:val="0"/>
                    <w:snapToGrid w:val="0"/>
                    <w:jc w:val="center"/>
                    <w:rPr>
                      <w:rFonts w:hint="eastAsia" w:eastAsia="宋体"/>
                      <w:szCs w:val="21"/>
                      <w:u w:val="single"/>
                      <w:lang w:val="en-US" w:eastAsia="zh-CN"/>
                    </w:rPr>
                  </w:pPr>
                  <w:r>
                    <w:rPr>
                      <w:rFonts w:hint="eastAsia"/>
                      <w:szCs w:val="21"/>
                      <w:u w:val="single"/>
                      <w:lang w:val="en-US" w:eastAsia="zh-CN"/>
                    </w:rPr>
                    <w:t>8</w:t>
                  </w:r>
                </w:p>
              </w:tc>
              <w:tc>
                <w:tcPr>
                  <w:tcW w:w="1813" w:type="dxa"/>
                  <w:tcBorders>
                    <w:tl2br w:val="nil"/>
                    <w:tr2bl w:val="nil"/>
                  </w:tcBorders>
                  <w:noWrap w:val="0"/>
                  <w:vAlign w:val="center"/>
                </w:tcPr>
                <w:p>
                  <w:pPr>
                    <w:adjustRightInd w:val="0"/>
                    <w:snapToGrid w:val="0"/>
                    <w:jc w:val="center"/>
                    <w:rPr>
                      <w:szCs w:val="21"/>
                      <w:u w:val="single"/>
                    </w:rPr>
                  </w:pPr>
                  <w:r>
                    <w:rPr>
                      <w:rFonts w:hint="eastAsia"/>
                      <w:szCs w:val="21"/>
                      <w:u w:val="single"/>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4" w:type="pct"/>
                  <w:tcBorders>
                    <w:tl2br w:val="nil"/>
                    <w:tr2bl w:val="nil"/>
                  </w:tcBorders>
                  <w:noWrap w:val="0"/>
                  <w:vAlign w:val="center"/>
                </w:tcPr>
                <w:p>
                  <w:pPr>
                    <w:adjustRightInd w:val="0"/>
                    <w:snapToGrid w:val="0"/>
                    <w:jc w:val="center"/>
                    <w:rPr>
                      <w:szCs w:val="21"/>
                      <w:u w:val="single"/>
                    </w:rPr>
                  </w:pPr>
                  <w:r>
                    <w:rPr>
                      <w:szCs w:val="21"/>
                      <w:u w:val="single"/>
                    </w:rPr>
                    <w:t>8</w:t>
                  </w:r>
                </w:p>
              </w:tc>
              <w:tc>
                <w:tcPr>
                  <w:tcW w:w="661" w:type="pct"/>
                  <w:tcBorders>
                    <w:tl2br w:val="nil"/>
                    <w:tr2bl w:val="nil"/>
                  </w:tcBorders>
                  <w:noWrap w:val="0"/>
                  <w:vAlign w:val="center"/>
                </w:tcPr>
                <w:p>
                  <w:pPr>
                    <w:adjustRightInd w:val="0"/>
                    <w:snapToGrid w:val="0"/>
                    <w:jc w:val="center"/>
                    <w:rPr>
                      <w:szCs w:val="21"/>
                      <w:u w:val="single"/>
                    </w:rPr>
                  </w:pPr>
                  <w:r>
                    <w:rPr>
                      <w:rFonts w:hint="eastAsia"/>
                      <w:szCs w:val="21"/>
                      <w:u w:val="single"/>
                    </w:rPr>
                    <w:t>动植物油</w:t>
                  </w:r>
                </w:p>
              </w:tc>
              <w:tc>
                <w:tcPr>
                  <w:tcW w:w="713" w:type="pct"/>
                  <w:tcBorders>
                    <w:tl2br w:val="nil"/>
                    <w:tr2bl w:val="nil"/>
                  </w:tcBorders>
                  <w:noWrap w:val="0"/>
                  <w:vAlign w:val="center"/>
                </w:tcPr>
                <w:p>
                  <w:pPr>
                    <w:adjustRightInd w:val="0"/>
                    <w:snapToGrid w:val="0"/>
                    <w:jc w:val="center"/>
                    <w:rPr>
                      <w:szCs w:val="21"/>
                      <w:u w:val="single"/>
                    </w:rPr>
                  </w:pPr>
                  <w:r>
                    <w:rPr>
                      <w:szCs w:val="21"/>
                      <w:u w:val="single"/>
                    </w:rPr>
                    <w:t>mg/L</w:t>
                  </w:r>
                </w:p>
              </w:tc>
              <w:tc>
                <w:tcPr>
                  <w:tcW w:w="1196" w:type="pct"/>
                  <w:tcBorders>
                    <w:tl2br w:val="nil"/>
                    <w:tr2bl w:val="nil"/>
                  </w:tcBorders>
                  <w:noWrap w:val="0"/>
                  <w:vAlign w:val="center"/>
                </w:tcPr>
                <w:p>
                  <w:pPr>
                    <w:adjustRightInd w:val="0"/>
                    <w:snapToGrid w:val="0"/>
                    <w:jc w:val="center"/>
                    <w:rPr>
                      <w:szCs w:val="21"/>
                      <w:u w:val="single"/>
                    </w:rPr>
                  </w:pPr>
                  <w:r>
                    <w:rPr>
                      <w:szCs w:val="21"/>
                      <w:u w:val="single"/>
                    </w:rPr>
                    <w:t>20</w:t>
                  </w:r>
                </w:p>
              </w:tc>
              <w:tc>
                <w:tcPr>
                  <w:tcW w:w="932" w:type="pct"/>
                  <w:tcBorders>
                    <w:tl2br w:val="nil"/>
                    <w:tr2bl w:val="nil"/>
                  </w:tcBorders>
                  <w:noWrap w:val="0"/>
                  <w:vAlign w:val="center"/>
                </w:tcPr>
                <w:p>
                  <w:pPr>
                    <w:adjustRightInd w:val="0"/>
                    <w:snapToGrid w:val="0"/>
                    <w:jc w:val="center"/>
                    <w:rPr>
                      <w:rFonts w:hint="eastAsia" w:eastAsia="宋体"/>
                      <w:szCs w:val="21"/>
                      <w:u w:val="single"/>
                      <w:lang w:val="en-US" w:eastAsia="zh-CN"/>
                    </w:rPr>
                  </w:pPr>
                  <w:r>
                    <w:rPr>
                      <w:rFonts w:hint="eastAsia"/>
                      <w:szCs w:val="21"/>
                      <w:u w:val="single"/>
                      <w:lang w:val="en-US" w:eastAsia="zh-CN"/>
                    </w:rPr>
                    <w:t>/</w:t>
                  </w:r>
                </w:p>
              </w:tc>
              <w:tc>
                <w:tcPr>
                  <w:tcW w:w="1813" w:type="dxa"/>
                  <w:tcBorders>
                    <w:tl2br w:val="nil"/>
                    <w:tr2bl w:val="nil"/>
                  </w:tcBorders>
                  <w:noWrap w:val="0"/>
                  <w:vAlign w:val="center"/>
                </w:tcPr>
                <w:p>
                  <w:pPr>
                    <w:adjustRightInd w:val="0"/>
                    <w:snapToGrid w:val="0"/>
                    <w:jc w:val="center"/>
                    <w:rPr>
                      <w:szCs w:val="21"/>
                      <w:u w:val="single"/>
                    </w:rPr>
                  </w:pPr>
                  <w:r>
                    <w:rPr>
                      <w:szCs w:val="21"/>
                      <w:u w:val="single"/>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4" w:type="pct"/>
                  <w:tcBorders>
                    <w:tl2br w:val="nil"/>
                    <w:tr2bl w:val="nil"/>
                  </w:tcBorders>
                  <w:noWrap w:val="0"/>
                  <w:vAlign w:val="center"/>
                </w:tcPr>
                <w:p>
                  <w:pPr>
                    <w:adjustRightInd w:val="0"/>
                    <w:snapToGrid w:val="0"/>
                    <w:jc w:val="center"/>
                    <w:rPr>
                      <w:szCs w:val="21"/>
                      <w:u w:val="single"/>
                    </w:rPr>
                  </w:pPr>
                  <w:r>
                    <w:rPr>
                      <w:szCs w:val="21"/>
                      <w:u w:val="single"/>
                    </w:rPr>
                    <w:t>9</w:t>
                  </w:r>
                </w:p>
              </w:tc>
              <w:tc>
                <w:tcPr>
                  <w:tcW w:w="661" w:type="pct"/>
                  <w:tcBorders>
                    <w:tl2br w:val="nil"/>
                    <w:tr2bl w:val="nil"/>
                  </w:tcBorders>
                  <w:noWrap w:val="0"/>
                  <w:vAlign w:val="center"/>
                </w:tcPr>
                <w:p>
                  <w:pPr>
                    <w:adjustRightInd w:val="0"/>
                    <w:snapToGrid w:val="0"/>
                    <w:jc w:val="center"/>
                    <w:rPr>
                      <w:szCs w:val="21"/>
                      <w:u w:val="single"/>
                    </w:rPr>
                  </w:pPr>
                  <w:r>
                    <w:rPr>
                      <w:rFonts w:hint="eastAsia"/>
                      <w:szCs w:val="21"/>
                      <w:u w:val="single"/>
                    </w:rPr>
                    <w:t>总氰化物</w:t>
                  </w:r>
                </w:p>
              </w:tc>
              <w:tc>
                <w:tcPr>
                  <w:tcW w:w="713" w:type="pct"/>
                  <w:tcBorders>
                    <w:tl2br w:val="nil"/>
                    <w:tr2bl w:val="nil"/>
                  </w:tcBorders>
                  <w:noWrap w:val="0"/>
                  <w:vAlign w:val="center"/>
                </w:tcPr>
                <w:p>
                  <w:pPr>
                    <w:adjustRightInd w:val="0"/>
                    <w:snapToGrid w:val="0"/>
                    <w:jc w:val="center"/>
                    <w:rPr>
                      <w:szCs w:val="21"/>
                      <w:u w:val="single"/>
                    </w:rPr>
                  </w:pPr>
                  <w:r>
                    <w:rPr>
                      <w:szCs w:val="21"/>
                      <w:u w:val="single"/>
                    </w:rPr>
                    <w:t>mg/L</w:t>
                  </w:r>
                </w:p>
              </w:tc>
              <w:tc>
                <w:tcPr>
                  <w:tcW w:w="1196" w:type="pct"/>
                  <w:tcBorders>
                    <w:tl2br w:val="nil"/>
                    <w:tr2bl w:val="nil"/>
                  </w:tcBorders>
                  <w:noWrap w:val="0"/>
                  <w:vAlign w:val="center"/>
                </w:tcPr>
                <w:p>
                  <w:pPr>
                    <w:adjustRightInd w:val="0"/>
                    <w:snapToGrid w:val="0"/>
                    <w:jc w:val="center"/>
                    <w:rPr>
                      <w:szCs w:val="21"/>
                      <w:u w:val="single"/>
                    </w:rPr>
                  </w:pPr>
                  <w:r>
                    <w:rPr>
                      <w:szCs w:val="21"/>
                      <w:u w:val="single"/>
                    </w:rPr>
                    <w:t>0.5</w:t>
                  </w:r>
                </w:p>
              </w:tc>
              <w:tc>
                <w:tcPr>
                  <w:tcW w:w="932" w:type="pct"/>
                  <w:tcBorders>
                    <w:tl2br w:val="nil"/>
                    <w:tr2bl w:val="nil"/>
                  </w:tcBorders>
                  <w:noWrap w:val="0"/>
                  <w:vAlign w:val="center"/>
                </w:tcPr>
                <w:p>
                  <w:pPr>
                    <w:adjustRightInd w:val="0"/>
                    <w:snapToGrid w:val="0"/>
                    <w:jc w:val="center"/>
                    <w:rPr>
                      <w:rFonts w:hint="eastAsia" w:eastAsia="宋体"/>
                      <w:szCs w:val="21"/>
                      <w:u w:val="single"/>
                      <w:lang w:val="en-US" w:eastAsia="zh-CN"/>
                    </w:rPr>
                  </w:pPr>
                  <w:r>
                    <w:rPr>
                      <w:rFonts w:hint="eastAsia"/>
                      <w:szCs w:val="21"/>
                      <w:u w:val="single"/>
                      <w:lang w:val="en-US" w:eastAsia="zh-CN"/>
                    </w:rPr>
                    <w:t>/</w:t>
                  </w:r>
                </w:p>
              </w:tc>
              <w:tc>
                <w:tcPr>
                  <w:tcW w:w="1813" w:type="dxa"/>
                  <w:tcBorders>
                    <w:tl2br w:val="nil"/>
                    <w:tr2bl w:val="nil"/>
                  </w:tcBorders>
                  <w:noWrap w:val="0"/>
                  <w:vAlign w:val="center"/>
                </w:tcPr>
                <w:p>
                  <w:pPr>
                    <w:adjustRightInd w:val="0"/>
                    <w:snapToGrid w:val="0"/>
                    <w:jc w:val="center"/>
                    <w:rPr>
                      <w:szCs w:val="21"/>
                      <w:u w:val="single"/>
                    </w:rPr>
                  </w:pPr>
                  <w:r>
                    <w:rPr>
                      <w:szCs w:val="21"/>
                      <w:u w:val="single"/>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4" w:type="pct"/>
                  <w:tcBorders>
                    <w:tl2br w:val="nil"/>
                    <w:tr2bl w:val="nil"/>
                  </w:tcBorders>
                  <w:noWrap w:val="0"/>
                  <w:vAlign w:val="center"/>
                </w:tcPr>
                <w:p>
                  <w:pPr>
                    <w:adjustRightInd w:val="0"/>
                    <w:snapToGrid w:val="0"/>
                    <w:jc w:val="center"/>
                    <w:rPr>
                      <w:szCs w:val="21"/>
                      <w:u w:val="single"/>
                    </w:rPr>
                  </w:pPr>
                  <w:r>
                    <w:rPr>
                      <w:szCs w:val="21"/>
                      <w:u w:val="single"/>
                    </w:rPr>
                    <w:t>10</w:t>
                  </w:r>
                </w:p>
              </w:tc>
              <w:tc>
                <w:tcPr>
                  <w:tcW w:w="661" w:type="pct"/>
                  <w:tcBorders>
                    <w:tl2br w:val="nil"/>
                    <w:tr2bl w:val="nil"/>
                  </w:tcBorders>
                  <w:noWrap w:val="0"/>
                  <w:vAlign w:val="center"/>
                </w:tcPr>
                <w:p>
                  <w:pPr>
                    <w:adjustRightInd w:val="0"/>
                    <w:snapToGrid w:val="0"/>
                    <w:jc w:val="center"/>
                    <w:rPr>
                      <w:szCs w:val="21"/>
                      <w:u w:val="single"/>
                    </w:rPr>
                  </w:pPr>
                  <w:r>
                    <w:rPr>
                      <w:rFonts w:hint="eastAsia"/>
                      <w:szCs w:val="21"/>
                      <w:u w:val="single"/>
                    </w:rPr>
                    <w:t>粪大肠菌群</w:t>
                  </w:r>
                </w:p>
              </w:tc>
              <w:tc>
                <w:tcPr>
                  <w:tcW w:w="713" w:type="pct"/>
                  <w:tcBorders>
                    <w:tl2br w:val="nil"/>
                    <w:tr2bl w:val="nil"/>
                  </w:tcBorders>
                  <w:noWrap w:val="0"/>
                  <w:vAlign w:val="center"/>
                </w:tcPr>
                <w:p>
                  <w:pPr>
                    <w:adjustRightInd w:val="0"/>
                    <w:snapToGrid w:val="0"/>
                    <w:jc w:val="center"/>
                    <w:rPr>
                      <w:szCs w:val="21"/>
                      <w:u w:val="single"/>
                    </w:rPr>
                  </w:pPr>
                  <w:r>
                    <w:rPr>
                      <w:szCs w:val="21"/>
                      <w:u w:val="single"/>
                    </w:rPr>
                    <w:t>MPN/L</w:t>
                  </w:r>
                </w:p>
              </w:tc>
              <w:tc>
                <w:tcPr>
                  <w:tcW w:w="1196" w:type="pct"/>
                  <w:tcBorders>
                    <w:tl2br w:val="nil"/>
                    <w:tr2bl w:val="nil"/>
                  </w:tcBorders>
                  <w:noWrap w:val="0"/>
                  <w:vAlign w:val="center"/>
                </w:tcPr>
                <w:p>
                  <w:pPr>
                    <w:adjustRightInd w:val="0"/>
                    <w:snapToGrid w:val="0"/>
                    <w:jc w:val="center"/>
                    <w:rPr>
                      <w:szCs w:val="21"/>
                      <w:u w:val="single"/>
                    </w:rPr>
                  </w:pPr>
                  <w:r>
                    <w:rPr>
                      <w:szCs w:val="21"/>
                      <w:u w:val="single"/>
                    </w:rPr>
                    <w:t>500</w:t>
                  </w:r>
                  <w:r>
                    <w:rPr>
                      <w:rFonts w:hint="eastAsia"/>
                      <w:szCs w:val="21"/>
                      <w:u w:val="single"/>
                    </w:rPr>
                    <w:t>0</w:t>
                  </w:r>
                </w:p>
              </w:tc>
              <w:tc>
                <w:tcPr>
                  <w:tcW w:w="932" w:type="pct"/>
                  <w:tcBorders>
                    <w:tl2br w:val="nil"/>
                    <w:tr2bl w:val="nil"/>
                  </w:tcBorders>
                  <w:noWrap w:val="0"/>
                  <w:vAlign w:val="center"/>
                </w:tcPr>
                <w:p>
                  <w:pPr>
                    <w:adjustRightInd w:val="0"/>
                    <w:snapToGrid w:val="0"/>
                    <w:jc w:val="center"/>
                    <w:rPr>
                      <w:rFonts w:hint="eastAsia" w:eastAsia="宋体"/>
                      <w:szCs w:val="21"/>
                      <w:u w:val="single"/>
                      <w:lang w:val="en-US" w:eastAsia="zh-CN"/>
                    </w:rPr>
                  </w:pPr>
                  <w:r>
                    <w:rPr>
                      <w:rFonts w:hint="eastAsia"/>
                      <w:szCs w:val="21"/>
                      <w:u w:val="single"/>
                      <w:lang w:val="en-US" w:eastAsia="zh-CN"/>
                    </w:rPr>
                    <w:t>/</w:t>
                  </w:r>
                </w:p>
              </w:tc>
              <w:tc>
                <w:tcPr>
                  <w:tcW w:w="1813" w:type="dxa"/>
                  <w:tcBorders>
                    <w:tl2br w:val="nil"/>
                    <w:tr2bl w:val="nil"/>
                  </w:tcBorders>
                  <w:noWrap w:val="0"/>
                  <w:vAlign w:val="center"/>
                </w:tcPr>
                <w:p>
                  <w:pPr>
                    <w:adjustRightInd w:val="0"/>
                    <w:snapToGrid w:val="0"/>
                    <w:jc w:val="center"/>
                    <w:rPr>
                      <w:szCs w:val="21"/>
                      <w:u w:val="single"/>
                    </w:rPr>
                  </w:pPr>
                  <w:r>
                    <w:rPr>
                      <w:szCs w:val="21"/>
                      <w:u w:val="single"/>
                    </w:rPr>
                    <w:t>500</w:t>
                  </w:r>
                  <w:r>
                    <w:rPr>
                      <w:rFonts w:hint="eastAsia"/>
                      <w:szCs w:val="21"/>
                      <w:u w:val="singl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4" w:type="pct"/>
                  <w:tcBorders>
                    <w:tl2br w:val="nil"/>
                    <w:tr2bl w:val="nil"/>
                  </w:tcBorders>
                  <w:noWrap w:val="0"/>
                  <w:vAlign w:val="center"/>
                </w:tcPr>
                <w:p>
                  <w:pPr>
                    <w:adjustRightInd w:val="0"/>
                    <w:snapToGrid w:val="0"/>
                    <w:jc w:val="center"/>
                    <w:rPr>
                      <w:szCs w:val="21"/>
                      <w:u w:val="single"/>
                    </w:rPr>
                  </w:pPr>
                  <w:r>
                    <w:rPr>
                      <w:szCs w:val="21"/>
                      <w:u w:val="single"/>
                    </w:rPr>
                    <w:t>11</w:t>
                  </w:r>
                </w:p>
              </w:tc>
              <w:tc>
                <w:tcPr>
                  <w:tcW w:w="661" w:type="pct"/>
                  <w:tcBorders>
                    <w:tl2br w:val="nil"/>
                    <w:tr2bl w:val="nil"/>
                  </w:tcBorders>
                  <w:noWrap w:val="0"/>
                  <w:vAlign w:val="center"/>
                </w:tcPr>
                <w:p>
                  <w:pPr>
                    <w:adjustRightInd w:val="0"/>
                    <w:snapToGrid w:val="0"/>
                    <w:jc w:val="center"/>
                    <w:rPr>
                      <w:szCs w:val="21"/>
                      <w:u w:val="single"/>
                    </w:rPr>
                  </w:pPr>
                  <w:r>
                    <w:rPr>
                      <w:rFonts w:hint="eastAsia"/>
                      <w:szCs w:val="21"/>
                      <w:u w:val="single"/>
                    </w:rPr>
                    <w:t>总余氯</w:t>
                  </w:r>
                </w:p>
              </w:tc>
              <w:tc>
                <w:tcPr>
                  <w:tcW w:w="713" w:type="pct"/>
                  <w:tcBorders>
                    <w:tl2br w:val="nil"/>
                    <w:tr2bl w:val="nil"/>
                  </w:tcBorders>
                  <w:noWrap w:val="0"/>
                  <w:vAlign w:val="center"/>
                </w:tcPr>
                <w:p>
                  <w:pPr>
                    <w:adjustRightInd w:val="0"/>
                    <w:snapToGrid w:val="0"/>
                    <w:jc w:val="center"/>
                    <w:rPr>
                      <w:szCs w:val="21"/>
                      <w:u w:val="single"/>
                    </w:rPr>
                  </w:pPr>
                  <w:r>
                    <w:rPr>
                      <w:szCs w:val="21"/>
                      <w:u w:val="single"/>
                    </w:rPr>
                    <w:t>mg/L</w:t>
                  </w:r>
                </w:p>
              </w:tc>
              <w:tc>
                <w:tcPr>
                  <w:tcW w:w="1196" w:type="pct"/>
                  <w:tcBorders>
                    <w:tl2br w:val="nil"/>
                    <w:tr2bl w:val="nil"/>
                  </w:tcBorders>
                  <w:noWrap w:val="0"/>
                  <w:vAlign w:val="center"/>
                </w:tcPr>
                <w:p>
                  <w:pPr>
                    <w:adjustRightInd w:val="0"/>
                    <w:snapToGrid w:val="0"/>
                    <w:jc w:val="center"/>
                    <w:rPr>
                      <w:szCs w:val="21"/>
                      <w:u w:val="single"/>
                    </w:rPr>
                  </w:pPr>
                  <w:r>
                    <w:rPr>
                      <w:rFonts w:hint="eastAsia"/>
                      <w:szCs w:val="21"/>
                      <w:u w:val="single"/>
                    </w:rPr>
                    <w:t>/</w:t>
                  </w:r>
                </w:p>
              </w:tc>
              <w:tc>
                <w:tcPr>
                  <w:tcW w:w="932" w:type="pct"/>
                  <w:tcBorders>
                    <w:tl2br w:val="nil"/>
                    <w:tr2bl w:val="nil"/>
                  </w:tcBorders>
                  <w:noWrap w:val="0"/>
                  <w:vAlign w:val="center"/>
                </w:tcPr>
                <w:p>
                  <w:pPr>
                    <w:adjustRightInd w:val="0"/>
                    <w:snapToGrid w:val="0"/>
                    <w:jc w:val="center"/>
                    <w:rPr>
                      <w:rFonts w:hint="eastAsia" w:eastAsia="宋体"/>
                      <w:szCs w:val="21"/>
                      <w:u w:val="single"/>
                      <w:lang w:val="en-US" w:eastAsia="zh-CN"/>
                    </w:rPr>
                  </w:pPr>
                  <w:r>
                    <w:rPr>
                      <w:rFonts w:hint="eastAsia"/>
                      <w:szCs w:val="21"/>
                      <w:u w:val="single"/>
                      <w:lang w:val="en-US" w:eastAsia="zh-CN"/>
                    </w:rPr>
                    <w:t>/</w:t>
                  </w:r>
                </w:p>
              </w:tc>
              <w:tc>
                <w:tcPr>
                  <w:tcW w:w="1813" w:type="dxa"/>
                  <w:tcBorders>
                    <w:tl2br w:val="nil"/>
                    <w:tr2bl w:val="nil"/>
                  </w:tcBorders>
                  <w:noWrap w:val="0"/>
                  <w:vAlign w:val="center"/>
                </w:tcPr>
                <w:p>
                  <w:pPr>
                    <w:adjustRightInd w:val="0"/>
                    <w:snapToGrid w:val="0"/>
                    <w:jc w:val="center"/>
                    <w:rPr>
                      <w:szCs w:val="21"/>
                      <w:u w:val="single"/>
                    </w:rPr>
                  </w:pPr>
                  <w:r>
                    <w:rPr>
                      <w:rFonts w:hint="eastAsia"/>
                      <w:szCs w:val="21"/>
                      <w:u w:val="single"/>
                    </w:rPr>
                    <w:t>/</w:t>
                  </w:r>
                </w:p>
              </w:tc>
            </w:tr>
          </w:tbl>
          <w:p>
            <w:pPr>
              <w:spacing w:line="240" w:lineRule="auto"/>
              <w:rPr>
                <w:b/>
                <w:snapToGrid w:val="0"/>
                <w:spacing w:val="10"/>
                <w:kern w:val="0"/>
                <w:sz w:val="24"/>
              </w:rPr>
            </w:pPr>
          </w:p>
          <w:p>
            <w:pPr>
              <w:spacing w:line="360" w:lineRule="auto"/>
              <w:rPr>
                <w:b/>
                <w:snapToGrid w:val="0"/>
                <w:spacing w:val="10"/>
                <w:kern w:val="0"/>
                <w:sz w:val="24"/>
              </w:rPr>
            </w:pPr>
            <w:r>
              <w:rPr>
                <w:b/>
                <w:snapToGrid w:val="0"/>
                <w:spacing w:val="10"/>
                <w:kern w:val="0"/>
                <w:sz w:val="24"/>
              </w:rPr>
              <w:t>2、废气</w:t>
            </w:r>
          </w:p>
          <w:p>
            <w:pPr>
              <w:adjustRightInd w:val="0"/>
              <w:snapToGrid w:val="0"/>
              <w:spacing w:line="360" w:lineRule="auto"/>
              <w:ind w:firstLine="480" w:firstLineChars="200"/>
              <w:rPr>
                <w:sz w:val="24"/>
              </w:rPr>
            </w:pPr>
            <w:r>
              <w:rPr>
                <w:rFonts w:hint="eastAsia"/>
                <w:sz w:val="24"/>
              </w:rPr>
              <w:t>项目施工期废气主要为施工扬尘、施工机械及车辆燃油废气等，执行《大气污染物综合排放标准》（</w:t>
            </w:r>
            <w:r>
              <w:rPr>
                <w:sz w:val="24"/>
              </w:rPr>
              <w:t>GB16297-1996</w:t>
            </w:r>
            <w:r>
              <w:rPr>
                <w:rFonts w:hint="eastAsia"/>
                <w:sz w:val="24"/>
              </w:rPr>
              <w:t>）中无组织排放标准限值。</w:t>
            </w:r>
          </w:p>
          <w:p>
            <w:pPr>
              <w:adjustRightInd w:val="0"/>
              <w:snapToGrid w:val="0"/>
              <w:jc w:val="center"/>
              <w:rPr>
                <w:b/>
                <w:szCs w:val="21"/>
              </w:rPr>
            </w:pPr>
            <w:r>
              <w:rPr>
                <w:rFonts w:hint="eastAsia"/>
                <w:b/>
                <w:szCs w:val="21"/>
              </w:rPr>
              <w:t>表</w:t>
            </w:r>
            <w:r>
              <w:rPr>
                <w:rFonts w:hint="eastAsia"/>
                <w:b/>
                <w:szCs w:val="21"/>
                <w:lang w:val="en-US" w:eastAsia="zh-CN"/>
              </w:rPr>
              <w:t xml:space="preserve"> </w:t>
            </w:r>
            <w:r>
              <w:rPr>
                <w:rFonts w:hint="eastAsia"/>
                <w:b/>
                <w:szCs w:val="21"/>
              </w:rPr>
              <w:t>3-1</w:t>
            </w:r>
            <w:r>
              <w:rPr>
                <w:rFonts w:hint="eastAsia"/>
                <w:b/>
                <w:szCs w:val="21"/>
                <w:lang w:val="en-US" w:eastAsia="zh-CN"/>
              </w:rPr>
              <w:t>1</w:t>
            </w:r>
            <w:r>
              <w:rPr>
                <w:rFonts w:hint="eastAsia"/>
                <w:b/>
                <w:szCs w:val="21"/>
              </w:rPr>
              <w:t xml:space="preserve"> 施工期废气排放标准限值</w:t>
            </w:r>
          </w:p>
          <w:tbl>
            <w:tblPr>
              <w:tblStyle w:val="25"/>
              <w:tblW w:w="4999"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11"/>
              <w:gridCol w:w="2293"/>
              <w:gridCol w:w="2882"/>
              <w:gridCol w:w="20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61" w:type="pct"/>
                  <w:tcBorders>
                    <w:top w:val="single" w:color="auto" w:sz="12" w:space="0"/>
                    <w:left w:val="single" w:color="auto" w:sz="12" w:space="0"/>
                    <w:bottom w:val="single" w:color="auto" w:sz="6" w:space="0"/>
                    <w:right w:val="single" w:color="auto" w:sz="6" w:space="0"/>
                  </w:tcBorders>
                  <w:noWrap w:val="0"/>
                  <w:vAlign w:val="center"/>
                </w:tcPr>
                <w:p>
                  <w:pPr>
                    <w:adjustRightInd w:val="0"/>
                    <w:snapToGrid w:val="0"/>
                    <w:jc w:val="center"/>
                    <w:rPr>
                      <w:b/>
                      <w:szCs w:val="21"/>
                    </w:rPr>
                  </w:pPr>
                  <w:r>
                    <w:rPr>
                      <w:rFonts w:hint="eastAsia"/>
                      <w:b/>
                      <w:szCs w:val="21"/>
                    </w:rPr>
                    <w:t>序号</w:t>
                  </w:r>
                </w:p>
              </w:tc>
              <w:tc>
                <w:tcPr>
                  <w:tcW w:w="1412" w:type="pct"/>
                  <w:tcBorders>
                    <w:top w:val="single" w:color="auto" w:sz="12" w:space="0"/>
                    <w:left w:val="single" w:color="auto" w:sz="6" w:space="0"/>
                    <w:bottom w:val="single" w:color="auto" w:sz="6" w:space="0"/>
                    <w:right w:val="single" w:color="auto" w:sz="6" w:space="0"/>
                  </w:tcBorders>
                  <w:noWrap w:val="0"/>
                  <w:vAlign w:val="center"/>
                </w:tcPr>
                <w:p>
                  <w:pPr>
                    <w:adjustRightInd w:val="0"/>
                    <w:snapToGrid w:val="0"/>
                    <w:jc w:val="center"/>
                    <w:rPr>
                      <w:b/>
                      <w:szCs w:val="21"/>
                    </w:rPr>
                  </w:pPr>
                  <w:r>
                    <w:rPr>
                      <w:rFonts w:hint="eastAsia"/>
                      <w:b/>
                      <w:szCs w:val="21"/>
                    </w:rPr>
                    <w:t>控制项目</w:t>
                  </w:r>
                </w:p>
              </w:tc>
              <w:tc>
                <w:tcPr>
                  <w:tcW w:w="1774" w:type="pct"/>
                  <w:tcBorders>
                    <w:top w:val="single" w:color="auto" w:sz="12" w:space="0"/>
                    <w:left w:val="single" w:color="auto" w:sz="6" w:space="0"/>
                    <w:bottom w:val="single" w:color="auto" w:sz="6" w:space="0"/>
                    <w:right w:val="single" w:color="auto" w:sz="6" w:space="0"/>
                  </w:tcBorders>
                  <w:noWrap w:val="0"/>
                  <w:vAlign w:val="center"/>
                </w:tcPr>
                <w:p>
                  <w:pPr>
                    <w:adjustRightInd w:val="0"/>
                    <w:snapToGrid w:val="0"/>
                    <w:jc w:val="center"/>
                    <w:rPr>
                      <w:b/>
                      <w:szCs w:val="21"/>
                    </w:rPr>
                  </w:pPr>
                  <w:r>
                    <w:rPr>
                      <w:rFonts w:hint="eastAsia"/>
                      <w:b/>
                      <w:szCs w:val="21"/>
                    </w:rPr>
                    <w:t>无组织监测点浓度值（</w:t>
                  </w:r>
                  <w:r>
                    <w:rPr>
                      <w:b/>
                      <w:szCs w:val="21"/>
                    </w:rPr>
                    <w:t>mg/m</w:t>
                  </w:r>
                  <w:r>
                    <w:rPr>
                      <w:b/>
                      <w:szCs w:val="21"/>
                      <w:vertAlign w:val="superscript"/>
                    </w:rPr>
                    <w:t>3</w:t>
                  </w:r>
                  <w:r>
                    <w:rPr>
                      <w:rFonts w:hint="eastAsia"/>
                      <w:b/>
                      <w:szCs w:val="21"/>
                    </w:rPr>
                    <w:t>）</w:t>
                  </w:r>
                </w:p>
              </w:tc>
              <w:tc>
                <w:tcPr>
                  <w:tcW w:w="1250" w:type="pct"/>
                  <w:tcBorders>
                    <w:top w:val="single" w:color="auto" w:sz="12" w:space="0"/>
                    <w:left w:val="single" w:color="auto" w:sz="6" w:space="0"/>
                    <w:bottom w:val="single" w:color="auto" w:sz="6" w:space="0"/>
                    <w:right w:val="single" w:color="auto" w:sz="12" w:space="0"/>
                  </w:tcBorders>
                  <w:noWrap w:val="0"/>
                  <w:vAlign w:val="center"/>
                </w:tcPr>
                <w:p>
                  <w:pPr>
                    <w:adjustRightInd w:val="0"/>
                    <w:snapToGrid w:val="0"/>
                    <w:jc w:val="center"/>
                    <w:rPr>
                      <w:b/>
                      <w:szCs w:val="21"/>
                    </w:rPr>
                  </w:pPr>
                  <w:r>
                    <w:rPr>
                      <w:rFonts w:hint="eastAsia"/>
                      <w:b/>
                      <w:szCs w:val="21"/>
                    </w:rPr>
                    <w:t>标准来源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61" w:type="pct"/>
                  <w:tcBorders>
                    <w:top w:val="single" w:color="auto" w:sz="6" w:space="0"/>
                    <w:left w:val="single" w:color="auto" w:sz="12" w:space="0"/>
                    <w:bottom w:val="single" w:color="auto" w:sz="6" w:space="0"/>
                    <w:right w:val="single" w:color="auto" w:sz="6" w:space="0"/>
                  </w:tcBorders>
                  <w:noWrap w:val="0"/>
                  <w:vAlign w:val="center"/>
                </w:tcPr>
                <w:p>
                  <w:pPr>
                    <w:adjustRightInd w:val="0"/>
                    <w:snapToGrid w:val="0"/>
                    <w:jc w:val="center"/>
                    <w:rPr>
                      <w:szCs w:val="21"/>
                    </w:rPr>
                  </w:pPr>
                  <w:r>
                    <w:rPr>
                      <w:szCs w:val="21"/>
                    </w:rPr>
                    <w:t>1</w:t>
                  </w:r>
                </w:p>
              </w:tc>
              <w:tc>
                <w:tcPr>
                  <w:tcW w:w="1412"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szCs w:val="21"/>
                    </w:rPr>
                  </w:pPr>
                  <w:r>
                    <w:rPr>
                      <w:rFonts w:hint="eastAsia"/>
                      <w:szCs w:val="21"/>
                    </w:rPr>
                    <w:t>颗粒物</w:t>
                  </w:r>
                </w:p>
              </w:tc>
              <w:tc>
                <w:tcPr>
                  <w:tcW w:w="1774"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szCs w:val="21"/>
                    </w:rPr>
                  </w:pPr>
                  <w:r>
                    <w:rPr>
                      <w:szCs w:val="21"/>
                    </w:rPr>
                    <w:t>1.0</w:t>
                  </w:r>
                </w:p>
              </w:tc>
              <w:tc>
                <w:tcPr>
                  <w:tcW w:w="1250" w:type="pct"/>
                  <w:vMerge w:val="restart"/>
                  <w:tcBorders>
                    <w:top w:val="single" w:color="auto" w:sz="6" w:space="0"/>
                    <w:left w:val="single" w:color="auto" w:sz="6" w:space="0"/>
                    <w:bottom w:val="single" w:color="auto" w:sz="12" w:space="0"/>
                    <w:right w:val="single" w:color="auto" w:sz="12" w:space="0"/>
                  </w:tcBorders>
                  <w:noWrap w:val="0"/>
                  <w:vAlign w:val="center"/>
                </w:tcPr>
                <w:p>
                  <w:pPr>
                    <w:adjustRightInd w:val="0"/>
                    <w:snapToGrid w:val="0"/>
                    <w:jc w:val="center"/>
                    <w:rPr>
                      <w:szCs w:val="21"/>
                    </w:rPr>
                  </w:pPr>
                  <w:r>
                    <w:rPr>
                      <w:rFonts w:hint="eastAsia"/>
                      <w:szCs w:val="21"/>
                    </w:rPr>
                    <w:t>《大气污染物综合排放标准》（</w:t>
                  </w:r>
                  <w:r>
                    <w:rPr>
                      <w:szCs w:val="21"/>
                    </w:rPr>
                    <w:t>GB16297-1996</w:t>
                  </w:r>
                  <w:r>
                    <w:rPr>
                      <w:rFonts w:hint="eastAsia"/>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61" w:type="pct"/>
                  <w:tcBorders>
                    <w:top w:val="single" w:color="auto" w:sz="6" w:space="0"/>
                    <w:left w:val="single" w:color="auto" w:sz="12" w:space="0"/>
                    <w:bottom w:val="single" w:color="auto" w:sz="6" w:space="0"/>
                    <w:right w:val="single" w:color="auto" w:sz="6" w:space="0"/>
                  </w:tcBorders>
                  <w:noWrap w:val="0"/>
                  <w:vAlign w:val="top"/>
                </w:tcPr>
                <w:p>
                  <w:pPr>
                    <w:adjustRightInd w:val="0"/>
                    <w:snapToGrid w:val="0"/>
                    <w:jc w:val="center"/>
                    <w:rPr>
                      <w:szCs w:val="21"/>
                    </w:rPr>
                  </w:pPr>
                  <w:r>
                    <w:rPr>
                      <w:szCs w:val="21"/>
                    </w:rPr>
                    <w:t>2</w:t>
                  </w:r>
                </w:p>
              </w:tc>
              <w:tc>
                <w:tcPr>
                  <w:tcW w:w="1412" w:type="pct"/>
                  <w:tcBorders>
                    <w:top w:val="single" w:color="auto" w:sz="6" w:space="0"/>
                    <w:left w:val="single" w:color="auto" w:sz="6" w:space="0"/>
                    <w:bottom w:val="single" w:color="auto" w:sz="6" w:space="0"/>
                    <w:right w:val="single" w:color="auto" w:sz="6" w:space="0"/>
                  </w:tcBorders>
                  <w:noWrap w:val="0"/>
                  <w:vAlign w:val="top"/>
                </w:tcPr>
                <w:p>
                  <w:pPr>
                    <w:adjustRightInd w:val="0"/>
                    <w:snapToGrid w:val="0"/>
                    <w:jc w:val="center"/>
                    <w:rPr>
                      <w:szCs w:val="21"/>
                    </w:rPr>
                  </w:pPr>
                  <w:r>
                    <w:rPr>
                      <w:szCs w:val="21"/>
                    </w:rPr>
                    <w:t>SO</w:t>
                  </w:r>
                  <w:r>
                    <w:rPr>
                      <w:szCs w:val="21"/>
                      <w:vertAlign w:val="subscript"/>
                    </w:rPr>
                    <w:t>2</w:t>
                  </w:r>
                </w:p>
              </w:tc>
              <w:tc>
                <w:tcPr>
                  <w:tcW w:w="1774" w:type="pct"/>
                  <w:tcBorders>
                    <w:top w:val="single" w:color="auto" w:sz="6" w:space="0"/>
                    <w:left w:val="single" w:color="auto" w:sz="6" w:space="0"/>
                    <w:bottom w:val="single" w:color="auto" w:sz="6" w:space="0"/>
                    <w:right w:val="single" w:color="auto" w:sz="6" w:space="0"/>
                  </w:tcBorders>
                  <w:noWrap w:val="0"/>
                  <w:vAlign w:val="top"/>
                </w:tcPr>
                <w:p>
                  <w:pPr>
                    <w:adjustRightInd w:val="0"/>
                    <w:snapToGrid w:val="0"/>
                    <w:jc w:val="center"/>
                    <w:rPr>
                      <w:szCs w:val="21"/>
                    </w:rPr>
                  </w:pPr>
                  <w:r>
                    <w:rPr>
                      <w:szCs w:val="21"/>
                    </w:rPr>
                    <w:t>0.4</w:t>
                  </w:r>
                </w:p>
              </w:tc>
              <w:tc>
                <w:tcPr>
                  <w:tcW w:w="1250" w:type="pct"/>
                  <w:vMerge w:val="continue"/>
                  <w:tcBorders>
                    <w:top w:val="single" w:color="auto" w:sz="6" w:space="0"/>
                    <w:left w:val="single" w:color="auto" w:sz="6" w:space="0"/>
                    <w:bottom w:val="single" w:color="auto" w:sz="12" w:space="0"/>
                    <w:right w:val="single" w:color="auto" w:sz="12" w:space="0"/>
                  </w:tcBorders>
                  <w:noWrap w:val="0"/>
                  <w:vAlign w:val="center"/>
                </w:tcPr>
                <w:p>
                  <w:pPr>
                    <w:widowControl/>
                    <w:jc w:val="left"/>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61" w:type="pct"/>
                  <w:tcBorders>
                    <w:top w:val="single" w:color="auto" w:sz="6" w:space="0"/>
                    <w:left w:val="single" w:color="auto" w:sz="12" w:space="0"/>
                    <w:bottom w:val="single" w:color="auto" w:sz="12" w:space="0"/>
                    <w:right w:val="single" w:color="auto" w:sz="6" w:space="0"/>
                  </w:tcBorders>
                  <w:noWrap w:val="0"/>
                  <w:vAlign w:val="top"/>
                </w:tcPr>
                <w:p>
                  <w:pPr>
                    <w:adjustRightInd w:val="0"/>
                    <w:snapToGrid w:val="0"/>
                    <w:jc w:val="center"/>
                    <w:rPr>
                      <w:szCs w:val="21"/>
                    </w:rPr>
                  </w:pPr>
                  <w:r>
                    <w:rPr>
                      <w:szCs w:val="21"/>
                    </w:rPr>
                    <w:t>3</w:t>
                  </w:r>
                </w:p>
              </w:tc>
              <w:tc>
                <w:tcPr>
                  <w:tcW w:w="1412" w:type="pct"/>
                  <w:tcBorders>
                    <w:top w:val="single" w:color="auto" w:sz="6" w:space="0"/>
                    <w:left w:val="single" w:color="auto" w:sz="6" w:space="0"/>
                    <w:bottom w:val="single" w:color="auto" w:sz="12" w:space="0"/>
                    <w:right w:val="single" w:color="auto" w:sz="6" w:space="0"/>
                  </w:tcBorders>
                  <w:noWrap w:val="0"/>
                  <w:vAlign w:val="top"/>
                </w:tcPr>
                <w:p>
                  <w:pPr>
                    <w:adjustRightInd w:val="0"/>
                    <w:snapToGrid w:val="0"/>
                    <w:jc w:val="center"/>
                    <w:rPr>
                      <w:szCs w:val="21"/>
                    </w:rPr>
                  </w:pPr>
                  <w:r>
                    <w:rPr>
                      <w:szCs w:val="21"/>
                    </w:rPr>
                    <w:t>NO</w:t>
                  </w:r>
                  <w:r>
                    <w:rPr>
                      <w:szCs w:val="21"/>
                      <w:vertAlign w:val="subscript"/>
                    </w:rPr>
                    <w:t>X</w:t>
                  </w:r>
                </w:p>
              </w:tc>
              <w:tc>
                <w:tcPr>
                  <w:tcW w:w="1774" w:type="pct"/>
                  <w:tcBorders>
                    <w:top w:val="single" w:color="auto" w:sz="6" w:space="0"/>
                    <w:left w:val="single" w:color="auto" w:sz="6" w:space="0"/>
                    <w:bottom w:val="single" w:color="auto" w:sz="12" w:space="0"/>
                    <w:right w:val="single" w:color="auto" w:sz="6" w:space="0"/>
                  </w:tcBorders>
                  <w:noWrap w:val="0"/>
                  <w:vAlign w:val="top"/>
                </w:tcPr>
                <w:p>
                  <w:pPr>
                    <w:adjustRightInd w:val="0"/>
                    <w:snapToGrid w:val="0"/>
                    <w:jc w:val="center"/>
                    <w:rPr>
                      <w:szCs w:val="21"/>
                    </w:rPr>
                  </w:pPr>
                  <w:r>
                    <w:rPr>
                      <w:szCs w:val="21"/>
                    </w:rPr>
                    <w:t>0.12</w:t>
                  </w:r>
                </w:p>
              </w:tc>
              <w:tc>
                <w:tcPr>
                  <w:tcW w:w="1250" w:type="pct"/>
                  <w:vMerge w:val="continue"/>
                  <w:tcBorders>
                    <w:top w:val="single" w:color="auto" w:sz="6" w:space="0"/>
                    <w:left w:val="single" w:color="auto" w:sz="6" w:space="0"/>
                    <w:bottom w:val="single" w:color="auto" w:sz="12" w:space="0"/>
                    <w:right w:val="single" w:color="auto" w:sz="12" w:space="0"/>
                  </w:tcBorders>
                  <w:noWrap w:val="0"/>
                  <w:vAlign w:val="center"/>
                </w:tcPr>
                <w:p>
                  <w:pPr>
                    <w:widowControl/>
                    <w:jc w:val="left"/>
                    <w:rPr>
                      <w:szCs w:val="21"/>
                    </w:rPr>
                  </w:pPr>
                </w:p>
              </w:tc>
            </w:tr>
          </w:tbl>
          <w:p>
            <w:pPr>
              <w:adjustRightInd/>
              <w:snapToGrid/>
              <w:spacing w:line="240" w:lineRule="auto"/>
              <w:ind w:firstLine="480" w:firstLineChars="200"/>
              <w:rPr>
                <w:rFonts w:hint="eastAsia"/>
                <w:sz w:val="24"/>
              </w:rPr>
            </w:pPr>
          </w:p>
          <w:p>
            <w:pPr>
              <w:adjustRightInd/>
              <w:snapToGrid/>
              <w:spacing w:line="360" w:lineRule="auto"/>
              <w:ind w:firstLine="480" w:firstLineChars="200"/>
              <w:rPr>
                <w:rFonts w:hint="default" w:eastAsia="宋体"/>
                <w:sz w:val="24"/>
                <w:lang w:val="en-US" w:eastAsia="zh-CN"/>
              </w:rPr>
            </w:pPr>
            <w:r>
              <w:rPr>
                <w:rFonts w:hint="eastAsia"/>
                <w:sz w:val="24"/>
                <w:lang w:val="en-US" w:eastAsia="zh-CN"/>
              </w:rPr>
              <w:t>燃气锅炉废气执行《锅炉大气污染物排放标准》（GB13271-2014）表2中新建锅炉大气污染物排放浓度限值。食堂油烟执行《饮食业油烟排放标准（试行）》（GB18483-2001）表2中最高允许排放浓度。</w:t>
            </w:r>
          </w:p>
          <w:p>
            <w:pPr>
              <w:adjustRightInd w:val="0"/>
              <w:snapToGrid w:val="0"/>
              <w:jc w:val="center"/>
              <w:rPr>
                <w:b/>
                <w:szCs w:val="21"/>
              </w:rPr>
            </w:pPr>
            <w:r>
              <w:rPr>
                <w:rFonts w:hint="eastAsia"/>
                <w:b/>
                <w:szCs w:val="21"/>
              </w:rPr>
              <w:t>表</w:t>
            </w:r>
            <w:r>
              <w:rPr>
                <w:rFonts w:hint="eastAsia"/>
                <w:b/>
                <w:szCs w:val="21"/>
                <w:lang w:val="en-US" w:eastAsia="zh-CN"/>
              </w:rPr>
              <w:t xml:space="preserve"> </w:t>
            </w:r>
            <w:r>
              <w:rPr>
                <w:rFonts w:hint="eastAsia"/>
                <w:b/>
                <w:szCs w:val="21"/>
              </w:rPr>
              <w:t>3-1</w:t>
            </w:r>
            <w:r>
              <w:rPr>
                <w:rFonts w:hint="eastAsia"/>
                <w:b/>
                <w:szCs w:val="21"/>
                <w:lang w:val="en-US" w:eastAsia="zh-CN"/>
              </w:rPr>
              <w:t>2</w:t>
            </w:r>
            <w:r>
              <w:rPr>
                <w:rFonts w:hint="eastAsia"/>
                <w:b/>
                <w:szCs w:val="21"/>
              </w:rPr>
              <w:t xml:space="preserve"> 有组织废气污染物最高允许浓度</w:t>
            </w:r>
          </w:p>
          <w:tbl>
            <w:tblPr>
              <w:tblStyle w:val="25"/>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fixed"/>
              <w:tblCellMar>
                <w:top w:w="0" w:type="dxa"/>
                <w:left w:w="108" w:type="dxa"/>
                <w:bottom w:w="0" w:type="dxa"/>
                <w:right w:w="108" w:type="dxa"/>
              </w:tblCellMar>
            </w:tblPr>
            <w:tblGrid>
              <w:gridCol w:w="453"/>
              <w:gridCol w:w="1353"/>
              <w:gridCol w:w="1563"/>
              <w:gridCol w:w="2087"/>
              <w:gridCol w:w="26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514" w:hRule="atLeast"/>
              </w:trPr>
              <w:tc>
                <w:tcPr>
                  <w:tcW w:w="278" w:type="pct"/>
                  <w:noWrap w:val="0"/>
                  <w:vAlign w:val="center"/>
                </w:tcPr>
                <w:p>
                  <w:pPr>
                    <w:adjustRightInd w:val="0"/>
                    <w:snapToGrid w:val="0"/>
                    <w:jc w:val="center"/>
                    <w:rPr>
                      <w:b/>
                      <w:szCs w:val="21"/>
                    </w:rPr>
                  </w:pPr>
                  <w:r>
                    <w:rPr>
                      <w:rFonts w:hint="eastAsia"/>
                      <w:b/>
                      <w:szCs w:val="21"/>
                    </w:rPr>
                    <w:t>序号</w:t>
                  </w:r>
                </w:p>
              </w:tc>
              <w:tc>
                <w:tcPr>
                  <w:tcW w:w="833" w:type="pct"/>
                  <w:noWrap w:val="0"/>
                  <w:vAlign w:val="center"/>
                </w:tcPr>
                <w:p>
                  <w:pPr>
                    <w:adjustRightInd w:val="0"/>
                    <w:snapToGrid w:val="0"/>
                    <w:jc w:val="center"/>
                    <w:rPr>
                      <w:rFonts w:hint="default" w:eastAsia="宋体"/>
                      <w:b/>
                      <w:szCs w:val="21"/>
                      <w:lang w:val="en-US" w:eastAsia="zh-CN"/>
                    </w:rPr>
                  </w:pPr>
                  <w:r>
                    <w:rPr>
                      <w:rFonts w:hint="eastAsia"/>
                      <w:b/>
                      <w:szCs w:val="21"/>
                      <w:lang w:val="en-US" w:eastAsia="zh-CN"/>
                    </w:rPr>
                    <w:t>产生工序</w:t>
                  </w:r>
                </w:p>
              </w:tc>
              <w:tc>
                <w:tcPr>
                  <w:tcW w:w="962" w:type="pct"/>
                  <w:noWrap w:val="0"/>
                  <w:vAlign w:val="center"/>
                </w:tcPr>
                <w:p>
                  <w:pPr>
                    <w:adjustRightInd w:val="0"/>
                    <w:snapToGrid w:val="0"/>
                    <w:jc w:val="center"/>
                    <w:rPr>
                      <w:b/>
                      <w:szCs w:val="21"/>
                    </w:rPr>
                  </w:pPr>
                  <w:r>
                    <w:rPr>
                      <w:rFonts w:hint="eastAsia"/>
                      <w:b/>
                      <w:szCs w:val="21"/>
                    </w:rPr>
                    <w:t>控制项目</w:t>
                  </w:r>
                </w:p>
              </w:tc>
              <w:tc>
                <w:tcPr>
                  <w:tcW w:w="1285" w:type="pct"/>
                  <w:noWrap w:val="0"/>
                  <w:vAlign w:val="center"/>
                </w:tcPr>
                <w:p>
                  <w:pPr>
                    <w:adjustRightInd w:val="0"/>
                    <w:snapToGrid w:val="0"/>
                    <w:jc w:val="center"/>
                    <w:rPr>
                      <w:rFonts w:hint="default" w:eastAsia="宋体"/>
                      <w:b/>
                      <w:bCs/>
                      <w:lang w:val="en-US" w:eastAsia="zh-CN"/>
                    </w:rPr>
                  </w:pPr>
                  <w:r>
                    <w:rPr>
                      <w:rFonts w:hint="eastAsia"/>
                      <w:b/>
                      <w:bCs/>
                      <w:lang w:val="en-US" w:eastAsia="zh-CN"/>
                    </w:rPr>
                    <w:t>浓度限值mg/m</w:t>
                  </w:r>
                  <w:r>
                    <w:rPr>
                      <w:rFonts w:hint="eastAsia"/>
                      <w:b/>
                      <w:bCs/>
                      <w:vertAlign w:val="superscript"/>
                      <w:lang w:val="en-US" w:eastAsia="zh-CN"/>
                    </w:rPr>
                    <w:t>3</w:t>
                  </w:r>
                </w:p>
              </w:tc>
              <w:tc>
                <w:tcPr>
                  <w:tcW w:w="1638" w:type="pct"/>
                  <w:noWrap w:val="0"/>
                  <w:vAlign w:val="center"/>
                </w:tcPr>
                <w:p>
                  <w:pPr>
                    <w:adjustRightInd w:val="0"/>
                    <w:snapToGrid w:val="0"/>
                    <w:jc w:val="center"/>
                    <w:rPr>
                      <w:rFonts w:hint="default" w:eastAsia="宋体"/>
                      <w:b/>
                      <w:bCs/>
                      <w:lang w:val="en-US" w:eastAsia="zh-CN"/>
                    </w:rPr>
                  </w:pPr>
                  <w:r>
                    <w:rPr>
                      <w:rFonts w:hint="eastAsia"/>
                      <w:b/>
                      <w:bCs/>
                      <w:lang w:val="en-US" w:eastAsia="zh-CN"/>
                    </w:rPr>
                    <w:t>执行标准名称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c>
                <w:tcPr>
                  <w:tcW w:w="278" w:type="pct"/>
                  <w:noWrap w:val="0"/>
                  <w:vAlign w:val="center"/>
                </w:tcPr>
                <w:p>
                  <w:pPr>
                    <w:adjustRightInd w:val="0"/>
                    <w:snapToGrid w:val="0"/>
                    <w:jc w:val="center"/>
                    <w:rPr>
                      <w:rFonts w:hint="default" w:eastAsia="宋体"/>
                      <w:szCs w:val="21"/>
                      <w:lang w:val="en-US" w:eastAsia="zh-CN"/>
                    </w:rPr>
                  </w:pPr>
                  <w:r>
                    <w:rPr>
                      <w:rFonts w:hint="eastAsia" w:eastAsia="宋体"/>
                      <w:szCs w:val="21"/>
                      <w:lang w:val="en-US" w:eastAsia="zh-CN"/>
                    </w:rPr>
                    <w:t>1</w:t>
                  </w:r>
                </w:p>
              </w:tc>
              <w:tc>
                <w:tcPr>
                  <w:tcW w:w="833" w:type="pct"/>
                  <w:vMerge w:val="restart"/>
                  <w:noWrap w:val="0"/>
                  <w:vAlign w:val="center"/>
                </w:tcPr>
                <w:p>
                  <w:pPr>
                    <w:adjustRightInd w:val="0"/>
                    <w:snapToGrid w:val="0"/>
                    <w:jc w:val="center"/>
                    <w:rPr>
                      <w:rFonts w:hint="default" w:eastAsia="宋体"/>
                      <w:szCs w:val="21"/>
                      <w:lang w:val="en-US" w:eastAsia="zh-CN"/>
                    </w:rPr>
                  </w:pPr>
                  <w:r>
                    <w:rPr>
                      <w:rFonts w:hint="eastAsia"/>
                      <w:szCs w:val="21"/>
                      <w:lang w:val="en-US" w:eastAsia="zh-CN"/>
                    </w:rPr>
                    <w:t>锅炉供热</w:t>
                  </w:r>
                </w:p>
              </w:tc>
              <w:tc>
                <w:tcPr>
                  <w:tcW w:w="962" w:type="pct"/>
                  <w:noWrap w:val="0"/>
                  <w:vAlign w:val="center"/>
                </w:tcPr>
                <w:p>
                  <w:pPr>
                    <w:adjustRightInd w:val="0"/>
                    <w:snapToGrid w:val="0"/>
                    <w:jc w:val="center"/>
                    <w:rPr>
                      <w:rFonts w:hint="eastAsia" w:eastAsia="宋体"/>
                      <w:szCs w:val="21"/>
                      <w:lang w:val="en-US" w:eastAsia="zh-CN"/>
                    </w:rPr>
                  </w:pPr>
                  <w:r>
                    <w:rPr>
                      <w:rFonts w:hint="eastAsia"/>
                      <w:szCs w:val="21"/>
                      <w:lang w:val="en-US" w:eastAsia="zh-CN"/>
                    </w:rPr>
                    <w:t>二氧化硫</w:t>
                  </w:r>
                </w:p>
              </w:tc>
              <w:tc>
                <w:tcPr>
                  <w:tcW w:w="1285" w:type="pct"/>
                  <w:noWrap w:val="0"/>
                  <w:vAlign w:val="center"/>
                </w:tcPr>
                <w:p>
                  <w:pPr>
                    <w:adjustRightInd w:val="0"/>
                    <w:snapToGrid w:val="0"/>
                    <w:jc w:val="center"/>
                    <w:rPr>
                      <w:rFonts w:hint="default" w:eastAsia="宋体"/>
                      <w:szCs w:val="21"/>
                      <w:lang w:val="en-US" w:eastAsia="zh-CN"/>
                    </w:rPr>
                  </w:pPr>
                  <w:r>
                    <w:rPr>
                      <w:rFonts w:hint="eastAsia"/>
                      <w:szCs w:val="21"/>
                      <w:lang w:val="en-US" w:eastAsia="zh-CN"/>
                    </w:rPr>
                    <w:t>50</w:t>
                  </w:r>
                </w:p>
              </w:tc>
              <w:tc>
                <w:tcPr>
                  <w:tcW w:w="1638" w:type="pct"/>
                  <w:vMerge w:val="restart"/>
                  <w:noWrap w:val="0"/>
                  <w:vAlign w:val="center"/>
                </w:tcPr>
                <w:p>
                  <w:pPr>
                    <w:adjustRightInd w:val="0"/>
                    <w:snapToGrid w:val="0"/>
                    <w:jc w:val="center"/>
                    <w:rPr>
                      <w:rFonts w:hint="eastAsia"/>
                      <w:szCs w:val="21"/>
                    </w:rPr>
                  </w:pPr>
                  <w:r>
                    <w:rPr>
                      <w:rFonts w:hint="eastAsia" w:ascii="Times New Roman" w:hAnsi="Times New Roman" w:eastAsia="宋体" w:cs="Times New Roman"/>
                      <w:lang w:val="en-US" w:eastAsia="zh-CN"/>
                    </w:rPr>
                    <w:t>《锅炉大气污染物排放标准》（GB13271-2014）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c>
                <w:tcPr>
                  <w:tcW w:w="278" w:type="pct"/>
                  <w:noWrap w:val="0"/>
                  <w:vAlign w:val="center"/>
                </w:tcPr>
                <w:p>
                  <w:pPr>
                    <w:adjustRightInd w:val="0"/>
                    <w:snapToGrid w:val="0"/>
                    <w:jc w:val="center"/>
                    <w:rPr>
                      <w:rFonts w:hint="default" w:eastAsia="宋体"/>
                      <w:szCs w:val="21"/>
                      <w:lang w:val="en-US" w:eastAsia="zh-CN"/>
                    </w:rPr>
                  </w:pPr>
                  <w:r>
                    <w:rPr>
                      <w:rFonts w:hint="eastAsia" w:eastAsia="宋体"/>
                      <w:szCs w:val="21"/>
                      <w:lang w:val="en-US" w:eastAsia="zh-CN"/>
                    </w:rPr>
                    <w:t>2</w:t>
                  </w:r>
                </w:p>
              </w:tc>
              <w:tc>
                <w:tcPr>
                  <w:tcW w:w="833" w:type="pct"/>
                  <w:vMerge w:val="continue"/>
                  <w:noWrap w:val="0"/>
                  <w:vAlign w:val="center"/>
                </w:tcPr>
                <w:p>
                  <w:pPr>
                    <w:adjustRightInd w:val="0"/>
                    <w:snapToGrid w:val="0"/>
                    <w:jc w:val="center"/>
                    <w:rPr>
                      <w:szCs w:val="21"/>
                    </w:rPr>
                  </w:pPr>
                </w:p>
              </w:tc>
              <w:tc>
                <w:tcPr>
                  <w:tcW w:w="962" w:type="pct"/>
                  <w:noWrap w:val="0"/>
                  <w:vAlign w:val="center"/>
                </w:tcPr>
                <w:p>
                  <w:pPr>
                    <w:adjustRightInd w:val="0"/>
                    <w:snapToGrid w:val="0"/>
                    <w:jc w:val="center"/>
                    <w:rPr>
                      <w:rFonts w:hint="eastAsia" w:eastAsia="宋体"/>
                      <w:szCs w:val="21"/>
                      <w:lang w:val="en-US" w:eastAsia="zh-CN"/>
                    </w:rPr>
                  </w:pPr>
                  <w:r>
                    <w:rPr>
                      <w:rFonts w:hint="eastAsia"/>
                      <w:szCs w:val="21"/>
                      <w:lang w:val="en-US" w:eastAsia="zh-CN"/>
                    </w:rPr>
                    <w:t>氮氧化物</w:t>
                  </w:r>
                </w:p>
              </w:tc>
              <w:tc>
                <w:tcPr>
                  <w:tcW w:w="1285" w:type="pct"/>
                  <w:noWrap w:val="0"/>
                  <w:vAlign w:val="center"/>
                </w:tcPr>
                <w:p>
                  <w:pPr>
                    <w:adjustRightInd w:val="0"/>
                    <w:snapToGrid w:val="0"/>
                    <w:jc w:val="center"/>
                    <w:rPr>
                      <w:rFonts w:hint="default" w:eastAsia="宋体"/>
                      <w:szCs w:val="21"/>
                      <w:lang w:val="en-US" w:eastAsia="zh-CN"/>
                    </w:rPr>
                  </w:pPr>
                  <w:r>
                    <w:rPr>
                      <w:rFonts w:hint="eastAsia"/>
                      <w:szCs w:val="21"/>
                      <w:lang w:val="en-US" w:eastAsia="zh-CN"/>
                    </w:rPr>
                    <w:t>200</w:t>
                  </w:r>
                </w:p>
              </w:tc>
              <w:tc>
                <w:tcPr>
                  <w:tcW w:w="1638" w:type="pct"/>
                  <w:vMerge w:val="continue"/>
                  <w:noWrap w:val="0"/>
                  <w:vAlign w:val="center"/>
                </w:tcPr>
                <w:p>
                  <w:pPr>
                    <w:adjustRightInd w:val="0"/>
                    <w:snapToGrid w:val="0"/>
                    <w:jc w:val="center"/>
                    <w:rPr>
                      <w:rFonts w:hint="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90" w:hRule="atLeast"/>
              </w:trPr>
              <w:tc>
                <w:tcPr>
                  <w:tcW w:w="278" w:type="pct"/>
                  <w:noWrap w:val="0"/>
                  <w:vAlign w:val="center"/>
                </w:tcPr>
                <w:p>
                  <w:pPr>
                    <w:adjustRightInd w:val="0"/>
                    <w:snapToGrid w:val="0"/>
                    <w:jc w:val="center"/>
                    <w:rPr>
                      <w:rFonts w:hint="default" w:eastAsia="宋体"/>
                      <w:szCs w:val="21"/>
                      <w:lang w:val="en-US" w:eastAsia="zh-CN"/>
                    </w:rPr>
                  </w:pPr>
                  <w:r>
                    <w:rPr>
                      <w:rFonts w:hint="eastAsia" w:eastAsia="宋体"/>
                      <w:szCs w:val="21"/>
                      <w:lang w:val="en-US" w:eastAsia="zh-CN"/>
                    </w:rPr>
                    <w:t>3</w:t>
                  </w:r>
                </w:p>
              </w:tc>
              <w:tc>
                <w:tcPr>
                  <w:tcW w:w="833" w:type="pct"/>
                  <w:vMerge w:val="continue"/>
                  <w:noWrap w:val="0"/>
                  <w:vAlign w:val="center"/>
                </w:tcPr>
                <w:p>
                  <w:pPr>
                    <w:adjustRightInd w:val="0"/>
                    <w:snapToGrid w:val="0"/>
                    <w:jc w:val="center"/>
                    <w:rPr>
                      <w:szCs w:val="21"/>
                    </w:rPr>
                  </w:pPr>
                </w:p>
              </w:tc>
              <w:tc>
                <w:tcPr>
                  <w:tcW w:w="962" w:type="pct"/>
                  <w:noWrap w:val="0"/>
                  <w:vAlign w:val="center"/>
                </w:tcPr>
                <w:p>
                  <w:pPr>
                    <w:adjustRightInd w:val="0"/>
                    <w:snapToGrid w:val="0"/>
                    <w:jc w:val="center"/>
                    <w:rPr>
                      <w:rFonts w:hint="eastAsia" w:eastAsia="宋体"/>
                      <w:szCs w:val="21"/>
                      <w:lang w:val="en-US" w:eastAsia="zh-CN"/>
                    </w:rPr>
                  </w:pPr>
                  <w:r>
                    <w:rPr>
                      <w:rFonts w:hint="eastAsia"/>
                      <w:szCs w:val="21"/>
                      <w:lang w:val="en-US" w:eastAsia="zh-CN"/>
                    </w:rPr>
                    <w:t>颗粒物</w:t>
                  </w:r>
                </w:p>
              </w:tc>
              <w:tc>
                <w:tcPr>
                  <w:tcW w:w="1285" w:type="pct"/>
                  <w:noWrap w:val="0"/>
                  <w:vAlign w:val="center"/>
                </w:tcPr>
                <w:p>
                  <w:pPr>
                    <w:adjustRightInd w:val="0"/>
                    <w:snapToGrid w:val="0"/>
                    <w:jc w:val="center"/>
                    <w:rPr>
                      <w:rFonts w:hint="default" w:eastAsia="宋体"/>
                      <w:szCs w:val="21"/>
                      <w:lang w:val="en-US" w:eastAsia="zh-CN"/>
                    </w:rPr>
                  </w:pPr>
                  <w:r>
                    <w:rPr>
                      <w:rFonts w:hint="eastAsia"/>
                      <w:szCs w:val="21"/>
                      <w:lang w:val="en-US" w:eastAsia="zh-CN"/>
                    </w:rPr>
                    <w:t>20</w:t>
                  </w:r>
                </w:p>
              </w:tc>
              <w:tc>
                <w:tcPr>
                  <w:tcW w:w="1638" w:type="pct"/>
                  <w:vMerge w:val="continue"/>
                  <w:noWrap w:val="0"/>
                  <w:vAlign w:val="center"/>
                </w:tcPr>
                <w:p>
                  <w:pPr>
                    <w:adjustRightInd w:val="0"/>
                    <w:snapToGrid w:val="0"/>
                    <w:jc w:val="center"/>
                    <w:rPr>
                      <w:rFonts w:hint="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15" w:hRule="atLeast"/>
              </w:trPr>
              <w:tc>
                <w:tcPr>
                  <w:tcW w:w="278" w:type="pct"/>
                  <w:noWrap w:val="0"/>
                  <w:vAlign w:val="center"/>
                </w:tcPr>
                <w:p>
                  <w:pPr>
                    <w:adjustRightInd w:val="0"/>
                    <w:snapToGrid w:val="0"/>
                    <w:jc w:val="center"/>
                    <w:rPr>
                      <w:rFonts w:hint="default"/>
                      <w:szCs w:val="21"/>
                      <w:lang w:val="en-US" w:eastAsia="zh-CN"/>
                    </w:rPr>
                  </w:pPr>
                  <w:r>
                    <w:rPr>
                      <w:rFonts w:hint="eastAsia"/>
                      <w:szCs w:val="21"/>
                      <w:lang w:val="en-US" w:eastAsia="zh-CN"/>
                    </w:rPr>
                    <w:t>4</w:t>
                  </w:r>
                </w:p>
              </w:tc>
              <w:tc>
                <w:tcPr>
                  <w:tcW w:w="833" w:type="pct"/>
                  <w:vMerge w:val="continue"/>
                  <w:noWrap w:val="0"/>
                  <w:vAlign w:val="center"/>
                </w:tcPr>
                <w:p>
                  <w:pPr>
                    <w:adjustRightInd w:val="0"/>
                    <w:snapToGrid w:val="0"/>
                    <w:jc w:val="center"/>
                    <w:rPr>
                      <w:szCs w:val="21"/>
                    </w:rPr>
                  </w:pPr>
                </w:p>
              </w:tc>
              <w:tc>
                <w:tcPr>
                  <w:tcW w:w="962" w:type="pct"/>
                  <w:noWrap w:val="0"/>
                  <w:vAlign w:val="center"/>
                </w:tcPr>
                <w:p>
                  <w:pPr>
                    <w:adjustRightInd w:val="0"/>
                    <w:snapToGrid w:val="0"/>
                    <w:jc w:val="center"/>
                    <w:rPr>
                      <w:rFonts w:hint="default"/>
                      <w:szCs w:val="21"/>
                      <w:lang w:val="en-US" w:eastAsia="zh-CN"/>
                    </w:rPr>
                  </w:pPr>
                  <w:r>
                    <w:rPr>
                      <w:rFonts w:hint="eastAsia"/>
                      <w:szCs w:val="21"/>
                      <w:lang w:val="en-US" w:eastAsia="zh-CN"/>
                    </w:rPr>
                    <w:t>烟气黑度（林格曼黑度，级）</w:t>
                  </w:r>
                </w:p>
              </w:tc>
              <w:tc>
                <w:tcPr>
                  <w:tcW w:w="1285" w:type="pct"/>
                  <w:noWrap w:val="0"/>
                  <w:vAlign w:val="center"/>
                </w:tcPr>
                <w:p>
                  <w:pPr>
                    <w:adjustRightInd w:val="0"/>
                    <w:snapToGrid w:val="0"/>
                    <w:jc w:val="center"/>
                    <w:rPr>
                      <w:rFonts w:hint="default"/>
                      <w:szCs w:val="21"/>
                      <w:lang w:val="en-US" w:eastAsia="zh-CN"/>
                    </w:rPr>
                  </w:pPr>
                  <w:r>
                    <w:rPr>
                      <w:rFonts w:hint="default" w:ascii="Times New Roman" w:hAnsi="Times New Roman" w:cs="Times New Roman"/>
                      <w:szCs w:val="21"/>
                      <w:lang w:val="en-US" w:eastAsia="zh-CN"/>
                    </w:rPr>
                    <w:t>≤1</w:t>
                  </w:r>
                </w:p>
              </w:tc>
              <w:tc>
                <w:tcPr>
                  <w:tcW w:w="1638" w:type="pct"/>
                  <w:vMerge w:val="continue"/>
                  <w:noWrap w:val="0"/>
                  <w:vAlign w:val="center"/>
                </w:tcPr>
                <w:p>
                  <w:pPr>
                    <w:adjustRightInd w:val="0"/>
                    <w:snapToGrid w:val="0"/>
                    <w:jc w:val="center"/>
                    <w:rPr>
                      <w:rFonts w:hint="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c>
                <w:tcPr>
                  <w:tcW w:w="278" w:type="pct"/>
                  <w:noWrap w:val="0"/>
                  <w:vAlign w:val="center"/>
                </w:tcPr>
                <w:p>
                  <w:pPr>
                    <w:adjustRightInd w:val="0"/>
                    <w:snapToGrid w:val="0"/>
                    <w:jc w:val="center"/>
                    <w:rPr>
                      <w:rFonts w:hint="default" w:eastAsia="宋体"/>
                      <w:szCs w:val="21"/>
                      <w:lang w:val="en-US" w:eastAsia="zh-CN"/>
                    </w:rPr>
                  </w:pPr>
                  <w:r>
                    <w:rPr>
                      <w:rFonts w:hint="eastAsia" w:eastAsia="宋体"/>
                      <w:szCs w:val="21"/>
                      <w:lang w:val="en-US" w:eastAsia="zh-CN"/>
                    </w:rPr>
                    <w:t>5</w:t>
                  </w:r>
                </w:p>
              </w:tc>
              <w:tc>
                <w:tcPr>
                  <w:tcW w:w="833" w:type="pct"/>
                  <w:noWrap w:val="0"/>
                  <w:vAlign w:val="center"/>
                </w:tcPr>
                <w:p>
                  <w:pPr>
                    <w:adjustRightInd w:val="0"/>
                    <w:snapToGrid w:val="0"/>
                    <w:jc w:val="center"/>
                    <w:rPr>
                      <w:rFonts w:hint="default" w:eastAsia="宋体"/>
                      <w:szCs w:val="21"/>
                      <w:lang w:val="en-US" w:eastAsia="zh-CN"/>
                    </w:rPr>
                  </w:pPr>
                  <w:r>
                    <w:rPr>
                      <w:rFonts w:hint="eastAsia"/>
                      <w:szCs w:val="21"/>
                      <w:lang w:val="en-US" w:eastAsia="zh-CN"/>
                    </w:rPr>
                    <w:t>食堂烹饪</w:t>
                  </w:r>
                </w:p>
              </w:tc>
              <w:tc>
                <w:tcPr>
                  <w:tcW w:w="962" w:type="pct"/>
                  <w:noWrap w:val="0"/>
                  <w:vAlign w:val="center"/>
                </w:tcPr>
                <w:p>
                  <w:pPr>
                    <w:adjustRightInd w:val="0"/>
                    <w:snapToGrid w:val="0"/>
                    <w:jc w:val="center"/>
                    <w:rPr>
                      <w:rFonts w:hint="eastAsia" w:eastAsia="宋体"/>
                      <w:szCs w:val="21"/>
                      <w:lang w:val="en-US" w:eastAsia="zh-CN"/>
                    </w:rPr>
                  </w:pPr>
                  <w:r>
                    <w:rPr>
                      <w:rFonts w:hint="eastAsia"/>
                      <w:szCs w:val="21"/>
                      <w:lang w:val="en-US" w:eastAsia="zh-CN"/>
                    </w:rPr>
                    <w:t>油烟</w:t>
                  </w:r>
                </w:p>
              </w:tc>
              <w:tc>
                <w:tcPr>
                  <w:tcW w:w="1285" w:type="pct"/>
                  <w:noWrap w:val="0"/>
                  <w:vAlign w:val="center"/>
                </w:tcPr>
                <w:p>
                  <w:pPr>
                    <w:adjustRightInd w:val="0"/>
                    <w:snapToGrid w:val="0"/>
                    <w:jc w:val="center"/>
                    <w:rPr>
                      <w:rFonts w:hint="default" w:eastAsia="宋体"/>
                      <w:szCs w:val="21"/>
                      <w:lang w:val="en-US" w:eastAsia="zh-CN"/>
                    </w:rPr>
                  </w:pPr>
                  <w:r>
                    <w:rPr>
                      <w:rFonts w:hint="eastAsia"/>
                      <w:szCs w:val="21"/>
                      <w:lang w:val="en-US" w:eastAsia="zh-CN"/>
                    </w:rPr>
                    <w:t>2.0</w:t>
                  </w:r>
                </w:p>
              </w:tc>
              <w:tc>
                <w:tcPr>
                  <w:tcW w:w="1638" w:type="pct"/>
                  <w:noWrap w:val="0"/>
                  <w:vAlign w:val="center"/>
                </w:tcPr>
                <w:p>
                  <w:pPr>
                    <w:adjustRightInd w:val="0"/>
                    <w:snapToGrid w:val="0"/>
                    <w:jc w:val="center"/>
                    <w:rPr>
                      <w:rFonts w:hint="eastAsia"/>
                      <w:szCs w:val="21"/>
                    </w:rPr>
                  </w:pPr>
                  <w:r>
                    <w:rPr>
                      <w:rFonts w:hint="eastAsia" w:ascii="Times New Roman" w:hAnsi="Times New Roman" w:eastAsia="宋体" w:cs="Times New Roman"/>
                      <w:lang w:val="en-US" w:eastAsia="zh-CN"/>
                    </w:rPr>
                    <w:t>《饮食业油烟排放标准（试行）》（GB18483-2001）</w:t>
                  </w:r>
                </w:p>
              </w:tc>
            </w:tr>
          </w:tbl>
          <w:p>
            <w:pPr>
              <w:adjustRightInd/>
              <w:snapToGrid/>
              <w:spacing w:line="240" w:lineRule="auto"/>
              <w:ind w:firstLine="480" w:firstLineChars="200"/>
              <w:rPr>
                <w:rFonts w:hint="eastAsia"/>
                <w:sz w:val="24"/>
              </w:rPr>
            </w:pPr>
          </w:p>
          <w:p>
            <w:pPr>
              <w:spacing w:line="360" w:lineRule="auto"/>
              <w:rPr>
                <w:b/>
                <w:sz w:val="24"/>
              </w:rPr>
            </w:pPr>
            <w:r>
              <w:rPr>
                <w:b/>
                <w:sz w:val="24"/>
              </w:rPr>
              <w:t>3、噪声</w:t>
            </w:r>
          </w:p>
          <w:p>
            <w:pPr>
              <w:spacing w:line="360" w:lineRule="auto"/>
              <w:ind w:firstLine="601"/>
              <w:rPr>
                <w:sz w:val="24"/>
              </w:rPr>
            </w:pPr>
            <w:r>
              <w:rPr>
                <w:rFonts w:hint="eastAsia"/>
                <w:sz w:val="24"/>
              </w:rPr>
              <w:t>施工厂界噪声执行《建筑施工场界环境噪声排放标准》（</w:t>
            </w:r>
            <w:r>
              <w:rPr>
                <w:sz w:val="24"/>
              </w:rPr>
              <w:t>GB12523</w:t>
            </w:r>
            <w:r>
              <w:rPr>
                <w:rFonts w:hint="eastAsia"/>
                <w:sz w:val="24"/>
              </w:rPr>
              <w:t>－</w:t>
            </w:r>
            <w:r>
              <w:rPr>
                <w:sz w:val="24"/>
              </w:rPr>
              <w:t>2011</w:t>
            </w:r>
            <w:r>
              <w:rPr>
                <w:rFonts w:hint="eastAsia"/>
                <w:sz w:val="24"/>
              </w:rPr>
              <w:t>），见表3-1</w:t>
            </w:r>
            <w:r>
              <w:rPr>
                <w:rFonts w:hint="eastAsia"/>
                <w:sz w:val="24"/>
                <w:lang w:val="en-US" w:eastAsia="zh-CN"/>
              </w:rPr>
              <w:t>3</w:t>
            </w:r>
            <w:r>
              <w:rPr>
                <w:rFonts w:hint="eastAsia"/>
                <w:sz w:val="24"/>
              </w:rPr>
              <w:t>。</w:t>
            </w:r>
          </w:p>
          <w:p>
            <w:pPr>
              <w:jc w:val="center"/>
              <w:rPr>
                <w:b/>
                <w:szCs w:val="21"/>
              </w:rPr>
            </w:pPr>
            <w:r>
              <w:rPr>
                <w:rFonts w:hint="eastAsia"/>
                <w:b/>
                <w:szCs w:val="21"/>
              </w:rPr>
              <w:t>表3-1</w:t>
            </w:r>
            <w:r>
              <w:rPr>
                <w:rFonts w:hint="eastAsia"/>
                <w:b/>
                <w:szCs w:val="21"/>
                <w:lang w:val="en-US" w:eastAsia="zh-CN"/>
              </w:rPr>
              <w:t>3</w:t>
            </w:r>
            <w:r>
              <w:rPr>
                <w:rFonts w:hint="eastAsia"/>
                <w:b/>
                <w:szCs w:val="21"/>
              </w:rPr>
              <w:t xml:space="preserve">  建筑施工场界环境噪声排放限值 单位：</w:t>
            </w:r>
            <w:r>
              <w:rPr>
                <w:b/>
                <w:szCs w:val="21"/>
              </w:rPr>
              <w:t>dB(A)</w:t>
            </w:r>
          </w:p>
          <w:tbl>
            <w:tblPr>
              <w:tblStyle w:val="25"/>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057"/>
              <w:gridCol w:w="405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4" w:hRule="atLeast"/>
                <w:jc w:val="center"/>
              </w:trPr>
              <w:tc>
                <w:tcPr>
                  <w:tcW w:w="2499" w:type="pct"/>
                  <w:tcBorders>
                    <w:top w:val="single" w:color="auto" w:sz="12" w:space="0"/>
                    <w:left w:val="single" w:color="auto" w:sz="12" w:space="0"/>
                    <w:bottom w:val="single" w:color="auto" w:sz="6" w:space="0"/>
                    <w:right w:val="single" w:color="auto" w:sz="6" w:space="0"/>
                  </w:tcBorders>
                  <w:noWrap w:val="0"/>
                  <w:vAlign w:val="top"/>
                </w:tcPr>
                <w:p>
                  <w:pPr>
                    <w:jc w:val="center"/>
                    <w:rPr>
                      <w:b/>
                      <w:szCs w:val="21"/>
                    </w:rPr>
                  </w:pPr>
                  <w:r>
                    <w:rPr>
                      <w:rFonts w:hint="eastAsia"/>
                      <w:b/>
                      <w:szCs w:val="21"/>
                    </w:rPr>
                    <w:t>昼间</w:t>
                  </w:r>
                </w:p>
              </w:tc>
              <w:tc>
                <w:tcPr>
                  <w:tcW w:w="2500" w:type="pct"/>
                  <w:tcBorders>
                    <w:top w:val="single" w:color="auto" w:sz="12" w:space="0"/>
                    <w:left w:val="single" w:color="auto" w:sz="6" w:space="0"/>
                    <w:bottom w:val="single" w:color="auto" w:sz="6" w:space="0"/>
                    <w:right w:val="single" w:color="auto" w:sz="12" w:space="0"/>
                  </w:tcBorders>
                  <w:noWrap w:val="0"/>
                  <w:vAlign w:val="top"/>
                </w:tcPr>
                <w:p>
                  <w:pPr>
                    <w:jc w:val="center"/>
                    <w:rPr>
                      <w:b/>
                      <w:szCs w:val="21"/>
                    </w:rPr>
                  </w:pPr>
                  <w:r>
                    <w:rPr>
                      <w:rFonts w:hint="eastAsia"/>
                      <w:b/>
                      <w:szCs w:val="21"/>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0" w:hRule="atLeast"/>
                <w:jc w:val="center"/>
              </w:trPr>
              <w:tc>
                <w:tcPr>
                  <w:tcW w:w="2499" w:type="pct"/>
                  <w:tcBorders>
                    <w:top w:val="single" w:color="auto" w:sz="6" w:space="0"/>
                    <w:left w:val="single" w:color="auto" w:sz="12" w:space="0"/>
                    <w:bottom w:val="single" w:color="auto" w:sz="12" w:space="0"/>
                    <w:right w:val="single" w:color="auto" w:sz="6" w:space="0"/>
                  </w:tcBorders>
                  <w:noWrap w:val="0"/>
                  <w:vAlign w:val="top"/>
                </w:tcPr>
                <w:p>
                  <w:pPr>
                    <w:jc w:val="center"/>
                    <w:rPr>
                      <w:szCs w:val="21"/>
                    </w:rPr>
                  </w:pPr>
                  <w:r>
                    <w:rPr>
                      <w:szCs w:val="21"/>
                    </w:rPr>
                    <w:t>70</w:t>
                  </w:r>
                </w:p>
              </w:tc>
              <w:tc>
                <w:tcPr>
                  <w:tcW w:w="2500" w:type="pct"/>
                  <w:tcBorders>
                    <w:top w:val="single" w:color="auto" w:sz="6" w:space="0"/>
                    <w:left w:val="single" w:color="auto" w:sz="6" w:space="0"/>
                    <w:bottom w:val="single" w:color="auto" w:sz="12" w:space="0"/>
                    <w:right w:val="single" w:color="auto" w:sz="12" w:space="0"/>
                  </w:tcBorders>
                  <w:noWrap w:val="0"/>
                  <w:vAlign w:val="top"/>
                </w:tcPr>
                <w:p>
                  <w:pPr>
                    <w:jc w:val="center"/>
                    <w:rPr>
                      <w:szCs w:val="21"/>
                    </w:rPr>
                  </w:pPr>
                  <w:r>
                    <w:rPr>
                      <w:szCs w:val="21"/>
                    </w:rPr>
                    <w:t>55</w:t>
                  </w:r>
                </w:p>
              </w:tc>
            </w:tr>
          </w:tbl>
          <w:p>
            <w:pPr>
              <w:spacing w:line="240" w:lineRule="auto"/>
              <w:ind w:firstLine="601"/>
              <w:rPr>
                <w:rFonts w:hint="eastAsia"/>
                <w:sz w:val="21"/>
                <w:szCs w:val="21"/>
              </w:rPr>
            </w:pPr>
          </w:p>
          <w:p>
            <w:pPr>
              <w:spacing w:line="360" w:lineRule="auto"/>
              <w:ind w:firstLine="601"/>
              <w:rPr>
                <w:sz w:val="24"/>
              </w:rPr>
            </w:pPr>
            <w:r>
              <w:rPr>
                <w:rFonts w:hint="eastAsia"/>
                <w:sz w:val="24"/>
              </w:rPr>
              <w:t>营运期</w:t>
            </w:r>
            <w:r>
              <w:rPr>
                <w:rFonts w:hint="eastAsia"/>
                <w:sz w:val="24"/>
                <w:lang w:val="en-US" w:eastAsia="zh-CN"/>
              </w:rPr>
              <w:t>月子中心厂</w:t>
            </w:r>
            <w:r>
              <w:rPr>
                <w:rFonts w:hint="eastAsia"/>
                <w:sz w:val="24"/>
              </w:rPr>
              <w:t>界噪声排放标准执行</w:t>
            </w:r>
            <w:r>
              <w:rPr>
                <w:sz w:val="24"/>
              </w:rPr>
              <w:t>《工业企业厂界环境噪声排放标准》（GB12348-2008）2类标准</w:t>
            </w:r>
            <w:r>
              <w:rPr>
                <w:rFonts w:hint="eastAsia"/>
                <w:sz w:val="24"/>
                <w:lang w:eastAsia="zh-CN"/>
              </w:rPr>
              <w:t>，</w:t>
            </w:r>
            <w:r>
              <w:rPr>
                <w:rFonts w:hint="eastAsia"/>
                <w:sz w:val="24"/>
                <w:lang w:val="en-US" w:eastAsia="zh-CN"/>
              </w:rPr>
              <w:t>临芙蓉北路一侧</w:t>
            </w:r>
            <w:r>
              <w:rPr>
                <w:rFonts w:hint="eastAsia"/>
                <w:sz w:val="24"/>
              </w:rPr>
              <w:t>噪声排放标准执行</w:t>
            </w:r>
            <w:r>
              <w:rPr>
                <w:sz w:val="24"/>
              </w:rPr>
              <w:t>《工业企业厂界环境噪声排放标准》（GB12348-2008）</w:t>
            </w:r>
            <w:r>
              <w:rPr>
                <w:rFonts w:hint="eastAsia"/>
                <w:sz w:val="24"/>
                <w:lang w:val="en-US" w:eastAsia="zh-CN"/>
              </w:rPr>
              <w:t>4</w:t>
            </w:r>
            <w:r>
              <w:rPr>
                <w:sz w:val="24"/>
              </w:rPr>
              <w:t>类标准</w:t>
            </w:r>
            <w:r>
              <w:rPr>
                <w:rFonts w:hint="eastAsia"/>
                <w:sz w:val="24"/>
              </w:rPr>
              <w:t>；</w:t>
            </w:r>
          </w:p>
          <w:p>
            <w:pPr>
              <w:adjustRightInd w:val="0"/>
              <w:snapToGrid w:val="0"/>
              <w:jc w:val="center"/>
              <w:rPr>
                <w:b/>
                <w:szCs w:val="21"/>
              </w:rPr>
            </w:pPr>
            <w:r>
              <w:rPr>
                <w:rFonts w:hint="eastAsia"/>
                <w:b/>
                <w:szCs w:val="21"/>
              </w:rPr>
              <w:t>表</w:t>
            </w:r>
            <w:r>
              <w:rPr>
                <w:rFonts w:hint="eastAsia"/>
                <w:b/>
                <w:szCs w:val="21"/>
                <w:lang w:val="en-US" w:eastAsia="zh-CN"/>
              </w:rPr>
              <w:t xml:space="preserve"> </w:t>
            </w:r>
            <w:r>
              <w:rPr>
                <w:rFonts w:hint="eastAsia"/>
                <w:b/>
                <w:szCs w:val="21"/>
              </w:rPr>
              <w:t>3-1</w:t>
            </w:r>
            <w:r>
              <w:rPr>
                <w:rFonts w:hint="eastAsia"/>
                <w:b/>
                <w:szCs w:val="21"/>
                <w:lang w:val="en-US" w:eastAsia="zh-CN"/>
              </w:rPr>
              <w:t>4</w:t>
            </w:r>
            <w:r>
              <w:rPr>
                <w:rFonts w:hint="eastAsia"/>
                <w:b/>
                <w:szCs w:val="21"/>
              </w:rPr>
              <w:t xml:space="preserve"> 工业企业厂界环境噪声排放标准 单位：</w:t>
            </w:r>
            <w:r>
              <w:rPr>
                <w:b/>
                <w:szCs w:val="21"/>
              </w:rPr>
              <w:t>dB(A)</w:t>
            </w:r>
          </w:p>
          <w:tbl>
            <w:tblPr>
              <w:tblStyle w:val="25"/>
              <w:tblW w:w="4999"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116"/>
              <w:gridCol w:w="2692"/>
              <w:gridCol w:w="230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1919" w:type="pct"/>
                  <w:tcBorders>
                    <w:top w:val="single" w:color="auto" w:sz="12" w:space="0"/>
                    <w:left w:val="single" w:color="auto" w:sz="12" w:space="0"/>
                    <w:bottom w:val="single" w:color="auto" w:sz="6" w:space="0"/>
                    <w:right w:val="single" w:color="auto" w:sz="6" w:space="0"/>
                  </w:tcBorders>
                  <w:noWrap w:val="0"/>
                  <w:vAlign w:val="center"/>
                </w:tcPr>
                <w:p>
                  <w:pPr>
                    <w:pStyle w:val="60"/>
                    <w:spacing w:line="320" w:lineRule="exact"/>
                    <w:rPr>
                      <w:rFonts w:hint="default" w:eastAsia="宋体"/>
                      <w:b/>
                      <w:sz w:val="21"/>
                      <w:szCs w:val="21"/>
                      <w:lang w:val="en-US" w:eastAsia="zh-CN"/>
                    </w:rPr>
                  </w:pPr>
                  <w:r>
                    <w:rPr>
                      <w:rFonts w:hint="eastAsia" w:eastAsia="宋体"/>
                      <w:b/>
                      <w:sz w:val="21"/>
                      <w:szCs w:val="21"/>
                      <w:lang w:val="en-US" w:eastAsia="zh-CN"/>
                    </w:rPr>
                    <w:t>厂界外声环境功能区类别</w:t>
                  </w:r>
                </w:p>
              </w:tc>
              <w:tc>
                <w:tcPr>
                  <w:tcW w:w="1658" w:type="pct"/>
                  <w:tcBorders>
                    <w:top w:val="single" w:color="auto" w:sz="12" w:space="0"/>
                    <w:left w:val="single" w:color="auto" w:sz="12" w:space="0"/>
                    <w:bottom w:val="single" w:color="auto" w:sz="6" w:space="0"/>
                    <w:right w:val="single" w:color="auto" w:sz="6" w:space="0"/>
                  </w:tcBorders>
                  <w:noWrap w:val="0"/>
                  <w:vAlign w:val="center"/>
                </w:tcPr>
                <w:p>
                  <w:pPr>
                    <w:pStyle w:val="60"/>
                    <w:spacing w:line="320" w:lineRule="exact"/>
                    <w:rPr>
                      <w:rFonts w:hint="eastAsia" w:eastAsia="宋体"/>
                      <w:b/>
                      <w:sz w:val="21"/>
                      <w:szCs w:val="21"/>
                    </w:rPr>
                  </w:pPr>
                  <w:r>
                    <w:rPr>
                      <w:rFonts w:hint="eastAsia" w:eastAsia="宋体"/>
                      <w:b/>
                      <w:sz w:val="21"/>
                      <w:szCs w:val="21"/>
                    </w:rPr>
                    <w:t>昼间</w:t>
                  </w:r>
                </w:p>
              </w:tc>
              <w:tc>
                <w:tcPr>
                  <w:tcW w:w="1422" w:type="pct"/>
                  <w:tcBorders>
                    <w:top w:val="single" w:color="auto" w:sz="12" w:space="0"/>
                    <w:left w:val="single" w:color="auto" w:sz="6" w:space="0"/>
                    <w:bottom w:val="single" w:color="auto" w:sz="6" w:space="0"/>
                    <w:right w:val="single" w:color="auto" w:sz="12" w:space="0"/>
                  </w:tcBorders>
                  <w:noWrap w:val="0"/>
                  <w:vAlign w:val="center"/>
                </w:tcPr>
                <w:p>
                  <w:pPr>
                    <w:pStyle w:val="60"/>
                    <w:spacing w:line="320" w:lineRule="exact"/>
                    <w:rPr>
                      <w:rFonts w:eastAsia="宋体"/>
                      <w:b/>
                      <w:sz w:val="21"/>
                      <w:szCs w:val="21"/>
                    </w:rPr>
                  </w:pPr>
                  <w:r>
                    <w:rPr>
                      <w:rFonts w:hint="eastAsia" w:eastAsia="宋体"/>
                      <w:b/>
                      <w:sz w:val="21"/>
                      <w:szCs w:val="21"/>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trPr>
              <w:tc>
                <w:tcPr>
                  <w:tcW w:w="1919" w:type="pct"/>
                  <w:tcBorders>
                    <w:top w:val="single" w:color="auto" w:sz="6" w:space="0"/>
                    <w:left w:val="single" w:color="auto" w:sz="12" w:space="0"/>
                    <w:bottom w:val="single" w:color="auto" w:sz="6" w:space="0"/>
                    <w:right w:val="single" w:color="auto" w:sz="6" w:space="0"/>
                  </w:tcBorders>
                  <w:noWrap w:val="0"/>
                  <w:vAlign w:val="center"/>
                </w:tcPr>
                <w:p>
                  <w:pPr>
                    <w:pStyle w:val="60"/>
                    <w:spacing w:line="320" w:lineRule="exact"/>
                    <w:rPr>
                      <w:rFonts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2类</w:t>
                  </w:r>
                </w:p>
              </w:tc>
              <w:tc>
                <w:tcPr>
                  <w:tcW w:w="1658" w:type="pct"/>
                  <w:tcBorders>
                    <w:top w:val="single" w:color="auto" w:sz="6" w:space="0"/>
                    <w:left w:val="single" w:color="auto" w:sz="12" w:space="0"/>
                    <w:bottom w:val="single" w:color="auto" w:sz="6" w:space="0"/>
                    <w:right w:val="single" w:color="auto" w:sz="6" w:space="0"/>
                  </w:tcBorders>
                  <w:noWrap w:val="0"/>
                  <w:vAlign w:val="center"/>
                </w:tcPr>
                <w:p>
                  <w:pPr>
                    <w:pStyle w:val="60"/>
                    <w:spacing w:line="320" w:lineRule="exact"/>
                    <w:rPr>
                      <w:rFonts w:ascii="Times New Roman" w:hAnsi="Times New Roman" w:eastAsia="宋体" w:cs="Times New Roman"/>
                      <w:sz w:val="21"/>
                      <w:szCs w:val="21"/>
                    </w:rPr>
                  </w:pPr>
                  <w:r>
                    <w:rPr>
                      <w:rFonts w:ascii="Times New Roman" w:hAnsi="Times New Roman" w:eastAsia="宋体" w:cs="Times New Roman"/>
                      <w:sz w:val="21"/>
                      <w:szCs w:val="21"/>
                    </w:rPr>
                    <w:t>60</w:t>
                  </w:r>
                </w:p>
              </w:tc>
              <w:tc>
                <w:tcPr>
                  <w:tcW w:w="1422" w:type="pct"/>
                  <w:tcBorders>
                    <w:top w:val="single" w:color="auto" w:sz="6" w:space="0"/>
                    <w:left w:val="single" w:color="auto" w:sz="6" w:space="0"/>
                    <w:bottom w:val="single" w:color="auto" w:sz="6" w:space="0"/>
                    <w:right w:val="single" w:color="auto" w:sz="12" w:space="0"/>
                  </w:tcBorders>
                  <w:noWrap w:val="0"/>
                  <w:vAlign w:val="center"/>
                </w:tcPr>
                <w:p>
                  <w:pPr>
                    <w:pStyle w:val="60"/>
                    <w:spacing w:line="320" w:lineRule="exact"/>
                    <w:rPr>
                      <w:rFonts w:ascii="Times New Roman" w:hAnsi="Times New Roman" w:eastAsia="宋体" w:cs="Times New Roman"/>
                      <w:sz w:val="21"/>
                      <w:szCs w:val="21"/>
                    </w:rPr>
                  </w:pPr>
                  <w:r>
                    <w:rPr>
                      <w:rFonts w:ascii="Times New Roman" w:hAnsi="Times New Roman" w:eastAsia="宋体" w:cs="Times New Roman"/>
                      <w:sz w:val="21"/>
                      <w:szCs w:val="21"/>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trPr>
              <w:tc>
                <w:tcPr>
                  <w:tcW w:w="1919" w:type="pct"/>
                  <w:tcBorders>
                    <w:top w:val="single" w:color="auto" w:sz="6" w:space="0"/>
                    <w:left w:val="single" w:color="auto" w:sz="12" w:space="0"/>
                    <w:bottom w:val="single" w:color="auto" w:sz="12" w:space="0"/>
                    <w:right w:val="single" w:color="auto" w:sz="6" w:space="0"/>
                  </w:tcBorders>
                  <w:noWrap w:val="0"/>
                  <w:vAlign w:val="center"/>
                </w:tcPr>
                <w:p>
                  <w:pPr>
                    <w:pStyle w:val="60"/>
                    <w:spacing w:line="32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4类</w:t>
                  </w:r>
                </w:p>
              </w:tc>
              <w:tc>
                <w:tcPr>
                  <w:tcW w:w="1658" w:type="pct"/>
                  <w:tcBorders>
                    <w:top w:val="single" w:color="auto" w:sz="6" w:space="0"/>
                    <w:left w:val="single" w:color="auto" w:sz="12" w:space="0"/>
                    <w:bottom w:val="single" w:color="auto" w:sz="12" w:space="0"/>
                    <w:right w:val="single" w:color="auto" w:sz="6" w:space="0"/>
                  </w:tcBorders>
                  <w:noWrap w:val="0"/>
                  <w:vAlign w:val="center"/>
                </w:tcPr>
                <w:p>
                  <w:pPr>
                    <w:pStyle w:val="60"/>
                    <w:spacing w:line="32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70</w:t>
                  </w:r>
                </w:p>
              </w:tc>
              <w:tc>
                <w:tcPr>
                  <w:tcW w:w="1422" w:type="pct"/>
                  <w:tcBorders>
                    <w:top w:val="single" w:color="auto" w:sz="6" w:space="0"/>
                    <w:left w:val="single" w:color="auto" w:sz="6" w:space="0"/>
                    <w:bottom w:val="single" w:color="auto" w:sz="12" w:space="0"/>
                    <w:right w:val="single" w:color="auto" w:sz="12" w:space="0"/>
                  </w:tcBorders>
                  <w:noWrap w:val="0"/>
                  <w:vAlign w:val="center"/>
                </w:tcPr>
                <w:p>
                  <w:pPr>
                    <w:pStyle w:val="60"/>
                    <w:spacing w:line="32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55</w:t>
                  </w:r>
                </w:p>
              </w:tc>
            </w:tr>
          </w:tbl>
          <w:p>
            <w:pPr>
              <w:tabs>
                <w:tab w:val="left" w:pos="1302"/>
              </w:tabs>
              <w:spacing w:line="240" w:lineRule="auto"/>
              <w:rPr>
                <w:b/>
                <w:sz w:val="24"/>
              </w:rPr>
            </w:pPr>
          </w:p>
          <w:p>
            <w:pPr>
              <w:tabs>
                <w:tab w:val="left" w:pos="1302"/>
              </w:tabs>
              <w:spacing w:line="360" w:lineRule="auto"/>
              <w:rPr>
                <w:b/>
                <w:sz w:val="24"/>
              </w:rPr>
            </w:pPr>
            <w:r>
              <w:rPr>
                <w:b/>
                <w:sz w:val="24"/>
              </w:rPr>
              <w:t>4、固废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rPr>
              <w:t>一般工业固体废物贮存及处置执行《</w:t>
            </w:r>
            <w:r>
              <w:rPr>
                <w:rFonts w:hint="default" w:ascii="Times New Roman" w:hAnsi="Times New Roman" w:eastAsia="宋体" w:cs="Times New Roman"/>
                <w:sz w:val="24"/>
              </w:rPr>
              <w:fldChar w:fldCharType="begin"/>
            </w:r>
            <w:r>
              <w:rPr>
                <w:rFonts w:hint="default" w:ascii="Times New Roman" w:hAnsi="Times New Roman" w:eastAsia="宋体" w:cs="Times New Roman"/>
                <w:sz w:val="24"/>
              </w:rPr>
              <w:instrText xml:space="preserve"> HYPERLINK "https://www.mee.gov.cn/ywgz/fgbz/bz/bzwb/gthw/gtfwwrkzbz/202012/W020201218695845325455.pdf" </w:instrText>
            </w:r>
            <w:r>
              <w:rPr>
                <w:rFonts w:hint="default" w:ascii="Times New Roman" w:hAnsi="Times New Roman" w:eastAsia="宋体" w:cs="Times New Roman"/>
                <w:sz w:val="24"/>
              </w:rPr>
              <w:fldChar w:fldCharType="separate"/>
            </w:r>
            <w:r>
              <w:rPr>
                <w:rFonts w:hint="default" w:ascii="Times New Roman" w:hAnsi="Times New Roman" w:eastAsia="宋体" w:cs="Times New Roman"/>
                <w:sz w:val="24"/>
              </w:rPr>
              <w:t>一般工业固体废物贮存和填埋污染控制标准》（GB 18599-2020）</w:t>
            </w:r>
            <w:r>
              <w:rPr>
                <w:rFonts w:hint="default" w:ascii="Times New Roman" w:hAnsi="Times New Roman" w:eastAsia="宋体" w:cs="Times New Roman"/>
                <w:sz w:val="24"/>
              </w:rPr>
              <w:fldChar w:fldCharType="end"/>
            </w:r>
            <w:r>
              <w:rPr>
                <w:rFonts w:hint="default" w:ascii="Times New Roman" w:hAnsi="Times New Roman" w:eastAsia="宋体" w:cs="Times New Roman"/>
                <w:sz w:val="24"/>
              </w:rPr>
              <w:t>相关要求；医疗废物转运执行《医疗废物转运车技术要求》（GB19217-2003）要求，</w:t>
            </w:r>
            <w:r>
              <w:rPr>
                <w:rFonts w:hint="eastAsia" w:ascii="Times New Roman" w:hAnsi="Times New Roman" w:eastAsia="宋体" w:cs="Times New Roman"/>
                <w:sz w:val="24"/>
              </w:rPr>
              <w:t>废水处理污泥同时执行《医疗机构水污染物排放标准》（GB18466-2005）中的医疗机构污泥控制标准</w:t>
            </w:r>
            <w:r>
              <w:rPr>
                <w:rFonts w:hint="eastAsia" w:cs="Times New Roman"/>
                <w:sz w:val="24"/>
                <w:lang w:eastAsia="zh-CN"/>
              </w:rPr>
              <w:t>，</w:t>
            </w:r>
            <w:r>
              <w:rPr>
                <w:rFonts w:hint="default" w:ascii="Times New Roman" w:hAnsi="Times New Roman" w:eastAsia="宋体" w:cs="Times New Roman"/>
                <w:sz w:val="24"/>
              </w:rPr>
              <w:t>医疗废物、化粪池污泥属危险废物，危险废物暂存执行《危险废物贮存污染控制标准》（GB18597-2001）及原环境保护部公告2013年第36号修改单相关要求。</w:t>
            </w:r>
            <w:r>
              <w:rPr>
                <w:rFonts w:hint="default" w:ascii="Times New Roman" w:hAnsi="Times New Roman" w:eastAsia="宋体" w:cs="Times New Roman"/>
                <w:sz w:val="24"/>
                <w:lang w:val="en-US" w:eastAsia="zh-CN"/>
              </w:rPr>
              <w:t>生活垃圾《生活垃圾焚烧污染控制标准》（GB18485-2014）及其修改单。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99" w:hRule="atLeast"/>
          <w:jc w:val="center"/>
        </w:trPr>
        <w:tc>
          <w:tcPr>
            <w:tcW w:w="626" w:type="dxa"/>
            <w:noWrap w:val="0"/>
            <w:vAlign w:val="center"/>
          </w:tcPr>
          <w:p>
            <w:pPr>
              <w:adjustRightInd w:val="0"/>
              <w:snapToGrid w:val="0"/>
              <w:jc w:val="center"/>
              <w:rPr>
                <w:rFonts w:hint="eastAsia" w:ascii="宋体" w:hAnsi="宋体" w:cs="宋体"/>
                <w:kern w:val="0"/>
                <w:szCs w:val="21"/>
              </w:rPr>
            </w:pPr>
            <w:r>
              <w:rPr>
                <w:rFonts w:hint="eastAsia" w:ascii="宋体" w:hAnsi="宋体" w:cs="宋体"/>
                <w:kern w:val="0"/>
                <w:szCs w:val="21"/>
              </w:rPr>
              <w:t>总量</w:t>
            </w:r>
          </w:p>
          <w:p>
            <w:pPr>
              <w:adjustRightInd w:val="0"/>
              <w:snapToGrid w:val="0"/>
              <w:jc w:val="center"/>
              <w:rPr>
                <w:rFonts w:hint="eastAsia" w:ascii="宋体" w:hAnsi="宋体" w:cs="宋体"/>
                <w:kern w:val="0"/>
                <w:szCs w:val="21"/>
              </w:rPr>
            </w:pPr>
            <w:r>
              <w:rPr>
                <w:rFonts w:hint="eastAsia" w:ascii="宋体" w:hAnsi="宋体" w:cs="宋体"/>
                <w:kern w:val="0"/>
                <w:szCs w:val="21"/>
              </w:rPr>
              <w:t>控制</w:t>
            </w:r>
          </w:p>
          <w:p>
            <w:pPr>
              <w:adjustRightInd w:val="0"/>
              <w:snapToGrid w:val="0"/>
              <w:jc w:val="center"/>
              <w:rPr>
                <w:rFonts w:ascii="宋体" w:hAnsi="宋体" w:cs="宋体"/>
                <w:kern w:val="0"/>
                <w:szCs w:val="21"/>
              </w:rPr>
            </w:pPr>
            <w:r>
              <w:rPr>
                <w:rFonts w:hint="eastAsia" w:ascii="宋体" w:hAnsi="宋体" w:cs="宋体"/>
                <w:kern w:val="0"/>
                <w:szCs w:val="21"/>
              </w:rPr>
              <w:t>指标</w:t>
            </w:r>
          </w:p>
        </w:tc>
        <w:tc>
          <w:tcPr>
            <w:tcW w:w="8364" w:type="dxa"/>
            <w:noWrap w:val="0"/>
            <w:vAlign w:val="center"/>
          </w:tcPr>
          <w:p>
            <w:pPr>
              <w:spacing w:line="360" w:lineRule="auto"/>
              <w:ind w:firstLine="480" w:firstLineChars="200"/>
              <w:jc w:val="left"/>
              <w:rPr>
                <w:sz w:val="24"/>
                <w:u w:val="none"/>
              </w:rPr>
            </w:pPr>
            <w:r>
              <w:rPr>
                <w:sz w:val="24"/>
                <w:u w:val="none"/>
              </w:rPr>
              <w:t>污染物排放实施总量控制是执行环保管理目标责任制的基本原则之一，本环评结合环保管理要求，对项目主要污染物的排放量进行总量控制分析，按照国家和湖南省</w:t>
            </w:r>
            <w:r>
              <w:rPr>
                <w:rFonts w:hint="eastAsia"/>
                <w:sz w:val="24"/>
                <w:u w:val="none"/>
                <w:lang w:val="en-US" w:eastAsia="zh-CN"/>
              </w:rPr>
              <w:t>生态环境</w:t>
            </w:r>
            <w:r>
              <w:rPr>
                <w:sz w:val="24"/>
                <w:u w:val="none"/>
              </w:rPr>
              <w:t>厅的要求，国家实施总量控制的主要污染物共5项，其中空气污染物3项（NOx、SO</w:t>
            </w:r>
            <w:r>
              <w:rPr>
                <w:sz w:val="24"/>
                <w:u w:val="none"/>
                <w:vertAlign w:val="subscript"/>
              </w:rPr>
              <w:t>2</w:t>
            </w:r>
            <w:r>
              <w:rPr>
                <w:sz w:val="24"/>
                <w:u w:val="none"/>
              </w:rPr>
              <w:t>、VOCs），水污染物2项（COD</w:t>
            </w:r>
            <w:r>
              <w:rPr>
                <w:rFonts w:hint="eastAsia"/>
                <w:sz w:val="24"/>
                <w:u w:val="none"/>
              </w:rPr>
              <w:t>cr</w:t>
            </w:r>
            <w:r>
              <w:rPr>
                <w:sz w:val="24"/>
                <w:u w:val="none"/>
              </w:rPr>
              <w:t>、NH</w:t>
            </w:r>
            <w:r>
              <w:rPr>
                <w:sz w:val="24"/>
                <w:u w:val="none"/>
                <w:vertAlign w:val="subscript"/>
              </w:rPr>
              <w:t>3</w:t>
            </w:r>
            <w:r>
              <w:rPr>
                <w:sz w:val="24"/>
                <w:u w:val="none"/>
              </w:rPr>
              <w:t>-N）。</w:t>
            </w:r>
          </w:p>
          <w:p>
            <w:pPr>
              <w:keepNext w:val="0"/>
              <w:keepLines w:val="0"/>
              <w:pageBreakBefore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kern w:val="0"/>
                <w:sz w:val="24"/>
                <w:szCs w:val="24"/>
              </w:rPr>
            </w:pPr>
            <w:r>
              <w:rPr>
                <w:rFonts w:hint="eastAsia" w:ascii="宋体" w:hAnsi="宋体" w:eastAsia="宋体" w:cs="宋体"/>
                <w:kern w:val="0"/>
                <w:sz w:val="24"/>
                <w:szCs w:val="24"/>
              </w:rPr>
              <w:t>本次环评在达标排放基础上给出该项目污染物排放总量控制建议指标。</w:t>
            </w:r>
          </w:p>
          <w:p>
            <w:pPr>
              <w:keepNext w:val="0"/>
              <w:keepLines w:val="0"/>
              <w:pageBreakBefore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kern w:val="0"/>
                <w:sz w:val="24"/>
                <w:szCs w:val="24"/>
                <w:u w:val="single"/>
              </w:rPr>
            </w:pPr>
            <w:r>
              <w:rPr>
                <w:rFonts w:hint="eastAsia" w:ascii="宋体" w:hAnsi="宋体" w:eastAsia="宋体" w:cs="宋体"/>
                <w:kern w:val="0"/>
                <w:sz w:val="24"/>
                <w:szCs w:val="24"/>
                <w:u w:val="single"/>
              </w:rPr>
              <w:t>（1）废水</w:t>
            </w:r>
          </w:p>
          <w:p>
            <w:pPr>
              <w:keepNext w:val="0"/>
              <w:keepLines w:val="0"/>
              <w:pageBreakBefore w:val="0"/>
              <w:kinsoku/>
              <w:wordWrap/>
              <w:overflowPunct/>
              <w:topLinePunct w:val="0"/>
              <w:autoSpaceDE/>
              <w:autoSpaceDN/>
              <w:bidi w:val="0"/>
              <w:adjustRightInd/>
              <w:snapToGrid w:val="0"/>
              <w:spacing w:line="360" w:lineRule="auto"/>
              <w:ind w:firstLine="480" w:firstLineChars="200"/>
              <w:jc w:val="both"/>
              <w:textAlignment w:val="auto"/>
              <w:rPr>
                <w:rFonts w:hint="eastAsia"/>
                <w:color w:val="auto"/>
                <w:kern w:val="0"/>
                <w:sz w:val="24"/>
                <w:u w:val="single"/>
              </w:rPr>
            </w:pPr>
            <w:r>
              <w:rPr>
                <w:rFonts w:hint="eastAsia"/>
                <w:color w:val="auto"/>
                <w:kern w:val="0"/>
                <w:sz w:val="24"/>
                <w:u w:val="single"/>
                <w:lang w:val="en-US" w:eastAsia="zh-CN"/>
              </w:rPr>
              <w:t>本项目属于</w:t>
            </w:r>
            <w:r>
              <w:rPr>
                <w:rFonts w:hint="eastAsia"/>
                <w:color w:val="auto"/>
                <w:kern w:val="0"/>
                <w:sz w:val="24"/>
                <w:u w:val="single"/>
              </w:rPr>
              <w:t>公共基础设施</w:t>
            </w:r>
            <w:r>
              <w:rPr>
                <w:rFonts w:hint="eastAsia"/>
                <w:color w:val="auto"/>
                <w:kern w:val="0"/>
                <w:sz w:val="24"/>
                <w:u w:val="single"/>
                <w:lang w:val="en-US" w:eastAsia="zh-CN"/>
              </w:rPr>
              <w:t>，产生的废水主要为生活废水和医疗废水，产生废水污染物</w:t>
            </w:r>
            <w:r>
              <w:rPr>
                <w:color w:val="auto"/>
                <w:sz w:val="24"/>
                <w:highlight w:val="none"/>
                <w:u w:val="single"/>
              </w:rPr>
              <w:t>COD</w:t>
            </w:r>
            <w:r>
              <w:rPr>
                <w:rFonts w:hint="eastAsia"/>
                <w:color w:val="auto"/>
                <w:sz w:val="24"/>
                <w:highlight w:val="none"/>
                <w:u w:val="single"/>
              </w:rPr>
              <w:t>cr</w:t>
            </w:r>
            <w:r>
              <w:rPr>
                <w:rFonts w:hint="eastAsia"/>
                <w:color w:val="auto"/>
                <w:sz w:val="24"/>
                <w:highlight w:val="none"/>
                <w:u w:val="single"/>
                <w:lang w:val="en-US" w:eastAsia="zh-CN"/>
              </w:rPr>
              <w:t>为</w:t>
            </w:r>
            <w:r>
              <w:rPr>
                <w:rFonts w:hint="eastAsia" w:cs="Times New Roman"/>
                <w:color w:val="auto"/>
                <w:sz w:val="24"/>
                <w:szCs w:val="24"/>
                <w:highlight w:val="none"/>
                <w:u w:val="single"/>
                <w:lang w:val="en-US" w:eastAsia="zh-CN" w:bidi="ar"/>
              </w:rPr>
              <w:t>5.06</w:t>
            </w:r>
            <w:r>
              <w:rPr>
                <w:rFonts w:hint="default" w:ascii="Times New Roman" w:hAnsi="Times New Roman" w:cs="Times New Roman"/>
                <w:snapToGrid w:val="0"/>
                <w:color w:val="auto"/>
                <w:kern w:val="21"/>
                <w:sz w:val="24"/>
                <w:szCs w:val="24"/>
                <w:highlight w:val="none"/>
                <w:u w:val="single"/>
              </w:rPr>
              <w:t>t/a</w:t>
            </w:r>
            <w:r>
              <w:rPr>
                <w:rFonts w:hint="eastAsia"/>
                <w:color w:val="auto"/>
                <w:sz w:val="24"/>
                <w:highlight w:val="none"/>
                <w:u w:val="single"/>
                <w:lang w:eastAsia="zh-CN"/>
              </w:rPr>
              <w:t>、</w:t>
            </w:r>
            <w:r>
              <w:rPr>
                <w:color w:val="auto"/>
                <w:sz w:val="24"/>
                <w:highlight w:val="none"/>
                <w:u w:val="single"/>
              </w:rPr>
              <w:t>NH</w:t>
            </w:r>
            <w:r>
              <w:rPr>
                <w:color w:val="auto"/>
                <w:sz w:val="24"/>
                <w:highlight w:val="none"/>
                <w:u w:val="single"/>
                <w:vertAlign w:val="subscript"/>
              </w:rPr>
              <w:t>3</w:t>
            </w:r>
            <w:r>
              <w:rPr>
                <w:color w:val="auto"/>
                <w:sz w:val="24"/>
                <w:highlight w:val="none"/>
                <w:u w:val="single"/>
              </w:rPr>
              <w:t>-N</w:t>
            </w:r>
            <w:r>
              <w:rPr>
                <w:rFonts w:hint="eastAsia"/>
                <w:color w:val="auto"/>
                <w:sz w:val="24"/>
                <w:highlight w:val="none"/>
                <w:u w:val="single"/>
                <w:lang w:val="en-US" w:eastAsia="zh-CN"/>
              </w:rPr>
              <w:t>为</w:t>
            </w:r>
            <w:r>
              <w:rPr>
                <w:rFonts w:hint="default" w:ascii="Times New Roman" w:hAnsi="Times New Roman" w:cs="Times New Roman"/>
                <w:color w:val="auto"/>
                <w:sz w:val="24"/>
                <w:szCs w:val="24"/>
                <w:highlight w:val="none"/>
                <w:u w:val="single"/>
                <w:lang w:bidi="ar"/>
              </w:rPr>
              <w:t>0.</w:t>
            </w:r>
            <w:r>
              <w:rPr>
                <w:rFonts w:hint="eastAsia" w:cs="Times New Roman"/>
                <w:color w:val="auto"/>
                <w:sz w:val="24"/>
                <w:szCs w:val="24"/>
                <w:highlight w:val="none"/>
                <w:u w:val="single"/>
                <w:lang w:val="en-US" w:eastAsia="zh-CN" w:bidi="ar"/>
              </w:rPr>
              <w:t>81t</w:t>
            </w:r>
            <w:r>
              <w:rPr>
                <w:rFonts w:hint="default" w:ascii="Times New Roman" w:hAnsi="Times New Roman" w:cs="Times New Roman"/>
                <w:color w:val="auto"/>
                <w:sz w:val="24"/>
                <w:szCs w:val="24"/>
                <w:highlight w:val="none"/>
                <w:u w:val="single"/>
                <w:lang w:bidi="ar"/>
              </w:rPr>
              <w:t>/a</w:t>
            </w:r>
            <w:r>
              <w:rPr>
                <w:rFonts w:hint="eastAsia"/>
                <w:color w:val="auto"/>
                <w:kern w:val="0"/>
                <w:sz w:val="24"/>
                <w:u w:val="single"/>
                <w:lang w:val="en-US" w:eastAsia="zh-CN"/>
              </w:rPr>
              <w:t>，</w:t>
            </w:r>
            <w:r>
              <w:rPr>
                <w:rFonts w:hint="eastAsia"/>
                <w:color w:val="auto"/>
                <w:kern w:val="0"/>
                <w:sz w:val="24"/>
                <w:u w:val="single"/>
              </w:rPr>
              <w:t>废水经管道收集</w:t>
            </w:r>
            <w:r>
              <w:rPr>
                <w:rFonts w:hint="eastAsia"/>
                <w:color w:val="auto"/>
                <w:kern w:val="0"/>
                <w:sz w:val="24"/>
                <w:u w:val="single"/>
                <w:lang w:val="en-US" w:eastAsia="zh-CN"/>
              </w:rPr>
              <w:t>先</w:t>
            </w:r>
            <w:r>
              <w:rPr>
                <w:rFonts w:hint="eastAsia"/>
                <w:color w:val="auto"/>
                <w:kern w:val="0"/>
                <w:sz w:val="24"/>
                <w:u w:val="single"/>
              </w:rPr>
              <w:t>进入</w:t>
            </w:r>
            <w:r>
              <w:rPr>
                <w:rFonts w:hint="eastAsia"/>
                <w:color w:val="auto"/>
                <w:kern w:val="0"/>
                <w:sz w:val="24"/>
                <w:u w:val="single"/>
                <w:lang w:val="en-US" w:eastAsia="zh-CN"/>
              </w:rPr>
              <w:t>湘阴县妇女儿童医院（二期）建设项目</w:t>
            </w:r>
            <w:r>
              <w:rPr>
                <w:rFonts w:hint="eastAsia"/>
                <w:color w:val="auto"/>
                <w:kern w:val="0"/>
                <w:sz w:val="24"/>
                <w:u w:val="single"/>
              </w:rPr>
              <w:t>污水站处理达标后由市政管网排入湘阴县第二污水处理厂进一步处理</w:t>
            </w:r>
            <w:r>
              <w:rPr>
                <w:rFonts w:hint="eastAsia"/>
                <w:color w:val="auto"/>
                <w:kern w:val="0"/>
                <w:sz w:val="24"/>
                <w:u w:val="single"/>
                <w:lang w:eastAsia="zh-CN"/>
              </w:rPr>
              <w:t>，</w:t>
            </w:r>
            <w:r>
              <w:rPr>
                <w:rFonts w:hint="eastAsia"/>
                <w:color w:val="auto"/>
                <w:kern w:val="0"/>
                <w:sz w:val="24"/>
                <w:u w:val="single"/>
              </w:rPr>
              <w:t>故本项目水污染物排放总量已</w:t>
            </w:r>
            <w:r>
              <w:rPr>
                <w:rFonts w:hint="eastAsia"/>
                <w:color w:val="auto"/>
                <w:kern w:val="0"/>
                <w:sz w:val="24"/>
                <w:u w:val="single"/>
                <w:lang w:val="en-US" w:eastAsia="zh-CN"/>
              </w:rPr>
              <w:t>纳入</w:t>
            </w:r>
            <w:r>
              <w:rPr>
                <w:rFonts w:hint="eastAsia"/>
                <w:color w:val="auto"/>
                <w:kern w:val="0"/>
                <w:sz w:val="24"/>
                <w:u w:val="single"/>
              </w:rPr>
              <w:t>湘阴县第二污水处理厂总量控制指标</w:t>
            </w:r>
            <w:r>
              <w:rPr>
                <w:rFonts w:hint="eastAsia"/>
                <w:color w:val="auto"/>
                <w:kern w:val="0"/>
                <w:sz w:val="24"/>
                <w:u w:val="single"/>
                <w:lang w:eastAsia="zh-CN"/>
              </w:rPr>
              <w:t>，</w:t>
            </w:r>
            <w:r>
              <w:rPr>
                <w:rFonts w:hint="eastAsia"/>
                <w:color w:val="auto"/>
                <w:kern w:val="0"/>
                <w:sz w:val="24"/>
                <w:u w:val="single"/>
              </w:rPr>
              <w:t>无需申请</w:t>
            </w:r>
            <w:r>
              <w:rPr>
                <w:rFonts w:hint="eastAsia"/>
                <w:color w:val="auto"/>
                <w:kern w:val="0"/>
                <w:sz w:val="24"/>
                <w:u w:val="single"/>
                <w:lang w:val="en-US" w:eastAsia="zh-CN"/>
              </w:rPr>
              <w:t>水污染物</w:t>
            </w:r>
            <w:r>
              <w:rPr>
                <w:rFonts w:hint="eastAsia"/>
                <w:color w:val="auto"/>
                <w:kern w:val="0"/>
                <w:sz w:val="24"/>
                <w:u w:val="single"/>
              </w:rPr>
              <w:t>总量控制指标。</w:t>
            </w:r>
          </w:p>
          <w:p>
            <w:pPr>
              <w:keepNext w:val="0"/>
              <w:keepLines w:val="0"/>
              <w:pageBreakBefore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kern w:val="0"/>
                <w:sz w:val="24"/>
                <w:szCs w:val="24"/>
                <w:u w:val="single"/>
              </w:rPr>
            </w:pPr>
            <w:r>
              <w:rPr>
                <w:rFonts w:hint="eastAsia" w:ascii="宋体" w:hAnsi="宋体" w:eastAsia="宋体" w:cs="宋体"/>
                <w:kern w:val="0"/>
                <w:sz w:val="24"/>
                <w:szCs w:val="24"/>
                <w:u w:val="single"/>
              </w:rPr>
              <w:t>（2）废气</w:t>
            </w:r>
          </w:p>
          <w:p>
            <w:pPr>
              <w:keepNext w:val="0"/>
              <w:keepLines w:val="0"/>
              <w:pageBreakBefore w:val="0"/>
              <w:kinsoku/>
              <w:wordWrap/>
              <w:overflowPunct/>
              <w:topLinePunct w:val="0"/>
              <w:autoSpaceDE/>
              <w:autoSpaceDN/>
              <w:bidi w:val="0"/>
              <w:adjustRightInd/>
              <w:snapToGrid w:val="0"/>
              <w:spacing w:line="360" w:lineRule="auto"/>
              <w:ind w:firstLine="480" w:firstLineChars="200"/>
              <w:jc w:val="both"/>
              <w:textAlignment w:val="auto"/>
              <w:rPr>
                <w:rFonts w:ascii="宋体" w:hAnsi="宋体" w:cs="宋体"/>
                <w:kern w:val="0"/>
                <w:szCs w:val="21"/>
              </w:rPr>
            </w:pPr>
            <w:r>
              <w:rPr>
                <w:rFonts w:hint="default" w:ascii="Times New Roman" w:hAnsi="Times New Roman" w:eastAsia="宋体" w:cs="Times New Roman"/>
                <w:kern w:val="0"/>
                <w:sz w:val="24"/>
                <w:szCs w:val="24"/>
                <w:u w:val="single"/>
              </w:rPr>
              <w:t>根据《国务院关于印发大气污染防治行动计划的通知》（国发[2013]37号，2013年9月10日），“严格实施污染物排放总量控制，将二氧化硫、氮氧化物、烟粉尘及挥发性有机物排放是否符合总量控制要求作为建设项目环境影响评价审批的前置条件”。</w:t>
            </w:r>
            <w:r>
              <w:rPr>
                <w:rFonts w:hint="eastAsia"/>
                <w:color w:val="auto"/>
                <w:kern w:val="0"/>
                <w:sz w:val="24"/>
                <w:u w:val="single"/>
                <w:lang w:val="en-US" w:eastAsia="zh-CN"/>
              </w:rPr>
              <w:t>本项目属于</w:t>
            </w:r>
            <w:r>
              <w:rPr>
                <w:rFonts w:hint="eastAsia"/>
                <w:color w:val="auto"/>
                <w:kern w:val="0"/>
                <w:sz w:val="24"/>
                <w:u w:val="single"/>
              </w:rPr>
              <w:t>公共基础设施</w:t>
            </w:r>
            <w:r>
              <w:rPr>
                <w:rFonts w:hint="eastAsia"/>
                <w:color w:val="auto"/>
                <w:kern w:val="0"/>
                <w:sz w:val="24"/>
                <w:u w:val="single"/>
                <w:lang w:val="en-US" w:eastAsia="zh-CN"/>
              </w:rPr>
              <w:t>，</w:t>
            </w:r>
            <w:r>
              <w:rPr>
                <w:rFonts w:hint="default" w:ascii="Times New Roman" w:hAnsi="Times New Roman" w:eastAsia="宋体" w:cs="Times New Roman"/>
                <w:kern w:val="0"/>
                <w:sz w:val="24"/>
                <w:szCs w:val="24"/>
                <w:u w:val="single"/>
              </w:rPr>
              <w:t>运营期的大气污染物主要有</w:t>
            </w:r>
            <w:r>
              <w:rPr>
                <w:rFonts w:hint="eastAsia" w:cs="Times New Roman"/>
                <w:kern w:val="0"/>
                <w:sz w:val="24"/>
                <w:szCs w:val="24"/>
                <w:u w:val="single"/>
                <w:lang w:val="en-US" w:eastAsia="zh-CN"/>
              </w:rPr>
              <w:t>二氧化硫（0.10t/a）、氮氧化物（0.79t/a）</w:t>
            </w:r>
            <w:r>
              <w:rPr>
                <w:rFonts w:hint="default" w:ascii="Times New Roman" w:hAnsi="Times New Roman" w:eastAsia="宋体" w:cs="Times New Roman"/>
                <w:kern w:val="0"/>
                <w:sz w:val="24"/>
                <w:szCs w:val="24"/>
                <w:u w:val="single"/>
              </w:rPr>
              <w:t>，无需申请总量控制指标。</w:t>
            </w:r>
          </w:p>
        </w:tc>
      </w:tr>
    </w:tbl>
    <w:p>
      <w:pPr>
        <w:pStyle w:val="22"/>
        <w:jc w:val="center"/>
        <w:outlineLvl w:val="0"/>
        <w:rPr>
          <w:rFonts w:ascii="黑体" w:hAnsi="黑体" w:eastAsia="黑体"/>
          <w:snapToGrid w:val="0"/>
          <w:sz w:val="30"/>
          <w:szCs w:val="30"/>
        </w:rPr>
      </w:pPr>
      <w:r>
        <w:rPr>
          <w:rFonts w:ascii="黑体" w:hAnsi="黑体" w:eastAsia="黑体"/>
          <w:snapToGrid w:val="0"/>
          <w:sz w:val="36"/>
          <w:szCs w:val="36"/>
        </w:rPr>
        <w:br w:type="page"/>
      </w:r>
      <w:bookmarkStart w:id="9" w:name="_Toc21789"/>
      <w:r>
        <w:rPr>
          <w:rFonts w:hint="eastAsia" w:ascii="黑体" w:hAnsi="黑体" w:eastAsia="黑体"/>
          <w:snapToGrid w:val="0"/>
          <w:sz w:val="30"/>
          <w:szCs w:val="30"/>
        </w:rPr>
        <w:t>四、主要环境影响和保护措施</w:t>
      </w:r>
      <w:bookmarkEnd w:id="9"/>
    </w:p>
    <w:tbl>
      <w:tblPr>
        <w:tblStyle w:val="25"/>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4"/>
        <w:gridCol w:w="852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454" w:type="dxa"/>
            <w:noWrap w:val="0"/>
            <w:tcMar>
              <w:left w:w="28" w:type="dxa"/>
              <w:right w:w="28" w:type="dxa"/>
            </w:tcMar>
            <w:vAlign w:val="center"/>
          </w:tcPr>
          <w:p>
            <w:pPr>
              <w:pStyle w:val="22"/>
              <w:adjustRightInd w:val="0"/>
              <w:snapToGrid w:val="0"/>
              <w:spacing w:before="0" w:beforeAutospacing="0" w:after="0" w:afterAutospacing="0"/>
              <w:jc w:val="center"/>
              <w:rPr>
                <w:rFonts w:hint="eastAsia" w:cs="宋体"/>
                <w:kern w:val="2"/>
                <w:sz w:val="21"/>
                <w:szCs w:val="21"/>
              </w:rPr>
            </w:pPr>
            <w:r>
              <w:rPr>
                <w:rFonts w:hint="eastAsia" w:cs="宋体"/>
                <w:kern w:val="2"/>
                <w:sz w:val="21"/>
                <w:szCs w:val="21"/>
              </w:rPr>
              <w:t>施工</w:t>
            </w:r>
          </w:p>
          <w:p>
            <w:pPr>
              <w:pStyle w:val="22"/>
              <w:adjustRightInd w:val="0"/>
              <w:snapToGrid w:val="0"/>
              <w:spacing w:before="0" w:beforeAutospacing="0" w:after="0" w:afterAutospacing="0"/>
              <w:jc w:val="center"/>
              <w:rPr>
                <w:rFonts w:hint="eastAsia" w:cs="宋体"/>
                <w:kern w:val="2"/>
                <w:sz w:val="21"/>
                <w:szCs w:val="21"/>
              </w:rPr>
            </w:pPr>
            <w:r>
              <w:rPr>
                <w:rFonts w:hint="eastAsia" w:cs="宋体"/>
                <w:kern w:val="2"/>
                <w:sz w:val="21"/>
                <w:szCs w:val="21"/>
              </w:rPr>
              <w:t>期环</w:t>
            </w:r>
          </w:p>
          <w:p>
            <w:pPr>
              <w:pStyle w:val="22"/>
              <w:adjustRightInd w:val="0"/>
              <w:snapToGrid w:val="0"/>
              <w:spacing w:before="0" w:beforeAutospacing="0" w:after="0" w:afterAutospacing="0"/>
              <w:jc w:val="center"/>
              <w:rPr>
                <w:rFonts w:hint="eastAsia" w:cs="宋体"/>
                <w:kern w:val="2"/>
                <w:sz w:val="21"/>
                <w:szCs w:val="21"/>
              </w:rPr>
            </w:pPr>
            <w:r>
              <w:rPr>
                <w:rFonts w:hint="eastAsia" w:cs="宋体"/>
                <w:kern w:val="2"/>
                <w:sz w:val="21"/>
                <w:szCs w:val="21"/>
              </w:rPr>
              <w:t>境保</w:t>
            </w:r>
          </w:p>
          <w:p>
            <w:pPr>
              <w:pStyle w:val="22"/>
              <w:adjustRightInd w:val="0"/>
              <w:snapToGrid w:val="0"/>
              <w:spacing w:before="0" w:beforeAutospacing="0" w:after="0" w:afterAutospacing="0"/>
              <w:jc w:val="center"/>
              <w:rPr>
                <w:rFonts w:hint="eastAsia" w:cs="宋体"/>
                <w:kern w:val="2"/>
                <w:sz w:val="21"/>
                <w:szCs w:val="21"/>
              </w:rPr>
            </w:pPr>
            <w:r>
              <w:rPr>
                <w:rFonts w:hint="eastAsia" w:cs="宋体"/>
                <w:kern w:val="2"/>
                <w:sz w:val="21"/>
                <w:szCs w:val="21"/>
              </w:rPr>
              <w:t>护措</w:t>
            </w:r>
          </w:p>
          <w:p>
            <w:pPr>
              <w:pStyle w:val="22"/>
              <w:adjustRightInd w:val="0"/>
              <w:snapToGrid w:val="0"/>
              <w:spacing w:before="0" w:beforeAutospacing="0" w:after="0" w:afterAutospacing="0"/>
              <w:jc w:val="center"/>
              <w:rPr>
                <w:rFonts w:hint="eastAsia" w:cs="宋体"/>
                <w:bCs/>
                <w:kern w:val="2"/>
                <w:sz w:val="21"/>
                <w:szCs w:val="21"/>
              </w:rPr>
            </w:pPr>
            <w:r>
              <w:rPr>
                <w:rFonts w:hint="eastAsia" w:cs="宋体"/>
                <w:kern w:val="2"/>
                <w:sz w:val="21"/>
                <w:szCs w:val="21"/>
              </w:rPr>
              <w:t>施</w:t>
            </w:r>
          </w:p>
        </w:tc>
        <w:tc>
          <w:tcPr>
            <w:tcW w:w="8527" w:type="dxa"/>
            <w:noWrap w:val="0"/>
            <w:vAlign w:val="center"/>
          </w:tcPr>
          <w:p>
            <w:pPr>
              <w:spacing w:line="360" w:lineRule="auto"/>
              <w:ind w:firstLine="482" w:firstLineChars="200"/>
              <w:rPr>
                <w:rFonts w:ascii="Calibri" w:hAnsi="Calibri"/>
                <w:b/>
                <w:bCs/>
                <w:sz w:val="24"/>
              </w:rPr>
            </w:pPr>
            <w:r>
              <w:rPr>
                <w:rFonts w:hint="eastAsia" w:ascii="Calibri" w:hAnsi="Calibri"/>
                <w:b/>
                <w:bCs/>
                <w:sz w:val="24"/>
              </w:rPr>
              <w:t>施工期环境保护措施</w:t>
            </w:r>
          </w:p>
          <w:p>
            <w:pPr>
              <w:spacing w:line="360" w:lineRule="auto"/>
              <w:ind w:firstLine="480" w:firstLineChars="200"/>
              <w:rPr>
                <w:rFonts w:ascii="Calibri" w:hAnsi="Calibri"/>
                <w:sz w:val="24"/>
              </w:rPr>
            </w:pPr>
            <w:r>
              <w:rPr>
                <w:rFonts w:hint="eastAsia" w:ascii="Calibri" w:hAnsi="Calibri"/>
                <w:sz w:val="24"/>
              </w:rPr>
              <w:t>本项目建设地点位于</w:t>
            </w:r>
            <w:r>
              <w:rPr>
                <w:rFonts w:ascii="Calibri" w:hAnsi="Calibri"/>
                <w:sz w:val="24"/>
              </w:rPr>
              <w:t>湘阴县洋沙</w:t>
            </w:r>
            <w:r>
              <w:rPr>
                <w:rFonts w:hint="eastAsia" w:ascii="Calibri" w:hAnsi="Calibri"/>
                <w:sz w:val="24"/>
              </w:rPr>
              <w:t>湖镇（原袁家铺镇）洋沙湖村（原友爱村），项目施工期主要为建筑施工、室内装修，产生的影响为施工员工生活污水、装修废气、噪声以及施工人员生活垃圾。</w:t>
            </w:r>
          </w:p>
          <w:p>
            <w:pPr>
              <w:widowControl/>
              <w:spacing w:line="360" w:lineRule="auto"/>
              <w:ind w:left="0" w:firstLine="482" w:firstLineChars="200"/>
              <w:jc w:val="left"/>
              <w:textAlignment w:val="auto"/>
              <w:rPr>
                <w:b/>
                <w:sz w:val="24"/>
              </w:rPr>
            </w:pPr>
            <w:r>
              <w:rPr>
                <w:b/>
                <w:sz w:val="24"/>
              </w:rPr>
              <w:t>（一）地表水环境影响分析</w:t>
            </w:r>
          </w:p>
          <w:p>
            <w:pPr>
              <w:spacing w:line="360" w:lineRule="auto"/>
              <w:ind w:firstLine="480" w:firstLineChars="200"/>
              <w:rPr>
                <w:sz w:val="24"/>
              </w:rPr>
            </w:pPr>
            <w:r>
              <w:rPr>
                <w:rFonts w:hint="eastAsia"/>
                <w:sz w:val="24"/>
              </w:rPr>
              <w:t>（</w:t>
            </w:r>
            <w:r>
              <w:rPr>
                <w:sz w:val="24"/>
              </w:rPr>
              <w:t>1</w:t>
            </w:r>
            <w:r>
              <w:rPr>
                <w:rFonts w:hint="eastAsia"/>
                <w:sz w:val="24"/>
              </w:rPr>
              <w:t>）施工期生活污水</w:t>
            </w:r>
          </w:p>
          <w:p>
            <w:pPr>
              <w:spacing w:line="360" w:lineRule="auto"/>
              <w:ind w:firstLine="480" w:firstLineChars="200"/>
              <w:rPr>
                <w:sz w:val="24"/>
                <w:lang w:val="en-US"/>
              </w:rPr>
            </w:pPr>
            <w:r>
              <w:rPr>
                <w:rFonts w:hint="eastAsia"/>
                <w:sz w:val="24"/>
              </w:rPr>
              <w:t>本项目</w:t>
            </w:r>
            <w:r>
              <w:rPr>
                <w:rFonts w:hint="eastAsia"/>
                <w:sz w:val="24"/>
                <w:lang w:val="en-US"/>
              </w:rPr>
              <w:t>装修</w:t>
            </w:r>
            <w:r>
              <w:rPr>
                <w:rFonts w:hint="eastAsia"/>
                <w:sz w:val="24"/>
              </w:rPr>
              <w:t>在施工场地内将成立工程指挥部，设住宿、厕所，高峰期施工人数可达</w:t>
            </w:r>
            <w:r>
              <w:rPr>
                <w:rFonts w:hint="eastAsia"/>
                <w:sz w:val="24"/>
                <w:lang w:val="en-US"/>
              </w:rPr>
              <w:t>50</w:t>
            </w:r>
            <w:r>
              <w:rPr>
                <w:rFonts w:hint="eastAsia"/>
                <w:sz w:val="24"/>
              </w:rPr>
              <w:t>人，</w:t>
            </w:r>
            <w:r>
              <w:rPr>
                <w:sz w:val="24"/>
              </w:rPr>
              <w:t>根据《建筑给水排水设计规范》（GB50015-</w:t>
            </w:r>
            <w:r>
              <w:rPr>
                <w:rFonts w:hint="eastAsia"/>
                <w:sz w:val="24"/>
              </w:rPr>
              <w:t>2019</w:t>
            </w:r>
            <w:r>
              <w:rPr>
                <w:sz w:val="24"/>
              </w:rPr>
              <w:t>，</w:t>
            </w:r>
            <w:r>
              <w:rPr>
                <w:rFonts w:hint="eastAsia"/>
                <w:sz w:val="24"/>
              </w:rPr>
              <w:t>2019</w:t>
            </w:r>
            <w:r>
              <w:rPr>
                <w:sz w:val="24"/>
              </w:rPr>
              <w:t>版）施工人员生活用水量按平均每天</w:t>
            </w:r>
            <w:r>
              <w:rPr>
                <w:rFonts w:hint="eastAsia"/>
                <w:sz w:val="24"/>
              </w:rPr>
              <w:t>8</w:t>
            </w:r>
            <w:r>
              <w:rPr>
                <w:sz w:val="24"/>
              </w:rPr>
              <w:t>0L/人计，则日生活用水量为</w:t>
            </w:r>
            <w:r>
              <w:rPr>
                <w:rFonts w:hint="eastAsia"/>
                <w:sz w:val="24"/>
                <w:lang w:val="en-US"/>
              </w:rPr>
              <w:t>4</w:t>
            </w:r>
            <w:r>
              <w:rPr>
                <w:sz w:val="24"/>
              </w:rPr>
              <w:t>m</w:t>
            </w:r>
            <w:r>
              <w:rPr>
                <w:sz w:val="24"/>
                <w:vertAlign w:val="superscript"/>
              </w:rPr>
              <w:t>3</w:t>
            </w:r>
            <w:r>
              <w:rPr>
                <w:sz w:val="24"/>
              </w:rPr>
              <w:t>/d。生活污水的排放量按用水量的80%计算，则生活污水的排放量为</w:t>
            </w:r>
            <w:r>
              <w:rPr>
                <w:rFonts w:hint="eastAsia"/>
                <w:sz w:val="24"/>
                <w:lang w:val="en-US"/>
              </w:rPr>
              <w:t>3.2</w:t>
            </w:r>
            <w:r>
              <w:rPr>
                <w:sz w:val="24"/>
              </w:rPr>
              <w:t>m</w:t>
            </w:r>
            <w:r>
              <w:rPr>
                <w:sz w:val="24"/>
                <w:vertAlign w:val="superscript"/>
              </w:rPr>
              <w:t>3</w:t>
            </w:r>
            <w:r>
              <w:rPr>
                <w:sz w:val="24"/>
              </w:rPr>
              <w:t>/d，主要污染因子为COD</w:t>
            </w:r>
            <w:r>
              <w:rPr>
                <w:sz w:val="24"/>
                <w:vertAlign w:val="subscript"/>
              </w:rPr>
              <w:t>Cr</w:t>
            </w:r>
            <w:r>
              <w:rPr>
                <w:sz w:val="24"/>
              </w:rPr>
              <w:t>、BOD</w:t>
            </w:r>
            <w:r>
              <w:rPr>
                <w:sz w:val="24"/>
                <w:vertAlign w:val="subscript"/>
              </w:rPr>
              <w:t>5</w:t>
            </w:r>
            <w:r>
              <w:rPr>
                <w:sz w:val="24"/>
              </w:rPr>
              <w:t>和SS等。</w:t>
            </w:r>
            <w:r>
              <w:rPr>
                <w:sz w:val="24"/>
                <w:lang w:val="en-US"/>
              </w:rPr>
              <w:t>该类污水为典型的生活污水，经化粪池处理达标后排入污水管网进入</w:t>
            </w:r>
            <w:r>
              <w:rPr>
                <w:rFonts w:hint="eastAsia"/>
                <w:sz w:val="24"/>
                <w:lang w:val="en-US"/>
              </w:rPr>
              <w:t>湘阴县第二污水处理厂（</w:t>
            </w:r>
            <w:r>
              <w:rPr>
                <w:rFonts w:hint="eastAsia"/>
                <w:sz w:val="24"/>
              </w:rPr>
              <w:t>该管网为区域污水主管网，已接通至</w:t>
            </w:r>
            <w:r>
              <w:rPr>
                <w:rFonts w:hint="eastAsia"/>
                <w:sz w:val="24"/>
                <w:lang w:val="en-US"/>
              </w:rPr>
              <w:t>湘阴县第二污水处理厂）</w:t>
            </w:r>
            <w:r>
              <w:rPr>
                <w:sz w:val="24"/>
                <w:lang w:val="en-US"/>
              </w:rPr>
              <w:t>。其主要的污染物产生量见下表。</w:t>
            </w:r>
          </w:p>
          <w:p>
            <w:pPr>
              <w:adjustRightInd/>
              <w:snapToGrid/>
              <w:spacing w:line="240" w:lineRule="auto"/>
              <w:ind w:firstLine="422" w:firstLineChars="200"/>
              <w:jc w:val="center"/>
              <w:rPr>
                <w:b/>
                <w:szCs w:val="21"/>
              </w:rPr>
            </w:pPr>
            <w:r>
              <w:rPr>
                <w:b/>
                <w:szCs w:val="21"/>
              </w:rPr>
              <w:t>表</w:t>
            </w:r>
            <w:r>
              <w:rPr>
                <w:rFonts w:hint="eastAsia"/>
                <w:b/>
                <w:szCs w:val="21"/>
              </w:rPr>
              <w:t xml:space="preserve">4-1 </w:t>
            </w:r>
            <w:r>
              <w:rPr>
                <w:b/>
                <w:szCs w:val="21"/>
              </w:rPr>
              <w:t>施工期生活污水污染物产生情况</w:t>
            </w:r>
          </w:p>
          <w:tbl>
            <w:tblPr>
              <w:tblStyle w:val="25"/>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626"/>
              <w:gridCol w:w="1162"/>
              <w:gridCol w:w="1162"/>
              <w:gridCol w:w="1162"/>
              <w:gridCol w:w="11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2190" w:type="pct"/>
                  <w:noWrap w:val="0"/>
                  <w:vAlign w:val="center"/>
                </w:tcPr>
                <w:p>
                  <w:pPr>
                    <w:adjustRightInd/>
                    <w:snapToGrid/>
                    <w:spacing w:line="240" w:lineRule="auto"/>
                    <w:ind w:firstLine="0" w:firstLineChars="0"/>
                    <w:jc w:val="center"/>
                    <w:rPr>
                      <w:szCs w:val="21"/>
                    </w:rPr>
                  </w:pPr>
                  <w:r>
                    <w:rPr>
                      <w:szCs w:val="21"/>
                    </w:rPr>
                    <w:t>指标</w:t>
                  </w:r>
                </w:p>
              </w:tc>
              <w:tc>
                <w:tcPr>
                  <w:tcW w:w="702" w:type="pct"/>
                  <w:noWrap w:val="0"/>
                  <w:vAlign w:val="center"/>
                </w:tcPr>
                <w:p>
                  <w:pPr>
                    <w:adjustRightInd/>
                    <w:snapToGrid/>
                    <w:spacing w:line="240" w:lineRule="auto"/>
                    <w:ind w:firstLine="0" w:firstLineChars="0"/>
                    <w:jc w:val="center"/>
                    <w:rPr>
                      <w:szCs w:val="21"/>
                    </w:rPr>
                  </w:pPr>
                  <w:r>
                    <w:rPr>
                      <w:szCs w:val="21"/>
                    </w:rPr>
                    <w:t>COD</w:t>
                  </w:r>
                </w:p>
              </w:tc>
              <w:tc>
                <w:tcPr>
                  <w:tcW w:w="702" w:type="pct"/>
                  <w:noWrap w:val="0"/>
                  <w:vAlign w:val="center"/>
                </w:tcPr>
                <w:p>
                  <w:pPr>
                    <w:adjustRightInd/>
                    <w:snapToGrid/>
                    <w:spacing w:line="240" w:lineRule="auto"/>
                    <w:ind w:firstLine="0" w:firstLineChars="0"/>
                    <w:jc w:val="center"/>
                    <w:rPr>
                      <w:szCs w:val="21"/>
                    </w:rPr>
                  </w:pPr>
                  <w:r>
                    <w:rPr>
                      <w:szCs w:val="21"/>
                    </w:rPr>
                    <w:t>BOD</w:t>
                  </w:r>
                  <w:r>
                    <w:rPr>
                      <w:szCs w:val="21"/>
                      <w:vertAlign w:val="subscript"/>
                    </w:rPr>
                    <w:t>5</w:t>
                  </w:r>
                </w:p>
              </w:tc>
              <w:tc>
                <w:tcPr>
                  <w:tcW w:w="702" w:type="pct"/>
                  <w:noWrap w:val="0"/>
                  <w:vAlign w:val="center"/>
                </w:tcPr>
                <w:p>
                  <w:pPr>
                    <w:adjustRightInd/>
                    <w:snapToGrid/>
                    <w:spacing w:line="240" w:lineRule="auto"/>
                    <w:ind w:firstLine="0" w:firstLineChars="0"/>
                    <w:jc w:val="center"/>
                    <w:rPr>
                      <w:szCs w:val="21"/>
                    </w:rPr>
                  </w:pPr>
                  <w:r>
                    <w:rPr>
                      <w:szCs w:val="21"/>
                    </w:rPr>
                    <w:t>SS</w:t>
                  </w:r>
                </w:p>
              </w:tc>
              <w:tc>
                <w:tcPr>
                  <w:tcW w:w="702" w:type="pct"/>
                  <w:noWrap w:val="0"/>
                  <w:vAlign w:val="center"/>
                </w:tcPr>
                <w:p>
                  <w:pPr>
                    <w:adjustRightInd/>
                    <w:snapToGrid/>
                    <w:spacing w:line="240" w:lineRule="auto"/>
                    <w:ind w:firstLine="0" w:firstLineChars="0"/>
                    <w:jc w:val="center"/>
                    <w:rPr>
                      <w:szCs w:val="21"/>
                    </w:rPr>
                  </w:pPr>
                  <w:r>
                    <w:rPr>
                      <w:szCs w:val="21"/>
                    </w:rPr>
                    <w:t>氨氮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190" w:type="pct"/>
                  <w:noWrap w:val="0"/>
                  <w:vAlign w:val="center"/>
                </w:tcPr>
                <w:p>
                  <w:pPr>
                    <w:adjustRightInd/>
                    <w:snapToGrid/>
                    <w:spacing w:line="240" w:lineRule="auto"/>
                    <w:ind w:firstLine="0" w:firstLineChars="0"/>
                    <w:jc w:val="center"/>
                    <w:rPr>
                      <w:szCs w:val="21"/>
                    </w:rPr>
                  </w:pPr>
                  <w:r>
                    <w:rPr>
                      <w:szCs w:val="21"/>
                    </w:rPr>
                    <w:t>浓度（mg/L）</w:t>
                  </w:r>
                </w:p>
              </w:tc>
              <w:tc>
                <w:tcPr>
                  <w:tcW w:w="702" w:type="pct"/>
                  <w:noWrap w:val="0"/>
                  <w:vAlign w:val="center"/>
                </w:tcPr>
                <w:p>
                  <w:pPr>
                    <w:adjustRightInd/>
                    <w:snapToGrid/>
                    <w:spacing w:line="240" w:lineRule="auto"/>
                    <w:ind w:firstLine="0" w:firstLineChars="0"/>
                    <w:jc w:val="center"/>
                    <w:rPr>
                      <w:szCs w:val="21"/>
                    </w:rPr>
                  </w:pPr>
                  <w:r>
                    <w:rPr>
                      <w:szCs w:val="21"/>
                    </w:rPr>
                    <w:t>300</w:t>
                  </w:r>
                </w:p>
              </w:tc>
              <w:tc>
                <w:tcPr>
                  <w:tcW w:w="702" w:type="pct"/>
                  <w:noWrap w:val="0"/>
                  <w:vAlign w:val="center"/>
                </w:tcPr>
                <w:p>
                  <w:pPr>
                    <w:adjustRightInd/>
                    <w:snapToGrid/>
                    <w:spacing w:line="240" w:lineRule="auto"/>
                    <w:ind w:firstLine="0" w:firstLineChars="0"/>
                    <w:jc w:val="center"/>
                    <w:rPr>
                      <w:szCs w:val="21"/>
                    </w:rPr>
                  </w:pPr>
                  <w:r>
                    <w:rPr>
                      <w:szCs w:val="21"/>
                    </w:rPr>
                    <w:t>150</w:t>
                  </w:r>
                </w:p>
              </w:tc>
              <w:tc>
                <w:tcPr>
                  <w:tcW w:w="702" w:type="pct"/>
                  <w:noWrap w:val="0"/>
                  <w:vAlign w:val="center"/>
                </w:tcPr>
                <w:p>
                  <w:pPr>
                    <w:adjustRightInd/>
                    <w:snapToGrid/>
                    <w:spacing w:line="240" w:lineRule="auto"/>
                    <w:ind w:firstLine="0" w:firstLineChars="0"/>
                    <w:jc w:val="center"/>
                    <w:rPr>
                      <w:szCs w:val="21"/>
                    </w:rPr>
                  </w:pPr>
                  <w:r>
                    <w:rPr>
                      <w:szCs w:val="21"/>
                    </w:rPr>
                    <w:t>200</w:t>
                  </w:r>
                </w:p>
              </w:tc>
              <w:tc>
                <w:tcPr>
                  <w:tcW w:w="702" w:type="pct"/>
                  <w:noWrap w:val="0"/>
                  <w:vAlign w:val="center"/>
                </w:tcPr>
                <w:p>
                  <w:pPr>
                    <w:adjustRightInd/>
                    <w:snapToGrid/>
                    <w:spacing w:line="240" w:lineRule="auto"/>
                    <w:ind w:firstLine="0" w:firstLineChars="0"/>
                    <w:jc w:val="center"/>
                    <w:rPr>
                      <w:szCs w:val="21"/>
                    </w:rPr>
                  </w:pPr>
                  <w:r>
                    <w:rPr>
                      <w:szCs w:val="21"/>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190" w:type="pct"/>
                  <w:noWrap w:val="0"/>
                  <w:vAlign w:val="center"/>
                </w:tcPr>
                <w:p>
                  <w:pPr>
                    <w:adjustRightInd/>
                    <w:snapToGrid/>
                    <w:spacing w:line="240" w:lineRule="auto"/>
                    <w:ind w:firstLine="0" w:firstLineChars="0"/>
                    <w:jc w:val="center"/>
                    <w:rPr>
                      <w:szCs w:val="21"/>
                    </w:rPr>
                  </w:pPr>
                  <w:r>
                    <w:rPr>
                      <w:szCs w:val="21"/>
                    </w:rPr>
                    <w:t>产生量（kg/d）</w:t>
                  </w:r>
                </w:p>
              </w:tc>
              <w:tc>
                <w:tcPr>
                  <w:tcW w:w="702" w:type="pct"/>
                  <w:noWrap w:val="0"/>
                  <w:vAlign w:val="center"/>
                </w:tcPr>
                <w:p>
                  <w:pPr>
                    <w:adjustRightInd/>
                    <w:snapToGrid/>
                    <w:spacing w:line="240" w:lineRule="auto"/>
                    <w:ind w:firstLine="0" w:firstLineChars="0"/>
                    <w:jc w:val="center"/>
                    <w:rPr>
                      <w:szCs w:val="21"/>
                    </w:rPr>
                  </w:pPr>
                  <w:r>
                    <w:rPr>
                      <w:rFonts w:hint="eastAsia"/>
                      <w:szCs w:val="21"/>
                    </w:rPr>
                    <w:t>0.96</w:t>
                  </w:r>
                </w:p>
              </w:tc>
              <w:tc>
                <w:tcPr>
                  <w:tcW w:w="702" w:type="pct"/>
                  <w:noWrap w:val="0"/>
                  <w:vAlign w:val="center"/>
                </w:tcPr>
                <w:p>
                  <w:pPr>
                    <w:adjustRightInd/>
                    <w:snapToGrid/>
                    <w:spacing w:line="240" w:lineRule="auto"/>
                    <w:ind w:firstLine="0" w:firstLineChars="0"/>
                    <w:jc w:val="center"/>
                    <w:rPr>
                      <w:szCs w:val="21"/>
                    </w:rPr>
                  </w:pPr>
                  <w:r>
                    <w:rPr>
                      <w:szCs w:val="21"/>
                    </w:rPr>
                    <w:t>0.</w:t>
                  </w:r>
                  <w:r>
                    <w:rPr>
                      <w:rFonts w:hint="eastAsia"/>
                      <w:szCs w:val="21"/>
                    </w:rPr>
                    <w:t>48</w:t>
                  </w:r>
                </w:p>
              </w:tc>
              <w:tc>
                <w:tcPr>
                  <w:tcW w:w="702" w:type="pct"/>
                  <w:noWrap w:val="0"/>
                  <w:vAlign w:val="center"/>
                </w:tcPr>
                <w:p>
                  <w:pPr>
                    <w:adjustRightInd/>
                    <w:snapToGrid/>
                    <w:spacing w:line="240" w:lineRule="auto"/>
                    <w:ind w:firstLine="0" w:firstLineChars="0"/>
                    <w:jc w:val="center"/>
                    <w:rPr>
                      <w:szCs w:val="21"/>
                    </w:rPr>
                  </w:pPr>
                  <w:r>
                    <w:rPr>
                      <w:rFonts w:hint="eastAsia"/>
                      <w:szCs w:val="21"/>
                    </w:rPr>
                    <w:t>0.64</w:t>
                  </w:r>
                </w:p>
              </w:tc>
              <w:tc>
                <w:tcPr>
                  <w:tcW w:w="702" w:type="pct"/>
                  <w:noWrap w:val="0"/>
                  <w:vAlign w:val="center"/>
                </w:tcPr>
                <w:p>
                  <w:pPr>
                    <w:adjustRightInd/>
                    <w:snapToGrid/>
                    <w:spacing w:line="240" w:lineRule="auto"/>
                    <w:ind w:firstLine="0" w:firstLineChars="0"/>
                    <w:jc w:val="center"/>
                    <w:rPr>
                      <w:szCs w:val="21"/>
                    </w:rPr>
                  </w:pPr>
                  <w:r>
                    <w:rPr>
                      <w:rFonts w:hint="eastAsia"/>
                      <w:szCs w:val="21"/>
                    </w:rPr>
                    <w:t>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190" w:type="pct"/>
                  <w:noWrap w:val="0"/>
                  <w:vAlign w:val="center"/>
                </w:tcPr>
                <w:p>
                  <w:pPr>
                    <w:adjustRightInd/>
                    <w:snapToGrid/>
                    <w:spacing w:line="240" w:lineRule="auto"/>
                    <w:ind w:firstLine="0" w:firstLineChars="0"/>
                    <w:jc w:val="center"/>
                    <w:rPr>
                      <w:szCs w:val="21"/>
                    </w:rPr>
                  </w:pPr>
                  <w:r>
                    <w:rPr>
                      <w:szCs w:val="21"/>
                    </w:rPr>
                    <w:t>产生量（t/施工期）</w:t>
                  </w:r>
                </w:p>
              </w:tc>
              <w:tc>
                <w:tcPr>
                  <w:tcW w:w="702" w:type="pct"/>
                  <w:noWrap w:val="0"/>
                  <w:vAlign w:val="center"/>
                </w:tcPr>
                <w:p>
                  <w:pPr>
                    <w:adjustRightInd/>
                    <w:snapToGrid/>
                    <w:spacing w:line="240" w:lineRule="auto"/>
                    <w:ind w:firstLine="0" w:firstLineChars="0"/>
                    <w:jc w:val="center"/>
                    <w:rPr>
                      <w:rFonts w:hint="default" w:eastAsia="宋体"/>
                      <w:szCs w:val="21"/>
                      <w:lang w:val="en-US" w:eastAsia="zh-CN"/>
                    </w:rPr>
                  </w:pPr>
                  <w:r>
                    <w:rPr>
                      <w:rFonts w:hint="eastAsia"/>
                      <w:szCs w:val="21"/>
                    </w:rPr>
                    <w:t>0.3</w:t>
                  </w:r>
                  <w:r>
                    <w:rPr>
                      <w:rFonts w:hint="eastAsia"/>
                      <w:szCs w:val="21"/>
                      <w:lang w:val="en-US" w:eastAsia="zh-CN"/>
                    </w:rPr>
                    <w:t>50</w:t>
                  </w:r>
                </w:p>
              </w:tc>
              <w:tc>
                <w:tcPr>
                  <w:tcW w:w="702" w:type="pct"/>
                  <w:noWrap w:val="0"/>
                  <w:vAlign w:val="center"/>
                </w:tcPr>
                <w:p>
                  <w:pPr>
                    <w:adjustRightInd/>
                    <w:snapToGrid/>
                    <w:spacing w:line="240" w:lineRule="auto"/>
                    <w:ind w:firstLine="0" w:firstLineChars="0"/>
                    <w:jc w:val="center"/>
                    <w:rPr>
                      <w:rFonts w:hint="eastAsia" w:eastAsia="宋体"/>
                      <w:szCs w:val="21"/>
                      <w:lang w:val="en-US" w:eastAsia="zh-CN"/>
                    </w:rPr>
                  </w:pPr>
                  <w:r>
                    <w:rPr>
                      <w:szCs w:val="21"/>
                    </w:rPr>
                    <w:t>0.</w:t>
                  </w:r>
                  <w:r>
                    <w:rPr>
                      <w:rFonts w:hint="eastAsia"/>
                      <w:szCs w:val="21"/>
                    </w:rPr>
                    <w:t>17</w:t>
                  </w:r>
                  <w:r>
                    <w:rPr>
                      <w:rFonts w:hint="eastAsia"/>
                      <w:szCs w:val="21"/>
                      <w:lang w:val="en-US" w:eastAsia="zh-CN"/>
                    </w:rPr>
                    <w:t>5</w:t>
                  </w:r>
                </w:p>
              </w:tc>
              <w:tc>
                <w:tcPr>
                  <w:tcW w:w="702" w:type="pct"/>
                  <w:noWrap w:val="0"/>
                  <w:vAlign w:val="center"/>
                </w:tcPr>
                <w:p>
                  <w:pPr>
                    <w:adjustRightInd/>
                    <w:snapToGrid/>
                    <w:spacing w:line="240" w:lineRule="auto"/>
                    <w:ind w:firstLine="0" w:firstLineChars="0"/>
                    <w:jc w:val="center"/>
                    <w:rPr>
                      <w:rFonts w:hint="eastAsia" w:eastAsia="宋体"/>
                      <w:szCs w:val="21"/>
                      <w:lang w:val="en-US" w:eastAsia="zh-CN"/>
                    </w:rPr>
                  </w:pPr>
                  <w:r>
                    <w:rPr>
                      <w:rFonts w:hint="eastAsia"/>
                      <w:szCs w:val="21"/>
                    </w:rPr>
                    <w:t>0.23</w:t>
                  </w:r>
                  <w:r>
                    <w:rPr>
                      <w:rFonts w:hint="eastAsia"/>
                      <w:szCs w:val="21"/>
                      <w:lang w:val="en-US" w:eastAsia="zh-CN"/>
                    </w:rPr>
                    <w:t>4</w:t>
                  </w:r>
                </w:p>
              </w:tc>
              <w:tc>
                <w:tcPr>
                  <w:tcW w:w="702" w:type="pct"/>
                  <w:noWrap w:val="0"/>
                  <w:vAlign w:val="center"/>
                </w:tcPr>
                <w:p>
                  <w:pPr>
                    <w:adjustRightInd/>
                    <w:snapToGrid/>
                    <w:spacing w:line="240" w:lineRule="auto"/>
                    <w:ind w:firstLine="0" w:firstLineChars="0"/>
                    <w:jc w:val="center"/>
                    <w:rPr>
                      <w:szCs w:val="21"/>
                    </w:rPr>
                  </w:pPr>
                  <w:r>
                    <w:rPr>
                      <w:szCs w:val="21"/>
                    </w:rPr>
                    <w:t>0.0</w:t>
                  </w:r>
                  <w:r>
                    <w:rPr>
                      <w:rFonts w:hint="eastAsia"/>
                      <w:szCs w:val="21"/>
                    </w:rPr>
                    <w:t>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000" w:type="pct"/>
                  <w:gridSpan w:val="5"/>
                  <w:noWrap w:val="0"/>
                  <w:vAlign w:val="center"/>
                </w:tcPr>
                <w:p>
                  <w:pPr>
                    <w:adjustRightInd/>
                    <w:snapToGrid/>
                    <w:spacing w:line="240" w:lineRule="auto"/>
                    <w:ind w:firstLine="0" w:firstLineChars="0"/>
                    <w:rPr>
                      <w:rFonts w:hint="eastAsia" w:eastAsia="宋体"/>
                      <w:szCs w:val="21"/>
                      <w:lang w:val="en-US" w:eastAsia="zh-CN"/>
                    </w:rPr>
                  </w:pPr>
                  <w:r>
                    <w:rPr>
                      <w:szCs w:val="21"/>
                    </w:rPr>
                    <w:t>备注：本项目施工期约</w:t>
                  </w:r>
                  <w:r>
                    <w:rPr>
                      <w:rFonts w:hint="eastAsia"/>
                      <w:szCs w:val="21"/>
                      <w:lang w:val="en-US" w:eastAsia="zh-CN"/>
                    </w:rPr>
                    <w:t>12</w:t>
                  </w:r>
                  <w:r>
                    <w:rPr>
                      <w:szCs w:val="21"/>
                    </w:rPr>
                    <w:t>月，施工期天数按</w:t>
                  </w:r>
                  <w:r>
                    <w:rPr>
                      <w:rFonts w:hint="eastAsia"/>
                      <w:szCs w:val="21"/>
                      <w:lang w:val="en-US" w:eastAsia="zh-CN"/>
                    </w:rPr>
                    <w:t>365</w:t>
                  </w:r>
                  <w:r>
                    <w:rPr>
                      <w:szCs w:val="21"/>
                    </w:rPr>
                    <w:t>d计</w:t>
                  </w:r>
                </w:p>
              </w:tc>
            </w:tr>
          </w:tbl>
          <w:p>
            <w:pPr>
              <w:spacing w:line="240" w:lineRule="auto"/>
              <w:ind w:firstLine="480" w:firstLineChars="200"/>
              <w:rPr>
                <w:rFonts w:hint="eastAsia"/>
                <w:sz w:val="24"/>
              </w:rPr>
            </w:pPr>
          </w:p>
          <w:p>
            <w:pPr>
              <w:spacing w:line="360" w:lineRule="auto"/>
              <w:ind w:firstLine="480" w:firstLineChars="200"/>
              <w:rPr>
                <w:sz w:val="24"/>
              </w:rPr>
            </w:pPr>
            <w:r>
              <w:rPr>
                <w:rFonts w:hint="eastAsia"/>
                <w:sz w:val="24"/>
              </w:rPr>
              <w:t>本项目施工期废水经污水处理厂处理达标后排入地表水体，对纳污水体的水环境质量影响较小。因此，本项目施工期的水环境影响是可以接受的。</w:t>
            </w:r>
          </w:p>
          <w:p>
            <w:pPr>
              <w:widowControl/>
              <w:spacing w:line="360" w:lineRule="auto"/>
              <w:ind w:firstLine="482" w:firstLineChars="200"/>
              <w:jc w:val="left"/>
              <w:textAlignment w:val="auto"/>
              <w:rPr>
                <w:b/>
                <w:sz w:val="24"/>
              </w:rPr>
            </w:pPr>
            <w:r>
              <w:rPr>
                <w:b/>
                <w:sz w:val="24"/>
              </w:rPr>
              <w:t>（</w:t>
            </w:r>
            <w:r>
              <w:rPr>
                <w:rFonts w:hint="eastAsia"/>
                <w:b/>
                <w:sz w:val="24"/>
              </w:rPr>
              <w:t>二</w:t>
            </w:r>
            <w:r>
              <w:rPr>
                <w:b/>
                <w:sz w:val="24"/>
              </w:rPr>
              <w:t>）大气环境影响分析</w:t>
            </w:r>
          </w:p>
          <w:p>
            <w:pPr>
              <w:spacing w:line="360" w:lineRule="auto"/>
              <w:ind w:firstLine="480" w:firstLineChars="200"/>
              <w:rPr>
                <w:sz w:val="24"/>
                <w:u w:val="none"/>
              </w:rPr>
            </w:pPr>
            <w:r>
              <w:rPr>
                <w:rFonts w:hint="eastAsia"/>
                <w:sz w:val="24"/>
              </w:rPr>
              <w:t>本项目施工期大气污染物主要包</w:t>
            </w:r>
            <w:r>
              <w:rPr>
                <w:rFonts w:hint="eastAsia"/>
                <w:sz w:val="24"/>
                <w:u w:val="none"/>
              </w:rPr>
              <w:t>括基装修产生的有机废气</w:t>
            </w:r>
            <w:r>
              <w:rPr>
                <w:rFonts w:hint="eastAsia"/>
                <w:sz w:val="24"/>
                <w:u w:val="none"/>
                <w:lang w:eastAsia="zh-CN"/>
              </w:rPr>
              <w:t>、</w:t>
            </w:r>
            <w:r>
              <w:rPr>
                <w:rFonts w:hint="eastAsia"/>
                <w:sz w:val="24"/>
                <w:u w:val="none"/>
                <w:lang w:val="en-US" w:eastAsia="zh-CN"/>
              </w:rPr>
              <w:t>施工扬尘、运输扬尘</w:t>
            </w:r>
            <w:r>
              <w:rPr>
                <w:rFonts w:hint="eastAsia"/>
                <w:sz w:val="24"/>
                <w:u w:val="none"/>
              </w:rPr>
              <w:t>。</w:t>
            </w:r>
          </w:p>
          <w:p>
            <w:pPr>
              <w:spacing w:line="360" w:lineRule="auto"/>
              <w:ind w:firstLine="480" w:firstLineChars="200"/>
              <w:rPr>
                <w:sz w:val="24"/>
              </w:rPr>
            </w:pPr>
            <w:r>
              <w:rPr>
                <w:rFonts w:hint="eastAsia"/>
                <w:sz w:val="24"/>
              </w:rPr>
              <w:t>（1）装修过程废气</w:t>
            </w:r>
          </w:p>
          <w:p>
            <w:pPr>
              <w:spacing w:line="360" w:lineRule="auto"/>
              <w:ind w:firstLine="480" w:firstLineChars="200"/>
              <w:rPr>
                <w:rFonts w:hint="eastAsia"/>
                <w:sz w:val="24"/>
              </w:rPr>
            </w:pPr>
            <w:r>
              <w:rPr>
                <w:rFonts w:hint="eastAsia"/>
                <w:sz w:val="24"/>
              </w:rPr>
              <w:t>项目装修阶段向周围环境空气排放的废气主要为油漆废气，包括甲苯、二甲苯、甲醛等有毒有害物质，如不采取必要的室内空气污染物控制措施，使其达到室内空气环境的相关标准，必将对人体健康造成极大的危害。长期生活在这样的室内环境中，会因污染物的不断累积而诱发各种疾病，危害人体健康。因此，在选择装修材料和涂料的时候应选用对环境污染小、有益于人体健康的建筑材料产品，室内装修材料应采用符合国家现行有关标准规定的环保型装修材料，其中各项指标均应符合《室内装饰装修材料内墙涂料中有害物质限量》（</w:t>
            </w:r>
            <w:r>
              <w:rPr>
                <w:sz w:val="24"/>
              </w:rPr>
              <w:t>GB18582-2001</w:t>
            </w:r>
            <w:r>
              <w:rPr>
                <w:rFonts w:hint="eastAsia"/>
                <w:sz w:val="24"/>
              </w:rPr>
              <w:t>）、《民用建筑工程室内环境污染控制规范》（</w:t>
            </w:r>
            <w:r>
              <w:rPr>
                <w:sz w:val="24"/>
              </w:rPr>
              <w:t>GB50325-2010</w:t>
            </w:r>
            <w:r>
              <w:rPr>
                <w:rFonts w:hint="eastAsia"/>
                <w:sz w:val="24"/>
              </w:rPr>
              <w:t>）要求。应防止装修材料中有毒、有害气体的挥发导致室内空气污染，危害人体健康。采用符合标准的建筑材料，保证建材、有机溶剂和辅助添加剂无毒无害，做到健康设计原则，装修完成后应保持室内通风一段时间，确保室内空气质量满足《室内空气质量标准》（</w:t>
            </w:r>
            <w:r>
              <w:rPr>
                <w:sz w:val="24"/>
              </w:rPr>
              <w:t>GB/T18883-2002</w:t>
            </w:r>
            <w:r>
              <w:rPr>
                <w:rFonts w:hint="eastAsia"/>
                <w:sz w:val="24"/>
              </w:rPr>
              <w:t>）后方可投入使用；采取上述措施后，基本不会对环境产生较大的影响。</w:t>
            </w:r>
          </w:p>
          <w:p>
            <w:pPr>
              <w:numPr>
                <w:ilvl w:val="0"/>
                <w:numId w:val="0"/>
              </w:numPr>
              <w:spacing w:line="360" w:lineRule="auto"/>
              <w:ind w:firstLine="480" w:firstLineChars="200"/>
              <w:rPr>
                <w:rFonts w:hint="eastAsia"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（2）施工扬尘</w:t>
            </w:r>
          </w:p>
          <w:p>
            <w:pPr>
              <w:spacing w:line="360" w:lineRule="auto"/>
              <w:ind w:firstLine="480" w:firstLineChars="200"/>
              <w:rPr>
                <w:rFonts w:hint="default" w:eastAsia="宋体"/>
                <w:sz w:val="24"/>
                <w:u w:val="none"/>
                <w:lang w:val="en-US" w:eastAsia="zh-CN"/>
              </w:rPr>
            </w:pPr>
            <w:r>
              <w:rPr>
                <w:rFonts w:hint="eastAsia" w:ascii="Times New Roman" w:hAnsi="Times New Roman" w:eastAsia="宋体" w:cs="Times New Roman"/>
                <w:sz w:val="24"/>
                <w:u w:val="none"/>
                <w:lang w:val="en-US" w:eastAsia="zh-CN"/>
              </w:rPr>
              <w:t>施工单位应严格按照湘阴县人民政府印发的《湘阴县蓝天保卫战2022年度 实施方案》（湘阴蓝天办函[2022]2号）等有关施工扬尘防治规定要求，施工时应采取建材室内暂存堆放，堆放点相对集中、放置规范，并采取一定的遮盖、洒水除尘等防尘措施，抑制扬尘量。</w:t>
            </w:r>
            <w:r>
              <w:rPr>
                <w:rFonts w:hint="eastAsia"/>
                <w:sz w:val="24"/>
                <w:u w:val="none"/>
              </w:rPr>
              <w:t>基本不会对环境产生较大的影响。</w:t>
            </w:r>
            <w:r>
              <w:rPr>
                <w:rFonts w:hint="eastAsia"/>
                <w:sz w:val="24"/>
                <w:u w:val="none"/>
                <w:lang w:val="en-US" w:eastAsia="zh-CN"/>
              </w:rPr>
              <w:t>具体措施如下：</w:t>
            </w:r>
          </w:p>
          <w:p>
            <w:pPr>
              <w:spacing w:line="360" w:lineRule="auto"/>
              <w:ind w:firstLine="480" w:firstLineChars="200"/>
              <w:rPr>
                <w:sz w:val="24"/>
                <w:u w:val="single"/>
              </w:rPr>
            </w:pPr>
            <w:r>
              <w:rPr>
                <w:sz w:val="24"/>
                <w:u w:val="single"/>
              </w:rPr>
              <w:t>a.施工工地周围应当设置施工围挡；</w:t>
            </w:r>
          </w:p>
          <w:p>
            <w:pPr>
              <w:spacing w:line="360" w:lineRule="auto"/>
              <w:ind w:firstLine="480" w:firstLineChars="200"/>
              <w:rPr>
                <w:sz w:val="24"/>
                <w:u w:val="single"/>
              </w:rPr>
            </w:pPr>
            <w:r>
              <w:rPr>
                <w:sz w:val="24"/>
                <w:u w:val="single"/>
              </w:rPr>
              <w:t>b.施工工地地面、车行道路应当进行硬化等降尘处理；易产生扬尘的土方工程等施工时，应当采取洒水等抑尘措施；</w:t>
            </w:r>
          </w:p>
          <w:p>
            <w:pPr>
              <w:spacing w:line="360" w:lineRule="auto"/>
              <w:ind w:firstLine="480" w:firstLineChars="200"/>
              <w:rPr>
                <w:sz w:val="24"/>
                <w:u w:val="single"/>
              </w:rPr>
            </w:pPr>
            <w:r>
              <w:rPr>
                <w:sz w:val="24"/>
                <w:u w:val="single"/>
              </w:rPr>
              <w:t>c.建筑垃圾、工程渣土等在48小时内未能清运的，应当在施工工地内设置临时堆放场并采取围挡、遮盖等防尘措施；</w:t>
            </w:r>
          </w:p>
          <w:p>
            <w:pPr>
              <w:spacing w:line="360" w:lineRule="auto"/>
              <w:ind w:firstLine="480" w:firstLineChars="200"/>
              <w:rPr>
                <w:sz w:val="24"/>
                <w:u w:val="single"/>
              </w:rPr>
            </w:pPr>
            <w:r>
              <w:rPr>
                <w:sz w:val="24"/>
                <w:u w:val="single"/>
              </w:rPr>
              <w:t>d.运输车辆在除泥、冲洗干净后方可驶出作业场所；</w:t>
            </w:r>
          </w:p>
          <w:p>
            <w:pPr>
              <w:spacing w:line="360" w:lineRule="auto"/>
              <w:ind w:firstLine="480" w:firstLineChars="200"/>
              <w:rPr>
                <w:sz w:val="24"/>
                <w:u w:val="single"/>
              </w:rPr>
            </w:pPr>
            <w:r>
              <w:rPr>
                <w:sz w:val="24"/>
                <w:u w:val="single"/>
              </w:rPr>
              <w:t>e.严控建筑施工及建筑材料运输环节扬尘污染，施工场地实施平面覆盖、道路硬化，拆迁工程采用湿式作业方式，运输车辆进行清洗和覆盖。车辆运行路线应尽量避开居民集中点，在不可避免的情况下，应控制车速在15km/h 以下，减少对周边环境的扬尘污染。</w:t>
            </w:r>
          </w:p>
          <w:p>
            <w:pPr>
              <w:spacing w:line="360" w:lineRule="auto"/>
              <w:ind w:firstLine="480" w:firstLineChars="200"/>
              <w:rPr>
                <w:sz w:val="24"/>
                <w:u w:val="single"/>
              </w:rPr>
            </w:pPr>
            <w:r>
              <w:rPr>
                <w:sz w:val="24"/>
                <w:u w:val="single"/>
              </w:rPr>
              <w:t>f.对工程材料、砂石、土方等易产生扬尘的物料应当密闭处理。在工地内堆放，应当采取覆盖防尘网或者防尘布，定期采取喷洒颗粒物抑制剂、洒水等措施；</w:t>
            </w:r>
          </w:p>
          <w:p>
            <w:pPr>
              <w:spacing w:line="360" w:lineRule="auto"/>
              <w:ind w:firstLine="480" w:firstLineChars="200"/>
              <w:rPr>
                <w:sz w:val="24"/>
                <w:u w:val="single"/>
              </w:rPr>
            </w:pPr>
            <w:r>
              <w:rPr>
                <w:sz w:val="24"/>
                <w:u w:val="single"/>
              </w:rPr>
              <w:t>g.在建筑物、构筑物上运送散装物料、建筑垃圾和渣土的，应当采用密闭方式清运，禁止高空抛掷、扬撒。</w:t>
            </w:r>
          </w:p>
          <w:p>
            <w:pPr>
              <w:spacing w:line="360" w:lineRule="auto"/>
              <w:ind w:firstLine="480" w:firstLineChars="200"/>
              <w:rPr>
                <w:sz w:val="24"/>
                <w:u w:val="single"/>
              </w:rPr>
            </w:pPr>
            <w:r>
              <w:rPr>
                <w:sz w:val="24"/>
                <w:u w:val="single"/>
              </w:rPr>
              <w:t>综上所述，施工期间，应在工地建筑结构脚手架外侧设置有效抑尘的防尘网或防尘布。上述措施主要是设置围挡和洒水。围挡直接阻挡扬尘飞扬的作用；洒水可降低施工扬尘的起尘量。这些防尘措施均是常用的，也是有效的。根据资料分析，洒水对控制施工扬尘很有效，特别是对施工近场（20m以内）降尘效果达60%以上，同时扬尘的影响范围也减少70%左右，综上所述，本项目产生的扬尘对周边环境的影响是可以接受的。</w:t>
            </w:r>
          </w:p>
          <w:p>
            <w:pPr>
              <w:spacing w:line="360" w:lineRule="auto"/>
              <w:ind w:firstLine="480" w:firstLineChars="200"/>
              <w:rPr>
                <w:rFonts w:hint="default"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（3）运输扬尘</w:t>
            </w:r>
          </w:p>
          <w:p>
            <w:pPr>
              <w:spacing w:line="360" w:lineRule="auto"/>
              <w:ind w:firstLine="480" w:firstLineChars="200"/>
              <w:rPr>
                <w:sz w:val="24"/>
                <w:u w:val="single"/>
              </w:rPr>
            </w:pPr>
            <w:r>
              <w:rPr>
                <w:sz w:val="24"/>
                <w:u w:val="single"/>
              </w:rPr>
              <w:t>该项目可以控制的运输道路为施工进场道路，评价要求建设单位施工时要对路面经常清扫和洒水，保持路面清洁和相对湿度，当路面出现损坏及时修复，以减轻该路段的运输二次扬尘影响。对于厂区外的运输道路，建设单位应严格控制汽车运输扬尘，主要是控制沿途超载抛洒及道路车辆行驶引起的二次扬尘，对物料运输提出如下要求：</w:t>
            </w:r>
          </w:p>
          <w:p>
            <w:pPr>
              <w:spacing w:line="360" w:lineRule="auto"/>
              <w:ind w:firstLine="480" w:firstLineChars="200"/>
              <w:rPr>
                <w:sz w:val="24"/>
                <w:u w:val="single"/>
              </w:rPr>
            </w:pPr>
            <w:r>
              <w:rPr>
                <w:rFonts w:hint="eastAsia" w:ascii="宋体" w:hAnsi="宋体" w:cs="宋体"/>
                <w:sz w:val="24"/>
                <w:u w:val="single"/>
              </w:rPr>
              <w:t>①</w:t>
            </w:r>
            <w:r>
              <w:rPr>
                <w:sz w:val="24"/>
                <w:u w:val="single"/>
              </w:rPr>
              <w:t>限制汽车超载，运输车辆加盖篷布，尽量采用箱车运输，防止砂石料撒落；</w:t>
            </w:r>
          </w:p>
          <w:p>
            <w:pPr>
              <w:spacing w:line="360" w:lineRule="auto"/>
              <w:ind w:firstLine="480" w:firstLineChars="200"/>
              <w:rPr>
                <w:sz w:val="24"/>
                <w:u w:val="single"/>
              </w:rPr>
            </w:pPr>
            <w:r>
              <w:rPr>
                <w:rFonts w:hint="eastAsia" w:ascii="宋体" w:hAnsi="宋体" w:cs="宋体"/>
                <w:sz w:val="24"/>
                <w:u w:val="single"/>
              </w:rPr>
              <w:t>②</w:t>
            </w:r>
            <w:r>
              <w:rPr>
                <w:sz w:val="24"/>
                <w:u w:val="single"/>
              </w:rPr>
              <w:t>场地出口处设置车辆冲洗装置，运输汽车出场前对轮胎、车体进行清洗，运输车辆冲洗干净后，方可驶离，并及时清扫路面。</w:t>
            </w:r>
          </w:p>
          <w:p>
            <w:pPr>
              <w:widowControl/>
              <w:spacing w:line="360" w:lineRule="auto"/>
              <w:ind w:firstLine="482" w:firstLineChars="200"/>
              <w:jc w:val="left"/>
              <w:textAlignment w:val="auto"/>
              <w:rPr>
                <w:b/>
                <w:sz w:val="24"/>
              </w:rPr>
            </w:pPr>
            <w:r>
              <w:rPr>
                <w:b/>
                <w:sz w:val="24"/>
              </w:rPr>
              <w:t>（</w:t>
            </w:r>
            <w:r>
              <w:rPr>
                <w:rFonts w:hint="eastAsia"/>
                <w:b/>
                <w:sz w:val="24"/>
              </w:rPr>
              <w:t>三</w:t>
            </w:r>
            <w:r>
              <w:rPr>
                <w:b/>
                <w:sz w:val="24"/>
              </w:rPr>
              <w:t>）声环境影响分析</w:t>
            </w:r>
          </w:p>
          <w:p>
            <w:pPr>
              <w:spacing w:line="360" w:lineRule="auto"/>
              <w:ind w:firstLine="480" w:firstLineChars="200"/>
              <w:rPr>
                <w:sz w:val="24"/>
              </w:rPr>
            </w:pPr>
            <w:r>
              <w:rPr>
                <w:rFonts w:hint="eastAsia"/>
                <w:sz w:val="24"/>
              </w:rPr>
              <w:t>施工期间的噪声主要来自施工机械和运输车辆的噪声，施工期噪声具有阶段性、临时性和不固定性的特征。施工期噪声的影响随着工程不同施工阶段，以及使用不同的施工机械而有所不同。施工期间最大噪声主要</w:t>
            </w:r>
            <w:r>
              <w:rPr>
                <w:rFonts w:hint="eastAsia"/>
                <w:sz w:val="24"/>
                <w:u w:val="none"/>
              </w:rPr>
              <w:t>来源于</w:t>
            </w:r>
            <w:r>
              <w:rPr>
                <w:rFonts w:hint="eastAsia" w:ascii="Times New Roman" w:hAnsi="Times New Roman" w:eastAsia="宋体" w:cs="Times New Roman"/>
                <w:sz w:val="24"/>
                <w:u w:val="none"/>
                <w:lang w:val="en-US" w:eastAsia="zh-CN"/>
              </w:rPr>
              <w:t>土建过程中的</w:t>
            </w:r>
            <w:r>
              <w:rPr>
                <w:rFonts w:hint="eastAsia" w:ascii="Times New Roman" w:hAnsi="Times New Roman" w:eastAsia="宋体" w:cs="Times New Roman"/>
                <w:sz w:val="24"/>
                <w:szCs w:val="24"/>
                <w:u w:val="none"/>
                <w:lang w:val="en-US" w:eastAsia="zh-CN"/>
              </w:rPr>
              <w:t>挖掘机、打桩机、运输车辆和</w:t>
            </w:r>
            <w:r>
              <w:rPr>
                <w:rFonts w:hint="eastAsia"/>
                <w:sz w:val="24"/>
              </w:rPr>
              <w:t>装修阶段的电钻、电锯、电焊机等。</w:t>
            </w:r>
          </w:p>
          <w:p>
            <w:pPr>
              <w:adjustRightInd/>
              <w:snapToGrid/>
              <w:spacing w:line="240" w:lineRule="auto"/>
              <w:ind w:firstLine="422" w:firstLineChars="200"/>
              <w:jc w:val="center"/>
              <w:rPr>
                <w:b/>
                <w:szCs w:val="21"/>
              </w:rPr>
            </w:pPr>
            <w:r>
              <w:rPr>
                <w:b/>
                <w:szCs w:val="21"/>
              </w:rPr>
              <w:t>表</w:t>
            </w:r>
            <w:r>
              <w:rPr>
                <w:rFonts w:hint="eastAsia"/>
                <w:b/>
                <w:szCs w:val="21"/>
              </w:rPr>
              <w:t xml:space="preserve">4-2 </w:t>
            </w:r>
            <w:r>
              <w:rPr>
                <w:b/>
                <w:szCs w:val="21"/>
              </w:rPr>
              <w:t>施工期机械各设备的噪声源强</w:t>
            </w:r>
          </w:p>
          <w:tbl>
            <w:tblPr>
              <w:tblStyle w:val="25"/>
              <w:tblW w:w="814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42"/>
              <w:gridCol w:w="1617"/>
              <w:gridCol w:w="2471"/>
              <w:gridCol w:w="22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842" w:type="dxa"/>
                  <w:noWrap w:val="0"/>
                  <w:vAlign w:val="center"/>
                </w:tcPr>
                <w:p>
                  <w:pPr>
                    <w:adjustRightInd/>
                    <w:snapToGrid/>
                    <w:spacing w:line="240" w:lineRule="auto"/>
                    <w:ind w:firstLine="0" w:firstLineChars="0"/>
                    <w:jc w:val="center"/>
                    <w:rPr>
                      <w:b/>
                      <w:bCs/>
                      <w:szCs w:val="21"/>
                    </w:rPr>
                  </w:pPr>
                  <w:r>
                    <w:rPr>
                      <w:b/>
                      <w:bCs/>
                      <w:szCs w:val="21"/>
                    </w:rPr>
                    <w:t>工程阶段</w:t>
                  </w:r>
                </w:p>
              </w:tc>
              <w:tc>
                <w:tcPr>
                  <w:tcW w:w="1617" w:type="dxa"/>
                  <w:noWrap w:val="0"/>
                  <w:vAlign w:val="center"/>
                </w:tcPr>
                <w:p>
                  <w:pPr>
                    <w:adjustRightInd/>
                    <w:snapToGrid/>
                    <w:spacing w:line="240" w:lineRule="auto"/>
                    <w:ind w:firstLine="422" w:firstLineChars="200"/>
                    <w:jc w:val="left"/>
                    <w:rPr>
                      <w:b/>
                      <w:bCs/>
                      <w:szCs w:val="21"/>
                    </w:rPr>
                  </w:pPr>
                  <w:r>
                    <w:rPr>
                      <w:b/>
                      <w:bCs/>
                      <w:szCs w:val="21"/>
                    </w:rPr>
                    <w:t>名称</w:t>
                  </w:r>
                </w:p>
              </w:tc>
              <w:tc>
                <w:tcPr>
                  <w:tcW w:w="2471" w:type="dxa"/>
                  <w:noWrap w:val="0"/>
                  <w:vAlign w:val="center"/>
                </w:tcPr>
                <w:p>
                  <w:pPr>
                    <w:adjustRightInd/>
                    <w:snapToGrid/>
                    <w:spacing w:line="240" w:lineRule="auto"/>
                    <w:ind w:firstLine="0" w:firstLineChars="0"/>
                    <w:jc w:val="center"/>
                    <w:rPr>
                      <w:b/>
                      <w:bCs/>
                      <w:szCs w:val="21"/>
                    </w:rPr>
                  </w:pPr>
                  <w:r>
                    <w:rPr>
                      <w:b/>
                      <w:bCs/>
                      <w:szCs w:val="21"/>
                    </w:rPr>
                    <w:t>单台设备噪声级dB(A)</w:t>
                  </w:r>
                </w:p>
              </w:tc>
              <w:tc>
                <w:tcPr>
                  <w:tcW w:w="2213" w:type="dxa"/>
                  <w:noWrap w:val="0"/>
                  <w:vAlign w:val="center"/>
                </w:tcPr>
                <w:p>
                  <w:pPr>
                    <w:adjustRightInd/>
                    <w:snapToGrid/>
                    <w:spacing w:line="240" w:lineRule="auto"/>
                    <w:ind w:firstLine="0" w:firstLineChars="0"/>
                    <w:jc w:val="center"/>
                    <w:rPr>
                      <w:b/>
                      <w:bCs/>
                      <w:szCs w:val="21"/>
                    </w:rPr>
                  </w:pPr>
                  <w:r>
                    <w:rPr>
                      <w:b/>
                      <w:bCs/>
                      <w:szCs w:val="21"/>
                    </w:rPr>
                    <w:t>离声源的距离(m)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842" w:type="dxa"/>
                  <w:vMerge w:val="restart"/>
                  <w:noWrap w:val="0"/>
                  <w:vAlign w:val="center"/>
                </w:tcPr>
                <w:p>
                  <w:pPr>
                    <w:adjustRightInd/>
                    <w:snapToGrid/>
                    <w:spacing w:line="240" w:lineRule="auto"/>
                    <w:ind w:firstLine="0" w:firstLineChars="0"/>
                    <w:jc w:val="center"/>
                    <w:rPr>
                      <w:rFonts w:hint="default" w:eastAsia="宋体"/>
                      <w:szCs w:val="21"/>
                      <w:u w:val="none"/>
                      <w:lang w:val="en-US" w:eastAsia="zh-CN"/>
                    </w:rPr>
                  </w:pPr>
                  <w:r>
                    <w:rPr>
                      <w:rFonts w:hint="eastAsia"/>
                      <w:szCs w:val="21"/>
                      <w:u w:val="none"/>
                      <w:lang w:val="en-US" w:eastAsia="zh-CN"/>
                    </w:rPr>
                    <w:t>土建过程</w:t>
                  </w:r>
                </w:p>
              </w:tc>
              <w:tc>
                <w:tcPr>
                  <w:tcW w:w="1617" w:type="dxa"/>
                  <w:noWrap w:val="0"/>
                  <w:vAlign w:val="center"/>
                </w:tcPr>
                <w:p>
                  <w:pPr>
                    <w:adjustRightInd/>
                    <w:snapToGrid/>
                    <w:spacing w:line="240" w:lineRule="auto"/>
                    <w:ind w:firstLine="420" w:firstLineChars="200"/>
                    <w:jc w:val="left"/>
                    <w:rPr>
                      <w:rFonts w:hint="eastAsia" w:eastAsia="宋体"/>
                      <w:szCs w:val="21"/>
                      <w:u w:val="none"/>
                      <w:lang w:val="en-US" w:eastAsia="zh-CN"/>
                    </w:rPr>
                  </w:pPr>
                  <w:r>
                    <w:rPr>
                      <w:rFonts w:hint="eastAsia"/>
                      <w:szCs w:val="21"/>
                      <w:u w:val="none"/>
                      <w:lang w:val="en-US" w:eastAsia="zh-CN"/>
                    </w:rPr>
                    <w:t>挖掘机</w:t>
                  </w:r>
                </w:p>
              </w:tc>
              <w:tc>
                <w:tcPr>
                  <w:tcW w:w="2471" w:type="dxa"/>
                  <w:noWrap w:val="0"/>
                  <w:vAlign w:val="center"/>
                </w:tcPr>
                <w:p>
                  <w:pPr>
                    <w:adjustRightInd/>
                    <w:snapToGrid/>
                    <w:spacing w:line="240" w:lineRule="auto"/>
                    <w:ind w:firstLine="0" w:firstLineChars="0"/>
                    <w:jc w:val="center"/>
                    <w:rPr>
                      <w:rFonts w:hint="default" w:eastAsia="宋体"/>
                      <w:szCs w:val="21"/>
                      <w:u w:val="none"/>
                      <w:lang w:val="en-US" w:eastAsia="zh-CN"/>
                    </w:rPr>
                  </w:pPr>
                  <w:r>
                    <w:rPr>
                      <w:rFonts w:hint="eastAsia"/>
                      <w:szCs w:val="21"/>
                      <w:u w:val="none"/>
                      <w:lang w:val="en-US" w:eastAsia="zh-CN"/>
                    </w:rPr>
                    <w:t>100</w:t>
                  </w:r>
                </w:p>
              </w:tc>
              <w:tc>
                <w:tcPr>
                  <w:tcW w:w="2213" w:type="dxa"/>
                  <w:noWrap w:val="0"/>
                  <w:vAlign w:val="center"/>
                </w:tcPr>
                <w:p>
                  <w:pPr>
                    <w:adjustRightInd/>
                    <w:snapToGrid/>
                    <w:spacing w:line="240" w:lineRule="auto"/>
                    <w:ind w:firstLine="0" w:firstLineChars="0"/>
                    <w:jc w:val="center"/>
                    <w:rPr>
                      <w:szCs w:val="21"/>
                      <w:u w:val="none"/>
                    </w:rPr>
                  </w:pPr>
                  <w:r>
                    <w:rPr>
                      <w:szCs w:val="21"/>
                      <w:u w:val="none"/>
                    </w:rPr>
                    <w:t>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842" w:type="dxa"/>
                  <w:vMerge w:val="continue"/>
                  <w:noWrap w:val="0"/>
                  <w:vAlign w:val="center"/>
                </w:tcPr>
                <w:p>
                  <w:pPr>
                    <w:adjustRightInd/>
                    <w:snapToGrid/>
                    <w:spacing w:line="240" w:lineRule="auto"/>
                    <w:ind w:firstLine="0" w:firstLineChars="0"/>
                    <w:jc w:val="center"/>
                    <w:rPr>
                      <w:szCs w:val="21"/>
                      <w:u w:val="none"/>
                    </w:rPr>
                  </w:pPr>
                </w:p>
              </w:tc>
              <w:tc>
                <w:tcPr>
                  <w:tcW w:w="1617" w:type="dxa"/>
                  <w:noWrap w:val="0"/>
                  <w:vAlign w:val="center"/>
                </w:tcPr>
                <w:p>
                  <w:pPr>
                    <w:adjustRightInd/>
                    <w:snapToGrid/>
                    <w:spacing w:line="240" w:lineRule="auto"/>
                    <w:ind w:firstLine="420" w:firstLineChars="200"/>
                    <w:jc w:val="left"/>
                    <w:rPr>
                      <w:rFonts w:hint="eastAsia" w:eastAsia="宋体"/>
                      <w:szCs w:val="21"/>
                      <w:u w:val="none"/>
                      <w:lang w:val="en-US" w:eastAsia="zh-CN"/>
                    </w:rPr>
                  </w:pPr>
                  <w:r>
                    <w:rPr>
                      <w:rFonts w:hint="eastAsia"/>
                      <w:szCs w:val="21"/>
                      <w:u w:val="none"/>
                      <w:lang w:val="en-US" w:eastAsia="zh-CN"/>
                    </w:rPr>
                    <w:t>打桩机</w:t>
                  </w:r>
                </w:p>
              </w:tc>
              <w:tc>
                <w:tcPr>
                  <w:tcW w:w="2471" w:type="dxa"/>
                  <w:noWrap w:val="0"/>
                  <w:vAlign w:val="center"/>
                </w:tcPr>
                <w:p>
                  <w:pPr>
                    <w:adjustRightInd/>
                    <w:snapToGrid/>
                    <w:spacing w:line="240" w:lineRule="auto"/>
                    <w:ind w:firstLine="0" w:firstLineChars="0"/>
                    <w:jc w:val="center"/>
                    <w:rPr>
                      <w:rFonts w:hint="default" w:eastAsia="宋体"/>
                      <w:szCs w:val="21"/>
                      <w:u w:val="none"/>
                      <w:lang w:val="en-US" w:eastAsia="zh-CN"/>
                    </w:rPr>
                  </w:pPr>
                  <w:r>
                    <w:rPr>
                      <w:rFonts w:hint="eastAsia"/>
                      <w:szCs w:val="21"/>
                      <w:u w:val="none"/>
                      <w:lang w:val="en-US" w:eastAsia="zh-CN"/>
                    </w:rPr>
                    <w:t>110</w:t>
                  </w:r>
                </w:p>
              </w:tc>
              <w:tc>
                <w:tcPr>
                  <w:tcW w:w="2213" w:type="dxa"/>
                  <w:noWrap w:val="0"/>
                  <w:vAlign w:val="center"/>
                </w:tcPr>
                <w:p>
                  <w:pPr>
                    <w:adjustRightInd/>
                    <w:snapToGrid/>
                    <w:spacing w:line="240" w:lineRule="auto"/>
                    <w:ind w:firstLine="0" w:firstLineChars="0"/>
                    <w:jc w:val="center"/>
                    <w:rPr>
                      <w:szCs w:val="21"/>
                      <w:u w:val="none"/>
                    </w:rPr>
                  </w:pPr>
                  <w:r>
                    <w:rPr>
                      <w:szCs w:val="21"/>
                      <w:u w:val="none"/>
                    </w:rPr>
                    <w:t>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842" w:type="dxa"/>
                  <w:vMerge w:val="continue"/>
                  <w:noWrap w:val="0"/>
                  <w:vAlign w:val="center"/>
                </w:tcPr>
                <w:p>
                  <w:pPr>
                    <w:adjustRightInd/>
                    <w:snapToGrid/>
                    <w:spacing w:line="240" w:lineRule="auto"/>
                    <w:ind w:firstLine="0" w:firstLineChars="0"/>
                    <w:jc w:val="center"/>
                    <w:rPr>
                      <w:szCs w:val="21"/>
                      <w:u w:val="none"/>
                    </w:rPr>
                  </w:pPr>
                </w:p>
              </w:tc>
              <w:tc>
                <w:tcPr>
                  <w:tcW w:w="1617" w:type="dxa"/>
                  <w:noWrap w:val="0"/>
                  <w:vAlign w:val="center"/>
                </w:tcPr>
                <w:p>
                  <w:pPr>
                    <w:adjustRightInd/>
                    <w:snapToGrid/>
                    <w:spacing w:line="240" w:lineRule="auto"/>
                    <w:ind w:firstLine="0" w:firstLineChars="0"/>
                    <w:jc w:val="center"/>
                    <w:rPr>
                      <w:szCs w:val="21"/>
                      <w:u w:val="none"/>
                    </w:rPr>
                  </w:pPr>
                  <w:r>
                    <w:rPr>
                      <w:rFonts w:hint="eastAsia" w:ascii="Times New Roman" w:hAnsi="Times New Roman" w:eastAsia="宋体" w:cs="Times New Roman"/>
                      <w:sz w:val="21"/>
                      <w:szCs w:val="21"/>
                      <w:u w:val="none"/>
                      <w:lang w:val="en-US" w:eastAsia="zh-CN"/>
                    </w:rPr>
                    <w:t>运输车辆</w:t>
                  </w:r>
                </w:p>
              </w:tc>
              <w:tc>
                <w:tcPr>
                  <w:tcW w:w="2471" w:type="dxa"/>
                  <w:noWrap w:val="0"/>
                  <w:vAlign w:val="center"/>
                </w:tcPr>
                <w:p>
                  <w:pPr>
                    <w:adjustRightInd/>
                    <w:snapToGrid/>
                    <w:spacing w:line="240" w:lineRule="auto"/>
                    <w:ind w:firstLine="0" w:firstLineChars="0"/>
                    <w:jc w:val="center"/>
                    <w:rPr>
                      <w:rFonts w:hint="default" w:eastAsia="宋体"/>
                      <w:szCs w:val="21"/>
                      <w:u w:val="none"/>
                      <w:lang w:val="en-US" w:eastAsia="zh-CN"/>
                    </w:rPr>
                  </w:pPr>
                  <w:r>
                    <w:rPr>
                      <w:rFonts w:hint="eastAsia"/>
                      <w:szCs w:val="21"/>
                      <w:u w:val="none"/>
                      <w:lang w:val="en-US" w:eastAsia="zh-CN"/>
                    </w:rPr>
                    <w:t>100</w:t>
                  </w:r>
                </w:p>
              </w:tc>
              <w:tc>
                <w:tcPr>
                  <w:tcW w:w="2213" w:type="dxa"/>
                  <w:noWrap w:val="0"/>
                  <w:vAlign w:val="center"/>
                </w:tcPr>
                <w:p>
                  <w:pPr>
                    <w:adjustRightInd/>
                    <w:snapToGrid/>
                    <w:spacing w:line="240" w:lineRule="auto"/>
                    <w:ind w:firstLine="0" w:firstLineChars="0"/>
                    <w:jc w:val="center"/>
                    <w:rPr>
                      <w:szCs w:val="21"/>
                      <w:u w:val="none"/>
                    </w:rPr>
                  </w:pPr>
                  <w:r>
                    <w:rPr>
                      <w:szCs w:val="21"/>
                      <w:u w:val="none"/>
                    </w:rPr>
                    <w:t>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842" w:type="dxa"/>
                  <w:vMerge w:val="restart"/>
                  <w:noWrap w:val="0"/>
                  <w:vAlign w:val="center"/>
                </w:tcPr>
                <w:p>
                  <w:pPr>
                    <w:adjustRightInd/>
                    <w:snapToGrid/>
                    <w:spacing w:line="240" w:lineRule="auto"/>
                    <w:ind w:firstLine="0" w:firstLineChars="0"/>
                    <w:jc w:val="center"/>
                    <w:rPr>
                      <w:szCs w:val="21"/>
                    </w:rPr>
                  </w:pPr>
                  <w:r>
                    <w:rPr>
                      <w:szCs w:val="21"/>
                    </w:rPr>
                    <w:t>装修工程</w:t>
                  </w:r>
                </w:p>
              </w:tc>
              <w:tc>
                <w:tcPr>
                  <w:tcW w:w="1617" w:type="dxa"/>
                  <w:noWrap w:val="0"/>
                  <w:vAlign w:val="center"/>
                </w:tcPr>
                <w:p>
                  <w:pPr>
                    <w:adjustRightInd/>
                    <w:snapToGrid/>
                    <w:spacing w:line="240" w:lineRule="auto"/>
                    <w:ind w:firstLine="420" w:firstLineChars="200"/>
                    <w:jc w:val="left"/>
                    <w:rPr>
                      <w:szCs w:val="21"/>
                    </w:rPr>
                  </w:pPr>
                  <w:r>
                    <w:rPr>
                      <w:szCs w:val="21"/>
                    </w:rPr>
                    <w:t>电锯</w:t>
                  </w:r>
                </w:p>
              </w:tc>
              <w:tc>
                <w:tcPr>
                  <w:tcW w:w="2471" w:type="dxa"/>
                  <w:noWrap w:val="0"/>
                  <w:vAlign w:val="center"/>
                </w:tcPr>
                <w:p>
                  <w:pPr>
                    <w:adjustRightInd/>
                    <w:snapToGrid/>
                    <w:spacing w:line="240" w:lineRule="auto"/>
                    <w:ind w:firstLine="0" w:firstLineChars="0"/>
                    <w:jc w:val="center"/>
                    <w:rPr>
                      <w:szCs w:val="21"/>
                    </w:rPr>
                  </w:pPr>
                  <w:r>
                    <w:rPr>
                      <w:szCs w:val="21"/>
                    </w:rPr>
                    <w:t>95</w:t>
                  </w:r>
                </w:p>
              </w:tc>
              <w:tc>
                <w:tcPr>
                  <w:tcW w:w="2213" w:type="dxa"/>
                  <w:noWrap w:val="0"/>
                  <w:vAlign w:val="center"/>
                </w:tcPr>
                <w:p>
                  <w:pPr>
                    <w:adjustRightInd/>
                    <w:snapToGrid/>
                    <w:spacing w:line="240" w:lineRule="auto"/>
                    <w:ind w:firstLine="0" w:firstLineChars="0"/>
                    <w:jc w:val="center"/>
                    <w:rPr>
                      <w:szCs w:val="21"/>
                    </w:rPr>
                  </w:pPr>
                  <w:r>
                    <w:rPr>
                      <w:szCs w:val="21"/>
                    </w:rPr>
                    <w:t>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842" w:type="dxa"/>
                  <w:vMerge w:val="continue"/>
                  <w:noWrap w:val="0"/>
                  <w:vAlign w:val="center"/>
                </w:tcPr>
                <w:p>
                  <w:pPr>
                    <w:adjustRightInd/>
                    <w:snapToGrid/>
                    <w:spacing w:line="240" w:lineRule="auto"/>
                    <w:ind w:firstLine="420" w:firstLineChars="200"/>
                    <w:jc w:val="left"/>
                    <w:rPr>
                      <w:szCs w:val="21"/>
                    </w:rPr>
                  </w:pPr>
                </w:p>
              </w:tc>
              <w:tc>
                <w:tcPr>
                  <w:tcW w:w="1617" w:type="dxa"/>
                  <w:noWrap w:val="0"/>
                  <w:vAlign w:val="center"/>
                </w:tcPr>
                <w:p>
                  <w:pPr>
                    <w:adjustRightInd/>
                    <w:snapToGrid/>
                    <w:spacing w:line="240" w:lineRule="auto"/>
                    <w:ind w:firstLine="420" w:firstLineChars="200"/>
                    <w:jc w:val="left"/>
                    <w:rPr>
                      <w:szCs w:val="21"/>
                    </w:rPr>
                  </w:pPr>
                  <w:r>
                    <w:rPr>
                      <w:szCs w:val="21"/>
                    </w:rPr>
                    <w:t>电钻</w:t>
                  </w:r>
                </w:p>
              </w:tc>
              <w:tc>
                <w:tcPr>
                  <w:tcW w:w="2471" w:type="dxa"/>
                  <w:noWrap w:val="0"/>
                  <w:vAlign w:val="center"/>
                </w:tcPr>
                <w:p>
                  <w:pPr>
                    <w:adjustRightInd/>
                    <w:snapToGrid/>
                    <w:spacing w:line="240" w:lineRule="auto"/>
                    <w:ind w:firstLine="0" w:firstLineChars="0"/>
                    <w:jc w:val="center"/>
                    <w:rPr>
                      <w:szCs w:val="21"/>
                    </w:rPr>
                  </w:pPr>
                  <w:r>
                    <w:rPr>
                      <w:szCs w:val="21"/>
                    </w:rPr>
                    <w:t>90</w:t>
                  </w:r>
                </w:p>
              </w:tc>
              <w:tc>
                <w:tcPr>
                  <w:tcW w:w="2213" w:type="dxa"/>
                  <w:noWrap w:val="0"/>
                  <w:vAlign w:val="center"/>
                </w:tcPr>
                <w:p>
                  <w:pPr>
                    <w:adjustRightInd/>
                    <w:snapToGrid/>
                    <w:spacing w:line="240" w:lineRule="auto"/>
                    <w:ind w:firstLine="0" w:firstLineChars="0"/>
                    <w:jc w:val="center"/>
                    <w:rPr>
                      <w:szCs w:val="21"/>
                    </w:rPr>
                  </w:pPr>
                  <w:r>
                    <w:rPr>
                      <w:szCs w:val="21"/>
                    </w:rPr>
                    <w:t>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842" w:type="dxa"/>
                  <w:vMerge w:val="continue"/>
                  <w:noWrap w:val="0"/>
                  <w:vAlign w:val="center"/>
                </w:tcPr>
                <w:p>
                  <w:pPr>
                    <w:adjustRightInd/>
                    <w:snapToGrid/>
                    <w:spacing w:line="240" w:lineRule="auto"/>
                    <w:ind w:firstLine="420" w:firstLineChars="200"/>
                    <w:jc w:val="left"/>
                    <w:rPr>
                      <w:szCs w:val="21"/>
                    </w:rPr>
                  </w:pPr>
                </w:p>
              </w:tc>
              <w:tc>
                <w:tcPr>
                  <w:tcW w:w="1617" w:type="dxa"/>
                  <w:noWrap w:val="0"/>
                  <w:vAlign w:val="center"/>
                </w:tcPr>
                <w:p>
                  <w:pPr>
                    <w:adjustRightInd/>
                    <w:snapToGrid/>
                    <w:spacing w:line="240" w:lineRule="auto"/>
                    <w:ind w:firstLine="420" w:firstLineChars="200"/>
                    <w:jc w:val="left"/>
                    <w:rPr>
                      <w:szCs w:val="21"/>
                    </w:rPr>
                  </w:pPr>
                  <w:r>
                    <w:rPr>
                      <w:szCs w:val="21"/>
                    </w:rPr>
                    <w:t>电焊机</w:t>
                  </w:r>
                </w:p>
              </w:tc>
              <w:tc>
                <w:tcPr>
                  <w:tcW w:w="2471" w:type="dxa"/>
                  <w:noWrap w:val="0"/>
                  <w:vAlign w:val="center"/>
                </w:tcPr>
                <w:p>
                  <w:pPr>
                    <w:adjustRightInd/>
                    <w:snapToGrid/>
                    <w:spacing w:line="240" w:lineRule="auto"/>
                    <w:ind w:firstLine="0" w:firstLineChars="0"/>
                    <w:jc w:val="center"/>
                    <w:rPr>
                      <w:szCs w:val="21"/>
                    </w:rPr>
                  </w:pPr>
                  <w:r>
                    <w:rPr>
                      <w:szCs w:val="21"/>
                    </w:rPr>
                    <w:t>85</w:t>
                  </w:r>
                </w:p>
              </w:tc>
              <w:tc>
                <w:tcPr>
                  <w:tcW w:w="2213" w:type="dxa"/>
                  <w:noWrap w:val="0"/>
                  <w:vAlign w:val="center"/>
                </w:tcPr>
                <w:p>
                  <w:pPr>
                    <w:adjustRightInd/>
                    <w:snapToGrid/>
                    <w:spacing w:line="240" w:lineRule="auto"/>
                    <w:ind w:firstLine="0" w:firstLineChars="0"/>
                    <w:jc w:val="center"/>
                    <w:rPr>
                      <w:szCs w:val="21"/>
                    </w:rPr>
                  </w:pPr>
                  <w:r>
                    <w:rPr>
                      <w:szCs w:val="21"/>
                    </w:rPr>
                    <w:t>5m</w:t>
                  </w:r>
                </w:p>
              </w:tc>
            </w:tr>
          </w:tbl>
          <w:p>
            <w:pPr>
              <w:adjustRightInd w:val="0"/>
              <w:snapToGrid w:val="0"/>
              <w:spacing w:line="360" w:lineRule="auto"/>
              <w:ind w:firstLine="480" w:firstLineChars="200"/>
              <w:rPr>
                <w:rFonts w:hAnsi="宋体"/>
                <w:snapToGrid w:val="0"/>
                <w:kern w:val="0"/>
                <w:sz w:val="24"/>
              </w:rPr>
            </w:pPr>
            <w:r>
              <w:rPr>
                <w:rFonts w:hAnsi="宋体"/>
                <w:snapToGrid w:val="0"/>
                <w:kern w:val="0"/>
                <w:sz w:val="24"/>
              </w:rPr>
              <w:t>施工期噪声近似按照点声源计算，计算公式如下：</w:t>
            </w:r>
          </w:p>
          <w:p>
            <w:pPr>
              <w:adjustRightInd/>
              <w:snapToGrid/>
              <w:spacing w:line="360" w:lineRule="auto"/>
              <w:ind w:firstLine="480" w:firstLineChars="200"/>
              <w:jc w:val="left"/>
              <w:rPr>
                <w:sz w:val="24"/>
              </w:rPr>
            </w:pPr>
            <w:r>
              <w:rPr>
                <w:sz w:val="24"/>
              </w:rPr>
              <w:object>
                <v:shape id="_x0000_i1025" o:spt="75" type="#_x0000_t75" style="height:17.4pt;width:168pt;" o:ole="t" filled="f" o:preferrelative="t" stroked="f" coordsize="21600,21600">
                  <v:path/>
                  <v:fill on="f" focussize="0,0"/>
                  <v:stroke on="f"/>
                  <v:imagedata r:id="rId11" o:title=""/>
                  <o:lock v:ext="edit" aspectratio="t"/>
                  <w10:wrap type="none"/>
                  <w10:anchorlock/>
                </v:shape>
                <o:OLEObject Type="Embed" ProgID="Equation.3" ShapeID="_x0000_i1025" DrawAspect="Content" ObjectID="_1468075725" r:id="rId10">
                  <o:LockedField>false</o:LockedField>
                </o:OLEObject>
              </w:object>
            </w:r>
          </w:p>
          <w:p>
            <w:pPr>
              <w:adjustRightInd/>
              <w:snapToGrid/>
              <w:spacing w:line="360" w:lineRule="auto"/>
              <w:ind w:firstLine="480" w:firstLineChars="200"/>
              <w:rPr>
                <w:sz w:val="24"/>
              </w:rPr>
            </w:pPr>
            <w:r>
              <w:rPr>
                <w:sz w:val="24"/>
              </w:rPr>
              <w:t>式中：</w:t>
            </w:r>
            <w:r>
              <w:rPr>
                <w:sz w:val="24"/>
              </w:rPr>
              <w:object>
                <v:shape id="_x0000_i1026" o:spt="75" type="#_x0000_t75" style="height:15pt;width:21pt;" o:ole="t" filled="f" o:preferrelative="t" stroked="f" coordsize="21600,21600">
                  <v:path/>
                  <v:fill on="f" focussize="0,0"/>
                  <v:stroke on="f"/>
                  <v:imagedata r:id="rId13" o:title=""/>
                  <o:lock v:ext="edit" aspectratio="t"/>
                  <w10:wrap type="none"/>
                  <w10:anchorlock/>
                </v:shape>
                <o:OLEObject Type="Embed" ProgID="Equation.3" ShapeID="_x0000_i1026" DrawAspect="Content" ObjectID="_1468075726" r:id="rId12">
                  <o:LockedField>false</o:LockedField>
                </o:OLEObject>
              </w:object>
            </w:r>
            <w:r>
              <w:rPr>
                <w:sz w:val="24"/>
              </w:rPr>
              <w:t>—点声源在预测点（距离r）处的A声级，dB；</w:t>
            </w:r>
          </w:p>
          <w:p>
            <w:pPr>
              <w:adjustRightInd/>
              <w:snapToGrid/>
              <w:spacing w:line="360" w:lineRule="auto"/>
              <w:ind w:firstLine="480" w:firstLineChars="200"/>
              <w:rPr>
                <w:sz w:val="24"/>
              </w:rPr>
            </w:pPr>
            <w:r>
              <w:rPr>
                <w:sz w:val="24"/>
              </w:rPr>
              <w:object>
                <v:shape id="_x0000_i1027" o:spt="75" type="#_x0000_t75" style="height:13.8pt;width:17.4pt;" o:ole="t" filled="f" o:preferrelative="t" stroked="f" coordsize="21600,21600">
                  <v:path/>
                  <v:fill on="f" focussize="0,0"/>
                  <v:stroke on="f"/>
                  <v:imagedata r:id="rId15" o:title=""/>
                  <o:lock v:ext="edit" aspectratio="t"/>
                  <w10:wrap type="none"/>
                  <w10:anchorlock/>
                </v:shape>
                <o:OLEObject Type="Embed" ProgID="Equation.3" ShapeID="_x0000_i1027" DrawAspect="Content" ObjectID="_1468075727" r:id="rId14">
                  <o:LockedField>false</o:LockedField>
                </o:OLEObject>
              </w:object>
            </w:r>
            <w:r>
              <w:rPr>
                <w:sz w:val="24"/>
              </w:rPr>
              <w:t>—点声源在参考点（距离r0）处的A声级，dB；</w:t>
            </w:r>
          </w:p>
          <w:p>
            <w:pPr>
              <w:adjustRightInd/>
              <w:snapToGrid/>
              <w:spacing w:line="360" w:lineRule="auto"/>
              <w:ind w:firstLine="480" w:firstLineChars="200"/>
              <w:rPr>
                <w:sz w:val="24"/>
              </w:rPr>
            </w:pPr>
            <w:r>
              <w:rPr>
                <w:sz w:val="24"/>
              </w:rPr>
              <w:object>
                <v:shape id="_x0000_i1028" o:spt="75" type="#_x0000_t75" style="height:12pt;width:13.8pt;" o:ole="t" filled="f" o:preferrelative="t" stroked="f" coordsize="21600,21600">
                  <v:path/>
                  <v:fill on="f" focussize="0,0"/>
                  <v:stroke on="f"/>
                  <v:imagedata r:id="rId17" o:title=""/>
                  <o:lock v:ext="edit" aspectratio="t"/>
                  <w10:wrap type="none"/>
                  <w10:anchorlock/>
                </v:shape>
                <o:OLEObject Type="Embed" ProgID="Equation.3" ShapeID="_x0000_i1028" DrawAspect="Content" ObjectID="_1468075728" r:id="rId16">
                  <o:LockedField>false</o:LockedField>
                </o:OLEObject>
              </w:object>
            </w:r>
            <w:r>
              <w:rPr>
                <w:sz w:val="24"/>
              </w:rPr>
              <w:t>—修正声级，根据《环境影响评价技术导则声环境》（HJ2.4-2009）及《声学户外声传播；第2部分：一般计算方法》（HJ/T17247.2-1998）确定，包括空气吸收及地面反射和吸收的率减量，具体如下：</w:t>
            </w:r>
          </w:p>
          <w:p>
            <w:pPr>
              <w:snapToGrid/>
              <w:spacing w:line="360" w:lineRule="auto"/>
              <w:ind w:firstLine="480" w:firstLineChars="200"/>
              <w:jc w:val="left"/>
              <w:rPr>
                <w:kern w:val="0"/>
                <w:sz w:val="24"/>
              </w:rPr>
            </w:pPr>
            <w:r>
              <w:rPr>
                <w:kern w:val="0"/>
                <w:position w:val="-12"/>
                <w:sz w:val="24"/>
              </w:rPr>
              <w:object>
                <v:shape id="_x0000_i1029" o:spt="75" type="#_x0000_t75" style="height:16.2pt;width:154.2pt;" o:ole="t" filled="f" o:preferrelative="t" stroked="f" coordsize="21600,21600">
                  <v:path/>
                  <v:fill on="f" focussize="0,0"/>
                  <v:stroke on="f"/>
                  <v:imagedata r:id="rId19" o:title=""/>
                  <o:lock v:ext="edit" aspectratio="t"/>
                  <w10:wrap type="none"/>
                  <w10:anchorlock/>
                </v:shape>
                <o:OLEObject Type="Embed" ProgID="Equation.3" ShapeID="_x0000_i1029" DrawAspect="Content" ObjectID="_1468075729" r:id="rId18">
                  <o:LockedField>false</o:LockedField>
                </o:OLEObject>
              </w:object>
            </w:r>
          </w:p>
          <w:p>
            <w:pPr>
              <w:snapToGrid/>
              <w:spacing w:line="360" w:lineRule="auto"/>
              <w:ind w:firstLine="480" w:firstLineChars="200"/>
              <w:rPr>
                <w:kern w:val="0"/>
                <w:sz w:val="24"/>
              </w:rPr>
            </w:pPr>
            <w:r>
              <w:rPr>
                <w:kern w:val="0"/>
                <w:sz w:val="24"/>
              </w:rPr>
              <w:t>式中：α为每100m的空气吸收系数。</w:t>
            </w:r>
          </w:p>
          <w:p>
            <w:pPr>
              <w:adjustRightInd w:val="0"/>
              <w:snapToGrid w:val="0"/>
              <w:spacing w:line="360" w:lineRule="auto"/>
              <w:ind w:firstLine="480" w:firstLineChars="200"/>
              <w:rPr>
                <w:rFonts w:hAnsi="宋体"/>
                <w:snapToGrid w:val="0"/>
                <w:kern w:val="0"/>
                <w:sz w:val="24"/>
              </w:rPr>
            </w:pPr>
            <w:r>
              <w:rPr>
                <w:rFonts w:hAnsi="宋体"/>
                <w:snapToGrid w:val="0"/>
                <w:kern w:val="0"/>
                <w:sz w:val="24"/>
              </w:rPr>
              <w:t>根据上式计算的单台施工机械或车辆噪声随距离衰减情况，见表</w:t>
            </w:r>
            <w:r>
              <w:rPr>
                <w:rFonts w:hint="eastAsia" w:hAnsi="宋体"/>
                <w:snapToGrid w:val="0"/>
                <w:kern w:val="0"/>
                <w:sz w:val="24"/>
              </w:rPr>
              <w:t>4-3</w:t>
            </w:r>
            <w:r>
              <w:rPr>
                <w:rFonts w:hAnsi="宋体"/>
                <w:snapToGrid w:val="0"/>
                <w:kern w:val="0"/>
                <w:sz w:val="24"/>
              </w:rPr>
              <w:t>。</w:t>
            </w:r>
          </w:p>
          <w:p>
            <w:pPr>
              <w:topLinePunct/>
              <w:adjustRightInd w:val="0"/>
              <w:snapToGrid w:val="0"/>
              <w:ind w:firstLine="482"/>
              <w:jc w:val="center"/>
              <w:rPr>
                <w:kern w:val="0"/>
                <w:szCs w:val="21"/>
              </w:rPr>
            </w:pPr>
            <w:r>
              <w:rPr>
                <w:b/>
                <w:bCs/>
                <w:szCs w:val="21"/>
              </w:rPr>
              <w:t>表</w:t>
            </w:r>
            <w:r>
              <w:rPr>
                <w:rFonts w:hint="eastAsia"/>
                <w:b/>
                <w:bCs/>
                <w:szCs w:val="21"/>
              </w:rPr>
              <w:t xml:space="preserve">4-3 </w:t>
            </w:r>
            <w:r>
              <w:rPr>
                <w:b/>
                <w:bCs/>
                <w:szCs w:val="21"/>
              </w:rPr>
              <w:t>施工设备噪声随距离衰减预测结果</w:t>
            </w:r>
          </w:p>
          <w:tbl>
            <w:tblPr>
              <w:tblStyle w:val="25"/>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82"/>
              <w:gridCol w:w="623"/>
              <w:gridCol w:w="624"/>
              <w:gridCol w:w="624"/>
              <w:gridCol w:w="654"/>
              <w:gridCol w:w="687"/>
              <w:gridCol w:w="702"/>
              <w:gridCol w:w="639"/>
              <w:gridCol w:w="719"/>
              <w:gridCol w:w="7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79" w:type="pct"/>
                  <w:tcBorders>
                    <w:tl2br w:val="single" w:color="auto" w:sz="12" w:space="0"/>
                  </w:tcBorders>
                  <w:noWrap w:val="0"/>
                  <w:vAlign w:val="center"/>
                </w:tcPr>
                <w:p>
                  <w:pPr>
                    <w:jc w:val="center"/>
                    <w:textAlignment w:val="center"/>
                    <w:rPr>
                      <w:b/>
                      <w:bCs/>
                      <w:kern w:val="0"/>
                      <w:szCs w:val="21"/>
                    </w:rPr>
                  </w:pPr>
                  <w:r>
                    <w:rPr>
                      <w:rFonts w:hint="eastAsia"/>
                      <w:b/>
                      <w:bCs/>
                      <w:kern w:val="0"/>
                      <w:szCs w:val="21"/>
                      <w:lang w:val="en-US" w:eastAsia="zh-CN"/>
                    </w:rPr>
                    <w:t xml:space="preserve">    </w:t>
                  </w:r>
                  <w:r>
                    <w:rPr>
                      <w:b/>
                      <w:bCs/>
                      <w:kern w:val="0"/>
                      <w:szCs w:val="21"/>
                    </w:rPr>
                    <w:t>施工设备</w:t>
                  </w:r>
                </w:p>
                <w:p>
                  <w:pPr>
                    <w:textAlignment w:val="center"/>
                    <w:rPr>
                      <w:b/>
                      <w:bCs/>
                      <w:kern w:val="0"/>
                      <w:szCs w:val="21"/>
                    </w:rPr>
                  </w:pPr>
                  <w:r>
                    <w:rPr>
                      <w:b/>
                      <w:bCs/>
                      <w:kern w:val="0"/>
                      <w:szCs w:val="21"/>
                    </w:rPr>
                    <w:t>距离（m）</w:t>
                  </w:r>
                </w:p>
              </w:tc>
              <w:tc>
                <w:tcPr>
                  <w:tcW w:w="376" w:type="pct"/>
                  <w:noWrap w:val="0"/>
                  <w:vAlign w:val="center"/>
                </w:tcPr>
                <w:p>
                  <w:pPr>
                    <w:jc w:val="center"/>
                    <w:textAlignment w:val="center"/>
                    <w:rPr>
                      <w:b/>
                      <w:bCs/>
                      <w:kern w:val="0"/>
                      <w:szCs w:val="21"/>
                    </w:rPr>
                  </w:pPr>
                  <w:r>
                    <w:rPr>
                      <w:b/>
                      <w:bCs/>
                      <w:kern w:val="0"/>
                      <w:szCs w:val="21"/>
                    </w:rPr>
                    <w:t>10</w:t>
                  </w:r>
                </w:p>
              </w:tc>
              <w:tc>
                <w:tcPr>
                  <w:tcW w:w="377" w:type="pct"/>
                  <w:noWrap w:val="0"/>
                  <w:vAlign w:val="center"/>
                </w:tcPr>
                <w:p>
                  <w:pPr>
                    <w:jc w:val="center"/>
                    <w:textAlignment w:val="center"/>
                    <w:rPr>
                      <w:b/>
                      <w:bCs/>
                      <w:kern w:val="0"/>
                      <w:szCs w:val="21"/>
                    </w:rPr>
                  </w:pPr>
                  <w:r>
                    <w:rPr>
                      <w:b/>
                      <w:bCs/>
                      <w:kern w:val="0"/>
                      <w:szCs w:val="21"/>
                    </w:rPr>
                    <w:t>20</w:t>
                  </w:r>
                </w:p>
              </w:tc>
              <w:tc>
                <w:tcPr>
                  <w:tcW w:w="377" w:type="pct"/>
                  <w:noWrap w:val="0"/>
                  <w:vAlign w:val="center"/>
                </w:tcPr>
                <w:p>
                  <w:pPr>
                    <w:jc w:val="center"/>
                    <w:textAlignment w:val="center"/>
                    <w:rPr>
                      <w:b/>
                      <w:bCs/>
                      <w:kern w:val="0"/>
                      <w:szCs w:val="21"/>
                    </w:rPr>
                  </w:pPr>
                  <w:r>
                    <w:rPr>
                      <w:b/>
                      <w:bCs/>
                      <w:kern w:val="0"/>
                      <w:szCs w:val="21"/>
                    </w:rPr>
                    <w:t>30</w:t>
                  </w:r>
                </w:p>
              </w:tc>
              <w:tc>
                <w:tcPr>
                  <w:tcW w:w="395" w:type="pct"/>
                  <w:noWrap w:val="0"/>
                  <w:vAlign w:val="center"/>
                </w:tcPr>
                <w:p>
                  <w:pPr>
                    <w:jc w:val="center"/>
                    <w:textAlignment w:val="center"/>
                    <w:rPr>
                      <w:b/>
                      <w:bCs/>
                      <w:kern w:val="0"/>
                      <w:szCs w:val="21"/>
                    </w:rPr>
                  </w:pPr>
                  <w:r>
                    <w:rPr>
                      <w:b/>
                      <w:bCs/>
                      <w:kern w:val="0"/>
                      <w:szCs w:val="21"/>
                    </w:rPr>
                    <w:t>40</w:t>
                  </w:r>
                </w:p>
              </w:tc>
              <w:tc>
                <w:tcPr>
                  <w:tcW w:w="415" w:type="pct"/>
                  <w:noWrap w:val="0"/>
                  <w:vAlign w:val="center"/>
                </w:tcPr>
                <w:p>
                  <w:pPr>
                    <w:jc w:val="center"/>
                    <w:textAlignment w:val="center"/>
                    <w:rPr>
                      <w:b/>
                      <w:bCs/>
                      <w:kern w:val="0"/>
                      <w:szCs w:val="21"/>
                    </w:rPr>
                  </w:pPr>
                  <w:r>
                    <w:rPr>
                      <w:b/>
                      <w:bCs/>
                      <w:kern w:val="0"/>
                      <w:szCs w:val="21"/>
                    </w:rPr>
                    <w:t>60</w:t>
                  </w:r>
                </w:p>
              </w:tc>
              <w:tc>
                <w:tcPr>
                  <w:tcW w:w="424" w:type="pct"/>
                  <w:noWrap w:val="0"/>
                  <w:vAlign w:val="center"/>
                </w:tcPr>
                <w:p>
                  <w:pPr>
                    <w:jc w:val="center"/>
                    <w:textAlignment w:val="center"/>
                    <w:rPr>
                      <w:b/>
                      <w:bCs/>
                      <w:kern w:val="0"/>
                      <w:szCs w:val="21"/>
                    </w:rPr>
                  </w:pPr>
                  <w:r>
                    <w:rPr>
                      <w:b/>
                      <w:bCs/>
                      <w:kern w:val="0"/>
                      <w:szCs w:val="21"/>
                    </w:rPr>
                    <w:t>90</w:t>
                  </w:r>
                </w:p>
              </w:tc>
              <w:tc>
                <w:tcPr>
                  <w:tcW w:w="386" w:type="pct"/>
                  <w:noWrap w:val="0"/>
                  <w:vAlign w:val="center"/>
                </w:tcPr>
                <w:p>
                  <w:pPr>
                    <w:jc w:val="center"/>
                    <w:textAlignment w:val="center"/>
                    <w:rPr>
                      <w:b/>
                      <w:bCs/>
                      <w:kern w:val="0"/>
                      <w:szCs w:val="21"/>
                    </w:rPr>
                  </w:pPr>
                  <w:r>
                    <w:rPr>
                      <w:b/>
                      <w:bCs/>
                      <w:kern w:val="0"/>
                      <w:szCs w:val="21"/>
                    </w:rPr>
                    <w:t>120</w:t>
                  </w:r>
                </w:p>
              </w:tc>
              <w:tc>
                <w:tcPr>
                  <w:tcW w:w="434" w:type="pct"/>
                  <w:noWrap w:val="0"/>
                  <w:vAlign w:val="center"/>
                </w:tcPr>
                <w:p>
                  <w:pPr>
                    <w:jc w:val="center"/>
                    <w:textAlignment w:val="center"/>
                    <w:rPr>
                      <w:b/>
                      <w:bCs/>
                      <w:kern w:val="0"/>
                      <w:szCs w:val="21"/>
                    </w:rPr>
                  </w:pPr>
                  <w:r>
                    <w:rPr>
                      <w:b/>
                      <w:bCs/>
                      <w:kern w:val="0"/>
                      <w:szCs w:val="21"/>
                    </w:rPr>
                    <w:t>150</w:t>
                  </w:r>
                </w:p>
              </w:tc>
              <w:tc>
                <w:tcPr>
                  <w:tcW w:w="434" w:type="pct"/>
                  <w:noWrap w:val="0"/>
                  <w:vAlign w:val="center"/>
                </w:tcPr>
                <w:p>
                  <w:pPr>
                    <w:jc w:val="center"/>
                    <w:textAlignment w:val="center"/>
                    <w:rPr>
                      <w:b/>
                      <w:bCs/>
                      <w:kern w:val="0"/>
                      <w:szCs w:val="21"/>
                    </w:rPr>
                  </w:pPr>
                  <w:r>
                    <w:rPr>
                      <w:b/>
                      <w:bCs/>
                      <w:kern w:val="0"/>
                      <w:szCs w:val="21"/>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9" w:hRule="atLeast"/>
                <w:jc w:val="center"/>
              </w:trPr>
              <w:tc>
                <w:tcPr>
                  <w:tcW w:w="1379" w:type="pct"/>
                  <w:noWrap w:val="0"/>
                  <w:vAlign w:val="center"/>
                </w:tcPr>
                <w:p>
                  <w:pPr>
                    <w:pStyle w:val="43"/>
                    <w:spacing w:before="24" w:after="24" w:line="240" w:lineRule="auto"/>
                    <w:ind w:left="420" w:hanging="420"/>
                    <w:rPr>
                      <w:rFonts w:ascii="Times New Roman"/>
                      <w:szCs w:val="21"/>
                      <w:u w:val="none"/>
                    </w:rPr>
                  </w:pPr>
                  <w:r>
                    <w:rPr>
                      <w:rFonts w:ascii="Times New Roman"/>
                      <w:szCs w:val="21"/>
                      <w:u w:val="none"/>
                    </w:rPr>
                    <w:t>电钻</w:t>
                  </w:r>
                </w:p>
              </w:tc>
              <w:tc>
                <w:tcPr>
                  <w:tcW w:w="376" w:type="pct"/>
                  <w:noWrap w:val="0"/>
                  <w:vAlign w:val="center"/>
                </w:tcPr>
                <w:p>
                  <w:pPr>
                    <w:jc w:val="center"/>
                    <w:textAlignment w:val="center"/>
                    <w:rPr>
                      <w:kern w:val="0"/>
                      <w:szCs w:val="21"/>
                      <w:u w:val="none"/>
                    </w:rPr>
                  </w:pPr>
                  <w:r>
                    <w:rPr>
                      <w:kern w:val="0"/>
                      <w:szCs w:val="21"/>
                      <w:u w:val="none"/>
                    </w:rPr>
                    <w:t>75.0</w:t>
                  </w:r>
                </w:p>
              </w:tc>
              <w:tc>
                <w:tcPr>
                  <w:tcW w:w="377" w:type="pct"/>
                  <w:noWrap w:val="0"/>
                  <w:vAlign w:val="center"/>
                </w:tcPr>
                <w:p>
                  <w:pPr>
                    <w:jc w:val="center"/>
                    <w:textAlignment w:val="center"/>
                    <w:rPr>
                      <w:kern w:val="0"/>
                      <w:szCs w:val="21"/>
                      <w:u w:val="none"/>
                    </w:rPr>
                  </w:pPr>
                  <w:r>
                    <w:rPr>
                      <w:kern w:val="0"/>
                      <w:szCs w:val="21"/>
                      <w:u w:val="none"/>
                    </w:rPr>
                    <w:t>69.0</w:t>
                  </w:r>
                </w:p>
              </w:tc>
              <w:tc>
                <w:tcPr>
                  <w:tcW w:w="377" w:type="pct"/>
                  <w:noWrap w:val="0"/>
                  <w:vAlign w:val="center"/>
                </w:tcPr>
                <w:p>
                  <w:pPr>
                    <w:jc w:val="center"/>
                    <w:textAlignment w:val="center"/>
                    <w:rPr>
                      <w:kern w:val="0"/>
                      <w:szCs w:val="21"/>
                      <w:u w:val="none"/>
                    </w:rPr>
                  </w:pPr>
                  <w:r>
                    <w:rPr>
                      <w:kern w:val="0"/>
                      <w:szCs w:val="21"/>
                      <w:u w:val="none"/>
                    </w:rPr>
                    <w:t>65.5</w:t>
                  </w:r>
                </w:p>
              </w:tc>
              <w:tc>
                <w:tcPr>
                  <w:tcW w:w="395" w:type="pct"/>
                  <w:noWrap w:val="0"/>
                  <w:vAlign w:val="center"/>
                </w:tcPr>
                <w:p>
                  <w:pPr>
                    <w:jc w:val="center"/>
                    <w:textAlignment w:val="center"/>
                    <w:rPr>
                      <w:kern w:val="0"/>
                      <w:szCs w:val="21"/>
                      <w:u w:val="none"/>
                    </w:rPr>
                  </w:pPr>
                  <w:r>
                    <w:rPr>
                      <w:kern w:val="0"/>
                      <w:szCs w:val="21"/>
                      <w:u w:val="none"/>
                    </w:rPr>
                    <w:t>63.0</w:t>
                  </w:r>
                </w:p>
              </w:tc>
              <w:tc>
                <w:tcPr>
                  <w:tcW w:w="415" w:type="pct"/>
                  <w:noWrap w:val="0"/>
                  <w:vAlign w:val="center"/>
                </w:tcPr>
                <w:p>
                  <w:pPr>
                    <w:jc w:val="center"/>
                    <w:textAlignment w:val="center"/>
                    <w:rPr>
                      <w:kern w:val="0"/>
                      <w:szCs w:val="21"/>
                      <w:u w:val="none"/>
                    </w:rPr>
                  </w:pPr>
                  <w:r>
                    <w:rPr>
                      <w:kern w:val="0"/>
                      <w:szCs w:val="21"/>
                      <w:u w:val="none"/>
                    </w:rPr>
                    <w:t>59.4</w:t>
                  </w:r>
                </w:p>
              </w:tc>
              <w:tc>
                <w:tcPr>
                  <w:tcW w:w="424" w:type="pct"/>
                  <w:noWrap w:val="0"/>
                  <w:vAlign w:val="center"/>
                </w:tcPr>
                <w:p>
                  <w:pPr>
                    <w:jc w:val="center"/>
                    <w:textAlignment w:val="center"/>
                    <w:rPr>
                      <w:kern w:val="0"/>
                      <w:szCs w:val="21"/>
                      <w:u w:val="none"/>
                    </w:rPr>
                  </w:pPr>
                  <w:r>
                    <w:rPr>
                      <w:kern w:val="0"/>
                      <w:szCs w:val="21"/>
                      <w:u w:val="none"/>
                    </w:rPr>
                    <w:t>45.9</w:t>
                  </w:r>
                </w:p>
              </w:tc>
              <w:tc>
                <w:tcPr>
                  <w:tcW w:w="386" w:type="pct"/>
                  <w:noWrap w:val="0"/>
                  <w:vAlign w:val="center"/>
                </w:tcPr>
                <w:p>
                  <w:pPr>
                    <w:jc w:val="center"/>
                    <w:textAlignment w:val="center"/>
                    <w:rPr>
                      <w:kern w:val="0"/>
                      <w:szCs w:val="21"/>
                      <w:u w:val="none"/>
                    </w:rPr>
                  </w:pPr>
                  <w:r>
                    <w:rPr>
                      <w:kern w:val="0"/>
                      <w:szCs w:val="21"/>
                      <w:u w:val="none"/>
                    </w:rPr>
                    <w:t>53.4</w:t>
                  </w:r>
                </w:p>
              </w:tc>
              <w:tc>
                <w:tcPr>
                  <w:tcW w:w="434" w:type="pct"/>
                  <w:noWrap w:val="0"/>
                  <w:vAlign w:val="center"/>
                </w:tcPr>
                <w:p>
                  <w:pPr>
                    <w:jc w:val="center"/>
                    <w:textAlignment w:val="center"/>
                    <w:rPr>
                      <w:kern w:val="0"/>
                      <w:szCs w:val="21"/>
                      <w:u w:val="none"/>
                    </w:rPr>
                  </w:pPr>
                  <w:r>
                    <w:rPr>
                      <w:kern w:val="0"/>
                      <w:szCs w:val="21"/>
                      <w:u w:val="none"/>
                    </w:rPr>
                    <w:t>51.5</w:t>
                  </w:r>
                </w:p>
              </w:tc>
              <w:tc>
                <w:tcPr>
                  <w:tcW w:w="434" w:type="pct"/>
                  <w:noWrap w:val="0"/>
                  <w:vAlign w:val="center"/>
                </w:tcPr>
                <w:p>
                  <w:pPr>
                    <w:jc w:val="center"/>
                    <w:textAlignment w:val="center"/>
                    <w:rPr>
                      <w:kern w:val="0"/>
                      <w:szCs w:val="21"/>
                      <w:u w:val="none"/>
                    </w:rPr>
                  </w:pPr>
                  <w:r>
                    <w:rPr>
                      <w:kern w:val="0"/>
                      <w:szCs w:val="21"/>
                      <w:u w:val="none"/>
                    </w:rPr>
                    <w:t>49.0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79" w:type="pct"/>
                  <w:noWrap w:val="0"/>
                  <w:vAlign w:val="center"/>
                </w:tcPr>
                <w:p>
                  <w:pPr>
                    <w:pStyle w:val="43"/>
                    <w:spacing w:before="24" w:after="24" w:line="240" w:lineRule="auto"/>
                    <w:ind w:left="420" w:hanging="420"/>
                    <w:rPr>
                      <w:rFonts w:ascii="Times New Roman"/>
                      <w:szCs w:val="21"/>
                      <w:u w:val="none"/>
                    </w:rPr>
                  </w:pPr>
                  <w:r>
                    <w:rPr>
                      <w:rFonts w:ascii="Times New Roman"/>
                      <w:szCs w:val="21"/>
                      <w:u w:val="none"/>
                    </w:rPr>
                    <w:t>电锯、电焊机</w:t>
                  </w:r>
                </w:p>
              </w:tc>
              <w:tc>
                <w:tcPr>
                  <w:tcW w:w="376" w:type="pct"/>
                  <w:noWrap w:val="0"/>
                  <w:vAlign w:val="center"/>
                </w:tcPr>
                <w:p>
                  <w:pPr>
                    <w:jc w:val="center"/>
                    <w:textAlignment w:val="center"/>
                    <w:rPr>
                      <w:kern w:val="0"/>
                      <w:szCs w:val="21"/>
                      <w:u w:val="none"/>
                    </w:rPr>
                  </w:pPr>
                  <w:r>
                    <w:rPr>
                      <w:kern w:val="0"/>
                      <w:szCs w:val="21"/>
                      <w:u w:val="none"/>
                    </w:rPr>
                    <w:t>83.0</w:t>
                  </w:r>
                </w:p>
              </w:tc>
              <w:tc>
                <w:tcPr>
                  <w:tcW w:w="377" w:type="pct"/>
                  <w:noWrap w:val="0"/>
                  <w:vAlign w:val="center"/>
                </w:tcPr>
                <w:p>
                  <w:pPr>
                    <w:jc w:val="center"/>
                    <w:textAlignment w:val="center"/>
                    <w:rPr>
                      <w:kern w:val="0"/>
                      <w:szCs w:val="21"/>
                      <w:u w:val="none"/>
                    </w:rPr>
                  </w:pPr>
                  <w:r>
                    <w:rPr>
                      <w:kern w:val="0"/>
                      <w:szCs w:val="21"/>
                      <w:u w:val="none"/>
                    </w:rPr>
                    <w:t>77.0</w:t>
                  </w:r>
                </w:p>
              </w:tc>
              <w:tc>
                <w:tcPr>
                  <w:tcW w:w="377" w:type="pct"/>
                  <w:noWrap w:val="0"/>
                  <w:vAlign w:val="center"/>
                </w:tcPr>
                <w:p>
                  <w:pPr>
                    <w:jc w:val="center"/>
                    <w:textAlignment w:val="center"/>
                    <w:rPr>
                      <w:kern w:val="0"/>
                      <w:szCs w:val="21"/>
                      <w:u w:val="none"/>
                    </w:rPr>
                  </w:pPr>
                  <w:r>
                    <w:rPr>
                      <w:kern w:val="0"/>
                      <w:szCs w:val="21"/>
                      <w:u w:val="none"/>
                    </w:rPr>
                    <w:t>73.5</w:t>
                  </w:r>
                </w:p>
              </w:tc>
              <w:tc>
                <w:tcPr>
                  <w:tcW w:w="395" w:type="pct"/>
                  <w:noWrap w:val="0"/>
                  <w:vAlign w:val="center"/>
                </w:tcPr>
                <w:p>
                  <w:pPr>
                    <w:jc w:val="center"/>
                    <w:textAlignment w:val="center"/>
                    <w:rPr>
                      <w:kern w:val="0"/>
                      <w:szCs w:val="21"/>
                      <w:u w:val="none"/>
                    </w:rPr>
                  </w:pPr>
                  <w:r>
                    <w:rPr>
                      <w:kern w:val="0"/>
                      <w:szCs w:val="21"/>
                      <w:u w:val="none"/>
                    </w:rPr>
                    <w:t>71.0</w:t>
                  </w:r>
                </w:p>
              </w:tc>
              <w:tc>
                <w:tcPr>
                  <w:tcW w:w="415" w:type="pct"/>
                  <w:noWrap w:val="0"/>
                  <w:vAlign w:val="center"/>
                </w:tcPr>
                <w:p>
                  <w:pPr>
                    <w:jc w:val="center"/>
                    <w:textAlignment w:val="center"/>
                    <w:rPr>
                      <w:kern w:val="0"/>
                      <w:szCs w:val="21"/>
                      <w:u w:val="none"/>
                    </w:rPr>
                  </w:pPr>
                  <w:r>
                    <w:rPr>
                      <w:kern w:val="0"/>
                      <w:szCs w:val="21"/>
                      <w:u w:val="none"/>
                    </w:rPr>
                    <w:t>67.4</w:t>
                  </w:r>
                </w:p>
              </w:tc>
              <w:tc>
                <w:tcPr>
                  <w:tcW w:w="424" w:type="pct"/>
                  <w:noWrap w:val="0"/>
                  <w:vAlign w:val="center"/>
                </w:tcPr>
                <w:p>
                  <w:pPr>
                    <w:jc w:val="center"/>
                    <w:textAlignment w:val="center"/>
                    <w:rPr>
                      <w:kern w:val="0"/>
                      <w:szCs w:val="21"/>
                      <w:u w:val="none"/>
                    </w:rPr>
                  </w:pPr>
                  <w:r>
                    <w:rPr>
                      <w:kern w:val="0"/>
                      <w:szCs w:val="21"/>
                      <w:u w:val="none"/>
                    </w:rPr>
                    <w:t>53.9</w:t>
                  </w:r>
                </w:p>
              </w:tc>
              <w:tc>
                <w:tcPr>
                  <w:tcW w:w="386" w:type="pct"/>
                  <w:noWrap w:val="0"/>
                  <w:vAlign w:val="center"/>
                </w:tcPr>
                <w:p>
                  <w:pPr>
                    <w:jc w:val="center"/>
                    <w:textAlignment w:val="center"/>
                    <w:rPr>
                      <w:kern w:val="0"/>
                      <w:szCs w:val="21"/>
                      <w:u w:val="none"/>
                    </w:rPr>
                  </w:pPr>
                  <w:r>
                    <w:rPr>
                      <w:kern w:val="0"/>
                      <w:szCs w:val="21"/>
                      <w:u w:val="none"/>
                    </w:rPr>
                    <w:t>61.4</w:t>
                  </w:r>
                </w:p>
              </w:tc>
              <w:tc>
                <w:tcPr>
                  <w:tcW w:w="434" w:type="pct"/>
                  <w:noWrap w:val="0"/>
                  <w:vAlign w:val="center"/>
                </w:tcPr>
                <w:p>
                  <w:pPr>
                    <w:jc w:val="center"/>
                    <w:textAlignment w:val="center"/>
                    <w:rPr>
                      <w:kern w:val="0"/>
                      <w:szCs w:val="21"/>
                      <w:u w:val="none"/>
                    </w:rPr>
                  </w:pPr>
                  <w:r>
                    <w:rPr>
                      <w:kern w:val="0"/>
                      <w:szCs w:val="21"/>
                      <w:u w:val="none"/>
                    </w:rPr>
                    <w:t>59.5</w:t>
                  </w:r>
                </w:p>
              </w:tc>
              <w:tc>
                <w:tcPr>
                  <w:tcW w:w="434" w:type="pct"/>
                  <w:noWrap w:val="0"/>
                  <w:vAlign w:val="center"/>
                </w:tcPr>
                <w:p>
                  <w:pPr>
                    <w:jc w:val="center"/>
                    <w:textAlignment w:val="center"/>
                    <w:rPr>
                      <w:kern w:val="0"/>
                      <w:szCs w:val="21"/>
                      <w:u w:val="none"/>
                    </w:rPr>
                  </w:pPr>
                  <w:r>
                    <w:rPr>
                      <w:kern w:val="0"/>
                      <w:szCs w:val="21"/>
                      <w:u w:val="none"/>
                    </w:rPr>
                    <w:t>57.0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79" w:type="pct"/>
                  <w:noWrap w:val="0"/>
                  <w:vAlign w:val="center"/>
                </w:tcPr>
                <w:p>
                  <w:pPr>
                    <w:pStyle w:val="43"/>
                    <w:spacing w:before="24" w:after="24" w:line="240" w:lineRule="auto"/>
                    <w:ind w:left="420" w:hanging="420"/>
                    <w:rPr>
                      <w:rFonts w:hint="eastAsia" w:ascii="Times New Roman" w:eastAsia="宋体"/>
                      <w:szCs w:val="21"/>
                      <w:u w:val="none"/>
                      <w:lang w:val="en-US" w:eastAsia="zh-CN"/>
                    </w:rPr>
                  </w:pPr>
                  <w:r>
                    <w:rPr>
                      <w:rFonts w:hint="eastAsia" w:ascii="Times New Roman"/>
                      <w:szCs w:val="21"/>
                      <w:u w:val="none"/>
                      <w:lang w:val="en-US" w:eastAsia="zh-CN"/>
                    </w:rPr>
                    <w:t>挖掘机</w:t>
                  </w:r>
                </w:p>
              </w:tc>
              <w:tc>
                <w:tcPr>
                  <w:tcW w:w="376" w:type="pct"/>
                  <w:noWrap w:val="0"/>
                  <w:vAlign w:val="center"/>
                </w:tcPr>
                <w:p>
                  <w:pPr>
                    <w:jc w:val="center"/>
                    <w:textAlignment w:val="center"/>
                    <w:rPr>
                      <w:rFonts w:hint="default" w:eastAsia="宋体"/>
                      <w:kern w:val="0"/>
                      <w:szCs w:val="21"/>
                      <w:u w:val="none"/>
                      <w:lang w:val="en-US" w:eastAsia="zh-CN"/>
                    </w:rPr>
                  </w:pPr>
                  <w:r>
                    <w:rPr>
                      <w:rFonts w:hint="eastAsia"/>
                      <w:kern w:val="0"/>
                      <w:szCs w:val="21"/>
                      <w:u w:val="none"/>
                      <w:lang w:val="en-US" w:eastAsia="zh-CN"/>
                    </w:rPr>
                    <w:t>80</w:t>
                  </w:r>
                </w:p>
              </w:tc>
              <w:tc>
                <w:tcPr>
                  <w:tcW w:w="377" w:type="pct"/>
                  <w:noWrap w:val="0"/>
                  <w:vAlign w:val="center"/>
                </w:tcPr>
                <w:p>
                  <w:pPr>
                    <w:jc w:val="center"/>
                    <w:textAlignment w:val="center"/>
                    <w:rPr>
                      <w:rFonts w:hint="default" w:eastAsia="宋体"/>
                      <w:kern w:val="0"/>
                      <w:szCs w:val="21"/>
                      <w:u w:val="none"/>
                      <w:lang w:val="en-US" w:eastAsia="zh-CN"/>
                    </w:rPr>
                  </w:pPr>
                  <w:r>
                    <w:rPr>
                      <w:rFonts w:hint="eastAsia"/>
                      <w:kern w:val="0"/>
                      <w:szCs w:val="21"/>
                      <w:u w:val="none"/>
                      <w:lang w:val="en-US" w:eastAsia="zh-CN"/>
                    </w:rPr>
                    <w:t>74.0</w:t>
                  </w:r>
                </w:p>
              </w:tc>
              <w:tc>
                <w:tcPr>
                  <w:tcW w:w="377" w:type="pct"/>
                  <w:noWrap w:val="0"/>
                  <w:vAlign w:val="center"/>
                </w:tcPr>
                <w:p>
                  <w:pPr>
                    <w:jc w:val="center"/>
                    <w:textAlignment w:val="center"/>
                    <w:rPr>
                      <w:rFonts w:hint="default" w:eastAsia="宋体"/>
                      <w:kern w:val="0"/>
                      <w:szCs w:val="21"/>
                      <w:u w:val="none"/>
                      <w:lang w:val="en-US" w:eastAsia="zh-CN"/>
                    </w:rPr>
                  </w:pPr>
                  <w:r>
                    <w:rPr>
                      <w:rFonts w:hint="eastAsia"/>
                      <w:kern w:val="0"/>
                      <w:szCs w:val="21"/>
                      <w:u w:val="none"/>
                      <w:lang w:val="en-US" w:eastAsia="zh-CN"/>
                    </w:rPr>
                    <w:t>70.4</w:t>
                  </w:r>
                </w:p>
              </w:tc>
              <w:tc>
                <w:tcPr>
                  <w:tcW w:w="395" w:type="pct"/>
                  <w:noWrap w:val="0"/>
                  <w:vAlign w:val="center"/>
                </w:tcPr>
                <w:p>
                  <w:pPr>
                    <w:jc w:val="center"/>
                    <w:textAlignment w:val="center"/>
                    <w:rPr>
                      <w:rFonts w:hint="default" w:eastAsia="宋体"/>
                      <w:kern w:val="0"/>
                      <w:szCs w:val="21"/>
                      <w:u w:val="none"/>
                      <w:lang w:val="en-US" w:eastAsia="zh-CN"/>
                    </w:rPr>
                  </w:pPr>
                  <w:r>
                    <w:rPr>
                      <w:rFonts w:hint="eastAsia"/>
                      <w:kern w:val="0"/>
                      <w:szCs w:val="21"/>
                      <w:u w:val="none"/>
                      <w:lang w:val="en-US" w:eastAsia="zh-CN"/>
                    </w:rPr>
                    <w:t>68.0</w:t>
                  </w:r>
                </w:p>
              </w:tc>
              <w:tc>
                <w:tcPr>
                  <w:tcW w:w="415" w:type="pct"/>
                  <w:noWrap w:val="0"/>
                  <w:vAlign w:val="center"/>
                </w:tcPr>
                <w:p>
                  <w:pPr>
                    <w:jc w:val="center"/>
                    <w:textAlignment w:val="center"/>
                    <w:rPr>
                      <w:rFonts w:hint="default" w:eastAsia="宋体"/>
                      <w:kern w:val="0"/>
                      <w:szCs w:val="21"/>
                      <w:u w:val="none"/>
                      <w:lang w:val="en-US" w:eastAsia="zh-CN"/>
                    </w:rPr>
                  </w:pPr>
                  <w:r>
                    <w:rPr>
                      <w:rFonts w:hint="eastAsia"/>
                      <w:kern w:val="0"/>
                      <w:szCs w:val="21"/>
                      <w:u w:val="none"/>
                      <w:lang w:val="en-US" w:eastAsia="zh-CN"/>
                    </w:rPr>
                    <w:t>64.4</w:t>
                  </w:r>
                </w:p>
              </w:tc>
              <w:tc>
                <w:tcPr>
                  <w:tcW w:w="424" w:type="pct"/>
                  <w:noWrap w:val="0"/>
                  <w:vAlign w:val="center"/>
                </w:tcPr>
                <w:p>
                  <w:pPr>
                    <w:jc w:val="center"/>
                    <w:textAlignment w:val="center"/>
                    <w:rPr>
                      <w:rFonts w:hint="default" w:eastAsia="宋体"/>
                      <w:kern w:val="0"/>
                      <w:szCs w:val="21"/>
                      <w:u w:val="none"/>
                      <w:lang w:val="en-US" w:eastAsia="zh-CN"/>
                    </w:rPr>
                  </w:pPr>
                  <w:r>
                    <w:rPr>
                      <w:rFonts w:hint="eastAsia"/>
                      <w:kern w:val="0"/>
                      <w:szCs w:val="21"/>
                      <w:u w:val="none"/>
                      <w:lang w:val="en-US" w:eastAsia="zh-CN"/>
                    </w:rPr>
                    <w:t>60.1</w:t>
                  </w:r>
                </w:p>
              </w:tc>
              <w:tc>
                <w:tcPr>
                  <w:tcW w:w="386" w:type="pct"/>
                  <w:noWrap w:val="0"/>
                  <w:vAlign w:val="center"/>
                </w:tcPr>
                <w:p>
                  <w:pPr>
                    <w:jc w:val="center"/>
                    <w:textAlignment w:val="center"/>
                    <w:rPr>
                      <w:rFonts w:hint="default" w:eastAsia="宋体"/>
                      <w:kern w:val="0"/>
                      <w:szCs w:val="21"/>
                      <w:u w:val="none"/>
                      <w:lang w:val="en-US" w:eastAsia="zh-CN"/>
                    </w:rPr>
                  </w:pPr>
                  <w:r>
                    <w:rPr>
                      <w:rFonts w:hint="eastAsia"/>
                      <w:kern w:val="0"/>
                      <w:szCs w:val="21"/>
                      <w:u w:val="none"/>
                      <w:lang w:val="en-US" w:eastAsia="zh-CN"/>
                    </w:rPr>
                    <w:t>58.4</w:t>
                  </w:r>
                </w:p>
              </w:tc>
              <w:tc>
                <w:tcPr>
                  <w:tcW w:w="434" w:type="pct"/>
                  <w:noWrap w:val="0"/>
                  <w:vAlign w:val="center"/>
                </w:tcPr>
                <w:p>
                  <w:pPr>
                    <w:jc w:val="center"/>
                    <w:textAlignment w:val="center"/>
                    <w:rPr>
                      <w:rFonts w:hint="default" w:eastAsia="宋体"/>
                      <w:kern w:val="0"/>
                      <w:szCs w:val="21"/>
                      <w:u w:val="none"/>
                      <w:lang w:val="en-US" w:eastAsia="zh-CN"/>
                    </w:rPr>
                  </w:pPr>
                  <w:r>
                    <w:rPr>
                      <w:rFonts w:hint="eastAsia"/>
                      <w:kern w:val="0"/>
                      <w:szCs w:val="21"/>
                      <w:u w:val="none"/>
                      <w:lang w:val="en-US" w:eastAsia="zh-CN"/>
                    </w:rPr>
                    <w:t>56.5</w:t>
                  </w:r>
                </w:p>
              </w:tc>
              <w:tc>
                <w:tcPr>
                  <w:tcW w:w="434" w:type="pct"/>
                  <w:noWrap w:val="0"/>
                  <w:vAlign w:val="center"/>
                </w:tcPr>
                <w:p>
                  <w:pPr>
                    <w:jc w:val="center"/>
                    <w:textAlignment w:val="center"/>
                    <w:rPr>
                      <w:rFonts w:hint="default" w:eastAsia="宋体"/>
                      <w:kern w:val="0"/>
                      <w:szCs w:val="21"/>
                      <w:u w:val="none"/>
                      <w:lang w:val="en-US" w:eastAsia="zh-CN"/>
                    </w:rPr>
                  </w:pPr>
                  <w:r>
                    <w:rPr>
                      <w:rFonts w:hint="eastAsia"/>
                      <w:kern w:val="0"/>
                      <w:szCs w:val="21"/>
                      <w:u w:val="none"/>
                      <w:lang w:val="en-US" w:eastAsia="zh-CN"/>
                    </w:rPr>
                    <w:t>54.0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79" w:type="pct"/>
                  <w:noWrap w:val="0"/>
                  <w:vAlign w:val="center"/>
                </w:tcPr>
                <w:p>
                  <w:pPr>
                    <w:pStyle w:val="43"/>
                    <w:spacing w:before="24" w:after="24" w:line="240" w:lineRule="auto"/>
                    <w:ind w:left="420" w:hanging="420"/>
                    <w:rPr>
                      <w:rFonts w:hint="default" w:ascii="Times New Roman" w:eastAsia="宋体"/>
                      <w:szCs w:val="21"/>
                      <w:u w:val="none"/>
                      <w:lang w:val="en-US" w:eastAsia="zh-CN"/>
                    </w:rPr>
                  </w:pPr>
                  <w:r>
                    <w:rPr>
                      <w:rFonts w:hint="eastAsia" w:ascii="Times New Roman"/>
                      <w:szCs w:val="21"/>
                      <w:u w:val="none"/>
                      <w:lang w:val="en-US" w:eastAsia="zh-CN"/>
                    </w:rPr>
                    <w:t>打桩机</w:t>
                  </w:r>
                </w:p>
              </w:tc>
              <w:tc>
                <w:tcPr>
                  <w:tcW w:w="376" w:type="pct"/>
                  <w:noWrap w:val="0"/>
                  <w:vAlign w:val="center"/>
                </w:tcPr>
                <w:p>
                  <w:pPr>
                    <w:jc w:val="center"/>
                    <w:textAlignment w:val="center"/>
                    <w:rPr>
                      <w:rFonts w:hint="default" w:eastAsia="宋体"/>
                      <w:kern w:val="0"/>
                      <w:szCs w:val="21"/>
                      <w:u w:val="none"/>
                      <w:lang w:val="en-US" w:eastAsia="zh-CN"/>
                    </w:rPr>
                  </w:pPr>
                  <w:r>
                    <w:rPr>
                      <w:rFonts w:hint="eastAsia"/>
                      <w:kern w:val="0"/>
                      <w:szCs w:val="21"/>
                      <w:u w:val="none"/>
                      <w:lang w:val="en-US" w:eastAsia="zh-CN"/>
                    </w:rPr>
                    <w:t>90</w:t>
                  </w:r>
                </w:p>
              </w:tc>
              <w:tc>
                <w:tcPr>
                  <w:tcW w:w="377" w:type="pct"/>
                  <w:noWrap w:val="0"/>
                  <w:vAlign w:val="center"/>
                </w:tcPr>
                <w:p>
                  <w:pPr>
                    <w:jc w:val="center"/>
                    <w:textAlignment w:val="center"/>
                    <w:rPr>
                      <w:rFonts w:hint="default" w:eastAsia="宋体"/>
                      <w:kern w:val="0"/>
                      <w:szCs w:val="21"/>
                      <w:u w:val="none"/>
                      <w:lang w:val="en-US" w:eastAsia="zh-CN"/>
                    </w:rPr>
                  </w:pPr>
                  <w:r>
                    <w:rPr>
                      <w:rFonts w:hint="eastAsia"/>
                      <w:kern w:val="0"/>
                      <w:szCs w:val="21"/>
                      <w:u w:val="none"/>
                      <w:lang w:val="en-US" w:eastAsia="zh-CN"/>
                    </w:rPr>
                    <w:t>84.0</w:t>
                  </w:r>
                </w:p>
              </w:tc>
              <w:tc>
                <w:tcPr>
                  <w:tcW w:w="377" w:type="pct"/>
                  <w:noWrap w:val="0"/>
                  <w:vAlign w:val="center"/>
                </w:tcPr>
                <w:p>
                  <w:pPr>
                    <w:jc w:val="center"/>
                    <w:textAlignment w:val="center"/>
                    <w:rPr>
                      <w:rFonts w:hint="default" w:eastAsia="宋体"/>
                      <w:kern w:val="0"/>
                      <w:szCs w:val="21"/>
                      <w:u w:val="none"/>
                      <w:lang w:val="en-US" w:eastAsia="zh-CN"/>
                    </w:rPr>
                  </w:pPr>
                  <w:r>
                    <w:rPr>
                      <w:rFonts w:hint="eastAsia"/>
                      <w:kern w:val="0"/>
                      <w:szCs w:val="21"/>
                      <w:u w:val="none"/>
                      <w:lang w:val="en-US" w:eastAsia="zh-CN"/>
                    </w:rPr>
                    <w:t>80.4</w:t>
                  </w:r>
                </w:p>
              </w:tc>
              <w:tc>
                <w:tcPr>
                  <w:tcW w:w="395" w:type="pct"/>
                  <w:noWrap w:val="0"/>
                  <w:vAlign w:val="center"/>
                </w:tcPr>
                <w:p>
                  <w:pPr>
                    <w:jc w:val="center"/>
                    <w:textAlignment w:val="center"/>
                    <w:rPr>
                      <w:rFonts w:hint="default" w:eastAsia="宋体"/>
                      <w:kern w:val="0"/>
                      <w:szCs w:val="21"/>
                      <w:u w:val="none"/>
                      <w:lang w:val="en-US" w:eastAsia="zh-CN"/>
                    </w:rPr>
                  </w:pPr>
                  <w:r>
                    <w:rPr>
                      <w:rFonts w:hint="eastAsia"/>
                      <w:kern w:val="0"/>
                      <w:szCs w:val="21"/>
                      <w:u w:val="none"/>
                      <w:lang w:val="en-US" w:eastAsia="zh-CN"/>
                    </w:rPr>
                    <w:t>78.0</w:t>
                  </w:r>
                </w:p>
              </w:tc>
              <w:tc>
                <w:tcPr>
                  <w:tcW w:w="415" w:type="pct"/>
                  <w:noWrap w:val="0"/>
                  <w:vAlign w:val="center"/>
                </w:tcPr>
                <w:p>
                  <w:pPr>
                    <w:jc w:val="center"/>
                    <w:textAlignment w:val="center"/>
                    <w:rPr>
                      <w:rFonts w:hint="default" w:eastAsia="宋体"/>
                      <w:kern w:val="0"/>
                      <w:szCs w:val="21"/>
                      <w:u w:val="none"/>
                      <w:lang w:val="en-US" w:eastAsia="zh-CN"/>
                    </w:rPr>
                  </w:pPr>
                  <w:r>
                    <w:rPr>
                      <w:rFonts w:hint="eastAsia"/>
                      <w:kern w:val="0"/>
                      <w:szCs w:val="21"/>
                      <w:u w:val="none"/>
                      <w:lang w:val="en-US" w:eastAsia="zh-CN"/>
                    </w:rPr>
                    <w:t>74.4</w:t>
                  </w:r>
                </w:p>
              </w:tc>
              <w:tc>
                <w:tcPr>
                  <w:tcW w:w="424" w:type="pct"/>
                  <w:noWrap w:val="0"/>
                  <w:vAlign w:val="center"/>
                </w:tcPr>
                <w:p>
                  <w:pPr>
                    <w:jc w:val="center"/>
                    <w:textAlignment w:val="center"/>
                    <w:rPr>
                      <w:rFonts w:hint="default" w:eastAsia="宋体"/>
                      <w:kern w:val="0"/>
                      <w:szCs w:val="21"/>
                      <w:u w:val="none"/>
                      <w:lang w:val="en-US" w:eastAsia="zh-CN"/>
                    </w:rPr>
                  </w:pPr>
                  <w:r>
                    <w:rPr>
                      <w:rFonts w:hint="eastAsia"/>
                      <w:kern w:val="0"/>
                      <w:szCs w:val="21"/>
                      <w:u w:val="none"/>
                      <w:lang w:val="en-US" w:eastAsia="zh-CN"/>
                    </w:rPr>
                    <w:t>70.9</w:t>
                  </w:r>
                </w:p>
              </w:tc>
              <w:tc>
                <w:tcPr>
                  <w:tcW w:w="386" w:type="pct"/>
                  <w:noWrap w:val="0"/>
                  <w:vAlign w:val="center"/>
                </w:tcPr>
                <w:p>
                  <w:pPr>
                    <w:jc w:val="center"/>
                    <w:textAlignment w:val="center"/>
                    <w:rPr>
                      <w:rFonts w:hint="default" w:eastAsia="宋体"/>
                      <w:kern w:val="0"/>
                      <w:szCs w:val="21"/>
                      <w:u w:val="none"/>
                      <w:lang w:val="en-US" w:eastAsia="zh-CN"/>
                    </w:rPr>
                  </w:pPr>
                  <w:r>
                    <w:rPr>
                      <w:rFonts w:hint="eastAsia"/>
                      <w:kern w:val="0"/>
                      <w:szCs w:val="21"/>
                      <w:u w:val="none"/>
                      <w:lang w:val="en-US" w:eastAsia="zh-CN"/>
                    </w:rPr>
                    <w:t>68.4</w:t>
                  </w:r>
                </w:p>
              </w:tc>
              <w:tc>
                <w:tcPr>
                  <w:tcW w:w="434" w:type="pct"/>
                  <w:noWrap w:val="0"/>
                  <w:vAlign w:val="center"/>
                </w:tcPr>
                <w:p>
                  <w:pPr>
                    <w:jc w:val="center"/>
                    <w:textAlignment w:val="center"/>
                    <w:rPr>
                      <w:rFonts w:hint="default" w:eastAsia="宋体"/>
                      <w:kern w:val="0"/>
                      <w:szCs w:val="21"/>
                      <w:u w:val="none"/>
                      <w:lang w:val="en-US" w:eastAsia="zh-CN"/>
                    </w:rPr>
                  </w:pPr>
                  <w:r>
                    <w:rPr>
                      <w:rFonts w:hint="eastAsia"/>
                      <w:kern w:val="0"/>
                      <w:szCs w:val="21"/>
                      <w:u w:val="none"/>
                      <w:lang w:val="en-US" w:eastAsia="zh-CN"/>
                    </w:rPr>
                    <w:t>66.5</w:t>
                  </w:r>
                </w:p>
              </w:tc>
              <w:tc>
                <w:tcPr>
                  <w:tcW w:w="434" w:type="pct"/>
                  <w:noWrap w:val="0"/>
                  <w:vAlign w:val="center"/>
                </w:tcPr>
                <w:p>
                  <w:pPr>
                    <w:jc w:val="center"/>
                    <w:textAlignment w:val="center"/>
                    <w:rPr>
                      <w:rFonts w:hint="default" w:eastAsia="宋体"/>
                      <w:kern w:val="0"/>
                      <w:szCs w:val="21"/>
                      <w:u w:val="none"/>
                      <w:lang w:val="en-US" w:eastAsia="zh-CN"/>
                    </w:rPr>
                  </w:pPr>
                  <w:r>
                    <w:rPr>
                      <w:rFonts w:hint="eastAsia"/>
                      <w:kern w:val="0"/>
                      <w:szCs w:val="21"/>
                      <w:u w:val="none"/>
                      <w:lang w:val="en-US" w:eastAsia="zh-CN"/>
                    </w:rPr>
                    <w:t>64.0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79" w:type="pct"/>
                  <w:noWrap w:val="0"/>
                  <w:vAlign w:val="center"/>
                </w:tcPr>
                <w:p>
                  <w:pPr>
                    <w:pStyle w:val="43"/>
                    <w:spacing w:before="24" w:after="24" w:line="240" w:lineRule="auto"/>
                    <w:ind w:left="420" w:hanging="420"/>
                    <w:rPr>
                      <w:rFonts w:hint="default" w:ascii="Times New Roman" w:eastAsia="宋体"/>
                      <w:szCs w:val="21"/>
                      <w:u w:val="none"/>
                      <w:lang w:val="en-US" w:eastAsia="zh-CN"/>
                    </w:rPr>
                  </w:pPr>
                  <w:r>
                    <w:rPr>
                      <w:rFonts w:hint="eastAsia" w:ascii="Times New Roman"/>
                      <w:szCs w:val="21"/>
                      <w:u w:val="none"/>
                      <w:lang w:val="en-US" w:eastAsia="zh-CN"/>
                    </w:rPr>
                    <w:t>运输车辆</w:t>
                  </w:r>
                </w:p>
              </w:tc>
              <w:tc>
                <w:tcPr>
                  <w:tcW w:w="376" w:type="pct"/>
                  <w:noWrap w:val="0"/>
                  <w:vAlign w:val="center"/>
                </w:tcPr>
                <w:p>
                  <w:pPr>
                    <w:jc w:val="center"/>
                    <w:textAlignment w:val="center"/>
                    <w:rPr>
                      <w:kern w:val="0"/>
                      <w:szCs w:val="21"/>
                      <w:u w:val="none"/>
                    </w:rPr>
                  </w:pPr>
                  <w:r>
                    <w:rPr>
                      <w:rFonts w:hint="eastAsia"/>
                      <w:kern w:val="0"/>
                      <w:szCs w:val="21"/>
                      <w:u w:val="none"/>
                      <w:lang w:val="en-US" w:eastAsia="zh-CN"/>
                    </w:rPr>
                    <w:t>80</w:t>
                  </w:r>
                </w:p>
              </w:tc>
              <w:tc>
                <w:tcPr>
                  <w:tcW w:w="377" w:type="pct"/>
                  <w:noWrap w:val="0"/>
                  <w:vAlign w:val="center"/>
                </w:tcPr>
                <w:p>
                  <w:pPr>
                    <w:jc w:val="center"/>
                    <w:textAlignment w:val="center"/>
                    <w:rPr>
                      <w:kern w:val="0"/>
                      <w:szCs w:val="21"/>
                      <w:u w:val="none"/>
                    </w:rPr>
                  </w:pPr>
                  <w:r>
                    <w:rPr>
                      <w:rFonts w:hint="eastAsia"/>
                      <w:kern w:val="0"/>
                      <w:szCs w:val="21"/>
                      <w:u w:val="none"/>
                      <w:lang w:val="en-US" w:eastAsia="zh-CN"/>
                    </w:rPr>
                    <w:t>74.0</w:t>
                  </w:r>
                </w:p>
              </w:tc>
              <w:tc>
                <w:tcPr>
                  <w:tcW w:w="377" w:type="pct"/>
                  <w:noWrap w:val="0"/>
                  <w:vAlign w:val="center"/>
                </w:tcPr>
                <w:p>
                  <w:pPr>
                    <w:jc w:val="center"/>
                    <w:textAlignment w:val="center"/>
                    <w:rPr>
                      <w:kern w:val="0"/>
                      <w:szCs w:val="21"/>
                      <w:u w:val="none"/>
                    </w:rPr>
                  </w:pPr>
                  <w:r>
                    <w:rPr>
                      <w:rFonts w:hint="eastAsia"/>
                      <w:kern w:val="0"/>
                      <w:szCs w:val="21"/>
                      <w:u w:val="none"/>
                      <w:lang w:val="en-US" w:eastAsia="zh-CN"/>
                    </w:rPr>
                    <w:t>70.4</w:t>
                  </w:r>
                </w:p>
              </w:tc>
              <w:tc>
                <w:tcPr>
                  <w:tcW w:w="395" w:type="pct"/>
                  <w:noWrap w:val="0"/>
                  <w:vAlign w:val="center"/>
                </w:tcPr>
                <w:p>
                  <w:pPr>
                    <w:jc w:val="center"/>
                    <w:textAlignment w:val="center"/>
                    <w:rPr>
                      <w:kern w:val="0"/>
                      <w:szCs w:val="21"/>
                      <w:u w:val="none"/>
                    </w:rPr>
                  </w:pPr>
                  <w:r>
                    <w:rPr>
                      <w:rFonts w:hint="eastAsia"/>
                      <w:kern w:val="0"/>
                      <w:szCs w:val="21"/>
                      <w:u w:val="none"/>
                      <w:lang w:val="en-US" w:eastAsia="zh-CN"/>
                    </w:rPr>
                    <w:t>68.0</w:t>
                  </w:r>
                </w:p>
              </w:tc>
              <w:tc>
                <w:tcPr>
                  <w:tcW w:w="415" w:type="pct"/>
                  <w:noWrap w:val="0"/>
                  <w:vAlign w:val="center"/>
                </w:tcPr>
                <w:p>
                  <w:pPr>
                    <w:jc w:val="center"/>
                    <w:textAlignment w:val="center"/>
                    <w:rPr>
                      <w:kern w:val="0"/>
                      <w:szCs w:val="21"/>
                      <w:u w:val="none"/>
                    </w:rPr>
                  </w:pPr>
                  <w:r>
                    <w:rPr>
                      <w:rFonts w:hint="eastAsia"/>
                      <w:kern w:val="0"/>
                      <w:szCs w:val="21"/>
                      <w:u w:val="none"/>
                      <w:lang w:val="en-US" w:eastAsia="zh-CN"/>
                    </w:rPr>
                    <w:t>64.4</w:t>
                  </w:r>
                </w:p>
              </w:tc>
              <w:tc>
                <w:tcPr>
                  <w:tcW w:w="424" w:type="pct"/>
                  <w:noWrap w:val="0"/>
                  <w:vAlign w:val="center"/>
                </w:tcPr>
                <w:p>
                  <w:pPr>
                    <w:jc w:val="center"/>
                    <w:textAlignment w:val="center"/>
                    <w:rPr>
                      <w:kern w:val="0"/>
                      <w:szCs w:val="21"/>
                      <w:u w:val="none"/>
                    </w:rPr>
                  </w:pPr>
                  <w:r>
                    <w:rPr>
                      <w:rFonts w:hint="eastAsia"/>
                      <w:kern w:val="0"/>
                      <w:szCs w:val="21"/>
                      <w:u w:val="none"/>
                      <w:lang w:val="en-US" w:eastAsia="zh-CN"/>
                    </w:rPr>
                    <w:t>60.1</w:t>
                  </w:r>
                </w:p>
              </w:tc>
              <w:tc>
                <w:tcPr>
                  <w:tcW w:w="386" w:type="pct"/>
                  <w:noWrap w:val="0"/>
                  <w:vAlign w:val="center"/>
                </w:tcPr>
                <w:p>
                  <w:pPr>
                    <w:jc w:val="center"/>
                    <w:textAlignment w:val="center"/>
                    <w:rPr>
                      <w:kern w:val="0"/>
                      <w:szCs w:val="21"/>
                      <w:u w:val="none"/>
                    </w:rPr>
                  </w:pPr>
                  <w:r>
                    <w:rPr>
                      <w:rFonts w:hint="eastAsia"/>
                      <w:kern w:val="0"/>
                      <w:szCs w:val="21"/>
                      <w:u w:val="none"/>
                      <w:lang w:val="en-US" w:eastAsia="zh-CN"/>
                    </w:rPr>
                    <w:t>58.4</w:t>
                  </w:r>
                </w:p>
              </w:tc>
              <w:tc>
                <w:tcPr>
                  <w:tcW w:w="434" w:type="pct"/>
                  <w:noWrap w:val="0"/>
                  <w:vAlign w:val="center"/>
                </w:tcPr>
                <w:p>
                  <w:pPr>
                    <w:jc w:val="center"/>
                    <w:textAlignment w:val="center"/>
                    <w:rPr>
                      <w:kern w:val="0"/>
                      <w:szCs w:val="21"/>
                      <w:u w:val="none"/>
                    </w:rPr>
                  </w:pPr>
                  <w:r>
                    <w:rPr>
                      <w:rFonts w:hint="eastAsia"/>
                      <w:kern w:val="0"/>
                      <w:szCs w:val="21"/>
                      <w:u w:val="none"/>
                      <w:lang w:val="en-US" w:eastAsia="zh-CN"/>
                    </w:rPr>
                    <w:t>56.5</w:t>
                  </w:r>
                </w:p>
              </w:tc>
              <w:tc>
                <w:tcPr>
                  <w:tcW w:w="434" w:type="pct"/>
                  <w:noWrap w:val="0"/>
                  <w:vAlign w:val="center"/>
                </w:tcPr>
                <w:p>
                  <w:pPr>
                    <w:jc w:val="center"/>
                    <w:textAlignment w:val="center"/>
                    <w:rPr>
                      <w:kern w:val="0"/>
                      <w:szCs w:val="21"/>
                      <w:u w:val="none"/>
                    </w:rPr>
                  </w:pPr>
                  <w:r>
                    <w:rPr>
                      <w:rFonts w:hint="eastAsia"/>
                      <w:kern w:val="0"/>
                      <w:szCs w:val="21"/>
                      <w:u w:val="none"/>
                      <w:lang w:val="en-US" w:eastAsia="zh-CN"/>
                    </w:rPr>
                    <w:t>54.0</w:t>
                  </w:r>
                </w:p>
              </w:tc>
            </w:tr>
          </w:tbl>
          <w:p>
            <w:pPr>
              <w:spacing w:before="0" w:beforeLines="0" w:line="240" w:lineRule="auto"/>
              <w:ind w:firstLine="0"/>
              <w:rPr>
                <w:u w:val="none"/>
              </w:rPr>
            </w:pPr>
          </w:p>
          <w:p>
            <w:pPr>
              <w:tabs>
                <w:tab w:val="left" w:pos="900"/>
              </w:tabs>
              <w:spacing w:before="120" w:beforeLines="50" w:line="360" w:lineRule="auto"/>
              <w:ind w:firstLine="480"/>
              <w:rPr>
                <w:kern w:val="24"/>
                <w:sz w:val="24"/>
              </w:rPr>
            </w:pPr>
            <w:r>
              <w:rPr>
                <w:kern w:val="24"/>
                <w:sz w:val="24"/>
                <w:u w:val="none"/>
              </w:rPr>
              <w:t>根据上表预测分析可知，电锯、电焊</w:t>
            </w:r>
            <w:r>
              <w:rPr>
                <w:rFonts w:ascii="Times New Roman" w:hAnsi="Times New Roman" w:eastAsia="宋体" w:cs="Times New Roman"/>
                <w:kern w:val="24"/>
                <w:sz w:val="24"/>
                <w:u w:val="none"/>
              </w:rPr>
              <w:t>机</w:t>
            </w:r>
            <w:r>
              <w:rPr>
                <w:rFonts w:hint="default" w:ascii="Times New Roman" w:hAnsi="Times New Roman" w:eastAsia="宋体" w:cs="Times New Roman"/>
                <w:kern w:val="24"/>
                <w:sz w:val="24"/>
                <w:u w:val="none"/>
                <w:lang w:eastAsia="zh-CN"/>
              </w:rPr>
              <w:t>、</w:t>
            </w:r>
            <w:r>
              <w:rPr>
                <w:rFonts w:hint="default" w:ascii="Times New Roman" w:hAnsi="Times New Roman" w:eastAsia="宋体" w:cs="Times New Roman"/>
                <w:kern w:val="24"/>
                <w:sz w:val="24"/>
                <w:szCs w:val="24"/>
                <w:u w:val="none"/>
                <w:lang w:val="en-US" w:eastAsia="zh-CN"/>
              </w:rPr>
              <w:t>挖掘机、运输车辆</w:t>
            </w:r>
            <w:r>
              <w:rPr>
                <w:kern w:val="24"/>
                <w:sz w:val="24"/>
                <w:u w:val="none"/>
              </w:rPr>
              <w:t>距施工场界60m以外昼间可满足标准要求；</w:t>
            </w:r>
            <w:r>
              <w:rPr>
                <w:rFonts w:hint="default" w:ascii="Times New Roman" w:hAnsi="Times New Roman" w:eastAsia="宋体" w:cs="Times New Roman"/>
                <w:kern w:val="24"/>
                <w:sz w:val="24"/>
                <w:szCs w:val="24"/>
                <w:u w:val="none"/>
                <w:lang w:val="en-US" w:eastAsia="zh-CN"/>
              </w:rPr>
              <w:t>打桩机</w:t>
            </w:r>
            <w:r>
              <w:rPr>
                <w:kern w:val="24"/>
                <w:sz w:val="24"/>
                <w:u w:val="none"/>
              </w:rPr>
              <w:t>距施工场界60m以外昼间可满足标准要求；其他施工设备</w:t>
            </w:r>
            <w:r>
              <w:rPr>
                <w:kern w:val="24"/>
                <w:sz w:val="24"/>
              </w:rPr>
              <w:t>距施工场界30m以外即可昼间施工噪声可满足</w:t>
            </w:r>
            <w:r>
              <w:rPr>
                <w:sz w:val="24"/>
              </w:rPr>
              <w:t>《建筑施工场界环境噪声排放标准》（GB12523-2011）</w:t>
            </w:r>
            <w:r>
              <w:rPr>
                <w:kern w:val="24"/>
                <w:sz w:val="24"/>
              </w:rPr>
              <w:t>。通过加强施工管理等措施后，施工期噪声对敏感点影响不大。</w:t>
            </w:r>
          </w:p>
          <w:p>
            <w:pPr>
              <w:widowControl/>
              <w:shd w:val="clear" w:color="auto" w:fill="FFFFFF"/>
              <w:spacing w:line="360" w:lineRule="auto"/>
              <w:ind w:firstLine="480" w:firstLineChars="200"/>
              <w:rPr>
                <w:sz w:val="24"/>
              </w:rPr>
            </w:pPr>
            <w:r>
              <w:rPr>
                <w:rFonts w:hint="eastAsia"/>
                <w:sz w:val="24"/>
              </w:rPr>
              <w:t>对一些重点噪声设备和声源，提出一些治理措施：</w:t>
            </w:r>
          </w:p>
          <w:p>
            <w:pPr>
              <w:widowControl/>
              <w:shd w:val="clear" w:color="auto" w:fill="FFFFFF"/>
              <w:spacing w:line="360" w:lineRule="auto"/>
              <w:ind w:firstLine="480" w:firstLineChars="200"/>
              <w:rPr>
                <w:sz w:val="24"/>
              </w:rPr>
            </w:pPr>
            <w:r>
              <w:rPr>
                <w:rFonts w:hint="eastAsia"/>
                <w:sz w:val="24"/>
              </w:rPr>
              <w:t>（</w:t>
            </w:r>
            <w:r>
              <w:rPr>
                <w:sz w:val="24"/>
              </w:rPr>
              <w:t>1</w:t>
            </w:r>
            <w:r>
              <w:rPr>
                <w:rFonts w:hint="eastAsia"/>
                <w:sz w:val="24"/>
              </w:rPr>
              <w:t>）选用低噪声设备及施工工艺</w:t>
            </w:r>
          </w:p>
          <w:p>
            <w:pPr>
              <w:widowControl/>
              <w:shd w:val="clear" w:color="auto" w:fill="FFFFFF"/>
              <w:spacing w:line="360" w:lineRule="auto"/>
              <w:ind w:firstLine="480" w:firstLineChars="200"/>
              <w:rPr>
                <w:sz w:val="24"/>
              </w:rPr>
            </w:pPr>
            <w:r>
              <w:rPr>
                <w:rFonts w:hint="eastAsia"/>
                <w:sz w:val="24"/>
              </w:rPr>
              <w:t>采用低噪声施工机械设备和先进的施工技术是控制施工期噪声有效手段之一，如本工程拟采用静压、喷注式打桩机进行桩基工程，相对于冲击式打桩机，其噪声值可降低</w:t>
            </w:r>
            <w:r>
              <w:rPr>
                <w:sz w:val="24"/>
              </w:rPr>
              <w:t>10~20dB</w:t>
            </w:r>
            <w:r>
              <w:rPr>
                <w:rFonts w:hint="eastAsia"/>
                <w:sz w:val="24"/>
              </w:rPr>
              <w:t>（</w:t>
            </w:r>
            <w:r>
              <w:rPr>
                <w:sz w:val="24"/>
              </w:rPr>
              <w:t>A</w:t>
            </w:r>
            <w:r>
              <w:rPr>
                <w:rFonts w:hint="eastAsia"/>
                <w:sz w:val="24"/>
              </w:rPr>
              <w:t>）。其他施工机械进场应得到环保或有关部门的批准，对落后的施工设备进行淘汰。</w:t>
            </w:r>
          </w:p>
          <w:p>
            <w:pPr>
              <w:widowControl/>
              <w:shd w:val="clear" w:color="auto" w:fill="FFFFFF"/>
              <w:spacing w:line="360" w:lineRule="auto"/>
              <w:ind w:firstLine="480" w:firstLineChars="200"/>
              <w:rPr>
                <w:sz w:val="24"/>
              </w:rPr>
            </w:pPr>
            <w:r>
              <w:rPr>
                <w:rFonts w:hint="eastAsia"/>
                <w:sz w:val="24"/>
              </w:rPr>
              <w:t>（</w:t>
            </w:r>
            <w:r>
              <w:rPr>
                <w:sz w:val="24"/>
              </w:rPr>
              <w:t>2</w:t>
            </w:r>
            <w:r>
              <w:rPr>
                <w:rFonts w:hint="eastAsia"/>
                <w:sz w:val="24"/>
              </w:rPr>
              <w:t>）采用局部吸声、隔声降噪技术</w:t>
            </w:r>
          </w:p>
          <w:p>
            <w:pPr>
              <w:widowControl/>
              <w:shd w:val="clear" w:color="auto" w:fill="FFFFFF"/>
              <w:spacing w:line="360" w:lineRule="auto"/>
              <w:ind w:firstLine="480" w:firstLineChars="200"/>
              <w:rPr>
                <w:sz w:val="24"/>
              </w:rPr>
            </w:pPr>
            <w:r>
              <w:rPr>
                <w:rFonts w:hint="eastAsia"/>
                <w:sz w:val="24"/>
              </w:rPr>
              <w:t>对各施工环节中噪声较为突出且又难以对声源进行降噪可能的设备装置，应采取临时隔声屏障措施，隔声屏障最好敷以吸声材料，以此达到降噪效果。据相关研究资料表明，在电钻、电锯、电焊机等强噪声设备周围设临时隔声屏障（木板或珍珠岩板等），可降噪</w:t>
            </w:r>
            <w:r>
              <w:rPr>
                <w:sz w:val="24"/>
              </w:rPr>
              <w:t>15dB</w:t>
            </w:r>
            <w:r>
              <w:rPr>
                <w:rFonts w:hint="eastAsia"/>
                <w:sz w:val="24"/>
              </w:rPr>
              <w:t>（</w:t>
            </w:r>
            <w:r>
              <w:rPr>
                <w:sz w:val="24"/>
              </w:rPr>
              <w:t>A</w:t>
            </w:r>
            <w:r>
              <w:rPr>
                <w:rFonts w:hint="eastAsia"/>
                <w:sz w:val="24"/>
              </w:rPr>
              <w:t>）。</w:t>
            </w:r>
          </w:p>
          <w:p>
            <w:pPr>
              <w:widowControl/>
              <w:shd w:val="clear" w:color="auto" w:fill="FFFFFF"/>
              <w:spacing w:line="360" w:lineRule="auto"/>
              <w:ind w:firstLine="480" w:firstLineChars="200"/>
              <w:rPr>
                <w:sz w:val="24"/>
              </w:rPr>
            </w:pPr>
            <w:r>
              <w:rPr>
                <w:rFonts w:hint="eastAsia"/>
                <w:sz w:val="24"/>
              </w:rPr>
              <w:t>除此之外，施工期还应该注意以下几点：</w:t>
            </w:r>
          </w:p>
          <w:p>
            <w:pPr>
              <w:widowControl/>
              <w:shd w:val="clear" w:color="auto" w:fill="FFFFFF"/>
              <w:spacing w:line="360" w:lineRule="auto"/>
              <w:ind w:firstLine="480" w:firstLineChars="200"/>
              <w:rPr>
                <w:sz w:val="24"/>
              </w:rPr>
            </w:pPr>
            <w:r>
              <w:rPr>
                <w:rFonts w:hint="eastAsia" w:ascii="宋体" w:hAnsi="宋体"/>
                <w:sz w:val="24"/>
              </w:rPr>
              <w:t>①</w:t>
            </w:r>
            <w:r>
              <w:rPr>
                <w:rFonts w:hint="eastAsia"/>
                <w:sz w:val="24"/>
              </w:rPr>
              <w:t>合理安排施工时间：禁止夜间（晚二十二点到早晨六点之间）以及中午（十二点到一点）进行产生环境噪声污染的建筑施工作业。建筑施工单位生产工艺上要求或者特殊需要必须进行夜间连续作业的，应事先征得周边居民同意，并向环保主管部门进行申报；</w:t>
            </w:r>
          </w:p>
          <w:p>
            <w:pPr>
              <w:widowControl/>
              <w:shd w:val="clear" w:color="auto" w:fill="FFFFFF"/>
              <w:spacing w:line="360" w:lineRule="auto"/>
              <w:ind w:firstLine="480" w:firstLineChars="200"/>
              <w:rPr>
                <w:sz w:val="24"/>
              </w:rPr>
            </w:pPr>
            <w:r>
              <w:rPr>
                <w:rFonts w:hint="eastAsia" w:ascii="宋体" w:hAnsi="宋体" w:cs="宋体"/>
                <w:sz w:val="24"/>
              </w:rPr>
              <w:t>②</w:t>
            </w:r>
            <w:r>
              <w:rPr>
                <w:rFonts w:hint="eastAsia"/>
                <w:sz w:val="24"/>
              </w:rPr>
              <w:t>合理布置噪声源设备：在不影响施工情况下将噪声设置尽量不集中安排，为保障居民区有一个良好的生活环境，强噪声设备至敏感点距离至少在</w:t>
            </w:r>
            <w:r>
              <w:rPr>
                <w:sz w:val="24"/>
              </w:rPr>
              <w:t>50m</w:t>
            </w:r>
            <w:r>
              <w:rPr>
                <w:rFonts w:hint="eastAsia"/>
                <w:sz w:val="24"/>
              </w:rPr>
              <w:t>以外，同时固定的机械设备尽量入棚操作。</w:t>
            </w:r>
          </w:p>
          <w:p>
            <w:pPr>
              <w:widowControl/>
              <w:shd w:val="clear" w:color="auto" w:fill="FFFFFF"/>
              <w:spacing w:line="360" w:lineRule="auto"/>
              <w:ind w:firstLine="480" w:firstLineChars="200"/>
              <w:rPr>
                <w:sz w:val="24"/>
              </w:rPr>
            </w:pPr>
            <w:r>
              <w:rPr>
                <w:rFonts w:hint="eastAsia" w:ascii="宋体" w:hAnsi="宋体" w:cs="宋体"/>
                <w:sz w:val="24"/>
              </w:rPr>
              <w:t>③</w:t>
            </w:r>
            <w:r>
              <w:rPr>
                <w:rFonts w:hint="eastAsia"/>
                <w:sz w:val="24"/>
              </w:rPr>
              <w:t>降低人为噪声：按规定操作机械设备，模板、支架装卸过程中，尽量减少碰撞声音。</w:t>
            </w:r>
          </w:p>
          <w:p>
            <w:pPr>
              <w:widowControl/>
              <w:shd w:val="clear" w:color="auto" w:fill="FFFFFF"/>
              <w:spacing w:line="360" w:lineRule="auto"/>
              <w:ind w:firstLine="480" w:firstLineChars="200"/>
              <w:rPr>
                <w:sz w:val="24"/>
              </w:rPr>
            </w:pPr>
            <w:r>
              <w:rPr>
                <w:rFonts w:hint="eastAsia"/>
                <w:sz w:val="24"/>
              </w:rPr>
              <w:t>（</w:t>
            </w:r>
            <w:r>
              <w:rPr>
                <w:sz w:val="24"/>
              </w:rPr>
              <w:t>3</w:t>
            </w:r>
            <w:r>
              <w:rPr>
                <w:rFonts w:hint="eastAsia"/>
                <w:sz w:val="24"/>
              </w:rPr>
              <w:t>）严格执行施工申报制度</w:t>
            </w:r>
          </w:p>
          <w:p>
            <w:pPr>
              <w:widowControl/>
              <w:shd w:val="clear" w:color="auto" w:fill="FFFFFF"/>
              <w:spacing w:line="360" w:lineRule="auto"/>
              <w:ind w:firstLine="480" w:firstLineChars="200"/>
              <w:rPr>
                <w:sz w:val="24"/>
              </w:rPr>
            </w:pPr>
            <w:r>
              <w:rPr>
                <w:rFonts w:hint="eastAsia"/>
                <w:sz w:val="24"/>
              </w:rPr>
              <w:t>（</w:t>
            </w:r>
            <w:r>
              <w:rPr>
                <w:sz w:val="24"/>
              </w:rPr>
              <w:t>4</w:t>
            </w:r>
            <w:r>
              <w:rPr>
                <w:rFonts w:hint="eastAsia"/>
                <w:sz w:val="24"/>
              </w:rPr>
              <w:t>）对于确需夜间施工的施工活动，施工单位必须事前报经城管部门批准，同时执行建筑施工噪声申报登记制度，在工程开工</w:t>
            </w:r>
            <w:r>
              <w:rPr>
                <w:sz w:val="24"/>
              </w:rPr>
              <w:t>15</w:t>
            </w:r>
            <w:r>
              <w:rPr>
                <w:rFonts w:hint="eastAsia"/>
                <w:sz w:val="24"/>
              </w:rPr>
              <w:t>日前填写《建筑施工场地噪声管理审批表》，向当地环境保护主管部门申报。并于施工前两天公告附近</w:t>
            </w:r>
            <w:r>
              <w:rPr>
                <w:rFonts w:hint="eastAsia"/>
                <w:sz w:val="24"/>
                <w:lang w:val="en-US" w:eastAsia="zh-CN"/>
              </w:rPr>
              <w:t>居</w:t>
            </w:r>
            <w:r>
              <w:rPr>
                <w:rFonts w:hint="eastAsia"/>
                <w:sz w:val="24"/>
              </w:rPr>
              <w:t>民。如有发出高分贝噪声的施工内容必须进行夜间施工时，施工单位在施工前，应当主动地将发出高分贝噪声的施工及夜间施工的时间、内容、降噪措施以及应急情况处置等情况以</w:t>
            </w:r>
            <w:r>
              <w:rPr>
                <w:sz w:val="24"/>
              </w:rPr>
              <w:t>“</w:t>
            </w:r>
            <w:r>
              <w:rPr>
                <w:rFonts w:hint="eastAsia"/>
                <w:sz w:val="24"/>
              </w:rPr>
              <w:t>告示</w:t>
            </w:r>
            <w:r>
              <w:rPr>
                <w:sz w:val="24"/>
              </w:rPr>
              <w:t>”</w:t>
            </w:r>
            <w:r>
              <w:rPr>
                <w:rFonts w:hint="eastAsia"/>
                <w:sz w:val="24"/>
              </w:rPr>
              <w:t>形式张贴在施工现场周围，接受社会的监督。</w:t>
            </w:r>
          </w:p>
          <w:p>
            <w:pPr>
              <w:widowControl/>
              <w:shd w:val="clear" w:color="auto" w:fill="FFFFFF"/>
              <w:spacing w:line="360" w:lineRule="auto"/>
              <w:ind w:firstLine="480" w:firstLineChars="200"/>
              <w:rPr>
                <w:sz w:val="24"/>
              </w:rPr>
            </w:pPr>
            <w:r>
              <w:rPr>
                <w:rFonts w:hint="eastAsia" w:ascii="宋体" w:hAnsi="宋体" w:cs="宋体"/>
                <w:sz w:val="24"/>
              </w:rPr>
              <w:t>①</w:t>
            </w:r>
            <w:r>
              <w:rPr>
                <w:rFonts w:hint="eastAsia"/>
                <w:sz w:val="24"/>
              </w:rPr>
              <w:t>控制或禁止运输车辆进出施工现场时鸣喇叭，减少交通噪声。</w:t>
            </w:r>
          </w:p>
          <w:p>
            <w:pPr>
              <w:widowControl/>
              <w:shd w:val="clear" w:color="auto" w:fill="FFFFFF"/>
              <w:spacing w:line="360" w:lineRule="auto"/>
              <w:ind w:firstLine="480" w:firstLineChars="200"/>
              <w:rPr>
                <w:sz w:val="24"/>
              </w:rPr>
            </w:pPr>
            <w:r>
              <w:rPr>
                <w:rFonts w:hint="eastAsia" w:ascii="宋体" w:hAnsi="宋体" w:cs="宋体"/>
                <w:sz w:val="24"/>
              </w:rPr>
              <w:t>②</w:t>
            </w:r>
            <w:r>
              <w:rPr>
                <w:rFonts w:hint="eastAsia"/>
                <w:sz w:val="24"/>
              </w:rPr>
              <w:t>制定施工噪声控制备用应急方案，重视噪声源头的治理工作。当常规噪声控制措施不能满足要求，出现噪声扰民情况，应及时对产生噪声的设备和施工工艺停止施工，并检测噪声防治措施的可靠性。</w:t>
            </w:r>
          </w:p>
          <w:p>
            <w:pPr>
              <w:widowControl/>
              <w:shd w:val="clear" w:color="auto" w:fill="FFFFFF"/>
              <w:spacing w:line="360" w:lineRule="auto"/>
              <w:ind w:firstLine="480" w:firstLineChars="200"/>
              <w:rPr>
                <w:sz w:val="24"/>
              </w:rPr>
            </w:pPr>
            <w:r>
              <w:rPr>
                <w:rFonts w:hint="eastAsia"/>
                <w:sz w:val="24"/>
              </w:rPr>
              <w:t>只要本项目建筑施工单位加强管理，严格执行以上有关的管理规定，本项目施工过程中产生噪声是可以得到有效的控制。尽管施工噪声和振动对外环境产生一定的不利影响，但是施工期影响是短暂的，一旦施工活动结束，施工噪声和振动也就随之结束。</w:t>
            </w:r>
          </w:p>
          <w:p>
            <w:pPr>
              <w:spacing w:line="360" w:lineRule="auto"/>
              <w:ind w:firstLine="482" w:firstLineChars="200"/>
              <w:rPr>
                <w:b/>
                <w:sz w:val="24"/>
              </w:rPr>
            </w:pPr>
            <w:r>
              <w:rPr>
                <w:b/>
                <w:sz w:val="24"/>
              </w:rPr>
              <w:t>（</w:t>
            </w:r>
            <w:r>
              <w:rPr>
                <w:rFonts w:hint="eastAsia"/>
                <w:b/>
                <w:sz w:val="24"/>
              </w:rPr>
              <w:t>四</w:t>
            </w:r>
            <w:r>
              <w:rPr>
                <w:b/>
                <w:sz w:val="24"/>
              </w:rPr>
              <w:t>）固体废物环境影响分析</w:t>
            </w:r>
          </w:p>
          <w:p>
            <w:pPr>
              <w:spacing w:line="360" w:lineRule="auto"/>
              <w:ind w:firstLine="480" w:firstLineChars="200"/>
              <w:rPr>
                <w:sz w:val="24"/>
                <w:szCs w:val="24"/>
                <w:u w:val="none"/>
              </w:rPr>
            </w:pPr>
            <w:r>
              <w:rPr>
                <w:rFonts w:hint="eastAsia"/>
                <w:sz w:val="24"/>
                <w:szCs w:val="24"/>
                <w:u w:val="none"/>
              </w:rPr>
              <w:t>施工过程会产生施工人员生活垃圾。</w:t>
            </w:r>
          </w:p>
          <w:p>
            <w:pPr>
              <w:spacing w:line="360" w:lineRule="auto"/>
              <w:ind w:firstLine="480" w:firstLineChars="200"/>
              <w:rPr>
                <w:sz w:val="24"/>
                <w:szCs w:val="24"/>
                <w:u w:val="none"/>
              </w:rPr>
            </w:pPr>
            <w:r>
              <w:rPr>
                <w:rFonts w:hint="eastAsia" w:ascii="宋体" w:hAnsi="宋体" w:cs="宋体"/>
                <w:sz w:val="24"/>
                <w:szCs w:val="24"/>
                <w:u w:val="none"/>
              </w:rPr>
              <w:t>①</w:t>
            </w:r>
            <w:r>
              <w:rPr>
                <w:rFonts w:hint="eastAsia"/>
                <w:sz w:val="24"/>
                <w:szCs w:val="24"/>
                <w:u w:val="none"/>
              </w:rPr>
              <w:t>施工人员生活垃圾</w:t>
            </w:r>
          </w:p>
          <w:p>
            <w:pPr>
              <w:spacing w:line="360" w:lineRule="auto"/>
              <w:ind w:firstLine="480" w:firstLineChars="200"/>
              <w:rPr>
                <w:sz w:val="24"/>
                <w:szCs w:val="24"/>
                <w:u w:val="none"/>
              </w:rPr>
            </w:pPr>
            <w:r>
              <w:rPr>
                <w:rFonts w:hint="eastAsia"/>
                <w:sz w:val="24"/>
                <w:szCs w:val="24"/>
                <w:u w:val="none"/>
              </w:rPr>
              <w:t>高峰期施工人数可达50人，平均每人排放生活垃圾约</w:t>
            </w:r>
            <w:r>
              <w:rPr>
                <w:sz w:val="24"/>
                <w:szCs w:val="24"/>
                <w:u w:val="none"/>
              </w:rPr>
              <w:t>0.5kg/d</w:t>
            </w:r>
            <w:r>
              <w:rPr>
                <w:rFonts w:hint="eastAsia"/>
                <w:sz w:val="24"/>
                <w:szCs w:val="24"/>
                <w:u w:val="none"/>
              </w:rPr>
              <w:t>，生活垃圾产生量为25</w:t>
            </w:r>
            <w:r>
              <w:rPr>
                <w:sz w:val="24"/>
                <w:szCs w:val="24"/>
                <w:u w:val="none"/>
              </w:rPr>
              <w:t>kg/d</w:t>
            </w:r>
            <w:r>
              <w:rPr>
                <w:rFonts w:hint="eastAsia"/>
                <w:sz w:val="24"/>
                <w:szCs w:val="24"/>
                <w:u w:val="none"/>
              </w:rPr>
              <w:t>。</w:t>
            </w:r>
          </w:p>
          <w:p>
            <w:pPr>
              <w:adjustRightInd/>
              <w:snapToGrid/>
              <w:spacing w:line="360" w:lineRule="auto"/>
              <w:ind w:firstLine="480" w:firstLineChars="200"/>
              <w:rPr>
                <w:rFonts w:hint="eastAsia"/>
                <w:sz w:val="24"/>
                <w:szCs w:val="24"/>
                <w:u w:val="none"/>
              </w:rPr>
            </w:pPr>
            <w:r>
              <w:rPr>
                <w:rFonts w:hint="eastAsia"/>
                <w:sz w:val="24"/>
                <w:szCs w:val="24"/>
                <w:u w:val="none"/>
              </w:rPr>
              <w:t>施工期生活垃圾集中存放委托环卫清运</w:t>
            </w:r>
            <w:r>
              <w:rPr>
                <w:rFonts w:hint="eastAsia"/>
                <w:sz w:val="24"/>
                <w:szCs w:val="24"/>
                <w:u w:val="none"/>
                <w:lang w:val="en-US" w:eastAsia="zh-CN"/>
              </w:rPr>
              <w:t>转移至湘阴县焚烧发电厂进行处理</w:t>
            </w:r>
            <w:r>
              <w:rPr>
                <w:rFonts w:hint="eastAsia"/>
                <w:sz w:val="24"/>
                <w:szCs w:val="24"/>
                <w:u w:val="none"/>
              </w:rPr>
              <w:t>。采取上述措施，本项目施工期固废均可得到妥善处置，措施可行。</w:t>
            </w:r>
          </w:p>
          <w:p>
            <w:pPr>
              <w:adjustRightInd/>
              <w:snapToGrid/>
              <w:spacing w:line="360" w:lineRule="auto"/>
              <w:ind w:firstLine="480" w:firstLineChars="200"/>
              <w:rPr>
                <w:rFonts w:hint="eastAsia"/>
                <w:sz w:val="24"/>
                <w:szCs w:val="24"/>
                <w:u w:val="single"/>
                <w:lang w:val="en-US" w:eastAsia="zh-CN"/>
              </w:rPr>
            </w:pPr>
            <w:r>
              <w:rPr>
                <w:rFonts w:hint="eastAsia"/>
                <w:sz w:val="24"/>
                <w:szCs w:val="24"/>
                <w:u w:val="single"/>
              </w:rPr>
              <w:fldChar w:fldCharType="begin"/>
            </w:r>
            <w:r>
              <w:rPr>
                <w:rFonts w:hint="eastAsia"/>
                <w:sz w:val="24"/>
                <w:szCs w:val="24"/>
                <w:u w:val="single"/>
              </w:rPr>
              <w:instrText xml:space="preserve"> = 2 \* GB3 \* MERGEFORMAT </w:instrText>
            </w:r>
            <w:r>
              <w:rPr>
                <w:rFonts w:hint="eastAsia"/>
                <w:sz w:val="24"/>
                <w:szCs w:val="24"/>
                <w:u w:val="single"/>
              </w:rPr>
              <w:fldChar w:fldCharType="separate"/>
            </w:r>
            <w:r>
              <w:rPr>
                <w:sz w:val="24"/>
                <w:szCs w:val="24"/>
                <w:u w:val="single"/>
              </w:rPr>
              <w:t>②</w:t>
            </w:r>
            <w:r>
              <w:rPr>
                <w:rFonts w:hint="eastAsia"/>
                <w:sz w:val="24"/>
                <w:szCs w:val="24"/>
                <w:u w:val="single"/>
              </w:rPr>
              <w:fldChar w:fldCharType="end"/>
            </w:r>
            <w:r>
              <w:rPr>
                <w:rFonts w:hint="eastAsia"/>
                <w:sz w:val="24"/>
                <w:szCs w:val="24"/>
                <w:u w:val="single"/>
                <w:lang w:val="en-US" w:eastAsia="zh-CN"/>
              </w:rPr>
              <w:t>施工期土石方</w:t>
            </w:r>
          </w:p>
          <w:p>
            <w:pPr>
              <w:bidi w:val="0"/>
              <w:spacing w:line="360" w:lineRule="auto"/>
              <w:ind w:firstLine="480" w:firstLineChars="200"/>
              <w:rPr>
                <w:sz w:val="24"/>
                <w:szCs w:val="24"/>
                <w:u w:val="single"/>
              </w:rPr>
            </w:pPr>
            <w:r>
              <w:rPr>
                <w:rFonts w:hint="eastAsia"/>
                <w:sz w:val="24"/>
                <w:szCs w:val="24"/>
                <w:u w:val="single"/>
                <w:lang w:val="en-US" w:eastAsia="zh-CN"/>
              </w:rPr>
              <w:t>施工过程中产生的土石方，部分回用，</w:t>
            </w:r>
            <w:r>
              <w:rPr>
                <w:rFonts w:hint="default"/>
                <w:sz w:val="24"/>
                <w:szCs w:val="24"/>
                <w:u w:val="single"/>
                <w:lang w:val="en-US" w:eastAsia="zh-CN"/>
              </w:rPr>
              <w:t>多余土方由市政部门运往土方消纳场所处置</w:t>
            </w:r>
            <w:r>
              <w:rPr>
                <w:rFonts w:hint="eastAsia"/>
                <w:sz w:val="24"/>
                <w:szCs w:val="24"/>
                <w:u w:val="single"/>
                <w:lang w:val="en-US" w:eastAsia="zh-CN"/>
              </w:rPr>
              <w:t>。</w:t>
            </w:r>
            <w:r>
              <w:rPr>
                <w:sz w:val="24"/>
                <w:szCs w:val="24"/>
                <w:u w:val="single"/>
              </w:rPr>
              <w:t>根据建设单位提供资料项目需要平整场地的面积约</w:t>
            </w:r>
            <w:r>
              <w:rPr>
                <w:rFonts w:ascii="Times New Roman" w:hAnsi="Times New Roman" w:eastAsia="宋体" w:cs="Times New Roman"/>
                <w:sz w:val="24"/>
                <w:szCs w:val="24"/>
                <w:u w:val="single"/>
              </w:rPr>
              <w:t>为</w:t>
            </w:r>
            <w:r>
              <w:rPr>
                <w:rFonts w:hint="eastAsia" w:ascii="Times New Roman" w:hAnsi="Times New Roman" w:eastAsia="宋体" w:cs="Times New Roman"/>
                <w:sz w:val="24"/>
                <w:szCs w:val="24"/>
                <w:u w:val="single"/>
                <w:lang w:val="en-US" w:eastAsia="zh-CN"/>
              </w:rPr>
              <w:t>6998.54</w:t>
            </w:r>
            <w:r>
              <w:rPr>
                <w:sz w:val="24"/>
                <w:szCs w:val="24"/>
                <w:highlight w:val="none"/>
                <w:u w:val="single"/>
              </w:rPr>
              <w:t>m</w:t>
            </w:r>
            <w:r>
              <w:rPr>
                <w:sz w:val="24"/>
                <w:szCs w:val="24"/>
                <w:highlight w:val="none"/>
                <w:u w:val="single"/>
                <w:vertAlign w:val="superscript"/>
              </w:rPr>
              <w:t>2</w:t>
            </w:r>
            <w:r>
              <w:rPr>
                <w:sz w:val="24"/>
                <w:szCs w:val="24"/>
                <w:u w:val="single"/>
              </w:rPr>
              <w:t>，在进行基础开挖前先剥离表土，将其堆放在场区适当位置，用于后期场地绿化覆土。</w:t>
            </w:r>
          </w:p>
          <w:p>
            <w:pPr>
              <w:bidi w:val="0"/>
              <w:spacing w:line="360" w:lineRule="auto"/>
              <w:ind w:firstLine="480" w:firstLineChars="200"/>
              <w:rPr>
                <w:sz w:val="24"/>
                <w:szCs w:val="24"/>
                <w:highlight w:val="none"/>
                <w:u w:val="single"/>
              </w:rPr>
            </w:pPr>
            <w:r>
              <w:rPr>
                <w:sz w:val="24"/>
                <w:szCs w:val="24"/>
                <w:u w:val="single"/>
              </w:rPr>
              <w:t>据建设单位提供资料，项目场地存在一定的高差</w:t>
            </w:r>
            <w:r>
              <w:rPr>
                <w:sz w:val="24"/>
                <w:szCs w:val="24"/>
                <w:highlight w:val="none"/>
                <w:u w:val="single"/>
              </w:rPr>
              <w:t>。项目涉及挖方量约为</w:t>
            </w:r>
            <w:r>
              <w:rPr>
                <w:rFonts w:hint="eastAsia"/>
                <w:sz w:val="24"/>
                <w:szCs w:val="24"/>
                <w:highlight w:val="none"/>
                <w:u w:val="single"/>
                <w:lang w:val="en-US" w:eastAsia="zh-CN"/>
              </w:rPr>
              <w:t>3.58万</w:t>
            </w:r>
            <w:r>
              <w:rPr>
                <w:sz w:val="24"/>
                <w:szCs w:val="24"/>
                <w:highlight w:val="none"/>
                <w:u w:val="single"/>
              </w:rPr>
              <w:t>m</w:t>
            </w:r>
            <w:r>
              <w:rPr>
                <w:sz w:val="24"/>
                <w:szCs w:val="24"/>
                <w:highlight w:val="none"/>
                <w:u w:val="single"/>
                <w:vertAlign w:val="superscript"/>
              </w:rPr>
              <w:t>3</w:t>
            </w:r>
            <w:r>
              <w:rPr>
                <w:rFonts w:hint="eastAsia"/>
                <w:sz w:val="24"/>
                <w:szCs w:val="24"/>
                <w:highlight w:val="none"/>
                <w:u w:val="single"/>
                <w:vertAlign w:val="baseline"/>
                <w:lang w:eastAsia="zh-CN"/>
              </w:rPr>
              <w:t>，</w:t>
            </w:r>
            <w:r>
              <w:rPr>
                <w:rFonts w:hint="eastAsia"/>
                <w:sz w:val="24"/>
                <w:szCs w:val="24"/>
                <w:highlight w:val="none"/>
                <w:u w:val="single"/>
                <w:vertAlign w:val="baseline"/>
                <w:lang w:val="en-US" w:eastAsia="zh-CN"/>
              </w:rPr>
              <w:t>其中土石方3.48</w:t>
            </w:r>
            <w:r>
              <w:rPr>
                <w:rFonts w:hint="eastAsia"/>
                <w:sz w:val="24"/>
                <w:szCs w:val="24"/>
                <w:highlight w:val="none"/>
                <w:u w:val="single"/>
                <w:lang w:val="en-US" w:eastAsia="zh-CN"/>
              </w:rPr>
              <w:t>万</w:t>
            </w:r>
            <w:r>
              <w:rPr>
                <w:sz w:val="24"/>
                <w:szCs w:val="24"/>
                <w:highlight w:val="none"/>
                <w:u w:val="single"/>
              </w:rPr>
              <w:t>m</w:t>
            </w:r>
            <w:r>
              <w:rPr>
                <w:sz w:val="24"/>
                <w:szCs w:val="24"/>
                <w:highlight w:val="none"/>
                <w:u w:val="single"/>
                <w:vertAlign w:val="superscript"/>
              </w:rPr>
              <w:t>3</w:t>
            </w:r>
            <w:r>
              <w:rPr>
                <w:rFonts w:hint="eastAsia"/>
                <w:sz w:val="24"/>
                <w:szCs w:val="24"/>
                <w:highlight w:val="none"/>
                <w:u w:val="single"/>
                <w:vertAlign w:val="baseline"/>
                <w:lang w:val="en-US" w:eastAsia="zh-CN"/>
              </w:rPr>
              <w:t>，表土0.10</w:t>
            </w:r>
            <w:r>
              <w:rPr>
                <w:rFonts w:hint="eastAsia"/>
                <w:sz w:val="24"/>
                <w:szCs w:val="24"/>
                <w:highlight w:val="none"/>
                <w:u w:val="single"/>
                <w:lang w:val="en-US" w:eastAsia="zh-CN"/>
              </w:rPr>
              <w:t>万</w:t>
            </w:r>
            <w:r>
              <w:rPr>
                <w:sz w:val="24"/>
                <w:szCs w:val="24"/>
                <w:highlight w:val="none"/>
                <w:u w:val="single"/>
              </w:rPr>
              <w:t>m</w:t>
            </w:r>
            <w:r>
              <w:rPr>
                <w:sz w:val="24"/>
                <w:szCs w:val="24"/>
                <w:highlight w:val="none"/>
                <w:u w:val="single"/>
                <w:vertAlign w:val="superscript"/>
              </w:rPr>
              <w:t>3</w:t>
            </w:r>
            <w:r>
              <w:rPr>
                <w:rFonts w:hint="eastAsia"/>
                <w:sz w:val="24"/>
                <w:szCs w:val="24"/>
                <w:highlight w:val="none"/>
                <w:u w:val="single"/>
                <w:vertAlign w:val="baseline"/>
                <w:lang w:val="en-US" w:eastAsia="zh-CN"/>
              </w:rPr>
              <w:t>；部分回用，填方0.33</w:t>
            </w:r>
            <w:r>
              <w:rPr>
                <w:rFonts w:hint="eastAsia"/>
                <w:sz w:val="24"/>
                <w:szCs w:val="24"/>
                <w:highlight w:val="none"/>
                <w:u w:val="single"/>
                <w:lang w:val="en-US" w:eastAsia="zh-CN"/>
              </w:rPr>
              <w:t>万</w:t>
            </w:r>
            <w:r>
              <w:rPr>
                <w:sz w:val="24"/>
                <w:szCs w:val="24"/>
                <w:highlight w:val="none"/>
                <w:u w:val="single"/>
              </w:rPr>
              <w:t>m</w:t>
            </w:r>
            <w:r>
              <w:rPr>
                <w:sz w:val="24"/>
                <w:szCs w:val="24"/>
                <w:highlight w:val="none"/>
                <w:u w:val="single"/>
                <w:vertAlign w:val="superscript"/>
              </w:rPr>
              <w:t>3</w:t>
            </w:r>
            <w:r>
              <w:rPr>
                <w:rFonts w:hint="eastAsia"/>
                <w:sz w:val="24"/>
                <w:szCs w:val="24"/>
                <w:highlight w:val="none"/>
                <w:u w:val="single"/>
                <w:vertAlign w:val="baseline"/>
                <w:lang w:val="en-US" w:eastAsia="zh-CN"/>
              </w:rPr>
              <w:t>；弃方3.25</w:t>
            </w:r>
            <w:r>
              <w:rPr>
                <w:rFonts w:hint="eastAsia"/>
                <w:sz w:val="24"/>
                <w:szCs w:val="24"/>
                <w:highlight w:val="none"/>
                <w:u w:val="single"/>
                <w:lang w:val="en-US" w:eastAsia="zh-CN"/>
              </w:rPr>
              <w:t>万</w:t>
            </w:r>
            <w:r>
              <w:rPr>
                <w:sz w:val="24"/>
                <w:szCs w:val="24"/>
                <w:highlight w:val="none"/>
                <w:u w:val="single"/>
              </w:rPr>
              <w:t>m</w:t>
            </w:r>
            <w:r>
              <w:rPr>
                <w:sz w:val="24"/>
                <w:szCs w:val="24"/>
                <w:highlight w:val="none"/>
                <w:u w:val="single"/>
                <w:vertAlign w:val="superscript"/>
              </w:rPr>
              <w:t>3</w:t>
            </w:r>
            <w:r>
              <w:rPr>
                <w:sz w:val="24"/>
                <w:szCs w:val="24"/>
                <w:highlight w:val="none"/>
                <w:u w:val="single"/>
              </w:rPr>
              <w:t>。</w:t>
            </w:r>
          </w:p>
          <w:p>
            <w:pPr>
              <w:bidi w:val="0"/>
              <w:spacing w:line="240" w:lineRule="auto"/>
              <w:ind w:firstLine="422" w:firstLineChars="200"/>
              <w:jc w:val="center"/>
              <w:rPr>
                <w:rFonts w:hint="default"/>
                <w:sz w:val="24"/>
                <w:szCs w:val="24"/>
                <w:highlight w:val="none"/>
                <w:u w:val="single"/>
                <w:lang w:val="en-US"/>
              </w:rPr>
            </w:pPr>
            <w:r>
              <w:rPr>
                <w:b/>
                <w:bCs/>
                <w:szCs w:val="21"/>
              </w:rPr>
              <w:t>表</w:t>
            </w:r>
            <w:r>
              <w:rPr>
                <w:rFonts w:hint="eastAsia"/>
                <w:b/>
                <w:bCs/>
                <w:szCs w:val="21"/>
              </w:rPr>
              <w:t>4-</w:t>
            </w:r>
            <w:r>
              <w:rPr>
                <w:rFonts w:hint="eastAsia"/>
                <w:b/>
                <w:bCs/>
                <w:szCs w:val="21"/>
                <w:lang w:val="en-US" w:eastAsia="zh-CN"/>
              </w:rPr>
              <w:t>4  土石方平衡表</w:t>
            </w:r>
          </w:p>
          <w:tbl>
            <w:tblPr>
              <w:tblStyle w:val="26"/>
              <w:tblW w:w="8267"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55"/>
              <w:gridCol w:w="710"/>
              <w:gridCol w:w="899"/>
              <w:gridCol w:w="682"/>
              <w:gridCol w:w="655"/>
              <w:gridCol w:w="859"/>
              <w:gridCol w:w="736"/>
              <w:gridCol w:w="846"/>
              <w:gridCol w:w="873"/>
              <w:gridCol w:w="845"/>
              <w:gridCol w:w="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1155" w:type="dxa"/>
                  <w:vMerge w:val="restart"/>
                  <w:tcBorders>
                    <w:tl2br w:val="nil"/>
                    <w:tr2bl w:val="nil"/>
                  </w:tcBorders>
                  <w:vAlign w:val="center"/>
                </w:tcPr>
                <w:p>
                  <w:pPr>
                    <w:bidi w:val="0"/>
                    <w:spacing w:line="240" w:lineRule="auto"/>
                    <w:jc w:val="center"/>
                    <w:rPr>
                      <w:rFonts w:hint="default"/>
                      <w:sz w:val="21"/>
                      <w:szCs w:val="21"/>
                      <w:highlight w:val="none"/>
                      <w:u w:val="single"/>
                      <w:vertAlign w:val="baseline"/>
                      <w:lang w:val="en-US" w:eastAsia="zh-CN"/>
                    </w:rPr>
                  </w:pPr>
                  <w:r>
                    <w:rPr>
                      <w:rFonts w:hint="eastAsia"/>
                      <w:sz w:val="21"/>
                      <w:szCs w:val="21"/>
                      <w:highlight w:val="none"/>
                      <w:u w:val="single"/>
                      <w:vertAlign w:val="baseline"/>
                      <w:lang w:val="en-US" w:eastAsia="zh-CN"/>
                    </w:rPr>
                    <w:t>施工时序</w:t>
                  </w:r>
                </w:p>
              </w:tc>
              <w:tc>
                <w:tcPr>
                  <w:tcW w:w="2291" w:type="dxa"/>
                  <w:gridSpan w:val="3"/>
                  <w:tcBorders>
                    <w:tl2br w:val="nil"/>
                    <w:tr2bl w:val="nil"/>
                  </w:tcBorders>
                  <w:vAlign w:val="center"/>
                </w:tcPr>
                <w:p>
                  <w:pPr>
                    <w:bidi w:val="0"/>
                    <w:spacing w:line="240" w:lineRule="auto"/>
                    <w:jc w:val="center"/>
                    <w:rPr>
                      <w:rFonts w:hint="default"/>
                      <w:sz w:val="21"/>
                      <w:szCs w:val="21"/>
                      <w:highlight w:val="none"/>
                      <w:u w:val="single"/>
                      <w:vertAlign w:val="baseline"/>
                      <w:lang w:val="en-US" w:eastAsia="zh-CN"/>
                    </w:rPr>
                  </w:pPr>
                  <w:r>
                    <w:rPr>
                      <w:rFonts w:hint="eastAsia"/>
                      <w:sz w:val="21"/>
                      <w:szCs w:val="21"/>
                      <w:highlight w:val="none"/>
                      <w:u w:val="single"/>
                      <w:vertAlign w:val="baseline"/>
                      <w:lang w:val="en-US" w:eastAsia="zh-CN"/>
                    </w:rPr>
                    <w:t>挖方</w:t>
                  </w:r>
                </w:p>
              </w:tc>
              <w:tc>
                <w:tcPr>
                  <w:tcW w:w="2250" w:type="dxa"/>
                  <w:gridSpan w:val="3"/>
                  <w:tcBorders>
                    <w:tl2br w:val="nil"/>
                    <w:tr2bl w:val="nil"/>
                  </w:tcBorders>
                  <w:vAlign w:val="center"/>
                </w:tcPr>
                <w:p>
                  <w:pPr>
                    <w:bidi w:val="0"/>
                    <w:spacing w:line="240" w:lineRule="auto"/>
                    <w:jc w:val="center"/>
                    <w:rPr>
                      <w:rFonts w:hint="default"/>
                      <w:sz w:val="21"/>
                      <w:szCs w:val="21"/>
                      <w:highlight w:val="none"/>
                      <w:u w:val="single"/>
                      <w:vertAlign w:val="baseline"/>
                      <w:lang w:val="en-US" w:eastAsia="zh-CN"/>
                    </w:rPr>
                  </w:pPr>
                  <w:r>
                    <w:rPr>
                      <w:rFonts w:hint="eastAsia"/>
                      <w:sz w:val="21"/>
                      <w:szCs w:val="21"/>
                      <w:highlight w:val="none"/>
                      <w:u w:val="single"/>
                      <w:vertAlign w:val="baseline"/>
                      <w:lang w:val="en-US" w:eastAsia="zh-CN"/>
                    </w:rPr>
                    <w:t>填方</w:t>
                  </w:r>
                </w:p>
              </w:tc>
              <w:tc>
                <w:tcPr>
                  <w:tcW w:w="2564" w:type="dxa"/>
                  <w:gridSpan w:val="3"/>
                  <w:tcBorders>
                    <w:tl2br w:val="nil"/>
                    <w:tr2bl w:val="nil"/>
                  </w:tcBorders>
                  <w:vAlign w:val="center"/>
                </w:tcPr>
                <w:p>
                  <w:pPr>
                    <w:bidi w:val="0"/>
                    <w:spacing w:line="240" w:lineRule="auto"/>
                    <w:jc w:val="center"/>
                    <w:rPr>
                      <w:rFonts w:hint="default"/>
                      <w:sz w:val="21"/>
                      <w:szCs w:val="21"/>
                      <w:highlight w:val="none"/>
                      <w:u w:val="single"/>
                      <w:vertAlign w:val="baseline"/>
                      <w:lang w:val="en-US" w:eastAsia="zh-CN"/>
                    </w:rPr>
                  </w:pPr>
                  <w:r>
                    <w:rPr>
                      <w:rFonts w:hint="eastAsia"/>
                      <w:sz w:val="21"/>
                      <w:szCs w:val="21"/>
                      <w:highlight w:val="none"/>
                      <w:u w:val="single"/>
                      <w:vertAlign w:val="baseline"/>
                      <w:lang w:val="en-US" w:eastAsia="zh-CN"/>
                    </w:rPr>
                    <w:t>弃方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55" w:type="dxa"/>
                  <w:vMerge w:val="continue"/>
                  <w:tcBorders>
                    <w:tl2br w:val="nil"/>
                    <w:tr2bl w:val="nil"/>
                  </w:tcBorders>
                  <w:vAlign w:val="center"/>
                </w:tcPr>
                <w:p>
                  <w:pPr>
                    <w:bidi w:val="0"/>
                    <w:spacing w:line="240" w:lineRule="auto"/>
                    <w:jc w:val="center"/>
                    <w:rPr>
                      <w:rFonts w:hint="default"/>
                      <w:sz w:val="21"/>
                      <w:szCs w:val="21"/>
                      <w:highlight w:val="none"/>
                      <w:u w:val="single"/>
                      <w:vertAlign w:val="baseline"/>
                      <w:lang w:val="en-US" w:eastAsia="zh-CN"/>
                    </w:rPr>
                  </w:pPr>
                </w:p>
              </w:tc>
              <w:tc>
                <w:tcPr>
                  <w:tcW w:w="710" w:type="dxa"/>
                  <w:tcBorders>
                    <w:tl2br w:val="nil"/>
                    <w:tr2bl w:val="nil"/>
                  </w:tcBorders>
                  <w:vAlign w:val="center"/>
                </w:tcPr>
                <w:p>
                  <w:pPr>
                    <w:bidi w:val="0"/>
                    <w:spacing w:line="240" w:lineRule="auto"/>
                    <w:jc w:val="center"/>
                    <w:rPr>
                      <w:rFonts w:hint="default"/>
                      <w:sz w:val="21"/>
                      <w:szCs w:val="21"/>
                      <w:highlight w:val="none"/>
                      <w:u w:val="single"/>
                      <w:vertAlign w:val="baseline"/>
                      <w:lang w:val="en-US" w:eastAsia="zh-CN"/>
                    </w:rPr>
                  </w:pPr>
                  <w:r>
                    <w:rPr>
                      <w:rFonts w:hint="eastAsia"/>
                      <w:sz w:val="21"/>
                      <w:szCs w:val="21"/>
                      <w:highlight w:val="none"/>
                      <w:u w:val="single"/>
                      <w:vertAlign w:val="baseline"/>
                      <w:lang w:val="en-US" w:eastAsia="zh-CN"/>
                    </w:rPr>
                    <w:t>总量</w:t>
                  </w:r>
                </w:p>
              </w:tc>
              <w:tc>
                <w:tcPr>
                  <w:tcW w:w="899" w:type="dxa"/>
                  <w:tcBorders>
                    <w:tl2br w:val="nil"/>
                    <w:tr2bl w:val="nil"/>
                  </w:tcBorders>
                  <w:vAlign w:val="center"/>
                </w:tcPr>
                <w:p>
                  <w:pPr>
                    <w:bidi w:val="0"/>
                    <w:spacing w:line="240" w:lineRule="auto"/>
                    <w:jc w:val="center"/>
                    <w:rPr>
                      <w:rFonts w:hint="default"/>
                      <w:sz w:val="21"/>
                      <w:szCs w:val="21"/>
                      <w:highlight w:val="none"/>
                      <w:u w:val="single"/>
                      <w:vertAlign w:val="baseline"/>
                      <w:lang w:val="en-US" w:eastAsia="zh-CN"/>
                    </w:rPr>
                  </w:pPr>
                  <w:r>
                    <w:rPr>
                      <w:rFonts w:hint="eastAsia"/>
                      <w:sz w:val="21"/>
                      <w:szCs w:val="21"/>
                      <w:highlight w:val="none"/>
                      <w:u w:val="single"/>
                      <w:vertAlign w:val="baseline"/>
                      <w:lang w:val="en-US" w:eastAsia="zh-CN"/>
                    </w:rPr>
                    <w:t>土石方</w:t>
                  </w:r>
                </w:p>
              </w:tc>
              <w:tc>
                <w:tcPr>
                  <w:tcW w:w="682" w:type="dxa"/>
                  <w:tcBorders>
                    <w:tl2br w:val="nil"/>
                    <w:tr2bl w:val="nil"/>
                  </w:tcBorders>
                  <w:vAlign w:val="center"/>
                </w:tcPr>
                <w:p>
                  <w:pPr>
                    <w:bidi w:val="0"/>
                    <w:spacing w:line="240" w:lineRule="auto"/>
                    <w:jc w:val="center"/>
                    <w:rPr>
                      <w:rFonts w:hint="default"/>
                      <w:sz w:val="21"/>
                      <w:szCs w:val="21"/>
                      <w:highlight w:val="none"/>
                      <w:u w:val="single"/>
                      <w:vertAlign w:val="baseline"/>
                      <w:lang w:val="en-US" w:eastAsia="zh-CN"/>
                    </w:rPr>
                  </w:pPr>
                  <w:r>
                    <w:rPr>
                      <w:rFonts w:hint="eastAsia"/>
                      <w:sz w:val="21"/>
                      <w:szCs w:val="21"/>
                      <w:highlight w:val="none"/>
                      <w:u w:val="single"/>
                      <w:vertAlign w:val="baseline"/>
                      <w:lang w:val="en-US" w:eastAsia="zh-CN"/>
                    </w:rPr>
                    <w:t>表土</w:t>
                  </w:r>
                </w:p>
              </w:tc>
              <w:tc>
                <w:tcPr>
                  <w:tcW w:w="655" w:type="dxa"/>
                  <w:tcBorders>
                    <w:tl2br w:val="nil"/>
                    <w:tr2bl w:val="nil"/>
                  </w:tcBorders>
                  <w:vAlign w:val="center"/>
                </w:tcPr>
                <w:p>
                  <w:pPr>
                    <w:bidi w:val="0"/>
                    <w:spacing w:line="240" w:lineRule="auto"/>
                    <w:jc w:val="center"/>
                    <w:rPr>
                      <w:rFonts w:hint="eastAsia"/>
                      <w:sz w:val="21"/>
                      <w:szCs w:val="21"/>
                      <w:highlight w:val="none"/>
                      <w:u w:val="single"/>
                      <w:vertAlign w:val="baseline"/>
                      <w:lang w:val="en-US" w:eastAsia="zh-CN"/>
                    </w:rPr>
                  </w:pPr>
                  <w:r>
                    <w:rPr>
                      <w:rFonts w:hint="eastAsia"/>
                      <w:sz w:val="21"/>
                      <w:szCs w:val="21"/>
                      <w:highlight w:val="none"/>
                      <w:u w:val="single"/>
                      <w:vertAlign w:val="baseline"/>
                      <w:lang w:val="en-US" w:eastAsia="zh-CN"/>
                    </w:rPr>
                    <w:t>总量</w:t>
                  </w:r>
                </w:p>
              </w:tc>
              <w:tc>
                <w:tcPr>
                  <w:tcW w:w="859" w:type="dxa"/>
                  <w:tcBorders>
                    <w:tl2br w:val="nil"/>
                    <w:tr2bl w:val="nil"/>
                  </w:tcBorders>
                  <w:vAlign w:val="center"/>
                </w:tcPr>
                <w:p>
                  <w:pPr>
                    <w:bidi w:val="0"/>
                    <w:spacing w:line="240" w:lineRule="auto"/>
                    <w:jc w:val="center"/>
                    <w:rPr>
                      <w:rFonts w:hint="eastAsia"/>
                      <w:sz w:val="21"/>
                      <w:szCs w:val="21"/>
                      <w:highlight w:val="none"/>
                      <w:u w:val="single"/>
                      <w:vertAlign w:val="baseline"/>
                      <w:lang w:val="en-US" w:eastAsia="zh-CN"/>
                    </w:rPr>
                  </w:pPr>
                  <w:r>
                    <w:rPr>
                      <w:rFonts w:hint="eastAsia"/>
                      <w:sz w:val="21"/>
                      <w:szCs w:val="21"/>
                      <w:highlight w:val="none"/>
                      <w:u w:val="single"/>
                      <w:vertAlign w:val="baseline"/>
                      <w:lang w:val="en-US" w:eastAsia="zh-CN"/>
                    </w:rPr>
                    <w:t>土石方</w:t>
                  </w:r>
                </w:p>
              </w:tc>
              <w:tc>
                <w:tcPr>
                  <w:tcW w:w="736" w:type="dxa"/>
                  <w:tcBorders>
                    <w:tl2br w:val="nil"/>
                    <w:tr2bl w:val="nil"/>
                  </w:tcBorders>
                  <w:vAlign w:val="center"/>
                </w:tcPr>
                <w:p>
                  <w:pPr>
                    <w:bidi w:val="0"/>
                    <w:spacing w:line="240" w:lineRule="auto"/>
                    <w:jc w:val="center"/>
                    <w:rPr>
                      <w:rFonts w:hint="eastAsia"/>
                      <w:sz w:val="21"/>
                      <w:szCs w:val="21"/>
                      <w:highlight w:val="none"/>
                      <w:u w:val="single"/>
                      <w:vertAlign w:val="baseline"/>
                      <w:lang w:val="en-US" w:eastAsia="zh-CN"/>
                    </w:rPr>
                  </w:pPr>
                  <w:r>
                    <w:rPr>
                      <w:rFonts w:hint="eastAsia"/>
                      <w:sz w:val="21"/>
                      <w:szCs w:val="21"/>
                      <w:highlight w:val="none"/>
                      <w:u w:val="single"/>
                      <w:vertAlign w:val="baseline"/>
                      <w:lang w:val="en-US" w:eastAsia="zh-CN"/>
                    </w:rPr>
                    <w:t>表土</w:t>
                  </w:r>
                </w:p>
              </w:tc>
              <w:tc>
                <w:tcPr>
                  <w:tcW w:w="846" w:type="dxa"/>
                  <w:tcBorders>
                    <w:tl2br w:val="nil"/>
                    <w:tr2bl w:val="nil"/>
                  </w:tcBorders>
                  <w:vAlign w:val="center"/>
                </w:tcPr>
                <w:p>
                  <w:pPr>
                    <w:bidi w:val="0"/>
                    <w:spacing w:line="240" w:lineRule="auto"/>
                    <w:jc w:val="center"/>
                    <w:rPr>
                      <w:rFonts w:hint="eastAsia"/>
                      <w:sz w:val="21"/>
                      <w:szCs w:val="21"/>
                      <w:highlight w:val="none"/>
                      <w:u w:val="single"/>
                      <w:vertAlign w:val="baseline"/>
                      <w:lang w:val="en-US" w:eastAsia="zh-CN"/>
                    </w:rPr>
                  </w:pPr>
                  <w:r>
                    <w:rPr>
                      <w:rFonts w:hint="eastAsia"/>
                      <w:sz w:val="21"/>
                      <w:szCs w:val="21"/>
                      <w:highlight w:val="none"/>
                      <w:u w:val="single"/>
                      <w:vertAlign w:val="baseline"/>
                      <w:lang w:val="en-US" w:eastAsia="zh-CN"/>
                    </w:rPr>
                    <w:t>总量</w:t>
                  </w:r>
                </w:p>
              </w:tc>
              <w:tc>
                <w:tcPr>
                  <w:tcW w:w="873" w:type="dxa"/>
                  <w:tcBorders>
                    <w:tl2br w:val="nil"/>
                    <w:tr2bl w:val="nil"/>
                  </w:tcBorders>
                  <w:vAlign w:val="center"/>
                </w:tcPr>
                <w:p>
                  <w:pPr>
                    <w:bidi w:val="0"/>
                    <w:spacing w:line="240" w:lineRule="auto"/>
                    <w:jc w:val="center"/>
                    <w:rPr>
                      <w:rFonts w:hint="eastAsia"/>
                      <w:sz w:val="21"/>
                      <w:szCs w:val="21"/>
                      <w:highlight w:val="none"/>
                      <w:u w:val="single"/>
                      <w:vertAlign w:val="baseline"/>
                      <w:lang w:val="en-US" w:eastAsia="zh-CN"/>
                    </w:rPr>
                  </w:pPr>
                  <w:r>
                    <w:rPr>
                      <w:rFonts w:hint="eastAsia"/>
                      <w:sz w:val="21"/>
                      <w:szCs w:val="21"/>
                      <w:highlight w:val="none"/>
                      <w:u w:val="single"/>
                      <w:vertAlign w:val="baseline"/>
                      <w:lang w:val="en-US" w:eastAsia="zh-CN"/>
                    </w:rPr>
                    <w:t>土石方</w:t>
                  </w:r>
                </w:p>
              </w:tc>
              <w:tc>
                <w:tcPr>
                  <w:tcW w:w="852" w:type="dxa"/>
                  <w:gridSpan w:val="2"/>
                  <w:tcBorders>
                    <w:tl2br w:val="nil"/>
                    <w:tr2bl w:val="nil"/>
                  </w:tcBorders>
                  <w:vAlign w:val="center"/>
                </w:tcPr>
                <w:p>
                  <w:pPr>
                    <w:bidi w:val="0"/>
                    <w:spacing w:line="240" w:lineRule="auto"/>
                    <w:jc w:val="center"/>
                    <w:rPr>
                      <w:rFonts w:hint="default"/>
                      <w:sz w:val="21"/>
                      <w:szCs w:val="21"/>
                      <w:highlight w:val="none"/>
                      <w:u w:val="single"/>
                      <w:vertAlign w:val="baseline"/>
                      <w:lang w:val="en-US" w:eastAsia="zh-CN"/>
                    </w:rPr>
                  </w:pPr>
                  <w:r>
                    <w:rPr>
                      <w:rFonts w:hint="eastAsia"/>
                      <w:sz w:val="21"/>
                      <w:szCs w:val="21"/>
                      <w:highlight w:val="none"/>
                      <w:u w:val="single"/>
                      <w:vertAlign w:val="baseline"/>
                      <w:lang w:val="en-US" w:eastAsia="zh-CN"/>
                    </w:rPr>
                    <w:t>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55" w:type="dxa"/>
                  <w:tcBorders>
                    <w:tl2br w:val="nil"/>
                    <w:tr2bl w:val="nil"/>
                  </w:tcBorders>
                  <w:vAlign w:val="center"/>
                </w:tcPr>
                <w:p>
                  <w:pPr>
                    <w:bidi w:val="0"/>
                    <w:spacing w:line="240" w:lineRule="auto"/>
                    <w:jc w:val="center"/>
                    <w:rPr>
                      <w:rFonts w:hint="default"/>
                      <w:sz w:val="21"/>
                      <w:szCs w:val="21"/>
                      <w:highlight w:val="none"/>
                      <w:u w:val="single"/>
                      <w:vertAlign w:val="baseline"/>
                      <w:lang w:val="en-US" w:eastAsia="zh-CN"/>
                    </w:rPr>
                  </w:pPr>
                  <w:r>
                    <w:rPr>
                      <w:rFonts w:hint="eastAsia"/>
                      <w:sz w:val="21"/>
                      <w:szCs w:val="21"/>
                      <w:highlight w:val="none"/>
                      <w:u w:val="single"/>
                      <w:vertAlign w:val="baseline"/>
                      <w:lang w:val="en-US" w:eastAsia="zh-CN"/>
                    </w:rPr>
                    <w:t>场地平整</w:t>
                  </w:r>
                </w:p>
              </w:tc>
              <w:tc>
                <w:tcPr>
                  <w:tcW w:w="710" w:type="dxa"/>
                  <w:tcBorders>
                    <w:tl2br w:val="nil"/>
                    <w:tr2bl w:val="nil"/>
                  </w:tcBorders>
                  <w:vAlign w:val="center"/>
                </w:tcPr>
                <w:p>
                  <w:pPr>
                    <w:bidi w:val="0"/>
                    <w:spacing w:line="240" w:lineRule="auto"/>
                    <w:jc w:val="center"/>
                    <w:rPr>
                      <w:rFonts w:hint="default"/>
                      <w:sz w:val="21"/>
                      <w:szCs w:val="21"/>
                      <w:highlight w:val="none"/>
                      <w:u w:val="single"/>
                      <w:vertAlign w:val="baseline"/>
                      <w:lang w:val="en-US" w:eastAsia="zh-CN"/>
                    </w:rPr>
                  </w:pPr>
                  <w:r>
                    <w:rPr>
                      <w:rFonts w:hint="eastAsia"/>
                      <w:sz w:val="21"/>
                      <w:szCs w:val="21"/>
                      <w:highlight w:val="none"/>
                      <w:u w:val="single"/>
                      <w:vertAlign w:val="baseline"/>
                      <w:lang w:val="en-US" w:eastAsia="zh-CN"/>
                    </w:rPr>
                    <w:t>3.58</w:t>
                  </w:r>
                </w:p>
              </w:tc>
              <w:tc>
                <w:tcPr>
                  <w:tcW w:w="899" w:type="dxa"/>
                  <w:tcBorders>
                    <w:tl2br w:val="nil"/>
                    <w:tr2bl w:val="nil"/>
                  </w:tcBorders>
                  <w:vAlign w:val="center"/>
                </w:tcPr>
                <w:p>
                  <w:pPr>
                    <w:bidi w:val="0"/>
                    <w:spacing w:line="240" w:lineRule="auto"/>
                    <w:jc w:val="center"/>
                    <w:rPr>
                      <w:rFonts w:hint="default"/>
                      <w:sz w:val="21"/>
                      <w:szCs w:val="21"/>
                      <w:highlight w:val="none"/>
                      <w:u w:val="single"/>
                      <w:vertAlign w:val="baseline"/>
                      <w:lang w:val="en-US" w:eastAsia="zh-CN"/>
                    </w:rPr>
                  </w:pPr>
                  <w:r>
                    <w:rPr>
                      <w:rFonts w:hint="eastAsia"/>
                      <w:sz w:val="21"/>
                      <w:szCs w:val="21"/>
                      <w:highlight w:val="none"/>
                      <w:u w:val="single"/>
                      <w:vertAlign w:val="baseline"/>
                      <w:lang w:val="en-US" w:eastAsia="zh-CN"/>
                    </w:rPr>
                    <w:t>3.48</w:t>
                  </w:r>
                </w:p>
              </w:tc>
              <w:tc>
                <w:tcPr>
                  <w:tcW w:w="682" w:type="dxa"/>
                  <w:tcBorders>
                    <w:tl2br w:val="nil"/>
                    <w:tr2bl w:val="nil"/>
                  </w:tcBorders>
                  <w:vAlign w:val="center"/>
                </w:tcPr>
                <w:p>
                  <w:pPr>
                    <w:bidi w:val="0"/>
                    <w:spacing w:line="240" w:lineRule="auto"/>
                    <w:jc w:val="center"/>
                    <w:rPr>
                      <w:rFonts w:hint="default"/>
                      <w:sz w:val="21"/>
                      <w:szCs w:val="21"/>
                      <w:highlight w:val="none"/>
                      <w:u w:val="single"/>
                      <w:vertAlign w:val="baseline"/>
                      <w:lang w:val="en-US" w:eastAsia="zh-CN"/>
                    </w:rPr>
                  </w:pPr>
                  <w:r>
                    <w:rPr>
                      <w:rFonts w:hint="eastAsia"/>
                      <w:sz w:val="21"/>
                      <w:szCs w:val="21"/>
                      <w:highlight w:val="none"/>
                      <w:u w:val="single"/>
                      <w:vertAlign w:val="baseline"/>
                      <w:lang w:val="en-US" w:eastAsia="zh-CN"/>
                    </w:rPr>
                    <w:t>0.10</w:t>
                  </w:r>
                </w:p>
              </w:tc>
              <w:tc>
                <w:tcPr>
                  <w:tcW w:w="655" w:type="dxa"/>
                  <w:tcBorders>
                    <w:tl2br w:val="nil"/>
                    <w:tr2bl w:val="nil"/>
                  </w:tcBorders>
                  <w:vAlign w:val="center"/>
                </w:tcPr>
                <w:p>
                  <w:pPr>
                    <w:bidi w:val="0"/>
                    <w:spacing w:line="240" w:lineRule="auto"/>
                    <w:jc w:val="center"/>
                    <w:rPr>
                      <w:rFonts w:hint="default"/>
                      <w:sz w:val="21"/>
                      <w:szCs w:val="21"/>
                      <w:highlight w:val="none"/>
                      <w:u w:val="single"/>
                      <w:vertAlign w:val="baseline"/>
                      <w:lang w:val="en-US" w:eastAsia="zh-CN"/>
                    </w:rPr>
                  </w:pPr>
                  <w:r>
                    <w:rPr>
                      <w:rFonts w:hint="eastAsia"/>
                      <w:sz w:val="21"/>
                      <w:szCs w:val="21"/>
                      <w:highlight w:val="none"/>
                      <w:u w:val="single"/>
                      <w:vertAlign w:val="baseline"/>
                      <w:lang w:val="en-US" w:eastAsia="zh-CN"/>
                    </w:rPr>
                    <w:t>0.23</w:t>
                  </w:r>
                </w:p>
              </w:tc>
              <w:tc>
                <w:tcPr>
                  <w:tcW w:w="859" w:type="dxa"/>
                  <w:tcBorders>
                    <w:tl2br w:val="nil"/>
                    <w:tr2bl w:val="nil"/>
                  </w:tcBorders>
                  <w:vAlign w:val="center"/>
                </w:tcPr>
                <w:p>
                  <w:pPr>
                    <w:bidi w:val="0"/>
                    <w:spacing w:line="240" w:lineRule="auto"/>
                    <w:jc w:val="center"/>
                    <w:rPr>
                      <w:rFonts w:hint="default"/>
                      <w:sz w:val="21"/>
                      <w:szCs w:val="21"/>
                      <w:highlight w:val="none"/>
                      <w:u w:val="single"/>
                      <w:vertAlign w:val="baseline"/>
                      <w:lang w:val="en-US" w:eastAsia="zh-CN"/>
                    </w:rPr>
                  </w:pPr>
                  <w:r>
                    <w:rPr>
                      <w:rFonts w:hint="eastAsia"/>
                      <w:sz w:val="21"/>
                      <w:szCs w:val="21"/>
                      <w:highlight w:val="none"/>
                      <w:u w:val="single"/>
                      <w:vertAlign w:val="baseline"/>
                      <w:lang w:val="en-US" w:eastAsia="zh-CN"/>
                    </w:rPr>
                    <w:t>0.23</w:t>
                  </w:r>
                </w:p>
              </w:tc>
              <w:tc>
                <w:tcPr>
                  <w:tcW w:w="736" w:type="dxa"/>
                  <w:tcBorders>
                    <w:tl2br w:val="nil"/>
                    <w:tr2bl w:val="nil"/>
                  </w:tcBorders>
                  <w:vAlign w:val="center"/>
                </w:tcPr>
                <w:p>
                  <w:pPr>
                    <w:bidi w:val="0"/>
                    <w:spacing w:line="240" w:lineRule="auto"/>
                    <w:jc w:val="center"/>
                    <w:rPr>
                      <w:rFonts w:hint="eastAsia"/>
                      <w:sz w:val="21"/>
                      <w:szCs w:val="21"/>
                      <w:highlight w:val="none"/>
                      <w:u w:val="single"/>
                      <w:vertAlign w:val="baseline"/>
                      <w:lang w:val="en-US" w:eastAsia="zh-CN"/>
                    </w:rPr>
                  </w:pPr>
                </w:p>
              </w:tc>
              <w:tc>
                <w:tcPr>
                  <w:tcW w:w="846" w:type="dxa"/>
                  <w:tcBorders>
                    <w:tl2br w:val="nil"/>
                    <w:tr2bl w:val="nil"/>
                  </w:tcBorders>
                  <w:vAlign w:val="center"/>
                </w:tcPr>
                <w:p>
                  <w:pPr>
                    <w:bidi w:val="0"/>
                    <w:spacing w:line="240" w:lineRule="auto"/>
                    <w:jc w:val="center"/>
                    <w:rPr>
                      <w:rFonts w:hint="default"/>
                      <w:sz w:val="21"/>
                      <w:szCs w:val="21"/>
                      <w:highlight w:val="none"/>
                      <w:u w:val="single"/>
                      <w:vertAlign w:val="baseline"/>
                      <w:lang w:val="en-US" w:eastAsia="zh-CN"/>
                    </w:rPr>
                  </w:pPr>
                  <w:r>
                    <w:rPr>
                      <w:rFonts w:hint="eastAsia"/>
                      <w:sz w:val="21"/>
                      <w:szCs w:val="21"/>
                      <w:highlight w:val="none"/>
                      <w:u w:val="single"/>
                      <w:vertAlign w:val="baseline"/>
                      <w:lang w:val="en-US" w:eastAsia="zh-CN"/>
                    </w:rPr>
                    <w:t>3.25</w:t>
                  </w:r>
                </w:p>
              </w:tc>
              <w:tc>
                <w:tcPr>
                  <w:tcW w:w="873" w:type="dxa"/>
                  <w:tcBorders>
                    <w:tl2br w:val="nil"/>
                    <w:tr2bl w:val="nil"/>
                  </w:tcBorders>
                  <w:vAlign w:val="center"/>
                </w:tcPr>
                <w:p>
                  <w:pPr>
                    <w:bidi w:val="0"/>
                    <w:spacing w:line="240" w:lineRule="auto"/>
                    <w:jc w:val="center"/>
                    <w:rPr>
                      <w:rFonts w:hint="default"/>
                      <w:sz w:val="21"/>
                      <w:szCs w:val="21"/>
                      <w:highlight w:val="none"/>
                      <w:u w:val="single"/>
                      <w:vertAlign w:val="baseline"/>
                      <w:lang w:val="en-US" w:eastAsia="zh-CN"/>
                    </w:rPr>
                  </w:pPr>
                  <w:r>
                    <w:rPr>
                      <w:rFonts w:hint="eastAsia"/>
                      <w:sz w:val="21"/>
                      <w:szCs w:val="21"/>
                      <w:highlight w:val="none"/>
                      <w:u w:val="single"/>
                      <w:vertAlign w:val="baseline"/>
                      <w:lang w:val="en-US" w:eastAsia="zh-CN"/>
                    </w:rPr>
                    <w:t>3.25</w:t>
                  </w:r>
                </w:p>
              </w:tc>
              <w:tc>
                <w:tcPr>
                  <w:tcW w:w="852" w:type="dxa"/>
                  <w:gridSpan w:val="2"/>
                  <w:vMerge w:val="restart"/>
                  <w:tcBorders>
                    <w:tl2br w:val="nil"/>
                    <w:tr2bl w:val="nil"/>
                  </w:tcBorders>
                  <w:vAlign w:val="center"/>
                </w:tcPr>
                <w:p>
                  <w:pPr>
                    <w:bidi w:val="0"/>
                    <w:spacing w:line="240" w:lineRule="auto"/>
                    <w:jc w:val="center"/>
                    <w:rPr>
                      <w:rFonts w:hint="eastAsia"/>
                      <w:sz w:val="21"/>
                      <w:szCs w:val="21"/>
                      <w:highlight w:val="none"/>
                      <w:u w:val="single"/>
                      <w:vertAlign w:val="baseline"/>
                      <w:lang w:val="en-US" w:eastAsia="zh-CN"/>
                    </w:rPr>
                  </w:pPr>
                  <w:r>
                    <w:rPr>
                      <w:rFonts w:hint="eastAsia" w:ascii="Times New Roman" w:hAnsi="Times New Roman" w:eastAsia="宋体"/>
                      <w:sz w:val="21"/>
                      <w:szCs w:val="21"/>
                      <w:highlight w:val="none"/>
                      <w:u w:val="single"/>
                      <w:vertAlign w:val="baseline"/>
                      <w:lang w:val="en-US" w:eastAsia="zh-CN"/>
                    </w:rPr>
                    <w:t>市政</w:t>
                  </w:r>
                  <w:r>
                    <w:rPr>
                      <w:rFonts w:hint="default" w:ascii="Times New Roman" w:hAnsi="Times New Roman" w:eastAsia="宋体"/>
                      <w:sz w:val="21"/>
                      <w:szCs w:val="21"/>
                      <w:highlight w:val="none"/>
                      <w:u w:val="single"/>
                      <w:vertAlign w:val="baseline"/>
                      <w:lang w:val="en-US" w:eastAsia="zh-CN"/>
                    </w:rPr>
                    <w:t>土方消纳场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55" w:type="dxa"/>
                  <w:tcBorders>
                    <w:tl2br w:val="nil"/>
                    <w:tr2bl w:val="nil"/>
                  </w:tcBorders>
                  <w:vAlign w:val="center"/>
                </w:tcPr>
                <w:p>
                  <w:pPr>
                    <w:bidi w:val="0"/>
                    <w:spacing w:line="240" w:lineRule="auto"/>
                    <w:jc w:val="center"/>
                    <w:rPr>
                      <w:rFonts w:hint="default"/>
                      <w:sz w:val="21"/>
                      <w:szCs w:val="21"/>
                      <w:highlight w:val="none"/>
                      <w:u w:val="single"/>
                      <w:vertAlign w:val="baseline"/>
                      <w:lang w:val="en-US" w:eastAsia="zh-CN"/>
                    </w:rPr>
                  </w:pPr>
                  <w:r>
                    <w:rPr>
                      <w:rFonts w:hint="eastAsia"/>
                      <w:sz w:val="21"/>
                      <w:szCs w:val="21"/>
                      <w:highlight w:val="none"/>
                      <w:u w:val="single"/>
                      <w:vertAlign w:val="baseline"/>
                      <w:lang w:val="en-US" w:eastAsia="zh-CN"/>
                    </w:rPr>
                    <w:t>绿化覆土</w:t>
                  </w:r>
                </w:p>
              </w:tc>
              <w:tc>
                <w:tcPr>
                  <w:tcW w:w="710" w:type="dxa"/>
                  <w:tcBorders>
                    <w:tl2br w:val="nil"/>
                    <w:tr2bl w:val="nil"/>
                  </w:tcBorders>
                  <w:vAlign w:val="center"/>
                </w:tcPr>
                <w:p>
                  <w:pPr>
                    <w:bidi w:val="0"/>
                    <w:spacing w:line="240" w:lineRule="auto"/>
                    <w:jc w:val="center"/>
                    <w:rPr>
                      <w:rFonts w:hint="eastAsia"/>
                      <w:sz w:val="21"/>
                      <w:szCs w:val="21"/>
                      <w:highlight w:val="none"/>
                      <w:u w:val="single"/>
                      <w:vertAlign w:val="baseline"/>
                      <w:lang w:val="en-US" w:eastAsia="zh-CN"/>
                    </w:rPr>
                  </w:pPr>
                </w:p>
              </w:tc>
              <w:tc>
                <w:tcPr>
                  <w:tcW w:w="899" w:type="dxa"/>
                  <w:tcBorders>
                    <w:tl2br w:val="nil"/>
                    <w:tr2bl w:val="nil"/>
                  </w:tcBorders>
                  <w:vAlign w:val="center"/>
                </w:tcPr>
                <w:p>
                  <w:pPr>
                    <w:bidi w:val="0"/>
                    <w:spacing w:line="240" w:lineRule="auto"/>
                    <w:jc w:val="center"/>
                    <w:rPr>
                      <w:rFonts w:hint="eastAsia"/>
                      <w:sz w:val="21"/>
                      <w:szCs w:val="21"/>
                      <w:highlight w:val="none"/>
                      <w:u w:val="single"/>
                      <w:vertAlign w:val="baseline"/>
                      <w:lang w:val="en-US" w:eastAsia="zh-CN"/>
                    </w:rPr>
                  </w:pPr>
                </w:p>
              </w:tc>
              <w:tc>
                <w:tcPr>
                  <w:tcW w:w="682" w:type="dxa"/>
                  <w:tcBorders>
                    <w:tl2br w:val="nil"/>
                    <w:tr2bl w:val="nil"/>
                  </w:tcBorders>
                  <w:vAlign w:val="center"/>
                </w:tcPr>
                <w:p>
                  <w:pPr>
                    <w:bidi w:val="0"/>
                    <w:spacing w:line="240" w:lineRule="auto"/>
                    <w:jc w:val="center"/>
                    <w:rPr>
                      <w:rFonts w:hint="eastAsia"/>
                      <w:sz w:val="21"/>
                      <w:szCs w:val="21"/>
                      <w:highlight w:val="none"/>
                      <w:u w:val="single"/>
                      <w:vertAlign w:val="baseline"/>
                      <w:lang w:val="en-US" w:eastAsia="zh-CN"/>
                    </w:rPr>
                  </w:pPr>
                </w:p>
              </w:tc>
              <w:tc>
                <w:tcPr>
                  <w:tcW w:w="655" w:type="dxa"/>
                  <w:tcBorders>
                    <w:tl2br w:val="nil"/>
                    <w:tr2bl w:val="nil"/>
                  </w:tcBorders>
                  <w:vAlign w:val="center"/>
                </w:tcPr>
                <w:p>
                  <w:pPr>
                    <w:bidi w:val="0"/>
                    <w:spacing w:line="240" w:lineRule="auto"/>
                    <w:jc w:val="center"/>
                    <w:rPr>
                      <w:rFonts w:hint="default"/>
                      <w:sz w:val="21"/>
                      <w:szCs w:val="21"/>
                      <w:highlight w:val="none"/>
                      <w:u w:val="single"/>
                      <w:vertAlign w:val="baseline"/>
                      <w:lang w:val="en-US" w:eastAsia="zh-CN"/>
                    </w:rPr>
                  </w:pPr>
                  <w:r>
                    <w:rPr>
                      <w:rFonts w:hint="eastAsia"/>
                      <w:sz w:val="21"/>
                      <w:szCs w:val="21"/>
                      <w:highlight w:val="none"/>
                      <w:u w:val="single"/>
                      <w:vertAlign w:val="baseline"/>
                      <w:lang w:val="en-US" w:eastAsia="zh-CN"/>
                    </w:rPr>
                    <w:t>0.10</w:t>
                  </w:r>
                </w:p>
              </w:tc>
              <w:tc>
                <w:tcPr>
                  <w:tcW w:w="859" w:type="dxa"/>
                  <w:tcBorders>
                    <w:tl2br w:val="nil"/>
                    <w:tr2bl w:val="nil"/>
                  </w:tcBorders>
                  <w:vAlign w:val="center"/>
                </w:tcPr>
                <w:p>
                  <w:pPr>
                    <w:bidi w:val="0"/>
                    <w:spacing w:line="240" w:lineRule="auto"/>
                    <w:jc w:val="center"/>
                    <w:rPr>
                      <w:rFonts w:hint="eastAsia"/>
                      <w:sz w:val="21"/>
                      <w:szCs w:val="21"/>
                      <w:highlight w:val="none"/>
                      <w:u w:val="single"/>
                      <w:vertAlign w:val="baseline"/>
                      <w:lang w:val="en-US" w:eastAsia="zh-CN"/>
                    </w:rPr>
                  </w:pPr>
                </w:p>
              </w:tc>
              <w:tc>
                <w:tcPr>
                  <w:tcW w:w="736" w:type="dxa"/>
                  <w:tcBorders>
                    <w:tl2br w:val="nil"/>
                    <w:tr2bl w:val="nil"/>
                  </w:tcBorders>
                  <w:vAlign w:val="center"/>
                </w:tcPr>
                <w:p>
                  <w:pPr>
                    <w:bidi w:val="0"/>
                    <w:spacing w:line="240" w:lineRule="auto"/>
                    <w:jc w:val="center"/>
                    <w:rPr>
                      <w:rFonts w:hint="default"/>
                      <w:sz w:val="21"/>
                      <w:szCs w:val="21"/>
                      <w:highlight w:val="none"/>
                      <w:u w:val="single"/>
                      <w:vertAlign w:val="baseline"/>
                      <w:lang w:val="en-US" w:eastAsia="zh-CN"/>
                    </w:rPr>
                  </w:pPr>
                  <w:r>
                    <w:rPr>
                      <w:rFonts w:hint="eastAsia"/>
                      <w:sz w:val="21"/>
                      <w:szCs w:val="21"/>
                      <w:highlight w:val="none"/>
                      <w:u w:val="single"/>
                      <w:vertAlign w:val="baseline"/>
                      <w:lang w:val="en-US" w:eastAsia="zh-CN"/>
                    </w:rPr>
                    <w:t>0.10</w:t>
                  </w:r>
                </w:p>
              </w:tc>
              <w:tc>
                <w:tcPr>
                  <w:tcW w:w="846" w:type="dxa"/>
                  <w:tcBorders>
                    <w:tl2br w:val="nil"/>
                    <w:tr2bl w:val="nil"/>
                  </w:tcBorders>
                  <w:vAlign w:val="center"/>
                </w:tcPr>
                <w:p>
                  <w:pPr>
                    <w:bidi w:val="0"/>
                    <w:spacing w:line="240" w:lineRule="auto"/>
                    <w:jc w:val="center"/>
                    <w:rPr>
                      <w:rFonts w:hint="eastAsia"/>
                      <w:sz w:val="21"/>
                      <w:szCs w:val="21"/>
                      <w:highlight w:val="none"/>
                      <w:u w:val="single"/>
                      <w:vertAlign w:val="baseline"/>
                      <w:lang w:val="en-US" w:eastAsia="zh-CN"/>
                    </w:rPr>
                  </w:pPr>
                </w:p>
              </w:tc>
              <w:tc>
                <w:tcPr>
                  <w:tcW w:w="873" w:type="dxa"/>
                  <w:tcBorders>
                    <w:tl2br w:val="nil"/>
                    <w:tr2bl w:val="nil"/>
                  </w:tcBorders>
                  <w:vAlign w:val="center"/>
                </w:tcPr>
                <w:p>
                  <w:pPr>
                    <w:bidi w:val="0"/>
                    <w:spacing w:line="240" w:lineRule="auto"/>
                    <w:jc w:val="center"/>
                    <w:rPr>
                      <w:rFonts w:hint="eastAsia"/>
                      <w:sz w:val="21"/>
                      <w:szCs w:val="21"/>
                      <w:highlight w:val="none"/>
                      <w:u w:val="single"/>
                      <w:vertAlign w:val="baseline"/>
                      <w:lang w:val="en-US" w:eastAsia="zh-CN"/>
                    </w:rPr>
                  </w:pPr>
                </w:p>
              </w:tc>
              <w:tc>
                <w:tcPr>
                  <w:tcW w:w="852" w:type="dxa"/>
                  <w:gridSpan w:val="2"/>
                  <w:vMerge w:val="continue"/>
                  <w:tcBorders>
                    <w:tl2br w:val="nil"/>
                    <w:tr2bl w:val="nil"/>
                  </w:tcBorders>
                  <w:vAlign w:val="center"/>
                </w:tcPr>
                <w:p>
                  <w:pPr>
                    <w:bidi w:val="0"/>
                    <w:spacing w:line="240" w:lineRule="auto"/>
                    <w:jc w:val="center"/>
                    <w:rPr>
                      <w:rFonts w:hint="eastAsia"/>
                      <w:sz w:val="21"/>
                      <w:szCs w:val="21"/>
                      <w:highlight w:val="none"/>
                      <w:u w:val="singl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55" w:type="dxa"/>
                  <w:tcBorders>
                    <w:tl2br w:val="nil"/>
                    <w:tr2bl w:val="nil"/>
                  </w:tcBorders>
                  <w:vAlign w:val="center"/>
                </w:tcPr>
                <w:p>
                  <w:pPr>
                    <w:bidi w:val="0"/>
                    <w:spacing w:line="240" w:lineRule="auto"/>
                    <w:jc w:val="center"/>
                    <w:rPr>
                      <w:rFonts w:hint="eastAsia"/>
                      <w:sz w:val="21"/>
                      <w:szCs w:val="21"/>
                      <w:highlight w:val="none"/>
                      <w:u w:val="single"/>
                      <w:vertAlign w:val="baseline"/>
                      <w:lang w:val="en-US" w:eastAsia="zh-CN"/>
                    </w:rPr>
                  </w:pPr>
                  <w:r>
                    <w:rPr>
                      <w:rFonts w:hint="eastAsia"/>
                      <w:sz w:val="21"/>
                      <w:szCs w:val="21"/>
                      <w:highlight w:val="none"/>
                      <w:u w:val="single"/>
                      <w:vertAlign w:val="baseline"/>
                      <w:lang w:val="en-US" w:eastAsia="zh-CN"/>
                    </w:rPr>
                    <w:t>合计</w:t>
                  </w:r>
                </w:p>
              </w:tc>
              <w:tc>
                <w:tcPr>
                  <w:tcW w:w="710" w:type="dxa"/>
                  <w:tcBorders>
                    <w:tl2br w:val="nil"/>
                    <w:tr2bl w:val="nil"/>
                  </w:tcBorders>
                  <w:vAlign w:val="center"/>
                </w:tcPr>
                <w:p>
                  <w:pPr>
                    <w:bidi w:val="0"/>
                    <w:spacing w:line="240" w:lineRule="auto"/>
                    <w:jc w:val="center"/>
                    <w:rPr>
                      <w:rFonts w:hint="eastAsia"/>
                      <w:sz w:val="21"/>
                      <w:szCs w:val="21"/>
                      <w:highlight w:val="none"/>
                      <w:u w:val="single"/>
                      <w:vertAlign w:val="baseline"/>
                      <w:lang w:val="en-US" w:eastAsia="zh-CN"/>
                    </w:rPr>
                  </w:pPr>
                  <w:r>
                    <w:rPr>
                      <w:rFonts w:hint="eastAsia"/>
                      <w:sz w:val="21"/>
                      <w:szCs w:val="21"/>
                      <w:highlight w:val="none"/>
                      <w:u w:val="single"/>
                      <w:vertAlign w:val="baseline"/>
                      <w:lang w:val="en-US" w:eastAsia="zh-CN"/>
                    </w:rPr>
                    <w:t>3.58</w:t>
                  </w:r>
                </w:p>
              </w:tc>
              <w:tc>
                <w:tcPr>
                  <w:tcW w:w="899" w:type="dxa"/>
                  <w:tcBorders>
                    <w:tl2br w:val="nil"/>
                    <w:tr2bl w:val="nil"/>
                  </w:tcBorders>
                  <w:vAlign w:val="center"/>
                </w:tcPr>
                <w:p>
                  <w:pPr>
                    <w:bidi w:val="0"/>
                    <w:spacing w:line="240" w:lineRule="auto"/>
                    <w:jc w:val="center"/>
                    <w:rPr>
                      <w:rFonts w:hint="eastAsia"/>
                      <w:sz w:val="21"/>
                      <w:szCs w:val="21"/>
                      <w:highlight w:val="none"/>
                      <w:u w:val="single"/>
                      <w:vertAlign w:val="baseline"/>
                      <w:lang w:val="en-US" w:eastAsia="zh-CN"/>
                    </w:rPr>
                  </w:pPr>
                  <w:r>
                    <w:rPr>
                      <w:rFonts w:hint="eastAsia"/>
                      <w:sz w:val="21"/>
                      <w:szCs w:val="21"/>
                      <w:highlight w:val="none"/>
                      <w:u w:val="single"/>
                      <w:vertAlign w:val="baseline"/>
                      <w:lang w:val="en-US" w:eastAsia="zh-CN"/>
                    </w:rPr>
                    <w:t>3.48</w:t>
                  </w:r>
                </w:p>
              </w:tc>
              <w:tc>
                <w:tcPr>
                  <w:tcW w:w="682" w:type="dxa"/>
                  <w:tcBorders>
                    <w:tl2br w:val="nil"/>
                    <w:tr2bl w:val="nil"/>
                  </w:tcBorders>
                  <w:vAlign w:val="center"/>
                </w:tcPr>
                <w:p>
                  <w:pPr>
                    <w:bidi w:val="0"/>
                    <w:spacing w:line="240" w:lineRule="auto"/>
                    <w:jc w:val="center"/>
                    <w:rPr>
                      <w:rFonts w:hint="eastAsia"/>
                      <w:sz w:val="21"/>
                      <w:szCs w:val="21"/>
                      <w:highlight w:val="none"/>
                      <w:u w:val="single"/>
                      <w:vertAlign w:val="baseline"/>
                      <w:lang w:val="en-US" w:eastAsia="zh-CN"/>
                    </w:rPr>
                  </w:pPr>
                  <w:r>
                    <w:rPr>
                      <w:rFonts w:hint="eastAsia"/>
                      <w:sz w:val="21"/>
                      <w:szCs w:val="21"/>
                      <w:highlight w:val="none"/>
                      <w:u w:val="single"/>
                      <w:vertAlign w:val="baseline"/>
                      <w:lang w:val="en-US" w:eastAsia="zh-CN"/>
                    </w:rPr>
                    <w:t>0.10</w:t>
                  </w:r>
                </w:p>
              </w:tc>
              <w:tc>
                <w:tcPr>
                  <w:tcW w:w="655" w:type="dxa"/>
                  <w:tcBorders>
                    <w:tl2br w:val="nil"/>
                    <w:tr2bl w:val="nil"/>
                  </w:tcBorders>
                  <w:vAlign w:val="center"/>
                </w:tcPr>
                <w:p>
                  <w:pPr>
                    <w:bidi w:val="0"/>
                    <w:spacing w:line="240" w:lineRule="auto"/>
                    <w:jc w:val="center"/>
                    <w:rPr>
                      <w:rFonts w:hint="default"/>
                      <w:sz w:val="21"/>
                      <w:szCs w:val="21"/>
                      <w:highlight w:val="none"/>
                      <w:u w:val="single"/>
                      <w:vertAlign w:val="baseline"/>
                      <w:lang w:val="en-US" w:eastAsia="zh-CN"/>
                    </w:rPr>
                  </w:pPr>
                  <w:r>
                    <w:rPr>
                      <w:rFonts w:hint="eastAsia"/>
                      <w:sz w:val="21"/>
                      <w:szCs w:val="21"/>
                      <w:highlight w:val="none"/>
                      <w:u w:val="single"/>
                      <w:vertAlign w:val="baseline"/>
                      <w:lang w:val="en-US" w:eastAsia="zh-CN"/>
                    </w:rPr>
                    <w:t>0.33</w:t>
                  </w:r>
                </w:p>
              </w:tc>
              <w:tc>
                <w:tcPr>
                  <w:tcW w:w="859" w:type="dxa"/>
                  <w:tcBorders>
                    <w:tl2br w:val="nil"/>
                    <w:tr2bl w:val="nil"/>
                  </w:tcBorders>
                  <w:vAlign w:val="center"/>
                </w:tcPr>
                <w:p>
                  <w:pPr>
                    <w:bidi w:val="0"/>
                    <w:spacing w:line="240" w:lineRule="auto"/>
                    <w:jc w:val="center"/>
                    <w:rPr>
                      <w:rFonts w:hint="eastAsia"/>
                      <w:sz w:val="21"/>
                      <w:szCs w:val="21"/>
                      <w:highlight w:val="none"/>
                      <w:u w:val="single"/>
                      <w:vertAlign w:val="baseline"/>
                      <w:lang w:val="en-US" w:eastAsia="zh-CN"/>
                    </w:rPr>
                  </w:pPr>
                  <w:r>
                    <w:rPr>
                      <w:rFonts w:hint="eastAsia"/>
                      <w:sz w:val="21"/>
                      <w:szCs w:val="21"/>
                      <w:highlight w:val="none"/>
                      <w:u w:val="single"/>
                      <w:vertAlign w:val="baseline"/>
                      <w:lang w:val="en-US" w:eastAsia="zh-CN"/>
                    </w:rPr>
                    <w:t>0.23</w:t>
                  </w:r>
                </w:p>
              </w:tc>
              <w:tc>
                <w:tcPr>
                  <w:tcW w:w="736" w:type="dxa"/>
                  <w:tcBorders>
                    <w:tl2br w:val="nil"/>
                    <w:tr2bl w:val="nil"/>
                  </w:tcBorders>
                  <w:vAlign w:val="center"/>
                </w:tcPr>
                <w:p>
                  <w:pPr>
                    <w:bidi w:val="0"/>
                    <w:spacing w:line="240" w:lineRule="auto"/>
                    <w:jc w:val="center"/>
                    <w:rPr>
                      <w:rFonts w:hint="eastAsia"/>
                      <w:sz w:val="21"/>
                      <w:szCs w:val="21"/>
                      <w:highlight w:val="none"/>
                      <w:u w:val="single"/>
                      <w:vertAlign w:val="baseline"/>
                      <w:lang w:val="en-US" w:eastAsia="zh-CN"/>
                    </w:rPr>
                  </w:pPr>
                  <w:r>
                    <w:rPr>
                      <w:rFonts w:hint="eastAsia"/>
                      <w:sz w:val="21"/>
                      <w:szCs w:val="21"/>
                      <w:highlight w:val="none"/>
                      <w:u w:val="single"/>
                      <w:vertAlign w:val="baseline"/>
                      <w:lang w:val="en-US" w:eastAsia="zh-CN"/>
                    </w:rPr>
                    <w:t>0.10</w:t>
                  </w:r>
                </w:p>
              </w:tc>
              <w:tc>
                <w:tcPr>
                  <w:tcW w:w="846" w:type="dxa"/>
                  <w:tcBorders>
                    <w:tl2br w:val="nil"/>
                    <w:tr2bl w:val="nil"/>
                  </w:tcBorders>
                  <w:vAlign w:val="center"/>
                </w:tcPr>
                <w:p>
                  <w:pPr>
                    <w:bidi w:val="0"/>
                    <w:spacing w:line="240" w:lineRule="auto"/>
                    <w:jc w:val="center"/>
                    <w:rPr>
                      <w:rFonts w:hint="eastAsia"/>
                      <w:sz w:val="21"/>
                      <w:szCs w:val="21"/>
                      <w:highlight w:val="none"/>
                      <w:u w:val="single"/>
                      <w:vertAlign w:val="baseline"/>
                      <w:lang w:val="en-US" w:eastAsia="zh-CN"/>
                    </w:rPr>
                  </w:pPr>
                  <w:r>
                    <w:rPr>
                      <w:rFonts w:hint="eastAsia"/>
                      <w:sz w:val="21"/>
                      <w:szCs w:val="21"/>
                      <w:highlight w:val="none"/>
                      <w:u w:val="single"/>
                      <w:vertAlign w:val="baseline"/>
                      <w:lang w:val="en-US" w:eastAsia="zh-CN"/>
                    </w:rPr>
                    <w:t>3.25</w:t>
                  </w:r>
                </w:p>
              </w:tc>
              <w:tc>
                <w:tcPr>
                  <w:tcW w:w="873" w:type="dxa"/>
                  <w:tcBorders>
                    <w:tl2br w:val="nil"/>
                    <w:tr2bl w:val="nil"/>
                  </w:tcBorders>
                  <w:vAlign w:val="center"/>
                </w:tcPr>
                <w:p>
                  <w:pPr>
                    <w:bidi w:val="0"/>
                    <w:spacing w:line="240" w:lineRule="auto"/>
                    <w:jc w:val="center"/>
                    <w:rPr>
                      <w:rFonts w:hint="eastAsia"/>
                      <w:sz w:val="21"/>
                      <w:szCs w:val="21"/>
                      <w:highlight w:val="none"/>
                      <w:u w:val="single"/>
                      <w:vertAlign w:val="baseline"/>
                      <w:lang w:val="en-US" w:eastAsia="zh-CN"/>
                    </w:rPr>
                  </w:pPr>
                  <w:r>
                    <w:rPr>
                      <w:rFonts w:hint="eastAsia"/>
                      <w:sz w:val="21"/>
                      <w:szCs w:val="21"/>
                      <w:highlight w:val="none"/>
                      <w:u w:val="single"/>
                      <w:vertAlign w:val="baseline"/>
                      <w:lang w:val="en-US" w:eastAsia="zh-CN"/>
                    </w:rPr>
                    <w:t>3.25</w:t>
                  </w:r>
                </w:p>
              </w:tc>
              <w:tc>
                <w:tcPr>
                  <w:tcW w:w="852" w:type="dxa"/>
                  <w:gridSpan w:val="2"/>
                  <w:vMerge w:val="continue"/>
                  <w:tcBorders>
                    <w:tl2br w:val="nil"/>
                    <w:tr2bl w:val="nil"/>
                  </w:tcBorders>
                  <w:vAlign w:val="center"/>
                </w:tcPr>
                <w:p>
                  <w:pPr>
                    <w:bidi w:val="0"/>
                    <w:spacing w:line="240" w:lineRule="auto"/>
                    <w:jc w:val="center"/>
                    <w:rPr>
                      <w:rFonts w:hint="eastAsia"/>
                      <w:sz w:val="21"/>
                      <w:szCs w:val="21"/>
                      <w:highlight w:val="none"/>
                      <w:u w:val="single"/>
                      <w:vertAlign w:val="baseline"/>
                      <w:lang w:val="en-US" w:eastAsia="zh-CN"/>
                    </w:rPr>
                  </w:pPr>
                </w:p>
              </w:tc>
            </w:tr>
          </w:tbl>
          <w:p>
            <w:pPr>
              <w:bidi w:val="0"/>
              <w:spacing w:line="360" w:lineRule="auto"/>
              <w:ind w:firstLine="380" w:firstLineChars="200"/>
              <w:rPr>
                <w:rFonts w:hint="eastAsia" w:ascii="宋体" w:hAnsi="宋体" w:cs="宋体"/>
                <w:bCs/>
                <w:spacing w:val="-10"/>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10" w:hRule="atLeast"/>
          <w:jc w:val="center"/>
        </w:trPr>
        <w:tc>
          <w:tcPr>
            <w:tcW w:w="454" w:type="dxa"/>
            <w:noWrap w:val="0"/>
            <w:tcMar>
              <w:left w:w="28" w:type="dxa"/>
              <w:right w:w="28" w:type="dxa"/>
            </w:tcMar>
            <w:vAlign w:val="center"/>
          </w:tcPr>
          <w:p>
            <w:pPr>
              <w:adjustRightInd w:val="0"/>
              <w:snapToGrid w:val="0"/>
              <w:jc w:val="center"/>
              <w:rPr>
                <w:rFonts w:hint="eastAsia" w:ascii="宋体" w:hAnsi="宋体" w:cs="宋体"/>
                <w:bCs/>
                <w:szCs w:val="21"/>
              </w:rPr>
            </w:pPr>
            <w:r>
              <w:rPr>
                <w:rFonts w:hint="eastAsia" w:ascii="宋体" w:hAnsi="宋体" w:cs="宋体"/>
                <w:bCs/>
                <w:szCs w:val="21"/>
              </w:rPr>
              <w:t>运营</w:t>
            </w:r>
          </w:p>
          <w:p>
            <w:pPr>
              <w:adjustRightInd w:val="0"/>
              <w:snapToGrid w:val="0"/>
              <w:jc w:val="center"/>
              <w:rPr>
                <w:rFonts w:hint="eastAsia" w:ascii="宋体" w:hAnsi="宋体" w:cs="宋体"/>
                <w:bCs/>
                <w:szCs w:val="21"/>
              </w:rPr>
            </w:pPr>
            <w:r>
              <w:rPr>
                <w:rFonts w:hint="eastAsia" w:ascii="宋体" w:hAnsi="宋体" w:cs="宋体"/>
                <w:bCs/>
                <w:szCs w:val="21"/>
              </w:rPr>
              <w:t>期环</w:t>
            </w:r>
          </w:p>
          <w:p>
            <w:pPr>
              <w:adjustRightInd w:val="0"/>
              <w:snapToGrid w:val="0"/>
              <w:jc w:val="center"/>
              <w:rPr>
                <w:rFonts w:hint="eastAsia" w:ascii="宋体" w:hAnsi="宋体" w:cs="宋体"/>
                <w:bCs/>
                <w:szCs w:val="21"/>
              </w:rPr>
            </w:pPr>
            <w:r>
              <w:rPr>
                <w:rFonts w:hint="eastAsia" w:ascii="宋体" w:hAnsi="宋体" w:cs="宋体"/>
                <w:bCs/>
                <w:szCs w:val="21"/>
              </w:rPr>
              <w:t>境影</w:t>
            </w:r>
          </w:p>
          <w:p>
            <w:pPr>
              <w:adjustRightInd w:val="0"/>
              <w:snapToGrid w:val="0"/>
              <w:jc w:val="center"/>
              <w:rPr>
                <w:rFonts w:hint="eastAsia" w:ascii="宋体" w:hAnsi="宋体" w:cs="宋体"/>
                <w:bCs/>
                <w:szCs w:val="21"/>
              </w:rPr>
            </w:pPr>
            <w:r>
              <w:rPr>
                <w:rFonts w:hint="eastAsia" w:ascii="宋体" w:hAnsi="宋体" w:cs="宋体"/>
                <w:bCs/>
                <w:szCs w:val="21"/>
              </w:rPr>
              <w:t>响和</w:t>
            </w:r>
          </w:p>
          <w:p>
            <w:pPr>
              <w:adjustRightInd w:val="0"/>
              <w:snapToGrid w:val="0"/>
              <w:jc w:val="center"/>
              <w:rPr>
                <w:rFonts w:hint="eastAsia" w:ascii="宋体" w:hAnsi="宋体" w:cs="宋体"/>
                <w:bCs/>
                <w:szCs w:val="21"/>
              </w:rPr>
            </w:pPr>
            <w:r>
              <w:rPr>
                <w:rFonts w:hint="eastAsia" w:ascii="宋体" w:hAnsi="宋体" w:cs="宋体"/>
                <w:bCs/>
                <w:szCs w:val="21"/>
              </w:rPr>
              <w:t>保护</w:t>
            </w:r>
          </w:p>
          <w:p>
            <w:pPr>
              <w:adjustRightInd w:val="0"/>
              <w:snapToGrid w:val="0"/>
              <w:jc w:val="center"/>
              <w:rPr>
                <w:rFonts w:ascii="宋体" w:hAnsi="宋体" w:cs="宋体"/>
                <w:bCs/>
                <w:szCs w:val="21"/>
              </w:rPr>
            </w:pPr>
            <w:r>
              <w:rPr>
                <w:rFonts w:hint="eastAsia" w:ascii="宋体" w:hAnsi="宋体" w:cs="宋体"/>
                <w:bCs/>
                <w:szCs w:val="21"/>
              </w:rPr>
              <w:t>措施</w:t>
            </w:r>
          </w:p>
        </w:tc>
        <w:tc>
          <w:tcPr>
            <w:tcW w:w="852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宋体" w:hAnsi="宋体" w:cs="宋体"/>
                <w:b/>
                <w:bCs w:val="0"/>
                <w:spacing w:val="-10"/>
                <w:sz w:val="24"/>
                <w:szCs w:val="24"/>
                <w:lang w:val="en-US" w:eastAsia="zh-CN"/>
              </w:rPr>
            </w:pPr>
            <w:r>
              <w:rPr>
                <w:rFonts w:hint="eastAsia" w:ascii="宋体" w:hAnsi="宋体" w:cs="宋体"/>
                <w:b/>
                <w:bCs w:val="0"/>
                <w:spacing w:val="-10"/>
                <w:sz w:val="24"/>
                <w:szCs w:val="24"/>
                <w:lang w:val="en-US" w:eastAsia="zh-CN"/>
              </w:rPr>
              <w:t>营运期环境影响和保护措施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宋体" w:hAnsi="宋体" w:cs="宋体"/>
                <w:b/>
                <w:bCs w:val="0"/>
                <w:spacing w:val="-10"/>
                <w:sz w:val="24"/>
                <w:szCs w:val="24"/>
                <w:lang w:val="en-US" w:eastAsia="zh-CN"/>
              </w:rPr>
            </w:pPr>
            <w:r>
              <w:rPr>
                <w:rFonts w:hint="eastAsia" w:ascii="宋体" w:hAnsi="宋体" w:cs="宋体"/>
                <w:b/>
                <w:bCs w:val="0"/>
                <w:spacing w:val="-10"/>
                <w:sz w:val="24"/>
                <w:szCs w:val="24"/>
                <w:lang w:val="en-US" w:eastAsia="zh-CN"/>
              </w:rPr>
              <w:t>一、水环境影响分析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sz w:val="24"/>
              </w:rPr>
            </w:pPr>
            <w:r>
              <w:rPr>
                <w:rFonts w:hint="eastAsia"/>
                <w:sz w:val="24"/>
              </w:rPr>
              <w:t>项目建成后，</w:t>
            </w:r>
            <w:r>
              <w:rPr>
                <w:sz w:val="24"/>
              </w:rPr>
              <w:t>运营期</w:t>
            </w:r>
            <w:r>
              <w:rPr>
                <w:rFonts w:hint="eastAsia"/>
                <w:sz w:val="24"/>
              </w:rPr>
              <w:t>医疗</w:t>
            </w:r>
            <w:r>
              <w:rPr>
                <w:sz w:val="24"/>
              </w:rPr>
              <w:t>废水主要包括：</w:t>
            </w:r>
            <w:r>
              <w:rPr>
                <w:rFonts w:hint="eastAsia"/>
                <w:sz w:val="24"/>
                <w:lang w:val="en-US" w:eastAsia="zh-CN"/>
              </w:rPr>
              <w:t>病房</w:t>
            </w:r>
            <w:r>
              <w:rPr>
                <w:sz w:val="24"/>
              </w:rPr>
              <w:t>废水、陪护人员废水、医护人员废水</w:t>
            </w:r>
            <w:r>
              <w:rPr>
                <w:rFonts w:hint="eastAsia"/>
                <w:sz w:val="24"/>
                <w:lang w:val="en-US" w:eastAsia="zh-CN"/>
              </w:rPr>
              <w:t>等</w:t>
            </w:r>
            <w:r>
              <w:rPr>
                <w:sz w:val="24"/>
              </w:rPr>
              <w:t>。</w:t>
            </w:r>
          </w:p>
          <w:p>
            <w:pPr>
              <w:spacing w:line="360" w:lineRule="auto"/>
              <w:ind w:firstLine="480" w:firstLineChars="200"/>
              <w:rPr>
                <w:rFonts w:hint="eastAsia"/>
                <w:sz w:val="24"/>
              </w:rPr>
            </w:pPr>
            <w:r>
              <w:rPr>
                <w:rFonts w:hint="eastAsia"/>
                <w:sz w:val="24"/>
              </w:rPr>
              <w:t>本项目排水采用雨污分流制，屋面雨水、室外场地雨水经管道、沟渠收集后排入西侧芙蓉北路市政雨水管网，</w:t>
            </w:r>
            <w:r>
              <w:rPr>
                <w:rFonts w:hint="eastAsia" w:ascii="宋体" w:hAnsi="宋体" w:cs="宋体"/>
                <w:sz w:val="24"/>
                <w:lang w:val="en-US" w:eastAsia="zh-CN"/>
              </w:rPr>
              <w:t>综合</w:t>
            </w:r>
            <w:r>
              <w:rPr>
                <w:rFonts w:hint="eastAsia"/>
                <w:sz w:val="24"/>
              </w:rPr>
              <w:t>废水拟采取的废水处理方式为：</w:t>
            </w:r>
            <w:r>
              <w:rPr>
                <w:rFonts w:hint="eastAsia" w:ascii="宋体" w:hAnsi="宋体" w:cs="宋体"/>
                <w:sz w:val="24"/>
                <w:lang w:val="en-US" w:eastAsia="zh-CN"/>
              </w:rPr>
              <w:t>综合</w:t>
            </w:r>
            <w:r>
              <w:rPr>
                <w:rFonts w:hint="eastAsia" w:ascii="宋体" w:hAnsi="宋体" w:cs="宋体"/>
                <w:sz w:val="24"/>
              </w:rPr>
              <w:t>废水</w:t>
            </w:r>
            <w:r>
              <w:rPr>
                <w:rFonts w:hint="eastAsia" w:ascii="宋体" w:hAnsi="宋体" w:cs="宋体"/>
                <w:sz w:val="24"/>
                <w:lang w:eastAsia="zh-CN"/>
              </w:rPr>
              <w:t>（</w:t>
            </w:r>
            <w:r>
              <w:rPr>
                <w:rFonts w:hint="eastAsia" w:ascii="宋体" w:hAnsi="宋体" w:cs="宋体"/>
                <w:sz w:val="24"/>
                <w:lang w:val="en-US" w:eastAsia="zh-CN"/>
              </w:rPr>
              <w:t>食堂废水通过隔油池预处理</w:t>
            </w:r>
            <w:r>
              <w:rPr>
                <w:rFonts w:hint="eastAsia" w:ascii="宋体" w:hAnsi="宋体" w:cs="宋体"/>
                <w:sz w:val="24"/>
                <w:lang w:eastAsia="zh-CN"/>
              </w:rPr>
              <w:t>）</w:t>
            </w:r>
            <w:r>
              <w:rPr>
                <w:rFonts w:hint="eastAsia" w:ascii="宋体" w:hAnsi="宋体" w:cs="宋体"/>
                <w:sz w:val="24"/>
              </w:rPr>
              <w:t>由排污管道汇总进入化粪池，经化粪池处理后</w:t>
            </w:r>
            <w:r>
              <w:rPr>
                <w:rFonts w:hint="eastAsia" w:ascii="宋体" w:hAnsi="宋体" w:cs="宋体"/>
                <w:sz w:val="24"/>
                <w:lang w:val="en-US" w:eastAsia="zh-CN"/>
              </w:rPr>
              <w:t>排放进入</w:t>
            </w:r>
            <w:r>
              <w:rPr>
                <w:rFonts w:hint="eastAsia"/>
                <w:sz w:val="24"/>
                <w:lang w:val="en-US" w:eastAsia="zh-CN"/>
              </w:rPr>
              <w:t>湘阴县妇女儿童医院（二期）建设项目一体化污水处理站</w:t>
            </w:r>
            <w:r>
              <w:rPr>
                <w:rFonts w:hint="eastAsia"/>
                <w:sz w:val="24"/>
              </w:rPr>
              <w:t>，处理达《医疗机构水污染物排放标准》（GB18466-2005）表2处理标准后进入西侧市政污水管网。经湘阴县第二污水处理厂处理达到《城镇污水处理厂污染物排放标准》(GB18918-2002)一级A标准及表2标准后排入湘江。对纳污水体水质影响不大。</w:t>
            </w:r>
          </w:p>
          <w:p>
            <w:pPr>
              <w:jc w:val="center"/>
              <w:rPr>
                <w:szCs w:val="21"/>
              </w:rPr>
            </w:pPr>
            <w:r>
              <w:rPr>
                <w:b/>
                <w:bCs/>
                <w:szCs w:val="21"/>
              </w:rPr>
              <w:t>表</w:t>
            </w:r>
            <w:r>
              <w:rPr>
                <w:rFonts w:hint="eastAsia"/>
                <w:b/>
                <w:bCs/>
                <w:szCs w:val="21"/>
              </w:rPr>
              <w:t>4-</w:t>
            </w:r>
            <w:r>
              <w:rPr>
                <w:rFonts w:hint="eastAsia"/>
                <w:b/>
                <w:bCs/>
                <w:szCs w:val="21"/>
                <w:lang w:val="en-US" w:eastAsia="zh-CN"/>
              </w:rPr>
              <w:t>5</w:t>
            </w:r>
            <w:r>
              <w:rPr>
                <w:b/>
                <w:bCs/>
                <w:szCs w:val="21"/>
              </w:rPr>
              <w:t xml:space="preserve">  项目废水水质特征</w:t>
            </w:r>
          </w:p>
          <w:tbl>
            <w:tblPr>
              <w:tblStyle w:val="25"/>
              <w:tblW w:w="8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6"/>
              <w:gridCol w:w="794"/>
              <w:gridCol w:w="902"/>
              <w:gridCol w:w="806"/>
              <w:gridCol w:w="704"/>
              <w:gridCol w:w="755"/>
              <w:gridCol w:w="581"/>
              <w:gridCol w:w="695"/>
              <w:gridCol w:w="980"/>
              <w:gridCol w:w="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41" w:type="pct"/>
                  <w:vMerge w:val="restart"/>
                  <w:tcBorders>
                    <w:top w:val="single" w:color="auto" w:sz="12" w:space="0"/>
                    <w:left w:val="single" w:color="auto" w:sz="12" w:space="0"/>
                  </w:tcBorders>
                  <w:noWrap/>
                  <w:vAlign w:val="center"/>
                </w:tcPr>
                <w:p>
                  <w:pPr>
                    <w:widowControl/>
                    <w:spacing w:line="240" w:lineRule="auto"/>
                    <w:jc w:val="center"/>
                    <w:rPr>
                      <w:b/>
                      <w:bCs/>
                      <w:szCs w:val="21"/>
                      <w:u w:val="single"/>
                    </w:rPr>
                  </w:pPr>
                  <w:r>
                    <w:rPr>
                      <w:b/>
                      <w:bCs/>
                      <w:szCs w:val="21"/>
                      <w:u w:val="single"/>
                    </w:rPr>
                    <w:t>项目</w:t>
                  </w:r>
                </w:p>
              </w:tc>
              <w:tc>
                <w:tcPr>
                  <w:tcW w:w="4158" w:type="pct"/>
                  <w:gridSpan w:val="9"/>
                  <w:tcBorders>
                    <w:top w:val="single" w:color="auto" w:sz="12" w:space="0"/>
                    <w:right w:val="single" w:color="auto" w:sz="12" w:space="0"/>
                  </w:tcBorders>
                  <w:noWrap/>
                  <w:vAlign w:val="center"/>
                </w:tcPr>
                <w:p>
                  <w:pPr>
                    <w:widowControl/>
                    <w:spacing w:line="240" w:lineRule="auto"/>
                    <w:jc w:val="center"/>
                    <w:rPr>
                      <w:b/>
                      <w:bCs/>
                      <w:szCs w:val="21"/>
                      <w:u w:val="single"/>
                    </w:rPr>
                  </w:pPr>
                  <w:r>
                    <w:rPr>
                      <w:b/>
                      <w:bCs/>
                      <w:szCs w:val="21"/>
                      <w:u w:val="single"/>
                    </w:rPr>
                    <w:t>浓度值（单位：mg/L，pH除外，粪大肠菌群为：</w:t>
                  </w:r>
                  <w:r>
                    <w:rPr>
                      <w:rFonts w:hint="eastAsia"/>
                      <w:b/>
                      <w:bCs/>
                      <w:szCs w:val="21"/>
                      <w:u w:val="single"/>
                    </w:rPr>
                    <w:t>MPN</w:t>
                  </w:r>
                  <w:r>
                    <w:rPr>
                      <w:b/>
                      <w:bCs/>
                      <w:szCs w:val="21"/>
                      <w:u w:val="single"/>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41" w:type="pct"/>
                  <w:vMerge w:val="continue"/>
                  <w:tcBorders>
                    <w:left w:val="single" w:color="auto" w:sz="12" w:space="0"/>
                  </w:tcBorders>
                  <w:noWrap/>
                  <w:vAlign w:val="center"/>
                </w:tcPr>
                <w:p>
                  <w:pPr>
                    <w:spacing w:line="240" w:lineRule="auto"/>
                    <w:jc w:val="center"/>
                    <w:rPr>
                      <w:b/>
                      <w:bCs/>
                      <w:szCs w:val="21"/>
                      <w:u w:val="single"/>
                    </w:rPr>
                  </w:pPr>
                </w:p>
              </w:tc>
              <w:tc>
                <w:tcPr>
                  <w:tcW w:w="478" w:type="pct"/>
                  <w:noWrap/>
                  <w:vAlign w:val="center"/>
                </w:tcPr>
                <w:p>
                  <w:pPr>
                    <w:widowControl/>
                    <w:spacing w:line="240" w:lineRule="auto"/>
                    <w:jc w:val="center"/>
                    <w:rPr>
                      <w:rFonts w:hint="eastAsia" w:eastAsia="宋体"/>
                      <w:b/>
                      <w:bCs/>
                      <w:szCs w:val="21"/>
                      <w:u w:val="single"/>
                      <w:lang w:val="en-US" w:eastAsia="zh-CN"/>
                    </w:rPr>
                  </w:pPr>
                  <w:r>
                    <w:rPr>
                      <w:rFonts w:hint="eastAsia"/>
                      <w:b/>
                      <w:bCs/>
                      <w:szCs w:val="21"/>
                      <w:u w:val="single"/>
                      <w:lang w:val="en-US" w:eastAsia="zh-CN"/>
                    </w:rPr>
                    <w:t>项目</w:t>
                  </w:r>
                </w:p>
              </w:tc>
              <w:tc>
                <w:tcPr>
                  <w:tcW w:w="543" w:type="pct"/>
                  <w:noWrap/>
                  <w:vAlign w:val="center"/>
                </w:tcPr>
                <w:p>
                  <w:pPr>
                    <w:widowControl/>
                    <w:spacing w:line="240" w:lineRule="auto"/>
                    <w:jc w:val="center"/>
                    <w:rPr>
                      <w:rFonts w:hint="default" w:ascii="Times New Roman" w:hAnsi="Times New Roman" w:cs="Times New Roman"/>
                      <w:b/>
                      <w:bCs/>
                      <w:szCs w:val="21"/>
                      <w:u w:val="single"/>
                    </w:rPr>
                  </w:pPr>
                  <w:r>
                    <w:rPr>
                      <w:rFonts w:hint="default" w:ascii="Times New Roman" w:hAnsi="Times New Roman" w:cs="Times New Roman"/>
                      <w:b/>
                      <w:bCs/>
                      <w:szCs w:val="21"/>
                      <w:u w:val="single"/>
                    </w:rPr>
                    <w:t>COD</w:t>
                  </w:r>
                  <w:r>
                    <w:rPr>
                      <w:rFonts w:hint="default" w:ascii="Times New Roman" w:hAnsi="Times New Roman" w:cs="Times New Roman"/>
                      <w:b/>
                      <w:bCs/>
                      <w:szCs w:val="21"/>
                      <w:u w:val="single"/>
                      <w:vertAlign w:val="subscript"/>
                    </w:rPr>
                    <w:t>Cr</w:t>
                  </w:r>
                </w:p>
              </w:tc>
              <w:tc>
                <w:tcPr>
                  <w:tcW w:w="485" w:type="pct"/>
                  <w:noWrap/>
                  <w:vAlign w:val="center"/>
                </w:tcPr>
                <w:p>
                  <w:pPr>
                    <w:widowControl/>
                    <w:spacing w:line="240" w:lineRule="auto"/>
                    <w:jc w:val="center"/>
                    <w:rPr>
                      <w:rFonts w:hint="default" w:ascii="Times New Roman" w:hAnsi="Times New Roman" w:cs="Times New Roman"/>
                      <w:b/>
                      <w:bCs/>
                      <w:szCs w:val="21"/>
                      <w:u w:val="single"/>
                    </w:rPr>
                  </w:pPr>
                  <w:r>
                    <w:rPr>
                      <w:rFonts w:hint="default" w:ascii="Times New Roman" w:hAnsi="Times New Roman" w:cs="Times New Roman"/>
                      <w:b/>
                      <w:bCs/>
                      <w:szCs w:val="21"/>
                      <w:u w:val="single"/>
                    </w:rPr>
                    <w:t>BOD</w:t>
                  </w:r>
                  <w:r>
                    <w:rPr>
                      <w:rFonts w:hint="default" w:ascii="Times New Roman" w:hAnsi="Times New Roman" w:cs="Times New Roman"/>
                      <w:b/>
                      <w:bCs/>
                      <w:szCs w:val="21"/>
                      <w:u w:val="single"/>
                      <w:vertAlign w:val="subscript"/>
                    </w:rPr>
                    <w:t>5</w:t>
                  </w:r>
                </w:p>
              </w:tc>
              <w:tc>
                <w:tcPr>
                  <w:tcW w:w="424" w:type="pct"/>
                  <w:noWrap/>
                  <w:vAlign w:val="center"/>
                </w:tcPr>
                <w:p>
                  <w:pPr>
                    <w:widowControl/>
                    <w:spacing w:line="240" w:lineRule="auto"/>
                    <w:jc w:val="center"/>
                    <w:rPr>
                      <w:rFonts w:hint="default" w:ascii="Times New Roman" w:hAnsi="Times New Roman" w:cs="Times New Roman"/>
                      <w:b/>
                      <w:bCs/>
                      <w:szCs w:val="21"/>
                      <w:u w:val="single"/>
                    </w:rPr>
                  </w:pPr>
                  <w:r>
                    <w:rPr>
                      <w:rFonts w:hint="default" w:ascii="Times New Roman" w:hAnsi="Times New Roman" w:cs="Times New Roman"/>
                      <w:b/>
                      <w:bCs/>
                      <w:szCs w:val="21"/>
                      <w:u w:val="single"/>
                    </w:rPr>
                    <w:t>氨氮</w:t>
                  </w:r>
                </w:p>
              </w:tc>
              <w:tc>
                <w:tcPr>
                  <w:tcW w:w="454" w:type="pct"/>
                  <w:noWrap/>
                  <w:vAlign w:val="center"/>
                </w:tcPr>
                <w:p>
                  <w:pPr>
                    <w:widowControl/>
                    <w:spacing w:line="240" w:lineRule="auto"/>
                    <w:jc w:val="center"/>
                    <w:rPr>
                      <w:rFonts w:hint="default" w:ascii="Times New Roman" w:hAnsi="Times New Roman" w:cs="Times New Roman"/>
                      <w:b/>
                      <w:bCs/>
                      <w:szCs w:val="21"/>
                      <w:u w:val="single"/>
                    </w:rPr>
                  </w:pPr>
                  <w:r>
                    <w:rPr>
                      <w:rFonts w:hint="default" w:ascii="Times New Roman" w:hAnsi="Times New Roman" w:cs="Times New Roman"/>
                      <w:b/>
                      <w:bCs/>
                      <w:szCs w:val="21"/>
                      <w:u w:val="single"/>
                    </w:rPr>
                    <w:t>SS</w:t>
                  </w:r>
                </w:p>
              </w:tc>
              <w:tc>
                <w:tcPr>
                  <w:tcW w:w="350" w:type="pct"/>
                  <w:tcBorders>
                    <w:right w:val="single" w:color="auto" w:sz="4" w:space="0"/>
                  </w:tcBorders>
                  <w:noWrap/>
                  <w:vAlign w:val="center"/>
                </w:tcPr>
                <w:p>
                  <w:pPr>
                    <w:spacing w:line="240" w:lineRule="auto"/>
                    <w:jc w:val="center"/>
                    <w:rPr>
                      <w:rFonts w:hint="default" w:ascii="Times New Roman" w:hAnsi="Times New Roman" w:cs="Times New Roman"/>
                      <w:b/>
                      <w:bCs/>
                      <w:szCs w:val="21"/>
                      <w:u w:val="single"/>
                    </w:rPr>
                  </w:pPr>
                  <w:r>
                    <w:rPr>
                      <w:rFonts w:hint="default" w:ascii="Times New Roman" w:hAnsi="Times New Roman" w:cs="Times New Roman"/>
                      <w:b/>
                      <w:bCs/>
                      <w:szCs w:val="21"/>
                      <w:u w:val="single"/>
                    </w:rPr>
                    <w:t>总氮</w:t>
                  </w:r>
                </w:p>
              </w:tc>
              <w:tc>
                <w:tcPr>
                  <w:tcW w:w="418" w:type="pct"/>
                  <w:tcBorders>
                    <w:right w:val="single" w:color="auto" w:sz="4" w:space="0"/>
                  </w:tcBorders>
                  <w:noWrap/>
                  <w:vAlign w:val="center"/>
                </w:tcPr>
                <w:p>
                  <w:pPr>
                    <w:spacing w:line="240" w:lineRule="auto"/>
                    <w:jc w:val="center"/>
                    <w:rPr>
                      <w:rFonts w:hint="default" w:ascii="Times New Roman" w:hAnsi="Times New Roman" w:cs="Times New Roman"/>
                      <w:b/>
                      <w:bCs/>
                      <w:szCs w:val="21"/>
                      <w:u w:val="single"/>
                    </w:rPr>
                  </w:pPr>
                  <w:r>
                    <w:rPr>
                      <w:rFonts w:hint="default" w:ascii="Times New Roman" w:hAnsi="Times New Roman" w:cs="Times New Roman"/>
                      <w:b/>
                      <w:bCs/>
                      <w:szCs w:val="21"/>
                      <w:u w:val="single"/>
                    </w:rPr>
                    <w:t>总余氯</w:t>
                  </w:r>
                </w:p>
              </w:tc>
              <w:tc>
                <w:tcPr>
                  <w:tcW w:w="590" w:type="pct"/>
                  <w:tcBorders>
                    <w:right w:val="single" w:color="auto" w:sz="4" w:space="0"/>
                  </w:tcBorders>
                  <w:noWrap/>
                  <w:vAlign w:val="center"/>
                </w:tcPr>
                <w:p>
                  <w:pPr>
                    <w:spacing w:line="240" w:lineRule="auto"/>
                    <w:jc w:val="center"/>
                    <w:rPr>
                      <w:rFonts w:hint="default" w:ascii="Times New Roman" w:hAnsi="Times New Roman" w:cs="Times New Roman"/>
                      <w:b/>
                      <w:bCs/>
                      <w:szCs w:val="21"/>
                      <w:u w:val="single"/>
                    </w:rPr>
                  </w:pPr>
                  <w:r>
                    <w:rPr>
                      <w:rFonts w:hint="default" w:ascii="Times New Roman" w:hAnsi="Times New Roman" w:cs="Times New Roman"/>
                      <w:b/>
                      <w:bCs/>
                      <w:szCs w:val="21"/>
                      <w:u w:val="single"/>
                    </w:rPr>
                    <w:t>粪大肠菌群</w:t>
                  </w:r>
                </w:p>
              </w:tc>
              <w:tc>
                <w:tcPr>
                  <w:tcW w:w="413" w:type="pct"/>
                  <w:tcBorders>
                    <w:right w:val="single" w:color="auto" w:sz="12" w:space="0"/>
                  </w:tcBorders>
                  <w:noWrap/>
                  <w:vAlign w:val="center"/>
                </w:tcPr>
                <w:p>
                  <w:pPr>
                    <w:spacing w:line="240" w:lineRule="auto"/>
                    <w:jc w:val="center"/>
                    <w:rPr>
                      <w:b/>
                      <w:bCs/>
                      <w:szCs w:val="21"/>
                      <w:u w:val="single"/>
                    </w:rPr>
                  </w:pPr>
                  <w:r>
                    <w:rPr>
                      <w:rFonts w:hint="eastAsia"/>
                      <w:b/>
                      <w:bCs/>
                      <w:szCs w:val="21"/>
                      <w:u w:val="single"/>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841" w:type="pct"/>
                  <w:vMerge w:val="restart"/>
                  <w:tcBorders>
                    <w:left w:val="single" w:color="auto" w:sz="12" w:space="0"/>
                  </w:tcBorders>
                  <w:noWrap/>
                  <w:vAlign w:val="center"/>
                </w:tcPr>
                <w:p>
                  <w:pPr>
                    <w:widowControl/>
                    <w:jc w:val="center"/>
                    <w:rPr>
                      <w:color w:val="auto"/>
                      <w:szCs w:val="21"/>
                      <w:u w:val="single"/>
                    </w:rPr>
                  </w:pPr>
                  <w:r>
                    <w:rPr>
                      <w:rFonts w:hint="eastAsia" w:cs="Times New Roman"/>
                      <w:szCs w:val="21"/>
                      <w:u w:val="single"/>
                      <w:lang w:val="en-US" w:eastAsia="zh-CN"/>
                    </w:rPr>
                    <w:t>病房</w:t>
                  </w:r>
                  <w:r>
                    <w:rPr>
                      <w:rFonts w:hint="eastAsia" w:ascii="Times New Roman" w:hAnsi="Times New Roman" w:eastAsia="宋体" w:cs="Times New Roman"/>
                      <w:szCs w:val="21"/>
                      <w:u w:val="single"/>
                    </w:rPr>
                    <w:t>废水、陪护人员废水、医护人员废水、</w:t>
                  </w:r>
                  <w:r>
                    <w:rPr>
                      <w:rFonts w:hint="eastAsia" w:ascii="Times New Roman" w:hAnsi="Times New Roman" w:eastAsia="宋体" w:cs="Times New Roman"/>
                      <w:szCs w:val="21"/>
                      <w:u w:val="single"/>
                      <w:lang w:val="en-US" w:eastAsia="zh-CN"/>
                    </w:rPr>
                    <w:t>食堂废水</w:t>
                  </w:r>
                  <w:r>
                    <w:rPr>
                      <w:rFonts w:hint="eastAsia" w:cs="Times New Roman"/>
                      <w:szCs w:val="21"/>
                      <w:u w:val="single"/>
                      <w:lang w:val="en-US" w:eastAsia="zh-CN"/>
                    </w:rPr>
                    <w:t>（20235.6t/a）</w:t>
                  </w:r>
                </w:p>
              </w:tc>
              <w:tc>
                <w:tcPr>
                  <w:tcW w:w="478" w:type="pct"/>
                  <w:noWrap/>
                  <w:vAlign w:val="center"/>
                </w:tcPr>
                <w:p>
                  <w:pPr>
                    <w:jc w:val="center"/>
                    <w:rPr>
                      <w:rFonts w:hint="default" w:eastAsia="宋体"/>
                      <w:color w:val="auto"/>
                      <w:szCs w:val="21"/>
                      <w:u w:val="single"/>
                      <w:lang w:val="en-US" w:eastAsia="zh-CN"/>
                    </w:rPr>
                  </w:pPr>
                  <w:r>
                    <w:rPr>
                      <w:rFonts w:hint="eastAsia"/>
                      <w:b/>
                      <w:bCs/>
                      <w:color w:val="auto"/>
                      <w:szCs w:val="21"/>
                      <w:u w:val="single"/>
                      <w:lang w:val="en-US" w:eastAsia="zh-CN"/>
                    </w:rPr>
                    <w:t>产生浓度</w:t>
                  </w:r>
                </w:p>
              </w:tc>
              <w:tc>
                <w:tcPr>
                  <w:tcW w:w="543" w:type="pct"/>
                  <w:noWrap/>
                  <w:vAlign w:val="center"/>
                </w:tcPr>
                <w:p>
                  <w:pPr>
                    <w:jc w:val="center"/>
                    <w:rPr>
                      <w:rFonts w:ascii="Times New Roman" w:hAnsi="Times New Roman" w:eastAsia="宋体" w:cs="Times New Roman"/>
                      <w:kern w:val="2"/>
                      <w:sz w:val="21"/>
                      <w:szCs w:val="21"/>
                      <w:u w:val="single"/>
                      <w:lang w:val="en-US" w:eastAsia="zh-CN" w:bidi="ar-SA"/>
                    </w:rPr>
                  </w:pPr>
                  <w:r>
                    <w:rPr>
                      <w:rFonts w:hint="eastAsia"/>
                      <w:szCs w:val="21"/>
                      <w:u w:val="single"/>
                    </w:rPr>
                    <w:t>300</w:t>
                  </w:r>
                </w:p>
              </w:tc>
              <w:tc>
                <w:tcPr>
                  <w:tcW w:w="485" w:type="pct"/>
                  <w:noWrap/>
                  <w:vAlign w:val="center"/>
                </w:tcPr>
                <w:p>
                  <w:pPr>
                    <w:widowControl/>
                    <w:jc w:val="center"/>
                    <w:rPr>
                      <w:rFonts w:ascii="Times New Roman" w:hAnsi="Times New Roman" w:eastAsia="宋体" w:cs="Times New Roman"/>
                      <w:kern w:val="2"/>
                      <w:sz w:val="21"/>
                      <w:szCs w:val="21"/>
                      <w:u w:val="single"/>
                      <w:lang w:val="en-US" w:eastAsia="zh-CN" w:bidi="ar-SA"/>
                    </w:rPr>
                  </w:pPr>
                  <w:r>
                    <w:rPr>
                      <w:rFonts w:hint="eastAsia"/>
                      <w:szCs w:val="21"/>
                      <w:u w:val="single"/>
                    </w:rPr>
                    <w:t>150</w:t>
                  </w:r>
                </w:p>
              </w:tc>
              <w:tc>
                <w:tcPr>
                  <w:tcW w:w="424" w:type="pct"/>
                  <w:noWrap/>
                  <w:vAlign w:val="center"/>
                </w:tcPr>
                <w:p>
                  <w:pPr>
                    <w:widowControl/>
                    <w:jc w:val="center"/>
                    <w:rPr>
                      <w:rFonts w:ascii="Times New Roman" w:hAnsi="Times New Roman" w:eastAsia="宋体" w:cs="Times New Roman"/>
                      <w:kern w:val="2"/>
                      <w:sz w:val="21"/>
                      <w:szCs w:val="21"/>
                      <w:u w:val="single"/>
                      <w:lang w:val="en-US" w:eastAsia="zh-CN" w:bidi="ar-SA"/>
                    </w:rPr>
                  </w:pPr>
                  <w:r>
                    <w:rPr>
                      <w:rFonts w:hint="eastAsia"/>
                      <w:szCs w:val="21"/>
                      <w:u w:val="single"/>
                    </w:rPr>
                    <w:t>40</w:t>
                  </w:r>
                </w:p>
              </w:tc>
              <w:tc>
                <w:tcPr>
                  <w:tcW w:w="454" w:type="pct"/>
                  <w:noWrap/>
                  <w:vAlign w:val="center"/>
                </w:tcPr>
                <w:p>
                  <w:pPr>
                    <w:widowControl/>
                    <w:jc w:val="center"/>
                    <w:rPr>
                      <w:rFonts w:ascii="Times New Roman" w:hAnsi="Times New Roman" w:eastAsia="宋体" w:cs="Times New Roman"/>
                      <w:kern w:val="2"/>
                      <w:sz w:val="21"/>
                      <w:szCs w:val="21"/>
                      <w:u w:val="single"/>
                      <w:lang w:val="en-US" w:eastAsia="zh-CN" w:bidi="ar-SA"/>
                    </w:rPr>
                  </w:pPr>
                  <w:r>
                    <w:rPr>
                      <w:rFonts w:hint="eastAsia"/>
                      <w:szCs w:val="21"/>
                      <w:u w:val="single"/>
                    </w:rPr>
                    <w:t>200</w:t>
                  </w:r>
                </w:p>
              </w:tc>
              <w:tc>
                <w:tcPr>
                  <w:tcW w:w="350" w:type="pct"/>
                  <w:tcBorders>
                    <w:right w:val="single" w:color="auto" w:sz="4" w:space="0"/>
                  </w:tcBorders>
                  <w:noWrap/>
                  <w:vAlign w:val="center"/>
                </w:tcPr>
                <w:p>
                  <w:pPr>
                    <w:widowControl/>
                    <w:jc w:val="center"/>
                    <w:rPr>
                      <w:szCs w:val="21"/>
                      <w:u w:val="single"/>
                    </w:rPr>
                  </w:pPr>
                  <w:r>
                    <w:rPr>
                      <w:rFonts w:hint="eastAsia"/>
                      <w:szCs w:val="21"/>
                      <w:u w:val="single"/>
                    </w:rPr>
                    <w:t>-</w:t>
                  </w:r>
                </w:p>
              </w:tc>
              <w:tc>
                <w:tcPr>
                  <w:tcW w:w="418" w:type="pct"/>
                  <w:tcBorders>
                    <w:right w:val="single" w:color="auto" w:sz="4" w:space="0"/>
                  </w:tcBorders>
                  <w:noWrap/>
                  <w:vAlign w:val="center"/>
                </w:tcPr>
                <w:p>
                  <w:pPr>
                    <w:widowControl/>
                    <w:jc w:val="center"/>
                    <w:rPr>
                      <w:szCs w:val="21"/>
                      <w:u w:val="single"/>
                    </w:rPr>
                  </w:pPr>
                  <w:r>
                    <w:rPr>
                      <w:rFonts w:hint="eastAsia"/>
                      <w:szCs w:val="21"/>
                      <w:u w:val="single"/>
                    </w:rPr>
                    <w:t>-</w:t>
                  </w:r>
                </w:p>
              </w:tc>
              <w:tc>
                <w:tcPr>
                  <w:tcW w:w="590" w:type="pct"/>
                  <w:tcBorders>
                    <w:right w:val="single" w:color="auto" w:sz="4" w:space="0"/>
                  </w:tcBorders>
                  <w:noWrap/>
                  <w:vAlign w:val="center"/>
                </w:tcPr>
                <w:p>
                  <w:pPr>
                    <w:widowControl/>
                    <w:jc w:val="center"/>
                    <w:rPr>
                      <w:rFonts w:hint="eastAsia"/>
                      <w:szCs w:val="21"/>
                      <w:u w:val="single"/>
                    </w:rPr>
                  </w:pPr>
                  <w:r>
                    <w:rPr>
                      <w:rFonts w:hint="eastAsia"/>
                      <w:szCs w:val="21"/>
                      <w:u w:val="single"/>
                    </w:rPr>
                    <w:t>16×10</w:t>
                  </w:r>
                  <w:r>
                    <w:rPr>
                      <w:rFonts w:hint="eastAsia"/>
                      <w:szCs w:val="21"/>
                      <w:u w:val="single"/>
                      <w:vertAlign w:val="superscript"/>
                    </w:rPr>
                    <w:t>4</w:t>
                  </w:r>
                </w:p>
              </w:tc>
              <w:tc>
                <w:tcPr>
                  <w:tcW w:w="413" w:type="pct"/>
                  <w:tcBorders>
                    <w:right w:val="single" w:color="auto" w:sz="12" w:space="0"/>
                  </w:tcBorders>
                  <w:noWrap/>
                  <w:vAlign w:val="center"/>
                </w:tcPr>
                <w:p>
                  <w:pPr>
                    <w:widowControl/>
                    <w:jc w:val="center"/>
                    <w:rPr>
                      <w:szCs w:val="21"/>
                      <w:u w:val="single"/>
                    </w:rPr>
                  </w:pPr>
                  <w:r>
                    <w:rPr>
                      <w:rFonts w:hint="eastAsia"/>
                      <w:szCs w:val="21"/>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41" w:type="pct"/>
                  <w:vMerge w:val="continue"/>
                  <w:tcBorders>
                    <w:left w:val="single" w:color="auto" w:sz="12" w:space="0"/>
                  </w:tcBorders>
                  <w:noWrap/>
                  <w:vAlign w:val="center"/>
                </w:tcPr>
                <w:p>
                  <w:pPr>
                    <w:widowControl/>
                    <w:jc w:val="center"/>
                    <w:rPr>
                      <w:rFonts w:hint="eastAsia" w:ascii="Times New Roman" w:hAnsi="Times New Roman" w:eastAsia="宋体" w:cs="Times New Roman"/>
                      <w:szCs w:val="21"/>
                      <w:u w:val="single"/>
                      <w:lang w:val="en-US" w:eastAsia="zh-CN"/>
                    </w:rPr>
                  </w:pPr>
                </w:p>
              </w:tc>
              <w:tc>
                <w:tcPr>
                  <w:tcW w:w="478" w:type="pct"/>
                  <w:noWrap/>
                  <w:vAlign w:val="center"/>
                </w:tcPr>
                <w:p>
                  <w:pPr>
                    <w:jc w:val="center"/>
                    <w:rPr>
                      <w:rFonts w:hint="eastAsia" w:cs="Times New Roman"/>
                      <w:szCs w:val="21"/>
                      <w:u w:val="single"/>
                      <w:lang w:val="en-US" w:eastAsia="zh-CN"/>
                    </w:rPr>
                  </w:pPr>
                  <w:r>
                    <w:rPr>
                      <w:rFonts w:hint="eastAsia"/>
                      <w:b/>
                      <w:bCs/>
                      <w:szCs w:val="21"/>
                      <w:u w:val="single"/>
                    </w:rPr>
                    <w:t>产生量t/a</w:t>
                  </w:r>
                </w:p>
              </w:tc>
              <w:tc>
                <w:tcPr>
                  <w:tcW w:w="543" w:type="pct"/>
                  <w:noWrap/>
                  <w:vAlign w:val="center"/>
                </w:tcPr>
                <w:p>
                  <w:pPr>
                    <w:jc w:val="center"/>
                    <w:rPr>
                      <w:rFonts w:hint="default" w:eastAsia="宋体"/>
                      <w:szCs w:val="21"/>
                      <w:u w:val="single"/>
                      <w:lang w:val="en-US" w:eastAsia="zh-CN"/>
                    </w:rPr>
                  </w:pPr>
                  <w:r>
                    <w:rPr>
                      <w:rFonts w:hint="eastAsia"/>
                      <w:szCs w:val="21"/>
                      <w:u w:val="single"/>
                      <w:lang w:val="en-US" w:eastAsia="zh-CN"/>
                    </w:rPr>
                    <w:t>6.07</w:t>
                  </w:r>
                </w:p>
              </w:tc>
              <w:tc>
                <w:tcPr>
                  <w:tcW w:w="485" w:type="pct"/>
                  <w:noWrap/>
                  <w:vAlign w:val="center"/>
                </w:tcPr>
                <w:p>
                  <w:pPr>
                    <w:widowControl/>
                    <w:jc w:val="center"/>
                    <w:rPr>
                      <w:rFonts w:hint="default" w:eastAsia="宋体"/>
                      <w:szCs w:val="21"/>
                      <w:u w:val="single"/>
                      <w:lang w:val="en-US" w:eastAsia="zh-CN"/>
                    </w:rPr>
                  </w:pPr>
                  <w:r>
                    <w:rPr>
                      <w:rFonts w:hint="eastAsia"/>
                      <w:szCs w:val="21"/>
                      <w:u w:val="single"/>
                      <w:lang w:val="en-US" w:eastAsia="zh-CN"/>
                    </w:rPr>
                    <w:t>3.04</w:t>
                  </w:r>
                </w:p>
              </w:tc>
              <w:tc>
                <w:tcPr>
                  <w:tcW w:w="424" w:type="pct"/>
                  <w:noWrap/>
                  <w:vAlign w:val="center"/>
                </w:tcPr>
                <w:p>
                  <w:pPr>
                    <w:widowControl/>
                    <w:jc w:val="center"/>
                    <w:rPr>
                      <w:rFonts w:hint="default" w:eastAsia="宋体"/>
                      <w:szCs w:val="21"/>
                      <w:u w:val="single"/>
                      <w:lang w:val="en-US" w:eastAsia="zh-CN"/>
                    </w:rPr>
                  </w:pPr>
                  <w:r>
                    <w:rPr>
                      <w:rFonts w:hint="eastAsia"/>
                      <w:szCs w:val="21"/>
                      <w:u w:val="single"/>
                      <w:lang w:val="en-US" w:eastAsia="zh-CN"/>
                    </w:rPr>
                    <w:t>0.81</w:t>
                  </w:r>
                </w:p>
              </w:tc>
              <w:tc>
                <w:tcPr>
                  <w:tcW w:w="454" w:type="pct"/>
                  <w:noWrap/>
                  <w:vAlign w:val="center"/>
                </w:tcPr>
                <w:p>
                  <w:pPr>
                    <w:widowControl/>
                    <w:jc w:val="center"/>
                    <w:rPr>
                      <w:rFonts w:hint="default" w:eastAsia="宋体"/>
                      <w:szCs w:val="21"/>
                      <w:u w:val="single"/>
                      <w:lang w:val="en-US" w:eastAsia="zh-CN"/>
                    </w:rPr>
                  </w:pPr>
                  <w:r>
                    <w:rPr>
                      <w:rFonts w:hint="eastAsia"/>
                      <w:szCs w:val="21"/>
                      <w:u w:val="single"/>
                      <w:lang w:val="en-US" w:eastAsia="zh-CN"/>
                    </w:rPr>
                    <w:t>4.05</w:t>
                  </w:r>
                </w:p>
              </w:tc>
              <w:tc>
                <w:tcPr>
                  <w:tcW w:w="350" w:type="pct"/>
                  <w:tcBorders>
                    <w:right w:val="single" w:color="auto" w:sz="4" w:space="0"/>
                  </w:tcBorders>
                  <w:noWrap/>
                  <w:vAlign w:val="center"/>
                </w:tcPr>
                <w:p>
                  <w:pPr>
                    <w:widowControl/>
                    <w:jc w:val="center"/>
                    <w:rPr>
                      <w:rFonts w:hint="eastAsia" w:eastAsia="宋体"/>
                      <w:szCs w:val="21"/>
                      <w:u w:val="single"/>
                      <w:lang w:val="en-US" w:eastAsia="zh-CN"/>
                    </w:rPr>
                  </w:pPr>
                  <w:r>
                    <w:rPr>
                      <w:rFonts w:hint="eastAsia"/>
                      <w:szCs w:val="21"/>
                      <w:u w:val="single"/>
                      <w:lang w:val="en-US" w:eastAsia="zh-CN"/>
                    </w:rPr>
                    <w:t>-</w:t>
                  </w:r>
                </w:p>
              </w:tc>
              <w:tc>
                <w:tcPr>
                  <w:tcW w:w="418" w:type="pct"/>
                  <w:tcBorders>
                    <w:right w:val="single" w:color="auto" w:sz="4" w:space="0"/>
                  </w:tcBorders>
                  <w:noWrap/>
                  <w:vAlign w:val="center"/>
                </w:tcPr>
                <w:p>
                  <w:pPr>
                    <w:widowControl/>
                    <w:jc w:val="center"/>
                    <w:rPr>
                      <w:rFonts w:hint="eastAsia" w:eastAsia="宋体"/>
                      <w:szCs w:val="21"/>
                      <w:u w:val="single"/>
                      <w:lang w:val="en-US" w:eastAsia="zh-CN"/>
                    </w:rPr>
                  </w:pPr>
                  <w:r>
                    <w:rPr>
                      <w:rFonts w:hint="eastAsia"/>
                      <w:szCs w:val="21"/>
                      <w:u w:val="single"/>
                      <w:lang w:val="en-US" w:eastAsia="zh-CN"/>
                    </w:rPr>
                    <w:t>-</w:t>
                  </w:r>
                </w:p>
              </w:tc>
              <w:tc>
                <w:tcPr>
                  <w:tcW w:w="590" w:type="pct"/>
                  <w:tcBorders>
                    <w:right w:val="single" w:color="auto" w:sz="4" w:space="0"/>
                  </w:tcBorders>
                  <w:noWrap/>
                  <w:vAlign w:val="center"/>
                </w:tcPr>
                <w:p>
                  <w:pPr>
                    <w:widowControl/>
                    <w:jc w:val="center"/>
                    <w:rPr>
                      <w:rFonts w:hint="eastAsia" w:eastAsia="宋体"/>
                      <w:szCs w:val="21"/>
                      <w:u w:val="single"/>
                      <w:lang w:val="en-US" w:eastAsia="zh-CN"/>
                    </w:rPr>
                  </w:pPr>
                  <w:r>
                    <w:rPr>
                      <w:rFonts w:hint="eastAsia"/>
                      <w:szCs w:val="21"/>
                      <w:u w:val="single"/>
                      <w:lang w:val="en-US" w:eastAsia="zh-CN"/>
                    </w:rPr>
                    <w:t>-</w:t>
                  </w:r>
                </w:p>
              </w:tc>
              <w:tc>
                <w:tcPr>
                  <w:tcW w:w="413" w:type="pct"/>
                  <w:tcBorders>
                    <w:right w:val="single" w:color="auto" w:sz="12" w:space="0"/>
                  </w:tcBorders>
                  <w:noWrap/>
                  <w:vAlign w:val="center"/>
                </w:tcPr>
                <w:p>
                  <w:pPr>
                    <w:widowControl/>
                    <w:jc w:val="center"/>
                    <w:rPr>
                      <w:rFonts w:hint="eastAsia" w:eastAsia="宋体"/>
                      <w:szCs w:val="21"/>
                      <w:u w:val="single"/>
                      <w:lang w:val="en-US" w:eastAsia="zh-CN"/>
                    </w:rPr>
                  </w:pPr>
                  <w:r>
                    <w:rPr>
                      <w:rFonts w:hint="eastAsia"/>
                      <w:szCs w:val="21"/>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841" w:type="pct"/>
                  <w:vMerge w:val="continue"/>
                  <w:tcBorders>
                    <w:left w:val="single" w:color="auto" w:sz="12" w:space="0"/>
                  </w:tcBorders>
                  <w:noWrap/>
                  <w:vAlign w:val="center"/>
                </w:tcPr>
                <w:p>
                  <w:pPr>
                    <w:widowControl/>
                    <w:ind w:firstLine="420" w:firstLineChars="200"/>
                    <w:jc w:val="center"/>
                    <w:rPr>
                      <w:color w:val="auto"/>
                      <w:szCs w:val="21"/>
                      <w:u w:val="single"/>
                    </w:rPr>
                  </w:pPr>
                </w:p>
              </w:tc>
              <w:tc>
                <w:tcPr>
                  <w:tcW w:w="4158" w:type="pct"/>
                  <w:gridSpan w:val="9"/>
                  <w:tcBorders>
                    <w:left w:val="single" w:color="auto" w:sz="4" w:space="0"/>
                    <w:right w:val="single" w:color="auto" w:sz="12" w:space="0"/>
                  </w:tcBorders>
                  <w:noWrap/>
                  <w:vAlign w:val="center"/>
                </w:tcPr>
                <w:p>
                  <w:pPr>
                    <w:widowControl/>
                    <w:ind w:firstLine="420" w:firstLineChars="200"/>
                    <w:jc w:val="center"/>
                    <w:rPr>
                      <w:rFonts w:hint="eastAsia"/>
                      <w:color w:val="auto"/>
                      <w:szCs w:val="21"/>
                      <w:u w:val="single"/>
                      <w:lang w:val="en-US" w:eastAsia="zh-CN"/>
                    </w:rPr>
                  </w:pPr>
                  <w:r>
                    <w:rPr>
                      <w:rFonts w:hint="eastAsia"/>
                      <w:color w:val="auto"/>
                      <w:szCs w:val="21"/>
                      <w:u w:val="single"/>
                      <w:lang w:val="en-US" w:eastAsia="zh-CN"/>
                    </w:rPr>
                    <w:t>依托湘阴县妇女儿童医院（二期）项目</w:t>
                  </w:r>
                  <w:r>
                    <w:rPr>
                      <w:rFonts w:hint="eastAsia"/>
                      <w:color w:val="auto"/>
                      <w:szCs w:val="21"/>
                      <w:u w:val="single"/>
                    </w:rPr>
                    <w:t>一体化污水处理设施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841" w:type="pct"/>
                  <w:vMerge w:val="continue"/>
                  <w:tcBorders>
                    <w:left w:val="single" w:color="auto" w:sz="12" w:space="0"/>
                  </w:tcBorders>
                  <w:noWrap/>
                  <w:vAlign w:val="center"/>
                </w:tcPr>
                <w:p>
                  <w:pPr>
                    <w:spacing w:line="240" w:lineRule="auto"/>
                    <w:jc w:val="center"/>
                    <w:rPr>
                      <w:color w:val="auto"/>
                      <w:szCs w:val="21"/>
                      <w:u w:val="single"/>
                    </w:rPr>
                  </w:pPr>
                </w:p>
              </w:tc>
              <w:tc>
                <w:tcPr>
                  <w:tcW w:w="478" w:type="pct"/>
                  <w:noWrap/>
                  <w:vAlign w:val="center"/>
                </w:tcPr>
                <w:p>
                  <w:pPr>
                    <w:widowControl/>
                    <w:jc w:val="center"/>
                    <w:rPr>
                      <w:rFonts w:hint="eastAsia" w:eastAsia="宋体"/>
                      <w:b/>
                      <w:bCs/>
                      <w:color w:val="auto"/>
                      <w:szCs w:val="21"/>
                      <w:u w:val="single"/>
                      <w:lang w:val="en-US" w:eastAsia="zh-CN"/>
                    </w:rPr>
                  </w:pPr>
                  <w:r>
                    <w:rPr>
                      <w:rFonts w:hint="eastAsia"/>
                      <w:b/>
                      <w:bCs/>
                      <w:color w:val="auto"/>
                      <w:szCs w:val="21"/>
                      <w:u w:val="single"/>
                    </w:rPr>
                    <w:t>处理效率</w:t>
                  </w:r>
                </w:p>
              </w:tc>
              <w:tc>
                <w:tcPr>
                  <w:tcW w:w="543" w:type="pct"/>
                  <w:noWrap/>
                  <w:vAlign w:val="center"/>
                </w:tcPr>
                <w:p>
                  <w:pPr>
                    <w:widowControl/>
                    <w:jc w:val="center"/>
                    <w:rPr>
                      <w:rFonts w:hint="eastAsia" w:cs="Times New Roman"/>
                      <w:color w:val="000000"/>
                      <w:szCs w:val="21"/>
                      <w:u w:val="single"/>
                    </w:rPr>
                  </w:pPr>
                  <w:r>
                    <w:rPr>
                      <w:rFonts w:hint="default" w:cs="Times New Roman"/>
                      <w:color w:val="000000"/>
                      <w:szCs w:val="21"/>
                      <w:u w:val="single"/>
                    </w:rPr>
                    <w:t>16.7</w:t>
                  </w:r>
                  <w:r>
                    <w:rPr>
                      <w:rFonts w:hint="eastAsia" w:cs="Times New Roman"/>
                      <w:color w:val="000000"/>
                      <w:szCs w:val="21"/>
                      <w:u w:val="single"/>
                      <w:lang w:eastAsia="zh-CN"/>
                    </w:rPr>
                    <w:t>%</w:t>
                  </w:r>
                </w:p>
              </w:tc>
              <w:tc>
                <w:tcPr>
                  <w:tcW w:w="485" w:type="pct"/>
                  <w:noWrap/>
                  <w:vAlign w:val="center"/>
                </w:tcPr>
                <w:p>
                  <w:pPr>
                    <w:widowControl/>
                    <w:jc w:val="center"/>
                    <w:rPr>
                      <w:rFonts w:hint="eastAsia" w:cs="Times New Roman"/>
                      <w:color w:val="000000"/>
                      <w:szCs w:val="21"/>
                      <w:u w:val="single"/>
                    </w:rPr>
                  </w:pPr>
                  <w:r>
                    <w:rPr>
                      <w:rFonts w:hint="default" w:cs="Times New Roman"/>
                      <w:color w:val="000000"/>
                      <w:szCs w:val="21"/>
                      <w:u w:val="single"/>
                    </w:rPr>
                    <w:t>33.3</w:t>
                  </w:r>
                  <w:r>
                    <w:rPr>
                      <w:rFonts w:hint="eastAsia" w:cs="Times New Roman"/>
                      <w:color w:val="000000"/>
                      <w:szCs w:val="21"/>
                      <w:u w:val="single"/>
                      <w:lang w:eastAsia="zh-CN"/>
                    </w:rPr>
                    <w:t>%</w:t>
                  </w:r>
                </w:p>
              </w:tc>
              <w:tc>
                <w:tcPr>
                  <w:tcW w:w="424" w:type="pct"/>
                  <w:noWrap/>
                  <w:vAlign w:val="center"/>
                </w:tcPr>
                <w:p>
                  <w:pPr>
                    <w:widowControl/>
                    <w:jc w:val="center"/>
                    <w:rPr>
                      <w:rFonts w:hint="default" w:eastAsia="宋体" w:cs="Times New Roman"/>
                      <w:color w:val="000000"/>
                      <w:szCs w:val="21"/>
                      <w:u w:val="single"/>
                      <w:lang w:val="en-US" w:eastAsia="zh-CN"/>
                    </w:rPr>
                  </w:pPr>
                  <w:r>
                    <w:rPr>
                      <w:rFonts w:hint="eastAsia" w:cs="Times New Roman"/>
                      <w:color w:val="000000"/>
                      <w:szCs w:val="21"/>
                      <w:u w:val="single"/>
                      <w:lang w:val="en-US" w:eastAsia="zh-CN"/>
                    </w:rPr>
                    <w:t>-</w:t>
                  </w:r>
                </w:p>
              </w:tc>
              <w:tc>
                <w:tcPr>
                  <w:tcW w:w="454" w:type="pct"/>
                  <w:noWrap/>
                  <w:vAlign w:val="center"/>
                </w:tcPr>
                <w:p>
                  <w:pPr>
                    <w:widowControl/>
                    <w:jc w:val="center"/>
                    <w:rPr>
                      <w:rFonts w:hint="eastAsia" w:cs="Times New Roman"/>
                      <w:color w:val="000000"/>
                      <w:szCs w:val="21"/>
                      <w:u w:val="single"/>
                    </w:rPr>
                  </w:pPr>
                  <w:r>
                    <w:rPr>
                      <w:rFonts w:hint="default" w:cs="Times New Roman"/>
                      <w:color w:val="000000"/>
                      <w:szCs w:val="21"/>
                      <w:u w:val="single"/>
                    </w:rPr>
                    <w:t>70</w:t>
                  </w:r>
                  <w:r>
                    <w:rPr>
                      <w:rFonts w:hint="eastAsia" w:cs="Times New Roman"/>
                      <w:color w:val="000000"/>
                      <w:szCs w:val="21"/>
                      <w:u w:val="single"/>
                      <w:lang w:eastAsia="zh-CN"/>
                    </w:rPr>
                    <w:t>%</w:t>
                  </w:r>
                </w:p>
              </w:tc>
              <w:tc>
                <w:tcPr>
                  <w:tcW w:w="350" w:type="pct"/>
                  <w:tcBorders>
                    <w:right w:val="single" w:color="auto" w:sz="4" w:space="0"/>
                  </w:tcBorders>
                  <w:noWrap/>
                  <w:vAlign w:val="center"/>
                </w:tcPr>
                <w:p>
                  <w:pPr>
                    <w:widowControl/>
                    <w:jc w:val="center"/>
                    <w:rPr>
                      <w:rFonts w:cs="Times New Roman"/>
                      <w:b/>
                      <w:bCs/>
                      <w:color w:val="FF0000"/>
                      <w:szCs w:val="21"/>
                      <w:u w:val="single"/>
                    </w:rPr>
                  </w:pPr>
                  <w:r>
                    <w:rPr>
                      <w:rFonts w:hint="default" w:cs="Times New Roman"/>
                      <w:szCs w:val="21"/>
                      <w:u w:val="single"/>
                    </w:rPr>
                    <w:t>-</w:t>
                  </w:r>
                </w:p>
              </w:tc>
              <w:tc>
                <w:tcPr>
                  <w:tcW w:w="418" w:type="pct"/>
                  <w:tcBorders>
                    <w:right w:val="single" w:color="auto" w:sz="4" w:space="0"/>
                  </w:tcBorders>
                  <w:noWrap/>
                  <w:vAlign w:val="center"/>
                </w:tcPr>
                <w:p>
                  <w:pPr>
                    <w:widowControl/>
                    <w:jc w:val="center"/>
                    <w:rPr>
                      <w:rFonts w:cs="Times New Roman"/>
                      <w:b/>
                      <w:bCs/>
                      <w:color w:val="FF0000"/>
                      <w:szCs w:val="21"/>
                      <w:u w:val="single"/>
                    </w:rPr>
                  </w:pPr>
                  <w:r>
                    <w:rPr>
                      <w:rFonts w:hint="default" w:cs="Times New Roman"/>
                      <w:szCs w:val="21"/>
                      <w:u w:val="single"/>
                    </w:rPr>
                    <w:t>-</w:t>
                  </w:r>
                </w:p>
              </w:tc>
              <w:tc>
                <w:tcPr>
                  <w:tcW w:w="590" w:type="pct"/>
                  <w:tcBorders>
                    <w:right w:val="single" w:color="auto" w:sz="4" w:space="0"/>
                  </w:tcBorders>
                  <w:noWrap/>
                  <w:vAlign w:val="center"/>
                </w:tcPr>
                <w:p>
                  <w:pPr>
                    <w:widowControl/>
                    <w:jc w:val="center"/>
                    <w:rPr>
                      <w:rFonts w:hint="eastAsia" w:cs="Times New Roman"/>
                      <w:color w:val="000000"/>
                      <w:szCs w:val="21"/>
                      <w:u w:val="single"/>
                    </w:rPr>
                  </w:pPr>
                  <w:r>
                    <w:rPr>
                      <w:rFonts w:hint="default" w:cs="Times New Roman"/>
                      <w:color w:val="000000"/>
                      <w:szCs w:val="21"/>
                      <w:u w:val="single"/>
                    </w:rPr>
                    <w:t>96.9</w:t>
                  </w:r>
                  <w:r>
                    <w:rPr>
                      <w:rFonts w:hint="eastAsia" w:cs="Times New Roman"/>
                      <w:color w:val="000000"/>
                      <w:szCs w:val="21"/>
                      <w:u w:val="single"/>
                      <w:lang w:eastAsia="zh-CN"/>
                    </w:rPr>
                    <w:t>%</w:t>
                  </w:r>
                </w:p>
              </w:tc>
              <w:tc>
                <w:tcPr>
                  <w:tcW w:w="413" w:type="pct"/>
                  <w:tcBorders>
                    <w:right w:val="single" w:color="auto" w:sz="12" w:space="0"/>
                  </w:tcBorders>
                  <w:noWrap/>
                  <w:vAlign w:val="center"/>
                </w:tcPr>
                <w:p>
                  <w:pPr>
                    <w:widowControl/>
                    <w:jc w:val="center"/>
                    <w:rPr>
                      <w:color w:val="000000"/>
                      <w:szCs w:val="21"/>
                      <w:u w:val="single"/>
                    </w:rPr>
                  </w:pPr>
                  <w:r>
                    <w:rPr>
                      <w:rFonts w:hint="eastAsia"/>
                      <w:color w:val="000000"/>
                      <w:szCs w:val="21"/>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41" w:type="pct"/>
                  <w:vMerge w:val="continue"/>
                  <w:tcBorders>
                    <w:left w:val="single" w:color="auto" w:sz="12" w:space="0"/>
                  </w:tcBorders>
                  <w:noWrap/>
                  <w:vAlign w:val="center"/>
                </w:tcPr>
                <w:p>
                  <w:pPr>
                    <w:spacing w:line="240" w:lineRule="auto"/>
                    <w:jc w:val="center"/>
                    <w:rPr>
                      <w:color w:val="auto"/>
                      <w:szCs w:val="21"/>
                      <w:u w:val="single"/>
                    </w:rPr>
                  </w:pPr>
                </w:p>
              </w:tc>
              <w:tc>
                <w:tcPr>
                  <w:tcW w:w="478" w:type="pct"/>
                  <w:noWrap/>
                  <w:vAlign w:val="center"/>
                </w:tcPr>
                <w:p>
                  <w:pPr>
                    <w:widowControl/>
                    <w:jc w:val="center"/>
                    <w:rPr>
                      <w:rFonts w:hint="default" w:eastAsia="宋体"/>
                      <w:b/>
                      <w:bCs/>
                      <w:color w:val="auto"/>
                      <w:szCs w:val="21"/>
                      <w:u w:val="single"/>
                      <w:lang w:val="en-US" w:eastAsia="zh-CN"/>
                    </w:rPr>
                  </w:pPr>
                  <w:r>
                    <w:rPr>
                      <w:b/>
                      <w:bCs/>
                      <w:color w:val="auto"/>
                      <w:szCs w:val="21"/>
                      <w:u w:val="single"/>
                    </w:rPr>
                    <w:t>出水水质</w:t>
                  </w:r>
                </w:p>
              </w:tc>
              <w:tc>
                <w:tcPr>
                  <w:tcW w:w="543" w:type="pct"/>
                  <w:noWrap/>
                  <w:vAlign w:val="center"/>
                </w:tcPr>
                <w:p>
                  <w:pPr>
                    <w:widowControl/>
                    <w:jc w:val="center"/>
                    <w:rPr>
                      <w:color w:val="auto"/>
                      <w:szCs w:val="21"/>
                      <w:u w:val="single"/>
                    </w:rPr>
                  </w:pPr>
                  <w:r>
                    <w:rPr>
                      <w:rFonts w:hint="eastAsia"/>
                      <w:color w:val="auto"/>
                      <w:szCs w:val="21"/>
                      <w:u w:val="single"/>
                    </w:rPr>
                    <w:t>250</w:t>
                  </w:r>
                </w:p>
              </w:tc>
              <w:tc>
                <w:tcPr>
                  <w:tcW w:w="485" w:type="pct"/>
                  <w:noWrap/>
                  <w:vAlign w:val="center"/>
                </w:tcPr>
                <w:p>
                  <w:pPr>
                    <w:widowControl/>
                    <w:jc w:val="center"/>
                    <w:rPr>
                      <w:color w:val="auto"/>
                      <w:szCs w:val="21"/>
                      <w:u w:val="single"/>
                    </w:rPr>
                  </w:pPr>
                  <w:r>
                    <w:rPr>
                      <w:rFonts w:hint="eastAsia"/>
                      <w:color w:val="auto"/>
                      <w:szCs w:val="21"/>
                      <w:u w:val="single"/>
                    </w:rPr>
                    <w:t>100</w:t>
                  </w:r>
                </w:p>
              </w:tc>
              <w:tc>
                <w:tcPr>
                  <w:tcW w:w="424" w:type="pct"/>
                  <w:noWrap/>
                  <w:vAlign w:val="center"/>
                </w:tcPr>
                <w:p>
                  <w:pPr>
                    <w:widowControl/>
                    <w:jc w:val="center"/>
                    <w:rPr>
                      <w:rFonts w:hint="default" w:eastAsia="宋体"/>
                      <w:color w:val="auto"/>
                      <w:szCs w:val="21"/>
                      <w:u w:val="single"/>
                      <w:lang w:val="en-US" w:eastAsia="zh-CN"/>
                    </w:rPr>
                  </w:pPr>
                  <w:r>
                    <w:rPr>
                      <w:rFonts w:hint="eastAsia"/>
                      <w:color w:val="auto"/>
                      <w:szCs w:val="21"/>
                      <w:u w:val="single"/>
                      <w:lang w:val="en-US" w:eastAsia="zh-CN"/>
                    </w:rPr>
                    <w:t>40</w:t>
                  </w:r>
                </w:p>
              </w:tc>
              <w:tc>
                <w:tcPr>
                  <w:tcW w:w="454" w:type="pct"/>
                  <w:noWrap/>
                  <w:vAlign w:val="center"/>
                </w:tcPr>
                <w:p>
                  <w:pPr>
                    <w:widowControl/>
                    <w:jc w:val="center"/>
                    <w:rPr>
                      <w:color w:val="auto"/>
                      <w:szCs w:val="21"/>
                      <w:u w:val="single"/>
                    </w:rPr>
                  </w:pPr>
                  <w:r>
                    <w:rPr>
                      <w:rFonts w:hint="eastAsia"/>
                      <w:color w:val="auto"/>
                      <w:szCs w:val="21"/>
                      <w:u w:val="single"/>
                    </w:rPr>
                    <w:t>60</w:t>
                  </w:r>
                </w:p>
              </w:tc>
              <w:tc>
                <w:tcPr>
                  <w:tcW w:w="350" w:type="pct"/>
                  <w:tcBorders>
                    <w:right w:val="single" w:color="auto" w:sz="4" w:space="0"/>
                  </w:tcBorders>
                  <w:noWrap/>
                  <w:vAlign w:val="center"/>
                </w:tcPr>
                <w:p>
                  <w:pPr>
                    <w:widowControl/>
                    <w:jc w:val="center"/>
                    <w:rPr>
                      <w:rFonts w:hint="eastAsia"/>
                      <w:color w:val="auto"/>
                      <w:szCs w:val="21"/>
                      <w:u w:val="single"/>
                    </w:rPr>
                  </w:pPr>
                  <w:r>
                    <w:rPr>
                      <w:rFonts w:hint="eastAsia"/>
                      <w:color w:val="auto"/>
                      <w:szCs w:val="21"/>
                      <w:u w:val="single"/>
                    </w:rPr>
                    <w:t>-</w:t>
                  </w:r>
                </w:p>
              </w:tc>
              <w:tc>
                <w:tcPr>
                  <w:tcW w:w="418" w:type="pct"/>
                  <w:tcBorders>
                    <w:right w:val="single" w:color="auto" w:sz="4" w:space="0"/>
                  </w:tcBorders>
                  <w:noWrap/>
                  <w:vAlign w:val="center"/>
                </w:tcPr>
                <w:p>
                  <w:pPr>
                    <w:widowControl/>
                    <w:jc w:val="center"/>
                    <w:rPr>
                      <w:color w:val="FF0000"/>
                      <w:szCs w:val="21"/>
                      <w:u w:val="single"/>
                    </w:rPr>
                  </w:pPr>
                  <w:r>
                    <w:rPr>
                      <w:rFonts w:hint="eastAsia"/>
                      <w:szCs w:val="21"/>
                      <w:u w:val="single"/>
                    </w:rPr>
                    <w:t>-</w:t>
                  </w:r>
                </w:p>
              </w:tc>
              <w:tc>
                <w:tcPr>
                  <w:tcW w:w="590" w:type="pct"/>
                  <w:tcBorders>
                    <w:right w:val="single" w:color="auto" w:sz="4" w:space="0"/>
                  </w:tcBorders>
                  <w:noWrap/>
                  <w:vAlign w:val="center"/>
                </w:tcPr>
                <w:p>
                  <w:pPr>
                    <w:widowControl/>
                    <w:jc w:val="center"/>
                    <w:rPr>
                      <w:color w:val="FF0000"/>
                      <w:szCs w:val="21"/>
                      <w:u w:val="single"/>
                    </w:rPr>
                  </w:pPr>
                  <w:r>
                    <w:rPr>
                      <w:rFonts w:hint="eastAsia"/>
                      <w:szCs w:val="21"/>
                      <w:u w:val="single"/>
                    </w:rPr>
                    <w:t>5000</w:t>
                  </w:r>
                </w:p>
              </w:tc>
              <w:tc>
                <w:tcPr>
                  <w:tcW w:w="413" w:type="pct"/>
                  <w:tcBorders>
                    <w:right w:val="single" w:color="auto" w:sz="12" w:space="0"/>
                  </w:tcBorders>
                  <w:noWrap/>
                  <w:vAlign w:val="center"/>
                </w:tcPr>
                <w:p>
                  <w:pPr>
                    <w:widowControl/>
                    <w:jc w:val="center"/>
                    <w:rPr>
                      <w:color w:val="FF0000"/>
                      <w:szCs w:val="21"/>
                      <w:u w:val="single"/>
                    </w:rPr>
                  </w:pPr>
                  <w:r>
                    <w:rPr>
                      <w:rFonts w:hint="eastAsia"/>
                      <w:szCs w:val="21"/>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41" w:type="pct"/>
                  <w:vMerge w:val="continue"/>
                  <w:tcBorders>
                    <w:left w:val="single" w:color="auto" w:sz="12" w:space="0"/>
                  </w:tcBorders>
                  <w:noWrap/>
                  <w:vAlign w:val="center"/>
                </w:tcPr>
                <w:p>
                  <w:pPr>
                    <w:spacing w:line="240" w:lineRule="auto"/>
                    <w:jc w:val="center"/>
                    <w:rPr>
                      <w:color w:val="auto"/>
                      <w:szCs w:val="21"/>
                      <w:u w:val="single"/>
                    </w:rPr>
                  </w:pPr>
                </w:p>
              </w:tc>
              <w:tc>
                <w:tcPr>
                  <w:tcW w:w="478" w:type="pct"/>
                  <w:noWrap/>
                  <w:vAlign w:val="center"/>
                </w:tcPr>
                <w:p>
                  <w:pPr>
                    <w:widowControl/>
                    <w:jc w:val="center"/>
                    <w:rPr>
                      <w:rFonts w:hint="eastAsia"/>
                      <w:b/>
                      <w:bCs/>
                      <w:color w:val="auto"/>
                      <w:szCs w:val="21"/>
                      <w:u w:val="single"/>
                      <w:lang w:val="en-US" w:eastAsia="zh-CN"/>
                    </w:rPr>
                  </w:pPr>
                  <w:r>
                    <w:rPr>
                      <w:rFonts w:hint="eastAsia"/>
                      <w:b/>
                      <w:bCs/>
                      <w:szCs w:val="21"/>
                      <w:u w:val="single"/>
                      <w:lang w:val="en-US" w:eastAsia="zh-CN"/>
                    </w:rPr>
                    <w:t>排放</w:t>
                  </w:r>
                  <w:r>
                    <w:rPr>
                      <w:rFonts w:hint="eastAsia"/>
                      <w:b/>
                      <w:bCs/>
                      <w:szCs w:val="21"/>
                      <w:u w:val="single"/>
                    </w:rPr>
                    <w:t>量t/a</w:t>
                  </w:r>
                </w:p>
              </w:tc>
              <w:tc>
                <w:tcPr>
                  <w:tcW w:w="543" w:type="pct"/>
                  <w:noWrap/>
                  <w:vAlign w:val="center"/>
                </w:tcPr>
                <w:p>
                  <w:pPr>
                    <w:widowControl/>
                    <w:jc w:val="center"/>
                    <w:rPr>
                      <w:rFonts w:hint="default" w:eastAsia="宋体"/>
                      <w:color w:val="auto"/>
                      <w:szCs w:val="21"/>
                      <w:u w:val="single"/>
                      <w:lang w:val="en-US" w:eastAsia="zh-CN"/>
                    </w:rPr>
                  </w:pPr>
                  <w:r>
                    <w:rPr>
                      <w:rFonts w:hint="eastAsia"/>
                      <w:color w:val="auto"/>
                      <w:szCs w:val="21"/>
                      <w:u w:val="single"/>
                      <w:lang w:val="en-US" w:eastAsia="zh-CN"/>
                    </w:rPr>
                    <w:t>5.06</w:t>
                  </w:r>
                </w:p>
              </w:tc>
              <w:tc>
                <w:tcPr>
                  <w:tcW w:w="485" w:type="pct"/>
                  <w:noWrap/>
                  <w:vAlign w:val="center"/>
                </w:tcPr>
                <w:p>
                  <w:pPr>
                    <w:widowControl/>
                    <w:jc w:val="center"/>
                    <w:rPr>
                      <w:rFonts w:hint="default" w:eastAsia="宋体"/>
                      <w:color w:val="auto"/>
                      <w:szCs w:val="21"/>
                      <w:u w:val="single"/>
                      <w:lang w:val="en-US" w:eastAsia="zh-CN"/>
                    </w:rPr>
                  </w:pPr>
                  <w:r>
                    <w:rPr>
                      <w:rFonts w:hint="eastAsia"/>
                      <w:color w:val="auto"/>
                      <w:szCs w:val="21"/>
                      <w:u w:val="single"/>
                      <w:lang w:val="en-US" w:eastAsia="zh-CN"/>
                    </w:rPr>
                    <w:t>2.02</w:t>
                  </w:r>
                </w:p>
              </w:tc>
              <w:tc>
                <w:tcPr>
                  <w:tcW w:w="424" w:type="pct"/>
                  <w:noWrap/>
                  <w:vAlign w:val="center"/>
                </w:tcPr>
                <w:p>
                  <w:pPr>
                    <w:widowControl/>
                    <w:jc w:val="center"/>
                    <w:rPr>
                      <w:rFonts w:hint="default" w:ascii="Times New Roman" w:hAnsi="Times New Roman" w:eastAsia="宋体" w:cs="Times New Roman"/>
                      <w:kern w:val="2"/>
                      <w:sz w:val="21"/>
                      <w:szCs w:val="21"/>
                      <w:u w:val="single"/>
                      <w:lang w:val="en-US" w:eastAsia="zh-CN" w:bidi="ar-SA"/>
                    </w:rPr>
                  </w:pPr>
                  <w:r>
                    <w:rPr>
                      <w:rFonts w:hint="eastAsia"/>
                      <w:szCs w:val="21"/>
                      <w:u w:val="single"/>
                      <w:lang w:val="en-US" w:eastAsia="zh-CN"/>
                    </w:rPr>
                    <w:t>0.81</w:t>
                  </w:r>
                </w:p>
              </w:tc>
              <w:tc>
                <w:tcPr>
                  <w:tcW w:w="454" w:type="pct"/>
                  <w:noWrap/>
                  <w:vAlign w:val="center"/>
                </w:tcPr>
                <w:p>
                  <w:pPr>
                    <w:widowControl/>
                    <w:jc w:val="center"/>
                    <w:rPr>
                      <w:rFonts w:hint="default" w:eastAsia="宋体"/>
                      <w:color w:val="auto"/>
                      <w:szCs w:val="21"/>
                      <w:u w:val="single"/>
                      <w:lang w:val="en-US" w:eastAsia="zh-CN"/>
                    </w:rPr>
                  </w:pPr>
                  <w:r>
                    <w:rPr>
                      <w:rFonts w:hint="eastAsia"/>
                      <w:color w:val="auto"/>
                      <w:szCs w:val="21"/>
                      <w:u w:val="single"/>
                      <w:lang w:val="en-US" w:eastAsia="zh-CN"/>
                    </w:rPr>
                    <w:t>1.21</w:t>
                  </w:r>
                </w:p>
              </w:tc>
              <w:tc>
                <w:tcPr>
                  <w:tcW w:w="350" w:type="pct"/>
                  <w:tcBorders>
                    <w:right w:val="single" w:color="auto" w:sz="4" w:space="0"/>
                  </w:tcBorders>
                  <w:noWrap/>
                  <w:vAlign w:val="center"/>
                </w:tcPr>
                <w:p>
                  <w:pPr>
                    <w:widowControl/>
                    <w:jc w:val="center"/>
                    <w:rPr>
                      <w:rFonts w:hint="eastAsia" w:eastAsia="宋体"/>
                      <w:color w:val="auto"/>
                      <w:szCs w:val="21"/>
                      <w:u w:val="single"/>
                      <w:lang w:val="en-US" w:eastAsia="zh-CN"/>
                    </w:rPr>
                  </w:pPr>
                  <w:r>
                    <w:rPr>
                      <w:rFonts w:hint="eastAsia"/>
                      <w:color w:val="auto"/>
                      <w:szCs w:val="21"/>
                      <w:u w:val="single"/>
                      <w:lang w:val="en-US" w:eastAsia="zh-CN"/>
                    </w:rPr>
                    <w:t>-</w:t>
                  </w:r>
                </w:p>
              </w:tc>
              <w:tc>
                <w:tcPr>
                  <w:tcW w:w="418" w:type="pct"/>
                  <w:tcBorders>
                    <w:right w:val="single" w:color="auto" w:sz="4" w:space="0"/>
                  </w:tcBorders>
                  <w:noWrap/>
                  <w:vAlign w:val="center"/>
                </w:tcPr>
                <w:p>
                  <w:pPr>
                    <w:widowControl/>
                    <w:jc w:val="center"/>
                    <w:rPr>
                      <w:rFonts w:hint="eastAsia" w:eastAsia="宋体"/>
                      <w:szCs w:val="21"/>
                      <w:u w:val="single"/>
                      <w:lang w:val="en-US" w:eastAsia="zh-CN"/>
                    </w:rPr>
                  </w:pPr>
                  <w:r>
                    <w:rPr>
                      <w:rFonts w:hint="eastAsia"/>
                      <w:szCs w:val="21"/>
                      <w:u w:val="single"/>
                      <w:lang w:val="en-US" w:eastAsia="zh-CN"/>
                    </w:rPr>
                    <w:t>-</w:t>
                  </w:r>
                </w:p>
              </w:tc>
              <w:tc>
                <w:tcPr>
                  <w:tcW w:w="590" w:type="pct"/>
                  <w:tcBorders>
                    <w:right w:val="single" w:color="auto" w:sz="4" w:space="0"/>
                  </w:tcBorders>
                  <w:noWrap/>
                  <w:vAlign w:val="center"/>
                </w:tcPr>
                <w:p>
                  <w:pPr>
                    <w:widowControl/>
                    <w:jc w:val="center"/>
                    <w:rPr>
                      <w:rFonts w:hint="eastAsia" w:eastAsia="宋体"/>
                      <w:szCs w:val="21"/>
                      <w:u w:val="single"/>
                      <w:lang w:val="en-US" w:eastAsia="zh-CN"/>
                    </w:rPr>
                  </w:pPr>
                  <w:r>
                    <w:rPr>
                      <w:rFonts w:hint="eastAsia"/>
                      <w:szCs w:val="21"/>
                      <w:u w:val="single"/>
                      <w:lang w:val="en-US" w:eastAsia="zh-CN"/>
                    </w:rPr>
                    <w:t>-</w:t>
                  </w:r>
                </w:p>
              </w:tc>
              <w:tc>
                <w:tcPr>
                  <w:tcW w:w="413" w:type="pct"/>
                  <w:tcBorders>
                    <w:right w:val="single" w:color="auto" w:sz="12" w:space="0"/>
                  </w:tcBorders>
                  <w:noWrap/>
                  <w:vAlign w:val="center"/>
                </w:tcPr>
                <w:p>
                  <w:pPr>
                    <w:widowControl/>
                    <w:jc w:val="center"/>
                    <w:rPr>
                      <w:rFonts w:hint="eastAsia" w:eastAsia="宋体"/>
                      <w:szCs w:val="21"/>
                      <w:u w:val="single"/>
                      <w:lang w:val="en-US" w:eastAsia="zh-CN"/>
                    </w:rPr>
                  </w:pPr>
                  <w:r>
                    <w:rPr>
                      <w:rFonts w:hint="eastAsia"/>
                      <w:szCs w:val="21"/>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319" w:type="pct"/>
                  <w:gridSpan w:val="2"/>
                  <w:tcBorders>
                    <w:left w:val="single" w:color="auto" w:sz="12" w:space="0"/>
                  </w:tcBorders>
                  <w:noWrap/>
                  <w:vAlign w:val="center"/>
                </w:tcPr>
                <w:p>
                  <w:pPr>
                    <w:widowControl/>
                    <w:jc w:val="center"/>
                    <w:rPr>
                      <w:rFonts w:hint="default" w:eastAsia="宋体"/>
                      <w:szCs w:val="21"/>
                      <w:u w:val="single"/>
                      <w:lang w:val="en-US" w:eastAsia="zh-CN"/>
                    </w:rPr>
                  </w:pPr>
                  <w:r>
                    <w:rPr>
                      <w:rFonts w:hint="eastAsia"/>
                      <w:b/>
                      <w:bCs/>
                      <w:szCs w:val="21"/>
                      <w:u w:val="single"/>
                      <w:lang w:val="en-US" w:eastAsia="zh-CN"/>
                    </w:rPr>
                    <w:t>排放标准</w:t>
                  </w:r>
                </w:p>
              </w:tc>
              <w:tc>
                <w:tcPr>
                  <w:tcW w:w="543" w:type="pct"/>
                  <w:noWrap/>
                  <w:vAlign w:val="center"/>
                </w:tcPr>
                <w:p>
                  <w:pPr>
                    <w:widowControl/>
                    <w:jc w:val="center"/>
                    <w:rPr>
                      <w:szCs w:val="21"/>
                      <w:u w:val="single"/>
                    </w:rPr>
                  </w:pPr>
                  <w:r>
                    <w:rPr>
                      <w:rFonts w:hint="eastAsia"/>
                      <w:szCs w:val="21"/>
                      <w:u w:val="single"/>
                    </w:rPr>
                    <w:t>250</w:t>
                  </w:r>
                </w:p>
              </w:tc>
              <w:tc>
                <w:tcPr>
                  <w:tcW w:w="485" w:type="pct"/>
                  <w:noWrap/>
                  <w:vAlign w:val="center"/>
                </w:tcPr>
                <w:p>
                  <w:pPr>
                    <w:widowControl/>
                    <w:jc w:val="center"/>
                    <w:rPr>
                      <w:szCs w:val="21"/>
                      <w:u w:val="single"/>
                    </w:rPr>
                  </w:pPr>
                  <w:r>
                    <w:rPr>
                      <w:rFonts w:hint="eastAsia"/>
                      <w:szCs w:val="21"/>
                      <w:u w:val="single"/>
                    </w:rPr>
                    <w:t>100</w:t>
                  </w:r>
                </w:p>
              </w:tc>
              <w:tc>
                <w:tcPr>
                  <w:tcW w:w="424" w:type="pct"/>
                  <w:noWrap/>
                  <w:vAlign w:val="center"/>
                </w:tcPr>
                <w:p>
                  <w:pPr>
                    <w:widowControl/>
                    <w:jc w:val="center"/>
                    <w:rPr>
                      <w:rFonts w:hint="default" w:eastAsia="宋体"/>
                      <w:szCs w:val="21"/>
                      <w:u w:val="single"/>
                      <w:lang w:val="en-US" w:eastAsia="zh-CN"/>
                    </w:rPr>
                  </w:pPr>
                  <w:r>
                    <w:rPr>
                      <w:rFonts w:hint="eastAsia"/>
                      <w:szCs w:val="21"/>
                      <w:u w:val="single"/>
                      <w:lang w:val="en-US" w:eastAsia="zh-CN"/>
                    </w:rPr>
                    <w:t>45</w:t>
                  </w:r>
                </w:p>
              </w:tc>
              <w:tc>
                <w:tcPr>
                  <w:tcW w:w="454" w:type="pct"/>
                  <w:noWrap/>
                  <w:vAlign w:val="center"/>
                </w:tcPr>
                <w:p>
                  <w:pPr>
                    <w:widowControl/>
                    <w:jc w:val="center"/>
                    <w:rPr>
                      <w:szCs w:val="21"/>
                      <w:u w:val="single"/>
                    </w:rPr>
                  </w:pPr>
                  <w:r>
                    <w:rPr>
                      <w:rFonts w:hint="eastAsia"/>
                      <w:szCs w:val="21"/>
                      <w:u w:val="single"/>
                    </w:rPr>
                    <w:t>60</w:t>
                  </w:r>
                </w:p>
              </w:tc>
              <w:tc>
                <w:tcPr>
                  <w:tcW w:w="350" w:type="pct"/>
                  <w:tcBorders>
                    <w:right w:val="single" w:color="auto" w:sz="4" w:space="0"/>
                  </w:tcBorders>
                  <w:noWrap/>
                  <w:vAlign w:val="center"/>
                </w:tcPr>
                <w:p>
                  <w:pPr>
                    <w:widowControl/>
                    <w:jc w:val="center"/>
                    <w:rPr>
                      <w:rFonts w:hint="default" w:eastAsia="宋体"/>
                      <w:szCs w:val="21"/>
                      <w:u w:val="single"/>
                      <w:lang w:val="en-US" w:eastAsia="zh-CN"/>
                    </w:rPr>
                  </w:pPr>
                  <w:r>
                    <w:rPr>
                      <w:rFonts w:hint="eastAsia"/>
                      <w:szCs w:val="21"/>
                      <w:u w:val="single"/>
                      <w:lang w:val="en-US" w:eastAsia="zh-CN"/>
                    </w:rPr>
                    <w:t>70</w:t>
                  </w:r>
                </w:p>
              </w:tc>
              <w:tc>
                <w:tcPr>
                  <w:tcW w:w="418" w:type="pct"/>
                  <w:tcBorders>
                    <w:right w:val="single" w:color="auto" w:sz="4" w:space="0"/>
                  </w:tcBorders>
                  <w:noWrap/>
                  <w:vAlign w:val="center"/>
                </w:tcPr>
                <w:p>
                  <w:pPr>
                    <w:widowControl/>
                    <w:jc w:val="center"/>
                    <w:rPr>
                      <w:szCs w:val="21"/>
                      <w:u w:val="single"/>
                    </w:rPr>
                  </w:pPr>
                  <w:r>
                    <w:rPr>
                      <w:rFonts w:hint="eastAsia"/>
                      <w:szCs w:val="21"/>
                      <w:u w:val="single"/>
                    </w:rPr>
                    <w:t>-</w:t>
                  </w:r>
                </w:p>
              </w:tc>
              <w:tc>
                <w:tcPr>
                  <w:tcW w:w="590" w:type="pct"/>
                  <w:tcBorders>
                    <w:right w:val="single" w:color="auto" w:sz="4" w:space="0"/>
                  </w:tcBorders>
                  <w:noWrap/>
                  <w:vAlign w:val="center"/>
                </w:tcPr>
                <w:p>
                  <w:pPr>
                    <w:widowControl/>
                    <w:jc w:val="center"/>
                    <w:rPr>
                      <w:szCs w:val="21"/>
                      <w:u w:val="single"/>
                    </w:rPr>
                  </w:pPr>
                  <w:r>
                    <w:rPr>
                      <w:rFonts w:hint="eastAsia"/>
                      <w:szCs w:val="21"/>
                      <w:u w:val="single"/>
                    </w:rPr>
                    <w:t>5000</w:t>
                  </w:r>
                </w:p>
              </w:tc>
              <w:tc>
                <w:tcPr>
                  <w:tcW w:w="413" w:type="pct"/>
                  <w:tcBorders>
                    <w:right w:val="single" w:color="auto" w:sz="12" w:space="0"/>
                  </w:tcBorders>
                  <w:noWrap/>
                  <w:vAlign w:val="center"/>
                </w:tcPr>
                <w:p>
                  <w:pPr>
                    <w:widowControl/>
                    <w:jc w:val="center"/>
                    <w:rPr>
                      <w:rFonts w:hint="eastAsia" w:eastAsia="宋体"/>
                      <w:szCs w:val="21"/>
                      <w:u w:val="single"/>
                      <w:lang w:eastAsia="zh-CN"/>
                    </w:rPr>
                  </w:pPr>
                  <w:r>
                    <w:rPr>
                      <w:rFonts w:hint="eastAsia"/>
                      <w:szCs w:val="21"/>
                      <w:u w:val="singl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19" w:type="pct"/>
                  <w:gridSpan w:val="2"/>
                  <w:tcBorders>
                    <w:left w:val="single" w:color="auto" w:sz="12" w:space="0"/>
                    <w:bottom w:val="single" w:color="auto" w:sz="12" w:space="0"/>
                  </w:tcBorders>
                  <w:noWrap/>
                  <w:vAlign w:val="center"/>
                </w:tcPr>
                <w:p>
                  <w:pPr>
                    <w:widowControl/>
                    <w:jc w:val="center"/>
                    <w:rPr>
                      <w:rFonts w:hint="eastAsia"/>
                      <w:szCs w:val="21"/>
                      <w:u w:val="single"/>
                    </w:rPr>
                  </w:pPr>
                  <w:r>
                    <w:rPr>
                      <w:rFonts w:hint="eastAsia"/>
                      <w:b/>
                      <w:bCs/>
                      <w:szCs w:val="21"/>
                      <w:u w:val="single"/>
                    </w:rPr>
                    <w:t>是否达标</w:t>
                  </w:r>
                </w:p>
              </w:tc>
              <w:tc>
                <w:tcPr>
                  <w:tcW w:w="543" w:type="pct"/>
                  <w:tcBorders>
                    <w:bottom w:val="single" w:color="auto" w:sz="12" w:space="0"/>
                  </w:tcBorders>
                  <w:noWrap/>
                  <w:vAlign w:val="center"/>
                </w:tcPr>
                <w:p>
                  <w:pPr>
                    <w:widowControl/>
                    <w:jc w:val="center"/>
                    <w:rPr>
                      <w:szCs w:val="21"/>
                      <w:u w:val="single"/>
                    </w:rPr>
                  </w:pPr>
                  <w:r>
                    <w:rPr>
                      <w:rFonts w:hint="eastAsia"/>
                      <w:szCs w:val="21"/>
                      <w:u w:val="single"/>
                    </w:rPr>
                    <w:t>是</w:t>
                  </w:r>
                </w:p>
              </w:tc>
              <w:tc>
                <w:tcPr>
                  <w:tcW w:w="485" w:type="pct"/>
                  <w:tcBorders>
                    <w:bottom w:val="single" w:color="auto" w:sz="12" w:space="0"/>
                  </w:tcBorders>
                  <w:noWrap/>
                  <w:vAlign w:val="center"/>
                </w:tcPr>
                <w:p>
                  <w:pPr>
                    <w:widowControl/>
                    <w:jc w:val="center"/>
                    <w:rPr>
                      <w:szCs w:val="21"/>
                      <w:u w:val="single"/>
                    </w:rPr>
                  </w:pPr>
                  <w:r>
                    <w:rPr>
                      <w:rFonts w:hint="eastAsia"/>
                      <w:szCs w:val="21"/>
                      <w:u w:val="single"/>
                    </w:rPr>
                    <w:t>是</w:t>
                  </w:r>
                </w:p>
              </w:tc>
              <w:tc>
                <w:tcPr>
                  <w:tcW w:w="424" w:type="pct"/>
                  <w:tcBorders>
                    <w:bottom w:val="single" w:color="auto" w:sz="12" w:space="0"/>
                    <w:right w:val="single" w:color="auto" w:sz="4" w:space="0"/>
                  </w:tcBorders>
                  <w:noWrap/>
                  <w:vAlign w:val="center"/>
                </w:tcPr>
                <w:p>
                  <w:pPr>
                    <w:widowControl/>
                    <w:jc w:val="center"/>
                    <w:rPr>
                      <w:szCs w:val="21"/>
                      <w:u w:val="single"/>
                    </w:rPr>
                  </w:pPr>
                  <w:r>
                    <w:rPr>
                      <w:rFonts w:hint="eastAsia"/>
                      <w:szCs w:val="21"/>
                      <w:u w:val="single"/>
                    </w:rPr>
                    <w:t>是</w:t>
                  </w:r>
                </w:p>
              </w:tc>
              <w:tc>
                <w:tcPr>
                  <w:tcW w:w="454" w:type="pct"/>
                  <w:tcBorders>
                    <w:bottom w:val="single" w:color="auto" w:sz="12" w:space="0"/>
                    <w:right w:val="single" w:color="auto" w:sz="4" w:space="0"/>
                  </w:tcBorders>
                  <w:noWrap/>
                  <w:vAlign w:val="center"/>
                </w:tcPr>
                <w:p>
                  <w:pPr>
                    <w:widowControl/>
                    <w:jc w:val="center"/>
                    <w:rPr>
                      <w:szCs w:val="21"/>
                      <w:u w:val="single"/>
                    </w:rPr>
                  </w:pPr>
                  <w:r>
                    <w:rPr>
                      <w:rFonts w:hint="eastAsia"/>
                      <w:szCs w:val="21"/>
                      <w:u w:val="single"/>
                    </w:rPr>
                    <w:t>是</w:t>
                  </w:r>
                </w:p>
              </w:tc>
              <w:tc>
                <w:tcPr>
                  <w:tcW w:w="350" w:type="pct"/>
                  <w:tcBorders>
                    <w:bottom w:val="single" w:color="auto" w:sz="12" w:space="0"/>
                    <w:right w:val="single" w:color="auto" w:sz="4" w:space="0"/>
                  </w:tcBorders>
                  <w:noWrap/>
                  <w:vAlign w:val="center"/>
                </w:tcPr>
                <w:p>
                  <w:pPr>
                    <w:widowControl/>
                    <w:jc w:val="center"/>
                    <w:rPr>
                      <w:szCs w:val="21"/>
                      <w:u w:val="single"/>
                    </w:rPr>
                  </w:pPr>
                  <w:r>
                    <w:rPr>
                      <w:rFonts w:hint="eastAsia"/>
                      <w:szCs w:val="21"/>
                      <w:u w:val="single"/>
                    </w:rPr>
                    <w:t>是</w:t>
                  </w:r>
                </w:p>
              </w:tc>
              <w:tc>
                <w:tcPr>
                  <w:tcW w:w="418" w:type="pct"/>
                  <w:tcBorders>
                    <w:bottom w:val="single" w:color="auto" w:sz="12" w:space="0"/>
                    <w:right w:val="single" w:color="auto" w:sz="4" w:space="0"/>
                  </w:tcBorders>
                  <w:noWrap/>
                  <w:vAlign w:val="center"/>
                </w:tcPr>
                <w:p>
                  <w:pPr>
                    <w:widowControl/>
                    <w:jc w:val="center"/>
                    <w:rPr>
                      <w:szCs w:val="21"/>
                      <w:u w:val="single"/>
                    </w:rPr>
                  </w:pPr>
                  <w:r>
                    <w:rPr>
                      <w:rFonts w:hint="eastAsia"/>
                      <w:szCs w:val="21"/>
                      <w:u w:val="single"/>
                    </w:rPr>
                    <w:t>是</w:t>
                  </w:r>
                </w:p>
              </w:tc>
              <w:tc>
                <w:tcPr>
                  <w:tcW w:w="590" w:type="pct"/>
                  <w:tcBorders>
                    <w:bottom w:val="single" w:color="auto" w:sz="12" w:space="0"/>
                    <w:right w:val="single" w:color="auto" w:sz="4" w:space="0"/>
                  </w:tcBorders>
                  <w:noWrap/>
                  <w:vAlign w:val="center"/>
                </w:tcPr>
                <w:p>
                  <w:pPr>
                    <w:widowControl/>
                    <w:jc w:val="center"/>
                    <w:rPr>
                      <w:szCs w:val="21"/>
                      <w:u w:val="single"/>
                    </w:rPr>
                  </w:pPr>
                  <w:r>
                    <w:rPr>
                      <w:rFonts w:hint="eastAsia"/>
                      <w:szCs w:val="21"/>
                      <w:u w:val="single"/>
                    </w:rPr>
                    <w:t>是</w:t>
                  </w:r>
                </w:p>
              </w:tc>
              <w:tc>
                <w:tcPr>
                  <w:tcW w:w="413" w:type="pct"/>
                  <w:tcBorders>
                    <w:bottom w:val="single" w:color="auto" w:sz="12" w:space="0"/>
                    <w:right w:val="single" w:color="auto" w:sz="12" w:space="0"/>
                  </w:tcBorders>
                  <w:noWrap/>
                  <w:vAlign w:val="center"/>
                </w:tcPr>
                <w:p>
                  <w:pPr>
                    <w:widowControl/>
                    <w:jc w:val="center"/>
                    <w:rPr>
                      <w:rFonts w:hint="eastAsia"/>
                      <w:szCs w:val="21"/>
                      <w:u w:val="single"/>
                    </w:rPr>
                  </w:pPr>
                  <w:r>
                    <w:rPr>
                      <w:rFonts w:hint="eastAsia"/>
                      <w:szCs w:val="21"/>
                      <w:u w:val="single"/>
                    </w:rPr>
                    <w:t>是</w:t>
                  </w:r>
                </w:p>
              </w:tc>
            </w:tr>
          </w:tbl>
          <w:p>
            <w:pPr>
              <w:bidi w:val="0"/>
              <w:spacing w:line="240" w:lineRule="auto"/>
            </w:pPr>
          </w:p>
          <w:p>
            <w:pPr>
              <w:numPr>
                <w:ilvl w:val="0"/>
                <w:numId w:val="4"/>
              </w:numPr>
              <w:spacing w:line="360" w:lineRule="auto"/>
              <w:ind w:left="0" w:leftChars="0" w:firstLine="480" w:firstLineChars="200"/>
              <w:rPr>
                <w:rFonts w:hint="eastAsia"/>
                <w:sz w:val="24"/>
                <w:u w:val="single"/>
                <w:lang w:val="en-US" w:eastAsia="zh-CN"/>
              </w:rPr>
            </w:pPr>
            <w:r>
              <w:rPr>
                <w:rFonts w:hint="eastAsia"/>
                <w:sz w:val="24"/>
                <w:u w:val="single"/>
                <w:lang w:val="en-US" w:eastAsia="zh-CN"/>
              </w:rPr>
              <w:t>湘阴县妇女儿童医院（二期）建设项目一体化污水处理站依托可行性分析</w:t>
            </w:r>
          </w:p>
          <w:p>
            <w:pPr>
              <w:bidi w:val="0"/>
              <w:spacing w:line="360" w:lineRule="auto"/>
              <w:ind w:firstLine="480" w:firstLineChars="200"/>
              <w:rPr>
                <w:rFonts w:hint="default"/>
                <w:sz w:val="24"/>
                <w:szCs w:val="24"/>
                <w:u w:val="single"/>
                <w:lang w:val="en-US" w:eastAsia="zh-CN"/>
              </w:rPr>
            </w:pPr>
            <w:r>
              <w:rPr>
                <w:rFonts w:hint="eastAsia"/>
                <w:sz w:val="24"/>
                <w:u w:val="single"/>
                <w:lang w:val="en-US" w:eastAsia="zh-CN"/>
              </w:rPr>
              <w:t>湘阴县妇女儿童医院（二期）建设项目一体化污水处理站</w:t>
            </w:r>
            <w:r>
              <w:rPr>
                <w:rFonts w:hint="eastAsia"/>
                <w:sz w:val="24"/>
                <w:szCs w:val="24"/>
                <w:u w:val="single"/>
                <w:lang w:val="en-US" w:eastAsia="zh-CN"/>
              </w:rPr>
              <w:t>位于项目南侧，地势较低，污水能通过自流进入</w:t>
            </w:r>
            <w:r>
              <w:rPr>
                <w:rFonts w:hint="eastAsia"/>
                <w:sz w:val="24"/>
                <w:u w:val="single"/>
                <w:lang w:val="en-US" w:eastAsia="zh-CN"/>
              </w:rPr>
              <w:t>一体化污水处理站</w:t>
            </w:r>
            <w:r>
              <w:rPr>
                <w:rFonts w:hint="eastAsia"/>
                <w:sz w:val="24"/>
                <w:szCs w:val="24"/>
                <w:u w:val="single"/>
                <w:lang w:val="en-US" w:eastAsia="zh-CN"/>
              </w:rPr>
              <w:t>，采用较为成熟的处理方法“格栅+调节池+电絮凝+沉淀+消毒”工艺，污水处理规模：200m</w:t>
            </w:r>
            <w:r>
              <w:rPr>
                <w:rFonts w:hint="eastAsia"/>
                <w:sz w:val="24"/>
                <w:szCs w:val="24"/>
                <w:u w:val="single"/>
                <w:vertAlign w:val="superscript"/>
                <w:lang w:val="en-US" w:eastAsia="zh-CN"/>
              </w:rPr>
              <w:t>3</w:t>
            </w:r>
            <w:r>
              <w:rPr>
                <w:rFonts w:hint="eastAsia"/>
                <w:sz w:val="24"/>
                <w:szCs w:val="24"/>
                <w:u w:val="single"/>
                <w:lang w:val="en-US" w:eastAsia="zh-CN"/>
              </w:rPr>
              <w:t>/d，</w:t>
            </w:r>
            <w:r>
              <w:rPr>
                <w:sz w:val="24"/>
                <w:u w:val="single"/>
              </w:rPr>
              <w:t>可满足《医疗机构水污染物排放标准》（GB 18466-2005 ）表2中预处理标准的要求</w:t>
            </w:r>
            <w:r>
              <w:rPr>
                <w:rFonts w:hint="eastAsia" w:ascii="Times New Roman" w:hAnsi="Times New Roman" w:eastAsia="宋体" w:cs="Times New Roman"/>
                <w:sz w:val="24"/>
                <w:szCs w:val="24"/>
                <w:u w:val="single"/>
                <w:lang w:val="en-US" w:eastAsia="zh-CN"/>
              </w:rPr>
              <w:t>。本项目实施后污水产生量最大约</w:t>
            </w:r>
            <w:r>
              <w:rPr>
                <w:rFonts w:hint="eastAsia" w:cs="Times New Roman"/>
                <w:sz w:val="24"/>
                <w:szCs w:val="24"/>
                <w:u w:val="single"/>
                <w:lang w:val="en-US" w:eastAsia="zh-CN"/>
              </w:rPr>
              <w:t>55.44</w:t>
            </w:r>
            <w:r>
              <w:rPr>
                <w:rFonts w:hint="eastAsia" w:ascii="Times New Roman" w:hAnsi="Times New Roman" w:eastAsia="宋体" w:cs="Times New Roman"/>
                <w:sz w:val="24"/>
                <w:szCs w:val="24"/>
                <w:u w:val="single"/>
                <w:lang w:val="en-US" w:eastAsia="zh-CN"/>
              </w:rPr>
              <w:t>m</w:t>
            </w:r>
            <w:r>
              <w:rPr>
                <w:rFonts w:hint="eastAsia" w:ascii="Times New Roman" w:hAnsi="Times New Roman" w:eastAsia="宋体" w:cs="Times New Roman"/>
                <w:sz w:val="24"/>
                <w:szCs w:val="24"/>
                <w:u w:val="single"/>
                <w:vertAlign w:val="superscript"/>
                <w:lang w:val="en-US" w:eastAsia="zh-CN"/>
              </w:rPr>
              <w:t>3</w:t>
            </w:r>
            <w:r>
              <w:rPr>
                <w:rFonts w:hint="eastAsia" w:ascii="Times New Roman" w:hAnsi="Times New Roman" w:eastAsia="宋体" w:cs="Times New Roman"/>
                <w:sz w:val="24"/>
                <w:szCs w:val="24"/>
                <w:u w:val="single"/>
                <w:lang w:val="en-US" w:eastAsia="zh-CN"/>
              </w:rPr>
              <w:t>/d，湘阴县妇女儿童医院（二期）建设项目一体化污水处理设备处理能力为200m</w:t>
            </w:r>
            <w:r>
              <w:rPr>
                <w:rFonts w:hint="eastAsia" w:ascii="Times New Roman" w:hAnsi="Times New Roman" w:eastAsia="宋体" w:cs="Times New Roman"/>
                <w:sz w:val="24"/>
                <w:szCs w:val="24"/>
                <w:u w:val="single"/>
                <w:vertAlign w:val="superscript"/>
                <w:lang w:val="en-US" w:eastAsia="zh-CN"/>
              </w:rPr>
              <w:t>3</w:t>
            </w:r>
            <w:r>
              <w:rPr>
                <w:rFonts w:hint="eastAsia" w:ascii="Times New Roman" w:hAnsi="Times New Roman" w:eastAsia="宋体" w:cs="Times New Roman"/>
                <w:sz w:val="24"/>
                <w:szCs w:val="24"/>
                <w:u w:val="single"/>
                <w:lang w:val="en-US" w:eastAsia="zh-CN"/>
              </w:rPr>
              <w:t>/d，留有余量约110m</w:t>
            </w:r>
            <w:r>
              <w:rPr>
                <w:rFonts w:hint="eastAsia" w:ascii="Times New Roman" w:hAnsi="Times New Roman" w:eastAsia="宋体" w:cs="Times New Roman"/>
                <w:sz w:val="24"/>
                <w:szCs w:val="24"/>
                <w:u w:val="single"/>
                <w:vertAlign w:val="superscript"/>
                <w:lang w:val="en-US" w:eastAsia="zh-CN"/>
              </w:rPr>
              <w:t>3</w:t>
            </w:r>
            <w:r>
              <w:rPr>
                <w:rFonts w:hint="eastAsia" w:ascii="Times New Roman" w:hAnsi="Times New Roman" w:eastAsia="宋体" w:cs="Times New Roman"/>
                <w:sz w:val="24"/>
                <w:szCs w:val="24"/>
                <w:u w:val="single"/>
                <w:lang w:val="en-US" w:eastAsia="zh-CN"/>
              </w:rPr>
              <w:t>/d，可满足本项目污水处理要求。因此，</w:t>
            </w:r>
            <w:r>
              <w:rPr>
                <w:rFonts w:hint="eastAsia"/>
                <w:sz w:val="24"/>
                <w:u w:val="single"/>
                <w:lang w:val="en-US" w:eastAsia="zh-CN"/>
              </w:rPr>
              <w:t>依托</w:t>
            </w:r>
            <w:r>
              <w:rPr>
                <w:rFonts w:hint="eastAsia" w:ascii="Times New Roman" w:hAnsi="Times New Roman" w:eastAsia="宋体" w:cs="Times New Roman"/>
                <w:sz w:val="24"/>
                <w:szCs w:val="24"/>
                <w:u w:val="single"/>
                <w:lang w:val="en-US" w:eastAsia="zh-CN"/>
              </w:rPr>
              <w:t>湘阴县妇女儿童医院（二期）建设项目一体化污水处理设备</w:t>
            </w:r>
            <w:r>
              <w:rPr>
                <w:rFonts w:hint="eastAsia"/>
                <w:sz w:val="24"/>
                <w:u w:val="single"/>
                <w:lang w:val="en-US" w:eastAsia="zh-CN"/>
              </w:rPr>
              <w:t>可行。</w:t>
            </w:r>
          </w:p>
          <w:p>
            <w:pPr>
              <w:spacing w:line="360" w:lineRule="auto"/>
              <w:ind w:firstLine="480" w:firstLineChars="200"/>
              <w:rPr>
                <w:rFonts w:hint="eastAsia"/>
                <w:sz w:val="24"/>
              </w:rPr>
            </w:pPr>
            <w:r>
              <w:rPr>
                <w:rFonts w:hint="eastAsia"/>
                <w:sz w:val="24"/>
              </w:rPr>
              <w:t>（</w:t>
            </w:r>
            <w:r>
              <w:rPr>
                <w:rFonts w:hint="eastAsia"/>
                <w:sz w:val="24"/>
                <w:lang w:val="en-US" w:eastAsia="zh-CN"/>
              </w:rPr>
              <w:t>5</w:t>
            </w:r>
            <w:r>
              <w:rPr>
                <w:rFonts w:hint="eastAsia"/>
                <w:sz w:val="24"/>
              </w:rPr>
              <w:t>）污水接管可行性及进入湘阴城市污水处理厂的可行性</w:t>
            </w:r>
          </w:p>
          <w:p>
            <w:pPr>
              <w:spacing w:line="360" w:lineRule="auto"/>
              <w:ind w:firstLine="480" w:firstLineChars="200"/>
              <w:rPr>
                <w:sz w:val="24"/>
                <w:u w:val="single"/>
              </w:rPr>
            </w:pPr>
            <w:r>
              <w:rPr>
                <w:rFonts w:hint="eastAsia"/>
                <w:sz w:val="24"/>
                <w:u w:val="single"/>
              </w:rPr>
              <w:t>项目排放的废水达到了污水处理厂接管标准要求以及《医疗机构水污染物排放标准》（GB18466-2005）表2预处理标准，可排入湘阴县第二污水处理厂处理。</w:t>
            </w:r>
          </w:p>
          <w:p>
            <w:pPr>
              <w:adjustRightInd w:val="0"/>
              <w:snapToGrid w:val="0"/>
              <w:spacing w:line="360" w:lineRule="auto"/>
              <w:ind w:firstLine="480" w:firstLineChars="200"/>
              <w:rPr>
                <w:color w:val="auto"/>
                <w:kern w:val="0"/>
                <w:sz w:val="24"/>
                <w:u w:val="single"/>
              </w:rPr>
            </w:pPr>
            <w:r>
              <w:rPr>
                <w:rFonts w:hint="eastAsia"/>
                <w:sz w:val="24"/>
                <w:u w:val="single"/>
              </w:rPr>
              <w:t>湘阴县二污水处理厂位于湘阴县洋沙湖大道南侧，该污水处理厂于2018年进行了改扩建，服务范围为湘阴县工业园、轻工产业园、东湖生态新城、洋沙湖东部片区等，即南至顺天大道以南的轻工产业园，北至新白水江—烈士公园；西以湘江为界，东至规划的环城大道，总纳污面积28.10平方公里。污水处理工艺在AAO工艺基础上新增水解酸化、MBBR工艺和芬顿氧化等深度处理工艺，出水水质由《城镇污水处理厂污染物排放标准》（GB18918-2002）一级B标准提高至一级A标准</w:t>
            </w:r>
            <w:r>
              <w:rPr>
                <w:rFonts w:hint="eastAsia"/>
                <w:sz w:val="24"/>
                <w:u w:val="single"/>
                <w:lang w:eastAsia="zh-CN"/>
              </w:rPr>
              <w:t>，</w:t>
            </w:r>
            <w:r>
              <w:rPr>
                <w:rFonts w:hint="eastAsia"/>
                <w:sz w:val="24"/>
                <w:u w:val="single"/>
                <w:lang w:val="en-US" w:eastAsia="zh-CN"/>
              </w:rPr>
              <w:t>处理规模为10000m</w:t>
            </w:r>
            <w:r>
              <w:rPr>
                <w:rFonts w:hint="eastAsia"/>
                <w:sz w:val="24"/>
                <w:u w:val="single"/>
                <w:vertAlign w:val="superscript"/>
                <w:lang w:val="en-US" w:eastAsia="zh-CN"/>
              </w:rPr>
              <w:t>3</w:t>
            </w:r>
            <w:r>
              <w:rPr>
                <w:rFonts w:hint="eastAsia"/>
                <w:sz w:val="24"/>
                <w:u w:val="single"/>
                <w:lang w:val="en-US" w:eastAsia="zh-CN"/>
              </w:rPr>
              <w:t>/d</w:t>
            </w:r>
            <w:r>
              <w:rPr>
                <w:rFonts w:hint="eastAsia"/>
                <w:sz w:val="24"/>
                <w:u w:val="single"/>
              </w:rPr>
              <w:t>。排污口设于洋沙湖入湘江处（经度11251＇51＂，纬度2839＇51＂）。</w:t>
            </w:r>
            <w:r>
              <w:rPr>
                <w:color w:val="auto"/>
                <w:sz w:val="24"/>
                <w:u w:val="single"/>
              </w:rPr>
              <w:t>项目每天实际排放的废水量约为</w:t>
            </w:r>
            <w:r>
              <w:rPr>
                <w:rFonts w:hint="eastAsia" w:cs="Times New Roman"/>
                <w:sz w:val="24"/>
                <w:szCs w:val="24"/>
                <w:u w:val="single"/>
                <w:lang w:val="en-US" w:eastAsia="zh-CN"/>
              </w:rPr>
              <w:t>55.44</w:t>
            </w:r>
            <w:r>
              <w:rPr>
                <w:color w:val="auto"/>
                <w:sz w:val="24"/>
                <w:u w:val="single"/>
              </w:rPr>
              <w:t>m</w:t>
            </w:r>
            <w:r>
              <w:rPr>
                <w:color w:val="auto"/>
                <w:sz w:val="24"/>
                <w:u w:val="single"/>
                <w:vertAlign w:val="superscript"/>
              </w:rPr>
              <w:t>3</w:t>
            </w:r>
            <w:r>
              <w:rPr>
                <w:rFonts w:hint="eastAsia"/>
                <w:color w:val="auto"/>
                <w:sz w:val="24"/>
                <w:u w:val="single"/>
                <w:lang w:val="en-US" w:eastAsia="zh-CN"/>
              </w:rPr>
              <w:t>/d</w:t>
            </w:r>
            <w:r>
              <w:rPr>
                <w:color w:val="auto"/>
                <w:sz w:val="24"/>
                <w:u w:val="single"/>
              </w:rPr>
              <w:t>，根据调查，目前湘阴县第二污水处理厂实际工业废水处理量约为3000~5000m</w:t>
            </w:r>
            <w:r>
              <w:rPr>
                <w:color w:val="auto"/>
                <w:sz w:val="24"/>
                <w:u w:val="single"/>
                <w:vertAlign w:val="superscript"/>
              </w:rPr>
              <w:t>3</w:t>
            </w:r>
            <w:r>
              <w:rPr>
                <w:color w:val="auto"/>
                <w:sz w:val="24"/>
                <w:u w:val="single"/>
              </w:rPr>
              <w:t>/d，以最大每天5000m</w:t>
            </w:r>
            <w:r>
              <w:rPr>
                <w:color w:val="auto"/>
                <w:sz w:val="24"/>
                <w:u w:val="single"/>
                <w:vertAlign w:val="superscript"/>
              </w:rPr>
              <w:t>3</w:t>
            </w:r>
            <w:r>
              <w:rPr>
                <w:color w:val="auto"/>
                <w:sz w:val="24"/>
                <w:u w:val="single"/>
              </w:rPr>
              <w:t>/d计，尚有5000m</w:t>
            </w:r>
            <w:r>
              <w:rPr>
                <w:color w:val="auto"/>
                <w:sz w:val="24"/>
                <w:u w:val="single"/>
                <w:vertAlign w:val="superscript"/>
              </w:rPr>
              <w:t>3</w:t>
            </w:r>
            <w:r>
              <w:rPr>
                <w:color w:val="auto"/>
                <w:sz w:val="24"/>
                <w:u w:val="single"/>
              </w:rPr>
              <w:t>/d的剩余容量完全可以接纳本项目废水。</w:t>
            </w:r>
          </w:p>
          <w:p>
            <w:pPr>
              <w:spacing w:line="360" w:lineRule="auto"/>
              <w:ind w:firstLine="480" w:firstLineChars="200"/>
              <w:rPr>
                <w:sz w:val="24"/>
                <w:u w:val="single"/>
              </w:rPr>
            </w:pPr>
            <w:r>
              <w:rPr>
                <w:rFonts w:hint="eastAsia"/>
                <w:sz w:val="24"/>
                <w:u w:val="single"/>
              </w:rPr>
              <w:t>综上所述，本项目产生的废水经预处理后，满足湘阴县第二污水处理厂的进水水质要求和处理能力要求，项目所在区域管网也已配套完善，废水进入湘阴县二污水处理厂是可行的。</w:t>
            </w:r>
          </w:p>
          <w:p>
            <w:pPr>
              <w:spacing w:line="360" w:lineRule="auto"/>
              <w:ind w:firstLine="480" w:firstLineChars="200"/>
              <w:rPr>
                <w:sz w:val="24"/>
              </w:rPr>
            </w:pPr>
            <w:r>
              <w:rPr>
                <w:rFonts w:hint="eastAsia"/>
                <w:sz w:val="24"/>
              </w:rPr>
              <w:t>（</w:t>
            </w:r>
            <w:r>
              <w:rPr>
                <w:rFonts w:hint="eastAsia"/>
                <w:sz w:val="24"/>
                <w:lang w:val="en-US" w:eastAsia="zh-CN"/>
              </w:rPr>
              <w:t>6</w:t>
            </w:r>
            <w:r>
              <w:rPr>
                <w:rFonts w:hint="eastAsia"/>
                <w:sz w:val="24"/>
              </w:rPr>
              <w:t>）项目废水污染物排放信息表</w:t>
            </w:r>
          </w:p>
          <w:p>
            <w:pPr>
              <w:autoSpaceDE w:val="0"/>
              <w:autoSpaceDN w:val="0"/>
              <w:adjustRightInd w:val="0"/>
              <w:jc w:val="center"/>
              <w:rPr>
                <w:b/>
                <w:bCs/>
                <w:szCs w:val="21"/>
              </w:rPr>
            </w:pPr>
            <w:r>
              <w:rPr>
                <w:rFonts w:hint="eastAsia"/>
                <w:b/>
                <w:bCs/>
                <w:szCs w:val="21"/>
              </w:rPr>
              <w:t>表4-</w:t>
            </w:r>
            <w:r>
              <w:rPr>
                <w:rFonts w:hint="eastAsia"/>
                <w:b/>
                <w:bCs/>
                <w:szCs w:val="21"/>
                <w:lang w:val="en-US" w:eastAsia="zh-CN"/>
              </w:rPr>
              <w:t>6</w:t>
            </w:r>
            <w:r>
              <w:rPr>
                <w:rFonts w:hint="eastAsia"/>
                <w:b/>
                <w:bCs/>
                <w:szCs w:val="21"/>
              </w:rPr>
              <w:t xml:space="preserve">  废水类别、污染物及污染治理设施信息表</w:t>
            </w:r>
          </w:p>
          <w:tbl>
            <w:tblPr>
              <w:tblStyle w:val="25"/>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36"/>
              <w:gridCol w:w="918"/>
              <w:gridCol w:w="892"/>
              <w:gridCol w:w="789"/>
              <w:gridCol w:w="698"/>
              <w:gridCol w:w="752"/>
              <w:gridCol w:w="703"/>
              <w:gridCol w:w="701"/>
              <w:gridCol w:w="815"/>
              <w:gridCol w:w="147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324" w:type="pct"/>
                  <w:vMerge w:val="restart"/>
                  <w:noWrap w:val="0"/>
                  <w:vAlign w:val="center"/>
                </w:tcPr>
                <w:p>
                  <w:pPr>
                    <w:autoSpaceDE w:val="0"/>
                    <w:autoSpaceDN w:val="0"/>
                    <w:adjustRightInd w:val="0"/>
                    <w:jc w:val="center"/>
                    <w:rPr>
                      <w:b/>
                      <w:bCs/>
                      <w:szCs w:val="21"/>
                    </w:rPr>
                  </w:pPr>
                  <w:r>
                    <w:rPr>
                      <w:rFonts w:hint="eastAsia"/>
                      <w:b/>
                      <w:bCs/>
                      <w:szCs w:val="21"/>
                    </w:rPr>
                    <w:t>废水类别</w:t>
                  </w:r>
                </w:p>
              </w:tc>
              <w:tc>
                <w:tcPr>
                  <w:tcW w:w="554" w:type="pct"/>
                  <w:vMerge w:val="restart"/>
                  <w:noWrap w:val="0"/>
                  <w:vAlign w:val="center"/>
                </w:tcPr>
                <w:p>
                  <w:pPr>
                    <w:autoSpaceDE w:val="0"/>
                    <w:autoSpaceDN w:val="0"/>
                    <w:adjustRightInd w:val="0"/>
                    <w:jc w:val="center"/>
                    <w:rPr>
                      <w:b/>
                      <w:bCs/>
                      <w:szCs w:val="21"/>
                    </w:rPr>
                  </w:pPr>
                  <w:r>
                    <w:rPr>
                      <w:rFonts w:hint="eastAsia"/>
                      <w:b/>
                      <w:bCs/>
                      <w:szCs w:val="21"/>
                    </w:rPr>
                    <w:t>污染物</w:t>
                  </w:r>
                </w:p>
                <w:p>
                  <w:pPr>
                    <w:autoSpaceDE w:val="0"/>
                    <w:autoSpaceDN w:val="0"/>
                    <w:adjustRightInd w:val="0"/>
                    <w:jc w:val="center"/>
                    <w:rPr>
                      <w:b/>
                      <w:bCs/>
                      <w:szCs w:val="21"/>
                    </w:rPr>
                  </w:pPr>
                  <w:r>
                    <w:rPr>
                      <w:rFonts w:hint="eastAsia"/>
                      <w:b/>
                      <w:bCs/>
                      <w:szCs w:val="21"/>
                    </w:rPr>
                    <w:t>种类</w:t>
                  </w:r>
                </w:p>
              </w:tc>
              <w:tc>
                <w:tcPr>
                  <w:tcW w:w="538" w:type="pct"/>
                  <w:vMerge w:val="restart"/>
                  <w:noWrap w:val="0"/>
                  <w:vAlign w:val="center"/>
                </w:tcPr>
                <w:p>
                  <w:pPr>
                    <w:autoSpaceDE w:val="0"/>
                    <w:autoSpaceDN w:val="0"/>
                    <w:adjustRightInd w:val="0"/>
                    <w:jc w:val="center"/>
                    <w:rPr>
                      <w:b/>
                      <w:bCs/>
                      <w:szCs w:val="21"/>
                    </w:rPr>
                  </w:pPr>
                  <w:r>
                    <w:rPr>
                      <w:rFonts w:hint="eastAsia"/>
                      <w:b/>
                      <w:bCs/>
                      <w:szCs w:val="21"/>
                    </w:rPr>
                    <w:t>排放</w:t>
                  </w:r>
                </w:p>
                <w:p>
                  <w:pPr>
                    <w:autoSpaceDE w:val="0"/>
                    <w:autoSpaceDN w:val="0"/>
                    <w:adjustRightInd w:val="0"/>
                    <w:jc w:val="center"/>
                    <w:rPr>
                      <w:b/>
                      <w:bCs/>
                      <w:szCs w:val="21"/>
                    </w:rPr>
                  </w:pPr>
                  <w:r>
                    <w:rPr>
                      <w:rFonts w:hint="eastAsia"/>
                      <w:b/>
                      <w:bCs/>
                      <w:szCs w:val="21"/>
                    </w:rPr>
                    <w:t>去向</w:t>
                  </w:r>
                </w:p>
              </w:tc>
              <w:tc>
                <w:tcPr>
                  <w:tcW w:w="476" w:type="pct"/>
                  <w:vMerge w:val="restart"/>
                  <w:noWrap w:val="0"/>
                  <w:vAlign w:val="center"/>
                </w:tcPr>
                <w:p>
                  <w:pPr>
                    <w:autoSpaceDE w:val="0"/>
                    <w:autoSpaceDN w:val="0"/>
                    <w:adjustRightInd w:val="0"/>
                    <w:jc w:val="center"/>
                    <w:rPr>
                      <w:b/>
                      <w:bCs/>
                      <w:szCs w:val="21"/>
                    </w:rPr>
                  </w:pPr>
                  <w:r>
                    <w:rPr>
                      <w:rFonts w:hint="eastAsia"/>
                      <w:b/>
                      <w:bCs/>
                      <w:szCs w:val="21"/>
                    </w:rPr>
                    <w:t>排放</w:t>
                  </w:r>
                </w:p>
                <w:p>
                  <w:pPr>
                    <w:autoSpaceDE w:val="0"/>
                    <w:autoSpaceDN w:val="0"/>
                    <w:adjustRightInd w:val="0"/>
                    <w:jc w:val="center"/>
                    <w:rPr>
                      <w:b/>
                      <w:bCs/>
                      <w:szCs w:val="21"/>
                    </w:rPr>
                  </w:pPr>
                  <w:r>
                    <w:rPr>
                      <w:rFonts w:hint="eastAsia"/>
                      <w:b/>
                      <w:bCs/>
                      <w:szCs w:val="21"/>
                    </w:rPr>
                    <w:t>规律</w:t>
                  </w:r>
                </w:p>
              </w:tc>
              <w:tc>
                <w:tcPr>
                  <w:tcW w:w="1299" w:type="pct"/>
                  <w:gridSpan w:val="3"/>
                  <w:noWrap w:val="0"/>
                  <w:vAlign w:val="center"/>
                </w:tcPr>
                <w:p>
                  <w:pPr>
                    <w:autoSpaceDE w:val="0"/>
                    <w:autoSpaceDN w:val="0"/>
                    <w:adjustRightInd w:val="0"/>
                    <w:jc w:val="center"/>
                    <w:rPr>
                      <w:b/>
                      <w:bCs/>
                      <w:szCs w:val="21"/>
                    </w:rPr>
                  </w:pPr>
                  <w:r>
                    <w:rPr>
                      <w:rFonts w:hint="eastAsia"/>
                      <w:b/>
                      <w:bCs/>
                      <w:szCs w:val="21"/>
                    </w:rPr>
                    <w:t>污染治理设施</w:t>
                  </w:r>
                </w:p>
              </w:tc>
              <w:tc>
                <w:tcPr>
                  <w:tcW w:w="423" w:type="pct"/>
                  <w:vMerge w:val="restart"/>
                  <w:noWrap w:val="0"/>
                  <w:vAlign w:val="center"/>
                </w:tcPr>
                <w:p>
                  <w:pPr>
                    <w:autoSpaceDE w:val="0"/>
                    <w:autoSpaceDN w:val="0"/>
                    <w:adjustRightInd w:val="0"/>
                    <w:jc w:val="center"/>
                    <w:rPr>
                      <w:b/>
                      <w:bCs/>
                      <w:szCs w:val="21"/>
                    </w:rPr>
                  </w:pPr>
                  <w:r>
                    <w:rPr>
                      <w:rFonts w:hint="eastAsia"/>
                      <w:b/>
                      <w:bCs/>
                      <w:szCs w:val="21"/>
                    </w:rPr>
                    <w:t>排放口编号</w:t>
                  </w:r>
                </w:p>
              </w:tc>
              <w:tc>
                <w:tcPr>
                  <w:tcW w:w="492" w:type="pct"/>
                  <w:vMerge w:val="restart"/>
                  <w:noWrap w:val="0"/>
                  <w:vAlign w:val="center"/>
                </w:tcPr>
                <w:p>
                  <w:pPr>
                    <w:autoSpaceDE w:val="0"/>
                    <w:autoSpaceDN w:val="0"/>
                    <w:adjustRightInd w:val="0"/>
                    <w:jc w:val="center"/>
                    <w:rPr>
                      <w:b/>
                      <w:bCs/>
                      <w:szCs w:val="21"/>
                    </w:rPr>
                  </w:pPr>
                  <w:r>
                    <w:rPr>
                      <w:rFonts w:hint="eastAsia"/>
                      <w:b/>
                      <w:bCs/>
                      <w:szCs w:val="21"/>
                    </w:rPr>
                    <w:t>排放口设置是否符合要求</w:t>
                  </w:r>
                </w:p>
              </w:tc>
              <w:tc>
                <w:tcPr>
                  <w:tcW w:w="890" w:type="pct"/>
                  <w:vMerge w:val="restart"/>
                  <w:noWrap w:val="0"/>
                  <w:vAlign w:val="center"/>
                </w:tcPr>
                <w:p>
                  <w:pPr>
                    <w:autoSpaceDE w:val="0"/>
                    <w:autoSpaceDN w:val="0"/>
                    <w:adjustRightInd w:val="0"/>
                    <w:jc w:val="center"/>
                    <w:rPr>
                      <w:b/>
                      <w:bCs/>
                      <w:szCs w:val="21"/>
                    </w:rPr>
                  </w:pPr>
                  <w:r>
                    <w:rPr>
                      <w:rFonts w:hint="eastAsia"/>
                      <w:b/>
                      <w:bCs/>
                      <w:szCs w:val="21"/>
                    </w:rPr>
                    <w:t>排放口类型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7" w:hRule="atLeast"/>
                <w:jc w:val="center"/>
              </w:trPr>
              <w:tc>
                <w:tcPr>
                  <w:tcW w:w="324" w:type="pct"/>
                  <w:vMerge w:val="continue"/>
                  <w:noWrap w:val="0"/>
                  <w:vAlign w:val="center"/>
                </w:tcPr>
                <w:p>
                  <w:pPr>
                    <w:autoSpaceDE w:val="0"/>
                    <w:autoSpaceDN w:val="0"/>
                    <w:adjustRightInd w:val="0"/>
                    <w:jc w:val="center"/>
                    <w:rPr>
                      <w:color w:val="FF0000"/>
                      <w:szCs w:val="21"/>
                    </w:rPr>
                  </w:pPr>
                </w:p>
              </w:tc>
              <w:tc>
                <w:tcPr>
                  <w:tcW w:w="554" w:type="pct"/>
                  <w:vMerge w:val="continue"/>
                  <w:noWrap w:val="0"/>
                  <w:vAlign w:val="center"/>
                </w:tcPr>
                <w:p>
                  <w:pPr>
                    <w:autoSpaceDE w:val="0"/>
                    <w:autoSpaceDN w:val="0"/>
                    <w:adjustRightInd w:val="0"/>
                    <w:jc w:val="center"/>
                    <w:rPr>
                      <w:color w:val="FF0000"/>
                      <w:szCs w:val="21"/>
                    </w:rPr>
                  </w:pPr>
                </w:p>
              </w:tc>
              <w:tc>
                <w:tcPr>
                  <w:tcW w:w="538" w:type="pct"/>
                  <w:vMerge w:val="continue"/>
                  <w:noWrap w:val="0"/>
                  <w:vAlign w:val="center"/>
                </w:tcPr>
                <w:p>
                  <w:pPr>
                    <w:autoSpaceDE w:val="0"/>
                    <w:autoSpaceDN w:val="0"/>
                    <w:adjustRightInd w:val="0"/>
                    <w:jc w:val="center"/>
                    <w:rPr>
                      <w:color w:val="FF0000"/>
                      <w:szCs w:val="21"/>
                    </w:rPr>
                  </w:pPr>
                </w:p>
              </w:tc>
              <w:tc>
                <w:tcPr>
                  <w:tcW w:w="476" w:type="pct"/>
                  <w:vMerge w:val="continue"/>
                  <w:noWrap w:val="0"/>
                  <w:vAlign w:val="center"/>
                </w:tcPr>
                <w:p>
                  <w:pPr>
                    <w:autoSpaceDE w:val="0"/>
                    <w:autoSpaceDN w:val="0"/>
                    <w:adjustRightInd w:val="0"/>
                    <w:jc w:val="center"/>
                    <w:rPr>
                      <w:color w:val="FF0000"/>
                      <w:szCs w:val="21"/>
                    </w:rPr>
                  </w:pPr>
                </w:p>
              </w:tc>
              <w:tc>
                <w:tcPr>
                  <w:tcW w:w="421" w:type="pct"/>
                  <w:noWrap w:val="0"/>
                  <w:vAlign w:val="center"/>
                </w:tcPr>
                <w:p>
                  <w:pPr>
                    <w:autoSpaceDE w:val="0"/>
                    <w:autoSpaceDN w:val="0"/>
                    <w:adjustRightInd w:val="0"/>
                    <w:jc w:val="center"/>
                    <w:rPr>
                      <w:b/>
                      <w:bCs/>
                      <w:szCs w:val="21"/>
                    </w:rPr>
                  </w:pPr>
                  <w:r>
                    <w:rPr>
                      <w:rFonts w:hint="eastAsia"/>
                      <w:b/>
                      <w:bCs/>
                      <w:szCs w:val="21"/>
                    </w:rPr>
                    <w:t>污染治理设施编号</w:t>
                  </w:r>
                </w:p>
              </w:tc>
              <w:tc>
                <w:tcPr>
                  <w:tcW w:w="454" w:type="pct"/>
                  <w:noWrap w:val="0"/>
                  <w:vAlign w:val="center"/>
                </w:tcPr>
                <w:p>
                  <w:pPr>
                    <w:autoSpaceDE w:val="0"/>
                    <w:autoSpaceDN w:val="0"/>
                    <w:adjustRightInd w:val="0"/>
                    <w:jc w:val="center"/>
                    <w:rPr>
                      <w:b/>
                      <w:bCs/>
                      <w:szCs w:val="21"/>
                    </w:rPr>
                  </w:pPr>
                  <w:r>
                    <w:rPr>
                      <w:rFonts w:hint="eastAsia"/>
                      <w:b/>
                      <w:bCs/>
                      <w:szCs w:val="21"/>
                    </w:rPr>
                    <w:t>污染治理设施名称</w:t>
                  </w:r>
                </w:p>
              </w:tc>
              <w:tc>
                <w:tcPr>
                  <w:tcW w:w="423" w:type="pct"/>
                  <w:noWrap w:val="0"/>
                  <w:vAlign w:val="center"/>
                </w:tcPr>
                <w:p>
                  <w:pPr>
                    <w:autoSpaceDE w:val="0"/>
                    <w:autoSpaceDN w:val="0"/>
                    <w:adjustRightInd w:val="0"/>
                    <w:jc w:val="center"/>
                    <w:rPr>
                      <w:b/>
                      <w:bCs/>
                      <w:szCs w:val="21"/>
                    </w:rPr>
                  </w:pPr>
                  <w:r>
                    <w:rPr>
                      <w:rFonts w:hint="eastAsia"/>
                      <w:b/>
                      <w:bCs/>
                      <w:szCs w:val="21"/>
                    </w:rPr>
                    <w:t>污染治理设施工艺</w:t>
                  </w:r>
                </w:p>
              </w:tc>
              <w:tc>
                <w:tcPr>
                  <w:tcW w:w="423" w:type="pct"/>
                  <w:vMerge w:val="continue"/>
                  <w:noWrap w:val="0"/>
                  <w:vAlign w:val="center"/>
                </w:tcPr>
                <w:p>
                  <w:pPr>
                    <w:autoSpaceDE w:val="0"/>
                    <w:autoSpaceDN w:val="0"/>
                    <w:adjustRightInd w:val="0"/>
                    <w:jc w:val="center"/>
                    <w:rPr>
                      <w:color w:val="FF0000"/>
                      <w:szCs w:val="21"/>
                    </w:rPr>
                  </w:pPr>
                </w:p>
              </w:tc>
              <w:tc>
                <w:tcPr>
                  <w:tcW w:w="492" w:type="pct"/>
                  <w:vMerge w:val="continue"/>
                  <w:noWrap w:val="0"/>
                  <w:vAlign w:val="center"/>
                </w:tcPr>
                <w:p>
                  <w:pPr>
                    <w:autoSpaceDE w:val="0"/>
                    <w:autoSpaceDN w:val="0"/>
                    <w:adjustRightInd w:val="0"/>
                    <w:jc w:val="center"/>
                    <w:rPr>
                      <w:color w:val="FF0000"/>
                      <w:szCs w:val="21"/>
                    </w:rPr>
                  </w:pPr>
                </w:p>
              </w:tc>
              <w:tc>
                <w:tcPr>
                  <w:tcW w:w="890" w:type="pct"/>
                  <w:vMerge w:val="continue"/>
                  <w:noWrap w:val="0"/>
                  <w:vAlign w:val="center"/>
                </w:tcPr>
                <w:p>
                  <w:pPr>
                    <w:autoSpaceDE w:val="0"/>
                    <w:autoSpaceDN w:val="0"/>
                    <w:adjustRightInd w:val="0"/>
                    <w:jc w:val="center"/>
                    <w:rPr>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01" w:hRule="atLeast"/>
                <w:jc w:val="center"/>
              </w:trPr>
              <w:tc>
                <w:tcPr>
                  <w:tcW w:w="324" w:type="pct"/>
                  <w:noWrap w:val="0"/>
                  <w:vAlign w:val="center"/>
                </w:tcPr>
                <w:p>
                  <w:pPr>
                    <w:autoSpaceDE w:val="0"/>
                    <w:autoSpaceDN w:val="0"/>
                    <w:adjustRightInd w:val="0"/>
                    <w:jc w:val="center"/>
                    <w:rPr>
                      <w:szCs w:val="21"/>
                    </w:rPr>
                  </w:pPr>
                  <w:r>
                    <w:rPr>
                      <w:rFonts w:hint="eastAsia"/>
                      <w:szCs w:val="21"/>
                      <w:lang w:val="en-US" w:eastAsia="zh-CN"/>
                    </w:rPr>
                    <w:t>综合</w:t>
                  </w:r>
                  <w:r>
                    <w:rPr>
                      <w:rFonts w:hint="eastAsia"/>
                      <w:szCs w:val="21"/>
                    </w:rPr>
                    <w:t>废水</w:t>
                  </w:r>
                </w:p>
              </w:tc>
              <w:tc>
                <w:tcPr>
                  <w:tcW w:w="554" w:type="pct"/>
                  <w:noWrap w:val="0"/>
                  <w:vAlign w:val="center"/>
                </w:tcPr>
                <w:p>
                  <w:pPr>
                    <w:autoSpaceDE w:val="0"/>
                    <w:autoSpaceDN w:val="0"/>
                    <w:adjustRightInd w:val="0"/>
                    <w:jc w:val="center"/>
                    <w:rPr>
                      <w:szCs w:val="21"/>
                    </w:rPr>
                  </w:pPr>
                  <w:r>
                    <w:rPr>
                      <w:szCs w:val="21"/>
                    </w:rPr>
                    <w:t>COD</w:t>
                  </w:r>
                  <w:r>
                    <w:rPr>
                      <w:rFonts w:hint="eastAsia"/>
                      <w:szCs w:val="21"/>
                    </w:rPr>
                    <w:t>、</w:t>
                  </w:r>
                  <w:r>
                    <w:rPr>
                      <w:szCs w:val="21"/>
                    </w:rPr>
                    <w:t>BOD</w:t>
                  </w:r>
                  <w:r>
                    <w:rPr>
                      <w:szCs w:val="21"/>
                      <w:vertAlign w:val="subscript"/>
                    </w:rPr>
                    <w:t>5</w:t>
                  </w:r>
                  <w:r>
                    <w:rPr>
                      <w:rFonts w:hint="eastAsia"/>
                      <w:szCs w:val="21"/>
                    </w:rPr>
                    <w:t>、氨氮、总氮、总磷、</w:t>
                  </w:r>
                  <w:r>
                    <w:rPr>
                      <w:szCs w:val="21"/>
                    </w:rPr>
                    <w:t>SS</w:t>
                  </w:r>
                  <w:r>
                    <w:rPr>
                      <w:rFonts w:hint="eastAsia"/>
                      <w:szCs w:val="21"/>
                    </w:rPr>
                    <w:t>、动植物油、粪大肠菌群、总余氯</w:t>
                  </w:r>
                </w:p>
              </w:tc>
              <w:tc>
                <w:tcPr>
                  <w:tcW w:w="538" w:type="pct"/>
                  <w:noWrap w:val="0"/>
                  <w:vAlign w:val="center"/>
                </w:tcPr>
                <w:p>
                  <w:pPr>
                    <w:autoSpaceDE w:val="0"/>
                    <w:autoSpaceDN w:val="0"/>
                    <w:adjustRightInd w:val="0"/>
                    <w:jc w:val="center"/>
                    <w:rPr>
                      <w:szCs w:val="21"/>
                    </w:rPr>
                  </w:pPr>
                  <w:r>
                    <w:rPr>
                      <w:rFonts w:hint="eastAsia"/>
                      <w:szCs w:val="21"/>
                    </w:rPr>
                    <w:t>湘阴县第二污水处理厂</w:t>
                  </w:r>
                </w:p>
              </w:tc>
              <w:tc>
                <w:tcPr>
                  <w:tcW w:w="476" w:type="pct"/>
                  <w:noWrap w:val="0"/>
                  <w:vAlign w:val="center"/>
                </w:tcPr>
                <w:p>
                  <w:pPr>
                    <w:autoSpaceDE w:val="0"/>
                    <w:autoSpaceDN w:val="0"/>
                    <w:adjustRightInd w:val="0"/>
                    <w:jc w:val="center"/>
                    <w:rPr>
                      <w:szCs w:val="21"/>
                    </w:rPr>
                  </w:pPr>
                  <w:r>
                    <w:rPr>
                      <w:rFonts w:hint="eastAsia"/>
                      <w:szCs w:val="21"/>
                    </w:rPr>
                    <w:t>连续排放，排放期间流量稳定</w:t>
                  </w:r>
                </w:p>
              </w:tc>
              <w:tc>
                <w:tcPr>
                  <w:tcW w:w="421" w:type="pct"/>
                  <w:noWrap w:val="0"/>
                  <w:vAlign w:val="center"/>
                </w:tcPr>
                <w:p>
                  <w:pPr>
                    <w:autoSpaceDE w:val="0"/>
                    <w:autoSpaceDN w:val="0"/>
                    <w:adjustRightInd w:val="0"/>
                    <w:jc w:val="center"/>
                    <w:rPr>
                      <w:szCs w:val="21"/>
                    </w:rPr>
                  </w:pPr>
                  <w:r>
                    <w:rPr>
                      <w:rFonts w:hint="eastAsia"/>
                      <w:szCs w:val="21"/>
                    </w:rPr>
                    <w:t>TW001</w:t>
                  </w:r>
                </w:p>
              </w:tc>
              <w:tc>
                <w:tcPr>
                  <w:tcW w:w="454" w:type="pct"/>
                  <w:noWrap w:val="0"/>
                  <w:vAlign w:val="center"/>
                </w:tcPr>
                <w:p>
                  <w:pPr>
                    <w:autoSpaceDE w:val="0"/>
                    <w:autoSpaceDN w:val="0"/>
                    <w:adjustRightInd w:val="0"/>
                    <w:jc w:val="center"/>
                    <w:rPr>
                      <w:szCs w:val="21"/>
                    </w:rPr>
                  </w:pPr>
                  <w:r>
                    <w:rPr>
                      <w:rFonts w:hint="eastAsia"/>
                      <w:szCs w:val="21"/>
                    </w:rPr>
                    <w:t>污水处理站</w:t>
                  </w:r>
                </w:p>
              </w:tc>
              <w:tc>
                <w:tcPr>
                  <w:tcW w:w="423" w:type="pct"/>
                  <w:noWrap w:val="0"/>
                  <w:vAlign w:val="center"/>
                </w:tcPr>
                <w:p>
                  <w:pPr>
                    <w:autoSpaceDE w:val="0"/>
                    <w:autoSpaceDN w:val="0"/>
                    <w:adjustRightInd w:val="0"/>
                    <w:jc w:val="center"/>
                    <w:rPr>
                      <w:color w:val="FF0000"/>
                      <w:szCs w:val="21"/>
                    </w:rPr>
                  </w:pPr>
                  <w:r>
                    <w:rPr>
                      <w:rFonts w:hint="eastAsia"/>
                      <w:szCs w:val="21"/>
                    </w:rPr>
                    <w:t>电絮凝+沉淀+消毒工艺</w:t>
                  </w:r>
                </w:p>
              </w:tc>
              <w:tc>
                <w:tcPr>
                  <w:tcW w:w="423" w:type="pct"/>
                  <w:noWrap w:val="0"/>
                  <w:vAlign w:val="center"/>
                </w:tcPr>
                <w:p>
                  <w:pPr>
                    <w:autoSpaceDE w:val="0"/>
                    <w:autoSpaceDN w:val="0"/>
                    <w:adjustRightInd w:val="0"/>
                    <w:jc w:val="center"/>
                    <w:rPr>
                      <w:szCs w:val="21"/>
                    </w:rPr>
                  </w:pPr>
                  <w:r>
                    <w:rPr>
                      <w:rFonts w:hint="eastAsia"/>
                      <w:szCs w:val="21"/>
                    </w:rPr>
                    <w:t>DW</w:t>
                  </w:r>
                </w:p>
                <w:p>
                  <w:pPr>
                    <w:autoSpaceDE w:val="0"/>
                    <w:autoSpaceDN w:val="0"/>
                    <w:adjustRightInd w:val="0"/>
                    <w:jc w:val="center"/>
                    <w:rPr>
                      <w:rFonts w:hint="eastAsia"/>
                      <w:szCs w:val="21"/>
                    </w:rPr>
                  </w:pPr>
                  <w:r>
                    <w:rPr>
                      <w:rFonts w:hint="eastAsia"/>
                      <w:szCs w:val="21"/>
                    </w:rPr>
                    <w:t>001</w:t>
                  </w:r>
                </w:p>
              </w:tc>
              <w:tc>
                <w:tcPr>
                  <w:tcW w:w="492" w:type="pct"/>
                  <w:noWrap w:val="0"/>
                  <w:vAlign w:val="center"/>
                </w:tcPr>
                <w:p>
                  <w:pPr>
                    <w:autoSpaceDE w:val="0"/>
                    <w:autoSpaceDN w:val="0"/>
                    <w:adjustRightInd w:val="0"/>
                    <w:jc w:val="center"/>
                    <w:rPr>
                      <w:szCs w:val="21"/>
                    </w:rPr>
                  </w:pPr>
                  <w:r>
                    <w:rPr>
                      <w:rFonts w:hint="eastAsia"/>
                      <w:szCs w:val="21"/>
                    </w:rPr>
                    <w:t>☑是</w:t>
                  </w:r>
                </w:p>
                <w:p>
                  <w:pPr>
                    <w:autoSpaceDE w:val="0"/>
                    <w:autoSpaceDN w:val="0"/>
                    <w:adjustRightInd w:val="0"/>
                    <w:jc w:val="center"/>
                    <w:rPr>
                      <w:szCs w:val="21"/>
                    </w:rPr>
                  </w:pPr>
                  <w:r>
                    <w:rPr>
                      <w:rFonts w:hint="eastAsia"/>
                      <w:szCs w:val="21"/>
                    </w:rPr>
                    <w:t>□否</w:t>
                  </w:r>
                </w:p>
              </w:tc>
              <w:tc>
                <w:tcPr>
                  <w:tcW w:w="890" w:type="pct"/>
                  <w:noWrap w:val="0"/>
                  <w:vAlign w:val="center"/>
                </w:tcPr>
                <w:p>
                  <w:pPr>
                    <w:autoSpaceDE w:val="0"/>
                    <w:autoSpaceDN w:val="0"/>
                    <w:adjustRightInd w:val="0"/>
                    <w:rPr>
                      <w:szCs w:val="21"/>
                    </w:rPr>
                  </w:pPr>
                  <w:r>
                    <w:rPr>
                      <w:rFonts w:hint="eastAsia"/>
                      <w:szCs w:val="21"/>
                    </w:rPr>
                    <w:t>☑企业总排</w:t>
                  </w:r>
                </w:p>
                <w:p>
                  <w:pPr>
                    <w:autoSpaceDE w:val="0"/>
                    <w:autoSpaceDN w:val="0"/>
                    <w:adjustRightInd w:val="0"/>
                    <w:rPr>
                      <w:szCs w:val="21"/>
                    </w:rPr>
                  </w:pPr>
                  <w:r>
                    <w:rPr>
                      <w:rFonts w:hint="eastAsia"/>
                      <w:szCs w:val="21"/>
                    </w:rPr>
                    <w:t>□雨水排放</w:t>
                  </w:r>
                </w:p>
                <w:p>
                  <w:pPr>
                    <w:autoSpaceDE w:val="0"/>
                    <w:autoSpaceDN w:val="0"/>
                    <w:adjustRightInd w:val="0"/>
                    <w:rPr>
                      <w:szCs w:val="21"/>
                    </w:rPr>
                  </w:pPr>
                  <w:r>
                    <w:rPr>
                      <w:rFonts w:hint="eastAsia"/>
                      <w:szCs w:val="21"/>
                    </w:rPr>
                    <w:t>□清净下水排放</w:t>
                  </w:r>
                </w:p>
                <w:p>
                  <w:pPr>
                    <w:autoSpaceDE w:val="0"/>
                    <w:autoSpaceDN w:val="0"/>
                    <w:adjustRightInd w:val="0"/>
                    <w:rPr>
                      <w:szCs w:val="21"/>
                    </w:rPr>
                  </w:pPr>
                  <w:r>
                    <w:rPr>
                      <w:rFonts w:hint="eastAsia"/>
                      <w:szCs w:val="21"/>
                    </w:rPr>
                    <w:t>□温排水排放</w:t>
                  </w:r>
                </w:p>
                <w:p>
                  <w:pPr>
                    <w:autoSpaceDE w:val="0"/>
                    <w:autoSpaceDN w:val="0"/>
                    <w:adjustRightInd w:val="0"/>
                    <w:rPr>
                      <w:szCs w:val="21"/>
                    </w:rPr>
                  </w:pPr>
                  <w:r>
                    <w:rPr>
                      <w:rFonts w:hint="eastAsia"/>
                      <w:szCs w:val="21"/>
                    </w:rPr>
                    <w:t>□车间或车间处理设施排放口</w:t>
                  </w:r>
                </w:p>
              </w:tc>
            </w:tr>
          </w:tbl>
          <w:p>
            <w:pPr>
              <w:numPr>
                <w:ilvl w:val="0"/>
                <w:numId w:val="0"/>
              </w:numPr>
              <w:bidi w:val="0"/>
            </w:pPr>
          </w:p>
          <w:p>
            <w:pPr>
              <w:numPr>
                <w:ilvl w:val="0"/>
                <w:numId w:val="7"/>
              </w:numPr>
              <w:spacing w:line="360" w:lineRule="auto"/>
              <w:ind w:firstLine="480" w:firstLineChars="200"/>
              <w:rPr>
                <w:rFonts w:hint="eastAsia" w:ascii="Times New Roman" w:hAnsi="Times New Roman" w:eastAsia="宋体"/>
                <w:color w:val="auto"/>
                <w:sz w:val="24"/>
                <w:lang w:val="en-US" w:eastAsia="zh-CN"/>
              </w:rPr>
            </w:pPr>
            <w:r>
              <w:rPr>
                <w:rFonts w:hint="eastAsia" w:ascii="Times New Roman" w:hAnsi="Times New Roman" w:eastAsia="宋体"/>
                <w:color w:val="auto"/>
                <w:sz w:val="24"/>
                <w:lang w:val="en-US" w:eastAsia="zh-CN"/>
              </w:rPr>
              <w:t>废水运营期监测计划</w:t>
            </w:r>
          </w:p>
          <w:p>
            <w:pPr>
              <w:tabs>
                <w:tab w:val="left" w:pos="423"/>
              </w:tabs>
              <w:spacing w:line="360" w:lineRule="auto"/>
              <w:ind w:firstLine="480" w:firstLineChars="200"/>
              <w:rPr>
                <w:sz w:val="24"/>
                <w:u w:val="single"/>
              </w:rPr>
            </w:pPr>
            <w:r>
              <w:rPr>
                <w:sz w:val="24"/>
                <w:u w:val="single"/>
              </w:rPr>
              <w:t>建设单位应按照《排污单位自行监测技术指南 总则》（HJ819-2017）</w:t>
            </w:r>
            <w:r>
              <w:rPr>
                <w:rFonts w:hint="eastAsia"/>
                <w:sz w:val="24"/>
                <w:u w:val="single"/>
                <w:lang w:val="en-US" w:eastAsia="zh-CN"/>
              </w:rPr>
              <w:t>和《排污许可证申请与核发技术规范医疗机构》（HJ1105-2020）</w:t>
            </w:r>
            <w:r>
              <w:rPr>
                <w:sz w:val="24"/>
                <w:u w:val="single"/>
              </w:rPr>
              <w:t>制定</w:t>
            </w:r>
            <w:r>
              <w:rPr>
                <w:rFonts w:hint="eastAsia"/>
                <w:sz w:val="24"/>
                <w:u w:val="single"/>
                <w:lang w:val="en-US" w:eastAsia="zh-CN"/>
              </w:rPr>
              <w:t>废水的</w:t>
            </w:r>
            <w:r>
              <w:rPr>
                <w:sz w:val="24"/>
                <w:u w:val="single"/>
              </w:rPr>
              <w:t>监测计划和工作方案，具体监测计划见下表。</w:t>
            </w:r>
          </w:p>
          <w:p>
            <w:pPr>
              <w:jc w:val="center"/>
              <w:rPr>
                <w:b/>
                <w:bCs/>
                <w:kern w:val="0"/>
                <w:szCs w:val="21"/>
              </w:rPr>
            </w:pPr>
            <w:r>
              <w:rPr>
                <w:b/>
                <w:bCs/>
                <w:szCs w:val="21"/>
              </w:rPr>
              <w:t>表</w:t>
            </w:r>
            <w:r>
              <w:rPr>
                <w:rFonts w:hint="eastAsia"/>
                <w:b/>
                <w:bCs/>
                <w:szCs w:val="21"/>
              </w:rPr>
              <w:t>4-</w:t>
            </w:r>
            <w:r>
              <w:rPr>
                <w:rFonts w:hint="eastAsia"/>
                <w:b/>
                <w:bCs/>
                <w:szCs w:val="21"/>
                <w:lang w:val="en-US" w:eastAsia="zh-CN"/>
              </w:rPr>
              <w:t>7</w:t>
            </w:r>
            <w:r>
              <w:rPr>
                <w:rFonts w:hint="eastAsia"/>
                <w:b/>
                <w:bCs/>
                <w:szCs w:val="21"/>
              </w:rPr>
              <w:t xml:space="preserve"> 医院内</w:t>
            </w:r>
            <w:r>
              <w:rPr>
                <w:b/>
                <w:bCs/>
                <w:kern w:val="0"/>
                <w:szCs w:val="21"/>
              </w:rPr>
              <w:t>污染源监测计划</w:t>
            </w:r>
          </w:p>
          <w:tbl>
            <w:tblPr>
              <w:tblStyle w:val="25"/>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fixed"/>
              <w:tblCellMar>
                <w:top w:w="0" w:type="dxa"/>
                <w:left w:w="108" w:type="dxa"/>
                <w:bottom w:w="0" w:type="dxa"/>
                <w:right w:w="108" w:type="dxa"/>
              </w:tblCellMar>
            </w:tblPr>
            <w:tblGrid>
              <w:gridCol w:w="765"/>
              <w:gridCol w:w="702"/>
              <w:gridCol w:w="1065"/>
              <w:gridCol w:w="2114"/>
              <w:gridCol w:w="1117"/>
              <w:gridCol w:w="25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blHeader/>
              </w:trPr>
              <w:tc>
                <w:tcPr>
                  <w:tcW w:w="886" w:type="pct"/>
                  <w:gridSpan w:val="2"/>
                  <w:noWrap w:val="0"/>
                  <w:vAlign w:val="center"/>
                </w:tcPr>
                <w:p>
                  <w:pPr>
                    <w:jc w:val="center"/>
                    <w:rPr>
                      <w:b/>
                      <w:szCs w:val="21"/>
                    </w:rPr>
                  </w:pPr>
                  <w:r>
                    <w:rPr>
                      <w:rFonts w:hint="eastAsia"/>
                      <w:b/>
                      <w:szCs w:val="21"/>
                    </w:rPr>
                    <w:t>类别</w:t>
                  </w:r>
                </w:p>
              </w:tc>
              <w:tc>
                <w:tcPr>
                  <w:tcW w:w="643" w:type="pct"/>
                  <w:noWrap w:val="0"/>
                  <w:vAlign w:val="center"/>
                </w:tcPr>
                <w:p>
                  <w:pPr>
                    <w:jc w:val="center"/>
                    <w:rPr>
                      <w:b/>
                      <w:szCs w:val="21"/>
                    </w:rPr>
                  </w:pPr>
                  <w:r>
                    <w:rPr>
                      <w:rFonts w:hint="eastAsia"/>
                      <w:b/>
                      <w:szCs w:val="21"/>
                    </w:rPr>
                    <w:t>检测位置</w:t>
                  </w:r>
                </w:p>
              </w:tc>
              <w:tc>
                <w:tcPr>
                  <w:tcW w:w="1277" w:type="pct"/>
                  <w:noWrap w:val="0"/>
                  <w:vAlign w:val="center"/>
                </w:tcPr>
                <w:p>
                  <w:pPr>
                    <w:jc w:val="center"/>
                    <w:rPr>
                      <w:b/>
                      <w:szCs w:val="21"/>
                    </w:rPr>
                  </w:pPr>
                  <w:r>
                    <w:rPr>
                      <w:rFonts w:hint="eastAsia"/>
                      <w:b/>
                      <w:szCs w:val="21"/>
                    </w:rPr>
                    <w:t>检测项目</w:t>
                  </w:r>
                </w:p>
              </w:tc>
              <w:tc>
                <w:tcPr>
                  <w:tcW w:w="674" w:type="pct"/>
                  <w:noWrap w:val="0"/>
                  <w:vAlign w:val="center"/>
                </w:tcPr>
                <w:p>
                  <w:pPr>
                    <w:jc w:val="center"/>
                    <w:rPr>
                      <w:b/>
                      <w:szCs w:val="21"/>
                    </w:rPr>
                  </w:pPr>
                  <w:r>
                    <w:rPr>
                      <w:rFonts w:hint="eastAsia"/>
                      <w:b/>
                      <w:szCs w:val="21"/>
                    </w:rPr>
                    <w:t>监测频次</w:t>
                  </w:r>
                </w:p>
              </w:tc>
              <w:tc>
                <w:tcPr>
                  <w:tcW w:w="1518" w:type="pct"/>
                  <w:noWrap w:val="0"/>
                  <w:vAlign w:val="center"/>
                </w:tcPr>
                <w:p>
                  <w:pPr>
                    <w:jc w:val="center"/>
                    <w:rPr>
                      <w:b/>
                      <w:szCs w:val="21"/>
                    </w:rPr>
                  </w:pPr>
                  <w:r>
                    <w:rPr>
                      <w:rFonts w:hint="eastAsia"/>
                      <w:b/>
                      <w:szCs w:val="21"/>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13" w:hRule="atLeast"/>
              </w:trPr>
              <w:tc>
                <w:tcPr>
                  <w:tcW w:w="462" w:type="pct"/>
                  <w:vMerge w:val="restart"/>
                  <w:noWrap w:val="0"/>
                  <w:vAlign w:val="center"/>
                </w:tcPr>
                <w:p>
                  <w:pPr>
                    <w:jc w:val="center"/>
                    <w:rPr>
                      <w:szCs w:val="21"/>
                      <w:u w:val="none"/>
                    </w:rPr>
                  </w:pPr>
                  <w:r>
                    <w:rPr>
                      <w:rFonts w:hint="eastAsia"/>
                      <w:szCs w:val="21"/>
                      <w:u w:val="none"/>
                    </w:rPr>
                    <w:t>污染源监测</w:t>
                  </w:r>
                </w:p>
              </w:tc>
              <w:tc>
                <w:tcPr>
                  <w:tcW w:w="424" w:type="pct"/>
                  <w:vMerge w:val="restart"/>
                  <w:noWrap w:val="0"/>
                  <w:vAlign w:val="center"/>
                </w:tcPr>
                <w:p>
                  <w:pPr>
                    <w:jc w:val="center"/>
                    <w:rPr>
                      <w:szCs w:val="21"/>
                      <w:u w:val="none"/>
                    </w:rPr>
                  </w:pPr>
                  <w:r>
                    <w:rPr>
                      <w:rFonts w:hint="eastAsia"/>
                      <w:szCs w:val="21"/>
                      <w:u w:val="none"/>
                    </w:rPr>
                    <w:t>废水</w:t>
                  </w:r>
                </w:p>
              </w:tc>
              <w:tc>
                <w:tcPr>
                  <w:tcW w:w="643" w:type="pct"/>
                  <w:vMerge w:val="restart"/>
                  <w:noWrap w:val="0"/>
                  <w:vAlign w:val="center"/>
                </w:tcPr>
                <w:p>
                  <w:pPr>
                    <w:jc w:val="center"/>
                    <w:rPr>
                      <w:szCs w:val="21"/>
                      <w:u w:val="none"/>
                    </w:rPr>
                  </w:pPr>
                  <w:r>
                    <w:rPr>
                      <w:rFonts w:hint="eastAsia"/>
                      <w:szCs w:val="21"/>
                      <w:u w:val="none"/>
                    </w:rPr>
                    <w:t>医疗废水总排口</w:t>
                  </w:r>
                </w:p>
              </w:tc>
              <w:tc>
                <w:tcPr>
                  <w:tcW w:w="1277" w:type="pct"/>
                  <w:noWrap w:val="0"/>
                  <w:vAlign w:val="center"/>
                </w:tcPr>
                <w:p>
                  <w:pPr>
                    <w:jc w:val="center"/>
                    <w:rPr>
                      <w:rFonts w:hint="default" w:eastAsia="宋体"/>
                      <w:szCs w:val="21"/>
                      <w:u w:val="none"/>
                      <w:lang w:val="en-US" w:eastAsia="zh-CN"/>
                    </w:rPr>
                  </w:pPr>
                  <w:r>
                    <w:rPr>
                      <w:rFonts w:hint="eastAsia"/>
                      <w:szCs w:val="21"/>
                      <w:u w:val="none"/>
                      <w:lang w:val="en-US" w:eastAsia="zh-CN"/>
                    </w:rPr>
                    <w:t>流量、化学需氧量</w:t>
                  </w:r>
                </w:p>
              </w:tc>
              <w:tc>
                <w:tcPr>
                  <w:tcW w:w="674" w:type="pct"/>
                  <w:noWrap w:val="0"/>
                  <w:vAlign w:val="center"/>
                </w:tcPr>
                <w:p>
                  <w:pPr>
                    <w:jc w:val="center"/>
                    <w:rPr>
                      <w:rFonts w:hint="default" w:eastAsia="宋体"/>
                      <w:szCs w:val="21"/>
                      <w:u w:val="none"/>
                      <w:lang w:val="en-US" w:eastAsia="zh-CN"/>
                    </w:rPr>
                  </w:pPr>
                  <w:r>
                    <w:rPr>
                      <w:rFonts w:hint="eastAsia"/>
                      <w:szCs w:val="21"/>
                      <w:u w:val="none"/>
                      <w:lang w:val="en-US" w:eastAsia="zh-CN"/>
                    </w:rPr>
                    <w:t>自动监测</w:t>
                  </w:r>
                </w:p>
              </w:tc>
              <w:tc>
                <w:tcPr>
                  <w:tcW w:w="1518" w:type="pct"/>
                  <w:vMerge w:val="restart"/>
                  <w:noWrap w:val="0"/>
                  <w:vAlign w:val="center"/>
                </w:tcPr>
                <w:p>
                  <w:pPr>
                    <w:jc w:val="center"/>
                    <w:rPr>
                      <w:rFonts w:hint="eastAsia"/>
                      <w:szCs w:val="21"/>
                    </w:rPr>
                  </w:pPr>
                  <w:r>
                    <w:rPr>
                      <w:rFonts w:hint="eastAsia"/>
                      <w:szCs w:val="21"/>
                    </w:rPr>
                    <w:t>《医疗机构水污染物排放标准》（</w:t>
                  </w:r>
                  <w:r>
                    <w:rPr>
                      <w:szCs w:val="21"/>
                    </w:rPr>
                    <w:t>GB18466-2005</w:t>
                  </w:r>
                  <w:r>
                    <w:rPr>
                      <w:rFonts w:hint="eastAsia"/>
                      <w:szCs w:val="21"/>
                    </w:rPr>
                    <w:t>）表</w:t>
                  </w:r>
                  <w:r>
                    <w:rPr>
                      <w:szCs w:val="21"/>
                    </w:rPr>
                    <w:t>2</w:t>
                  </w:r>
                  <w:r>
                    <w:rPr>
                      <w:rFonts w:hint="eastAsia"/>
                      <w:szCs w:val="21"/>
                    </w:rPr>
                    <w:t>预处理标准限值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25" w:hRule="atLeast"/>
              </w:trPr>
              <w:tc>
                <w:tcPr>
                  <w:tcW w:w="462" w:type="pct"/>
                  <w:vMerge w:val="continue"/>
                  <w:noWrap w:val="0"/>
                  <w:vAlign w:val="center"/>
                </w:tcPr>
                <w:p>
                  <w:pPr>
                    <w:jc w:val="center"/>
                    <w:rPr>
                      <w:rFonts w:hint="eastAsia"/>
                      <w:szCs w:val="21"/>
                      <w:u w:val="none"/>
                    </w:rPr>
                  </w:pPr>
                </w:p>
              </w:tc>
              <w:tc>
                <w:tcPr>
                  <w:tcW w:w="424" w:type="pct"/>
                  <w:vMerge w:val="continue"/>
                  <w:noWrap w:val="0"/>
                  <w:vAlign w:val="center"/>
                </w:tcPr>
                <w:p>
                  <w:pPr>
                    <w:jc w:val="center"/>
                    <w:rPr>
                      <w:rFonts w:hint="eastAsia"/>
                      <w:szCs w:val="21"/>
                      <w:u w:val="none"/>
                    </w:rPr>
                  </w:pPr>
                </w:p>
              </w:tc>
              <w:tc>
                <w:tcPr>
                  <w:tcW w:w="643" w:type="pct"/>
                  <w:vMerge w:val="continue"/>
                  <w:noWrap w:val="0"/>
                  <w:vAlign w:val="center"/>
                </w:tcPr>
                <w:p>
                  <w:pPr>
                    <w:jc w:val="center"/>
                    <w:rPr>
                      <w:rFonts w:hint="eastAsia"/>
                      <w:szCs w:val="21"/>
                      <w:u w:val="none"/>
                    </w:rPr>
                  </w:pPr>
                </w:p>
              </w:tc>
              <w:tc>
                <w:tcPr>
                  <w:tcW w:w="1277" w:type="pct"/>
                  <w:noWrap w:val="0"/>
                  <w:vAlign w:val="center"/>
                </w:tcPr>
                <w:p>
                  <w:pPr>
                    <w:jc w:val="center"/>
                    <w:rPr>
                      <w:rFonts w:hint="default" w:eastAsia="宋体"/>
                      <w:szCs w:val="21"/>
                      <w:u w:val="none"/>
                      <w:lang w:val="en-US" w:eastAsia="zh-CN"/>
                    </w:rPr>
                  </w:pPr>
                  <w:r>
                    <w:rPr>
                      <w:rFonts w:hint="eastAsia"/>
                      <w:szCs w:val="21"/>
                      <w:u w:val="none"/>
                      <w:lang w:val="en-US" w:eastAsia="zh-CN"/>
                    </w:rPr>
                    <w:t>pH值</w:t>
                  </w:r>
                </w:p>
              </w:tc>
              <w:tc>
                <w:tcPr>
                  <w:tcW w:w="674" w:type="pct"/>
                  <w:noWrap w:val="0"/>
                  <w:vAlign w:val="center"/>
                </w:tcPr>
                <w:p>
                  <w:pPr>
                    <w:jc w:val="center"/>
                    <w:rPr>
                      <w:rFonts w:hint="default" w:eastAsia="宋体"/>
                      <w:szCs w:val="21"/>
                      <w:u w:val="none"/>
                      <w:lang w:val="en-US" w:eastAsia="zh-CN"/>
                    </w:rPr>
                  </w:pPr>
                  <w:r>
                    <w:rPr>
                      <w:rFonts w:hint="eastAsia"/>
                      <w:szCs w:val="21"/>
                      <w:u w:val="none"/>
                      <w:lang w:val="en-US" w:eastAsia="zh-CN"/>
                    </w:rPr>
                    <w:t>12小时</w:t>
                  </w:r>
                </w:p>
              </w:tc>
              <w:tc>
                <w:tcPr>
                  <w:tcW w:w="1518" w:type="pct"/>
                  <w:vMerge w:val="continue"/>
                  <w:noWrap w:val="0"/>
                  <w:vAlign w:val="center"/>
                </w:tcPr>
                <w:p>
                  <w:pPr>
                    <w:jc w:val="center"/>
                    <w:rPr>
                      <w:rFonts w:hint="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126" w:hRule="atLeast"/>
              </w:trPr>
              <w:tc>
                <w:tcPr>
                  <w:tcW w:w="462" w:type="pct"/>
                  <w:vMerge w:val="continue"/>
                  <w:noWrap w:val="0"/>
                  <w:vAlign w:val="center"/>
                </w:tcPr>
                <w:p>
                  <w:pPr>
                    <w:jc w:val="center"/>
                    <w:rPr>
                      <w:rFonts w:hint="eastAsia"/>
                      <w:szCs w:val="21"/>
                      <w:u w:val="none"/>
                    </w:rPr>
                  </w:pPr>
                </w:p>
              </w:tc>
              <w:tc>
                <w:tcPr>
                  <w:tcW w:w="424" w:type="pct"/>
                  <w:vMerge w:val="continue"/>
                  <w:noWrap w:val="0"/>
                  <w:vAlign w:val="center"/>
                </w:tcPr>
                <w:p>
                  <w:pPr>
                    <w:jc w:val="center"/>
                    <w:rPr>
                      <w:rFonts w:hint="eastAsia"/>
                      <w:szCs w:val="21"/>
                      <w:u w:val="none"/>
                    </w:rPr>
                  </w:pPr>
                </w:p>
              </w:tc>
              <w:tc>
                <w:tcPr>
                  <w:tcW w:w="643" w:type="pct"/>
                  <w:vMerge w:val="continue"/>
                  <w:noWrap w:val="0"/>
                  <w:vAlign w:val="center"/>
                </w:tcPr>
                <w:p>
                  <w:pPr>
                    <w:jc w:val="center"/>
                    <w:rPr>
                      <w:rFonts w:hint="eastAsia"/>
                      <w:szCs w:val="21"/>
                      <w:u w:val="none"/>
                    </w:rPr>
                  </w:pPr>
                </w:p>
              </w:tc>
              <w:tc>
                <w:tcPr>
                  <w:tcW w:w="1277" w:type="pct"/>
                  <w:noWrap w:val="0"/>
                  <w:vAlign w:val="center"/>
                </w:tcPr>
                <w:p>
                  <w:pPr>
                    <w:jc w:val="center"/>
                    <w:rPr>
                      <w:rFonts w:hint="default"/>
                      <w:szCs w:val="21"/>
                      <w:u w:val="none"/>
                      <w:lang w:val="en-US" w:eastAsia="zh-CN"/>
                    </w:rPr>
                  </w:pPr>
                  <w:r>
                    <w:rPr>
                      <w:rFonts w:hint="eastAsia"/>
                      <w:szCs w:val="21"/>
                      <w:u w:val="none"/>
                      <w:lang w:val="en-US" w:eastAsia="zh-CN"/>
                    </w:rPr>
                    <w:t>悬浮物</w:t>
                  </w:r>
                </w:p>
              </w:tc>
              <w:tc>
                <w:tcPr>
                  <w:tcW w:w="674" w:type="pct"/>
                  <w:noWrap w:val="0"/>
                  <w:vAlign w:val="center"/>
                </w:tcPr>
                <w:p>
                  <w:pPr>
                    <w:jc w:val="center"/>
                    <w:rPr>
                      <w:rFonts w:hint="default"/>
                      <w:szCs w:val="21"/>
                      <w:u w:val="none"/>
                      <w:lang w:val="en-US" w:eastAsia="zh-CN"/>
                    </w:rPr>
                  </w:pPr>
                  <w:r>
                    <w:rPr>
                      <w:rFonts w:hint="eastAsia"/>
                      <w:szCs w:val="21"/>
                      <w:u w:val="none"/>
                      <w:lang w:val="en-US" w:eastAsia="zh-CN"/>
                    </w:rPr>
                    <w:t>周</w:t>
                  </w:r>
                </w:p>
              </w:tc>
              <w:tc>
                <w:tcPr>
                  <w:tcW w:w="1518" w:type="pct"/>
                  <w:vMerge w:val="continue"/>
                  <w:noWrap w:val="0"/>
                  <w:vAlign w:val="center"/>
                </w:tcPr>
                <w:p>
                  <w:pPr>
                    <w:jc w:val="center"/>
                    <w:rPr>
                      <w:rFonts w:hint="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1320" w:hRule="atLeast"/>
              </w:trPr>
              <w:tc>
                <w:tcPr>
                  <w:tcW w:w="462" w:type="pct"/>
                  <w:vMerge w:val="continue"/>
                  <w:noWrap w:val="0"/>
                  <w:vAlign w:val="center"/>
                </w:tcPr>
                <w:p>
                  <w:pPr>
                    <w:jc w:val="center"/>
                    <w:rPr>
                      <w:rFonts w:hint="eastAsia"/>
                      <w:szCs w:val="21"/>
                      <w:u w:val="none"/>
                    </w:rPr>
                  </w:pPr>
                </w:p>
              </w:tc>
              <w:tc>
                <w:tcPr>
                  <w:tcW w:w="424" w:type="pct"/>
                  <w:vMerge w:val="continue"/>
                  <w:noWrap w:val="0"/>
                  <w:vAlign w:val="center"/>
                </w:tcPr>
                <w:p>
                  <w:pPr>
                    <w:jc w:val="center"/>
                    <w:rPr>
                      <w:rFonts w:hint="eastAsia"/>
                      <w:szCs w:val="21"/>
                      <w:u w:val="none"/>
                    </w:rPr>
                  </w:pPr>
                </w:p>
              </w:tc>
              <w:tc>
                <w:tcPr>
                  <w:tcW w:w="643" w:type="pct"/>
                  <w:vMerge w:val="continue"/>
                  <w:noWrap w:val="0"/>
                  <w:vAlign w:val="center"/>
                </w:tcPr>
                <w:p>
                  <w:pPr>
                    <w:jc w:val="center"/>
                    <w:rPr>
                      <w:rFonts w:hint="eastAsia"/>
                      <w:szCs w:val="21"/>
                      <w:u w:val="none"/>
                    </w:rPr>
                  </w:pPr>
                </w:p>
              </w:tc>
              <w:tc>
                <w:tcPr>
                  <w:tcW w:w="1277" w:type="pct"/>
                  <w:noWrap w:val="0"/>
                  <w:vAlign w:val="center"/>
                </w:tcPr>
                <w:p>
                  <w:pPr>
                    <w:jc w:val="center"/>
                    <w:rPr>
                      <w:rFonts w:hint="default" w:eastAsia="宋体"/>
                      <w:szCs w:val="21"/>
                      <w:u w:val="none"/>
                      <w:lang w:val="en-US" w:eastAsia="zh-CN"/>
                    </w:rPr>
                  </w:pPr>
                  <w:r>
                    <w:rPr>
                      <w:szCs w:val="21"/>
                      <w:u w:val="none"/>
                    </w:rPr>
                    <w:t>BOD</w:t>
                  </w:r>
                  <w:r>
                    <w:rPr>
                      <w:szCs w:val="21"/>
                      <w:u w:val="none"/>
                      <w:vertAlign w:val="subscript"/>
                    </w:rPr>
                    <w:t>5</w:t>
                  </w:r>
                  <w:r>
                    <w:rPr>
                      <w:rFonts w:hint="eastAsia"/>
                      <w:szCs w:val="21"/>
                      <w:u w:val="none"/>
                    </w:rPr>
                    <w:t>、</w:t>
                  </w:r>
                  <w:r>
                    <w:rPr>
                      <w:rFonts w:hint="eastAsia"/>
                      <w:szCs w:val="21"/>
                      <w:u w:val="none"/>
                      <w:lang w:val="en-US" w:eastAsia="zh-CN"/>
                    </w:rPr>
                    <w:t>石油类、挥发酚、阴离子表面活性剂、总氰化物、</w:t>
                  </w:r>
                  <w:r>
                    <w:rPr>
                      <w:rFonts w:hint="eastAsia"/>
                      <w:szCs w:val="21"/>
                      <w:u w:val="none"/>
                    </w:rPr>
                    <w:t>氨氮、总磷、总氮、动植物油、粪大肠菌群、总余氯</w:t>
                  </w:r>
                  <w:r>
                    <w:rPr>
                      <w:rFonts w:hint="eastAsia"/>
                      <w:szCs w:val="21"/>
                      <w:u w:val="none"/>
                      <w:lang w:eastAsia="zh-CN"/>
                    </w:rPr>
                    <w:t>、</w:t>
                  </w:r>
                  <w:r>
                    <w:rPr>
                      <w:rFonts w:hint="eastAsia"/>
                      <w:szCs w:val="21"/>
                      <w:u w:val="none"/>
                      <w:lang w:val="en-US" w:eastAsia="zh-CN"/>
                    </w:rPr>
                    <w:t>色度肠道致病菌（沙门氏菌）</w:t>
                  </w:r>
                </w:p>
              </w:tc>
              <w:tc>
                <w:tcPr>
                  <w:tcW w:w="674" w:type="pct"/>
                  <w:noWrap w:val="0"/>
                  <w:vAlign w:val="center"/>
                </w:tcPr>
                <w:p>
                  <w:pPr>
                    <w:jc w:val="center"/>
                    <w:rPr>
                      <w:rFonts w:hint="eastAsia" w:eastAsia="宋体"/>
                      <w:szCs w:val="21"/>
                      <w:u w:val="none"/>
                      <w:lang w:val="en-US" w:eastAsia="zh-CN"/>
                    </w:rPr>
                  </w:pPr>
                  <w:r>
                    <w:rPr>
                      <w:rFonts w:hint="eastAsia"/>
                      <w:szCs w:val="21"/>
                      <w:u w:val="none"/>
                      <w:lang w:val="en-US" w:eastAsia="zh-CN"/>
                    </w:rPr>
                    <w:t>季度</w:t>
                  </w:r>
                </w:p>
              </w:tc>
              <w:tc>
                <w:tcPr>
                  <w:tcW w:w="1518" w:type="pct"/>
                  <w:vMerge w:val="continue"/>
                  <w:noWrap w:val="0"/>
                  <w:vAlign w:val="center"/>
                </w:tcPr>
                <w:p>
                  <w:pPr>
                    <w:jc w:val="center"/>
                    <w:rPr>
                      <w:rFonts w:hint="eastAsia"/>
                      <w:szCs w:val="21"/>
                    </w:rPr>
                  </w:pPr>
                </w:p>
              </w:tc>
            </w:tr>
          </w:tbl>
          <w:p>
            <w:pPr>
              <w:numPr>
                <w:ilvl w:val="0"/>
                <w:numId w:val="0"/>
              </w:numPr>
              <w:spacing w:line="240" w:lineRule="auto"/>
              <w:rPr>
                <w:rFonts w:hint="default" w:ascii="Times New Roman" w:hAnsi="Times New Roman" w:eastAsia="宋体"/>
                <w:color w:val="auto"/>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b/>
                <w:bCs/>
                <w:sz w:val="24"/>
                <w:lang w:val="en-US" w:eastAsia="zh-CN"/>
              </w:rPr>
            </w:pPr>
            <w:r>
              <w:rPr>
                <w:rFonts w:hint="eastAsia"/>
                <w:b/>
                <w:bCs/>
                <w:sz w:val="24"/>
                <w:lang w:val="en-US" w:eastAsia="zh-CN"/>
              </w:rPr>
              <w:t>二、大气环境影响分析</w:t>
            </w:r>
          </w:p>
          <w:p>
            <w:pPr>
              <w:spacing w:line="360" w:lineRule="auto"/>
              <w:ind w:firstLine="480" w:firstLineChars="200"/>
              <w:rPr>
                <w:sz w:val="24"/>
                <w:u w:val="single"/>
              </w:rPr>
            </w:pPr>
            <w:r>
              <w:rPr>
                <w:rFonts w:hint="eastAsia"/>
                <w:sz w:val="24"/>
                <w:u w:val="single"/>
              </w:rPr>
              <w:t>根据项目规划，工程建成投入营运后，所用能源全部为电和天然气，从源头上控制了废气污染物的产生。项目建成后废气主要包括</w:t>
            </w:r>
            <w:r>
              <w:rPr>
                <w:rFonts w:hint="eastAsia"/>
                <w:sz w:val="24"/>
                <w:u w:val="single"/>
                <w:lang w:val="en-US" w:eastAsia="zh-CN"/>
              </w:rPr>
              <w:t>锅炉燃烧废气、食堂油烟、</w:t>
            </w:r>
            <w:r>
              <w:rPr>
                <w:rFonts w:hint="eastAsia"/>
                <w:color w:val="auto"/>
                <w:sz w:val="24"/>
                <w:u w:val="single"/>
                <w:lang w:val="en-US" w:eastAsia="zh-CN"/>
              </w:rPr>
              <w:t>医疗废物暂存间废气等</w:t>
            </w:r>
            <w:r>
              <w:rPr>
                <w:rFonts w:hint="eastAsia"/>
                <w:color w:val="auto"/>
                <w:sz w:val="24"/>
                <w:u w:val="single"/>
              </w:rPr>
              <w:t>。</w:t>
            </w:r>
          </w:p>
          <w:p>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jc w:val="both"/>
              <w:textAlignment w:val="auto"/>
              <w:rPr>
                <w:rFonts w:hint="eastAsia"/>
                <w:b/>
                <w:bCs/>
                <w:sz w:val="24"/>
                <w:lang w:val="en-US" w:eastAsia="zh-CN"/>
              </w:rPr>
            </w:pPr>
            <w:r>
              <w:rPr>
                <w:rFonts w:hint="eastAsia"/>
                <w:b/>
                <w:bCs/>
                <w:sz w:val="24"/>
                <w:lang w:val="en-US" w:eastAsia="zh-CN"/>
              </w:rPr>
              <w:t>锅炉燃烧废气</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sz w:val="24"/>
                <w:szCs w:val="24"/>
                <w:u w:val="single"/>
                <w:lang w:val="en-US" w:eastAsia="zh-CN"/>
              </w:rPr>
            </w:pPr>
            <w:r>
              <w:rPr>
                <w:rFonts w:hint="eastAsia"/>
                <w:sz w:val="24"/>
                <w:u w:val="single"/>
                <w:lang w:val="en-US" w:eastAsia="zh-CN"/>
              </w:rPr>
              <w:t>本项目采用燃气锅炉供热水，新建两台燃气热水锅炉，单台制热量为1.163MW，单台燃气耗量：170Nm</w:t>
            </w:r>
            <w:r>
              <w:rPr>
                <w:rFonts w:hint="eastAsia"/>
                <w:sz w:val="24"/>
                <w:u w:val="single"/>
                <w:vertAlign w:val="superscript"/>
                <w:lang w:val="en-US" w:eastAsia="zh-CN"/>
              </w:rPr>
              <w:t>3</w:t>
            </w:r>
            <w:r>
              <w:rPr>
                <w:rFonts w:hint="eastAsia"/>
                <w:sz w:val="24"/>
                <w:u w:val="single"/>
                <w:lang w:val="en-US" w:eastAsia="zh-CN"/>
              </w:rPr>
              <w:t>/h，单台日运行时间：4h/d，单台天然气用量为248200m</w:t>
            </w:r>
            <w:r>
              <w:rPr>
                <w:rFonts w:hint="eastAsia"/>
                <w:sz w:val="24"/>
                <w:u w:val="single"/>
                <w:vertAlign w:val="superscript"/>
                <w:lang w:val="en-US" w:eastAsia="zh-CN"/>
              </w:rPr>
              <w:t>3</w:t>
            </w:r>
            <w:r>
              <w:rPr>
                <w:rFonts w:hint="eastAsia"/>
                <w:sz w:val="24"/>
                <w:u w:val="single"/>
                <w:lang w:val="en-US" w:eastAsia="zh-CN"/>
              </w:rPr>
              <w:t>/a，天然气的消耗总量为496400m</w:t>
            </w:r>
            <w:r>
              <w:rPr>
                <w:rFonts w:hint="eastAsia"/>
                <w:sz w:val="24"/>
                <w:u w:val="single"/>
                <w:vertAlign w:val="superscript"/>
                <w:lang w:val="en-US" w:eastAsia="zh-CN"/>
              </w:rPr>
              <w:t>3</w:t>
            </w:r>
            <w:r>
              <w:rPr>
                <w:rFonts w:hint="eastAsia"/>
                <w:sz w:val="24"/>
                <w:u w:val="single"/>
                <w:lang w:val="en-US" w:eastAsia="zh-CN"/>
              </w:rPr>
              <w:t>/a。</w:t>
            </w:r>
            <w:r>
              <w:rPr>
                <w:rFonts w:hint="eastAsia"/>
                <w:sz w:val="24"/>
                <w:szCs w:val="24"/>
                <w:u w:val="single"/>
                <w:lang w:val="en-US" w:eastAsia="zh-CN"/>
              </w:rPr>
              <w:t>天然气产排污系数参照《4330工业锅炉（热力生产和供应行业）行业系数手册》（2021版），二氧化硫：0.02Skg/万m</w:t>
            </w:r>
            <w:r>
              <w:rPr>
                <w:rFonts w:hint="eastAsia"/>
                <w:sz w:val="24"/>
                <w:szCs w:val="24"/>
                <w:u w:val="single"/>
                <w:vertAlign w:val="superscript"/>
                <w:lang w:val="en-US" w:eastAsia="zh-CN"/>
              </w:rPr>
              <w:t>3</w:t>
            </w:r>
            <w:r>
              <w:rPr>
                <w:rFonts w:hint="eastAsia"/>
                <w:sz w:val="24"/>
                <w:szCs w:val="24"/>
                <w:u w:val="single"/>
                <w:lang w:val="en-US" w:eastAsia="zh-CN"/>
              </w:rPr>
              <w:t>原料（S取100mg/m</w:t>
            </w:r>
            <w:r>
              <w:rPr>
                <w:rFonts w:hint="eastAsia"/>
                <w:sz w:val="24"/>
                <w:szCs w:val="24"/>
                <w:u w:val="single"/>
                <w:vertAlign w:val="superscript"/>
                <w:lang w:val="en-US" w:eastAsia="zh-CN"/>
              </w:rPr>
              <w:t>3</w:t>
            </w:r>
            <w:r>
              <w:rPr>
                <w:rFonts w:hint="eastAsia"/>
                <w:sz w:val="24"/>
                <w:szCs w:val="24"/>
                <w:u w:val="single"/>
                <w:lang w:val="en-US" w:eastAsia="zh-CN"/>
              </w:rPr>
              <w:t>），氮氧化物：15.87kg/万m</w:t>
            </w:r>
            <w:r>
              <w:rPr>
                <w:rFonts w:hint="eastAsia"/>
                <w:sz w:val="24"/>
                <w:szCs w:val="24"/>
                <w:u w:val="single"/>
                <w:vertAlign w:val="superscript"/>
                <w:lang w:val="en-US" w:eastAsia="zh-CN"/>
              </w:rPr>
              <w:t>3</w:t>
            </w:r>
            <w:r>
              <w:rPr>
                <w:rFonts w:hint="eastAsia"/>
                <w:sz w:val="24"/>
                <w:szCs w:val="24"/>
                <w:u w:val="single"/>
                <w:lang w:val="en-US" w:eastAsia="zh-CN"/>
              </w:rPr>
              <w:t>原料，废气量：107753标m</w:t>
            </w:r>
            <w:r>
              <w:rPr>
                <w:rFonts w:hint="eastAsia"/>
                <w:sz w:val="24"/>
                <w:szCs w:val="24"/>
                <w:u w:val="single"/>
                <w:vertAlign w:val="superscript"/>
                <w:lang w:val="en-US" w:eastAsia="zh-CN"/>
              </w:rPr>
              <w:t>3</w:t>
            </w:r>
            <w:r>
              <w:rPr>
                <w:rFonts w:hint="eastAsia"/>
                <w:sz w:val="24"/>
                <w:szCs w:val="24"/>
                <w:u w:val="single"/>
                <w:lang w:val="en-US" w:eastAsia="zh-CN"/>
              </w:rPr>
              <w:t>/万m</w:t>
            </w:r>
            <w:r>
              <w:rPr>
                <w:rFonts w:hint="eastAsia"/>
                <w:sz w:val="24"/>
                <w:szCs w:val="24"/>
                <w:u w:val="single"/>
                <w:vertAlign w:val="superscript"/>
                <w:lang w:val="en-US" w:eastAsia="zh-CN"/>
              </w:rPr>
              <w:t>3</w:t>
            </w:r>
            <w:r>
              <w:rPr>
                <w:rFonts w:hint="eastAsia"/>
                <w:sz w:val="24"/>
                <w:szCs w:val="24"/>
                <w:u w:val="single"/>
                <w:vertAlign w:val="baseline"/>
                <w:lang w:val="en-US" w:eastAsia="zh-CN"/>
              </w:rPr>
              <w:t>,</w:t>
            </w:r>
            <w:r>
              <w:rPr>
                <w:rFonts w:hint="eastAsia"/>
                <w:sz w:val="24"/>
                <w:szCs w:val="24"/>
                <w:u w:val="single"/>
                <w:lang w:val="en-US" w:eastAsia="zh-CN"/>
              </w:rPr>
              <w:t>烟尘排污系数参考《环境保护使用数据手册》（胡名操主编，机械工业出版社）中的相关数据，烟尘：2.4kg/万m</w:t>
            </w:r>
            <w:r>
              <w:rPr>
                <w:rFonts w:hint="eastAsia"/>
                <w:sz w:val="24"/>
                <w:szCs w:val="24"/>
                <w:u w:val="single"/>
                <w:vertAlign w:val="superscript"/>
                <w:lang w:val="en-US" w:eastAsia="zh-CN"/>
              </w:rPr>
              <w:t>3</w:t>
            </w:r>
            <w:r>
              <w:rPr>
                <w:rFonts w:hint="eastAsia"/>
                <w:sz w:val="24"/>
                <w:szCs w:val="24"/>
                <w:u w:val="single"/>
                <w:lang w:val="en-US" w:eastAsia="zh-CN"/>
              </w:rPr>
              <w:t>天然气。</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sz w:val="24"/>
                <w:szCs w:val="24"/>
                <w:u w:val="single"/>
                <w:lang w:val="en-US" w:eastAsia="zh-CN"/>
              </w:rPr>
            </w:pPr>
            <w:r>
              <w:rPr>
                <w:sz w:val="24"/>
                <w:u w:val="single"/>
              </w:rPr>
              <w:t>本项目</w:t>
            </w:r>
            <w:r>
              <w:rPr>
                <w:rFonts w:hint="eastAsia"/>
                <w:sz w:val="24"/>
                <w:u w:val="single"/>
              </w:rPr>
              <w:t>共建有</w:t>
            </w:r>
            <w:r>
              <w:rPr>
                <w:rFonts w:hint="eastAsia"/>
                <w:sz w:val="24"/>
                <w:u w:val="single"/>
                <w:lang w:val="en-US" w:eastAsia="zh-CN"/>
              </w:rPr>
              <w:t>2台燃气热水锅炉</w:t>
            </w:r>
            <w:r>
              <w:rPr>
                <w:rFonts w:hint="eastAsia"/>
                <w:sz w:val="24"/>
                <w:u w:val="single"/>
              </w:rPr>
              <w:t>，产生的废气</w:t>
            </w:r>
            <w:r>
              <w:rPr>
                <w:rFonts w:hint="eastAsia"/>
                <w:sz w:val="24"/>
                <w:u w:val="single"/>
                <w:lang w:val="en-US" w:eastAsia="zh-CN"/>
              </w:rPr>
              <w:t>收集后</w:t>
            </w:r>
            <w:r>
              <w:rPr>
                <w:rFonts w:hint="eastAsia"/>
                <w:sz w:val="24"/>
                <w:u w:val="single"/>
              </w:rPr>
              <w:t>通过</w:t>
            </w:r>
            <w:r>
              <w:rPr>
                <w:rFonts w:hint="eastAsia"/>
                <w:sz w:val="24"/>
                <w:u w:val="single"/>
                <w:lang w:val="en-US" w:eastAsia="zh-CN"/>
              </w:rPr>
              <w:t>1个</w:t>
            </w:r>
            <w:r>
              <w:rPr>
                <w:rFonts w:hint="eastAsia"/>
                <w:sz w:val="24"/>
                <w:u w:val="single"/>
              </w:rPr>
              <w:t>排气筒（排放口编号：DA00</w:t>
            </w:r>
            <w:r>
              <w:rPr>
                <w:rFonts w:hint="eastAsia"/>
                <w:sz w:val="24"/>
                <w:u w:val="single"/>
                <w:lang w:val="en-US" w:eastAsia="zh-CN"/>
              </w:rPr>
              <w:t>1</w:t>
            </w:r>
            <w:r>
              <w:rPr>
                <w:rFonts w:hint="eastAsia"/>
                <w:sz w:val="24"/>
                <w:u w:val="single"/>
              </w:rPr>
              <w:t>，</w:t>
            </w:r>
            <w:r>
              <w:rPr>
                <w:rFonts w:hint="eastAsia" w:ascii="宋体" w:hAnsi="宋体" w:cs="宋体"/>
                <w:color w:val="000000"/>
                <w:kern w:val="0"/>
                <w:sz w:val="24"/>
                <w:u w:val="single"/>
                <w:lang w:bidi="ar"/>
              </w:rPr>
              <w:t>排气筒有效高度约为</w:t>
            </w:r>
            <w:r>
              <w:rPr>
                <w:rFonts w:hint="eastAsia"/>
                <w:color w:val="000000"/>
                <w:kern w:val="0"/>
                <w:sz w:val="24"/>
                <w:u w:val="single"/>
                <w:lang w:val="en-US" w:eastAsia="zh-CN" w:bidi="ar"/>
              </w:rPr>
              <w:t>20.0</w:t>
            </w:r>
            <w:r>
              <w:rPr>
                <w:color w:val="000000"/>
                <w:kern w:val="0"/>
                <w:sz w:val="24"/>
                <w:u w:val="single"/>
                <w:lang w:bidi="ar"/>
              </w:rPr>
              <w:t>m</w:t>
            </w:r>
            <w:r>
              <w:rPr>
                <w:rFonts w:hint="eastAsia"/>
                <w:sz w:val="24"/>
                <w:u w:val="single"/>
              </w:rPr>
              <w:t>）达标排放，</w:t>
            </w:r>
            <w:r>
              <w:rPr>
                <w:rFonts w:hint="eastAsia"/>
                <w:color w:val="000000"/>
                <w:kern w:val="0"/>
                <w:sz w:val="24"/>
                <w:u w:val="single"/>
                <w:lang w:bidi="ar"/>
              </w:rPr>
              <w:t>则排气筒废气排放量为</w:t>
            </w:r>
            <w:r>
              <w:rPr>
                <w:rFonts w:hint="eastAsia" w:cs="Times New Roman"/>
                <w:sz w:val="24"/>
                <w:szCs w:val="24"/>
                <w:u w:val="single"/>
                <w:lang w:val="en-US" w:eastAsia="zh-CN"/>
              </w:rPr>
              <w:t>5348858.92m</w:t>
            </w:r>
            <w:r>
              <w:rPr>
                <w:rFonts w:hint="eastAsia" w:cs="Times New Roman"/>
                <w:sz w:val="24"/>
                <w:szCs w:val="24"/>
                <w:u w:val="single"/>
                <w:vertAlign w:val="superscript"/>
                <w:lang w:val="en-US" w:eastAsia="zh-CN"/>
              </w:rPr>
              <w:t>3</w:t>
            </w:r>
            <w:r>
              <w:rPr>
                <w:rFonts w:hint="eastAsia" w:cs="Times New Roman"/>
                <w:sz w:val="24"/>
                <w:szCs w:val="24"/>
                <w:u w:val="single"/>
                <w:lang w:val="en-US" w:eastAsia="zh-CN"/>
              </w:rPr>
              <w:t>/a</w:t>
            </w:r>
            <w:r>
              <w:rPr>
                <w:rFonts w:hint="eastAsia" w:ascii="宋体" w:hAnsi="宋体" w:cs="宋体"/>
                <w:color w:val="000000"/>
                <w:kern w:val="0"/>
                <w:sz w:val="24"/>
                <w:u w:val="single"/>
                <w:lang w:eastAsia="zh-CN" w:bidi="ar"/>
              </w:rPr>
              <w:t>，</w:t>
            </w:r>
            <w:r>
              <w:rPr>
                <w:rFonts w:hint="eastAsia"/>
                <w:sz w:val="24"/>
                <w:szCs w:val="24"/>
                <w:u w:val="single"/>
                <w:lang w:val="en-US" w:eastAsia="zh-CN"/>
              </w:rPr>
              <w:t>二氧化硫</w:t>
            </w:r>
            <w:r>
              <w:rPr>
                <w:rFonts w:hint="eastAsia" w:cs="Times New Roman"/>
                <w:sz w:val="24"/>
                <w:szCs w:val="24"/>
                <w:u w:val="single"/>
                <w:lang w:val="en-US" w:eastAsia="zh-CN"/>
              </w:rPr>
              <w:t>的排放量为0.10</w:t>
            </w:r>
            <w:r>
              <w:rPr>
                <w:rFonts w:hint="eastAsia"/>
                <w:sz w:val="24"/>
                <w:szCs w:val="24"/>
                <w:u w:val="single"/>
                <w:lang w:val="en-US" w:eastAsia="zh-CN"/>
              </w:rPr>
              <w:t>t/a，</w:t>
            </w:r>
            <w:r>
              <w:rPr>
                <w:rFonts w:hint="eastAsia" w:cs="Times New Roman"/>
                <w:sz w:val="24"/>
                <w:szCs w:val="24"/>
                <w:u w:val="single"/>
                <w:lang w:val="en-US" w:eastAsia="zh-CN"/>
              </w:rPr>
              <w:t>排放</w:t>
            </w:r>
            <w:r>
              <w:rPr>
                <w:rFonts w:hint="eastAsia"/>
                <w:sz w:val="24"/>
                <w:szCs w:val="24"/>
                <w:highlight w:val="none"/>
                <w:u w:val="single"/>
                <w:lang w:val="en-US" w:eastAsia="zh-CN"/>
              </w:rPr>
              <w:t>速率0.068</w:t>
            </w:r>
            <w:r>
              <w:rPr>
                <w:rFonts w:hint="eastAsia" w:cs="Times New Roman"/>
                <w:sz w:val="24"/>
                <w:szCs w:val="24"/>
                <w:highlight w:val="none"/>
                <w:u w:val="single"/>
                <w:vertAlign w:val="baseline"/>
                <w:lang w:val="en-US" w:eastAsia="zh-CN"/>
              </w:rPr>
              <w:t>kg/h</w:t>
            </w:r>
            <w:r>
              <w:rPr>
                <w:rFonts w:hint="eastAsia" w:cs="Times New Roman"/>
                <w:sz w:val="24"/>
                <w:szCs w:val="24"/>
                <w:u w:val="single"/>
                <w:vertAlign w:val="baseline"/>
                <w:lang w:val="en-US" w:eastAsia="zh-CN"/>
              </w:rPr>
              <w:t>，</w:t>
            </w:r>
            <w:r>
              <w:rPr>
                <w:rFonts w:hint="eastAsia" w:cs="Times New Roman"/>
                <w:sz w:val="24"/>
                <w:szCs w:val="24"/>
                <w:u w:val="single"/>
                <w:lang w:val="en-US" w:eastAsia="zh-CN"/>
              </w:rPr>
              <w:t>排放</w:t>
            </w:r>
            <w:r>
              <w:rPr>
                <w:rFonts w:hint="eastAsia" w:cs="Times New Roman"/>
                <w:sz w:val="24"/>
                <w:szCs w:val="24"/>
                <w:u w:val="single"/>
                <w:vertAlign w:val="baseline"/>
                <w:lang w:val="en-US" w:eastAsia="zh-CN"/>
              </w:rPr>
              <w:t>浓度18.56mg/m</w:t>
            </w:r>
            <w:r>
              <w:rPr>
                <w:rFonts w:hint="eastAsia" w:cs="Times New Roman"/>
                <w:sz w:val="24"/>
                <w:szCs w:val="24"/>
                <w:u w:val="single"/>
                <w:vertAlign w:val="superscript"/>
                <w:lang w:val="en-US" w:eastAsia="zh-CN"/>
              </w:rPr>
              <w:t>3</w:t>
            </w:r>
            <w:r>
              <w:rPr>
                <w:rFonts w:hint="eastAsia" w:cs="Times New Roman"/>
                <w:sz w:val="24"/>
                <w:szCs w:val="24"/>
                <w:u w:val="single"/>
                <w:vertAlign w:val="baseline"/>
                <w:lang w:val="en-US" w:eastAsia="zh-CN"/>
              </w:rPr>
              <w:t>；</w:t>
            </w:r>
            <w:r>
              <w:rPr>
                <w:rFonts w:hint="eastAsia"/>
                <w:sz w:val="24"/>
                <w:szCs w:val="24"/>
                <w:highlight w:val="none"/>
                <w:u w:val="single"/>
                <w:lang w:val="en-US" w:eastAsia="zh-CN"/>
              </w:rPr>
              <w:t>氮氧化物</w:t>
            </w:r>
            <w:r>
              <w:rPr>
                <w:rFonts w:hint="eastAsia" w:cs="Times New Roman"/>
                <w:sz w:val="24"/>
                <w:szCs w:val="24"/>
                <w:highlight w:val="none"/>
                <w:u w:val="single"/>
                <w:lang w:val="en-US" w:eastAsia="zh-CN"/>
              </w:rPr>
              <w:t>的</w:t>
            </w:r>
            <w:r>
              <w:rPr>
                <w:rFonts w:hint="eastAsia" w:cs="Times New Roman"/>
                <w:sz w:val="24"/>
                <w:szCs w:val="24"/>
                <w:u w:val="single"/>
                <w:lang w:val="en-US" w:eastAsia="zh-CN"/>
              </w:rPr>
              <w:t>排放</w:t>
            </w:r>
            <w:r>
              <w:rPr>
                <w:rFonts w:hint="eastAsia" w:cs="Times New Roman"/>
                <w:sz w:val="24"/>
                <w:szCs w:val="24"/>
                <w:highlight w:val="none"/>
                <w:u w:val="single"/>
                <w:lang w:val="en-US" w:eastAsia="zh-CN"/>
              </w:rPr>
              <w:t>量为0.79</w:t>
            </w:r>
            <w:r>
              <w:rPr>
                <w:rFonts w:hint="eastAsia"/>
                <w:sz w:val="24"/>
                <w:szCs w:val="24"/>
                <w:highlight w:val="none"/>
                <w:u w:val="single"/>
                <w:lang w:val="en-US" w:eastAsia="zh-CN"/>
              </w:rPr>
              <w:t>t/a，</w:t>
            </w:r>
            <w:r>
              <w:rPr>
                <w:rFonts w:hint="eastAsia" w:cs="Times New Roman"/>
                <w:sz w:val="24"/>
                <w:szCs w:val="24"/>
                <w:u w:val="single"/>
                <w:lang w:val="en-US" w:eastAsia="zh-CN"/>
              </w:rPr>
              <w:t>排放</w:t>
            </w:r>
            <w:r>
              <w:rPr>
                <w:rFonts w:hint="eastAsia"/>
                <w:sz w:val="24"/>
                <w:szCs w:val="24"/>
                <w:highlight w:val="none"/>
                <w:u w:val="single"/>
                <w:lang w:val="en-US" w:eastAsia="zh-CN"/>
              </w:rPr>
              <w:t>速率0.540</w:t>
            </w:r>
            <w:r>
              <w:rPr>
                <w:rFonts w:hint="eastAsia" w:cs="Times New Roman"/>
                <w:sz w:val="24"/>
                <w:szCs w:val="24"/>
                <w:highlight w:val="none"/>
                <w:u w:val="single"/>
                <w:vertAlign w:val="baseline"/>
                <w:lang w:val="en-US" w:eastAsia="zh-CN"/>
              </w:rPr>
              <w:t>kg/h，</w:t>
            </w:r>
            <w:r>
              <w:rPr>
                <w:rFonts w:hint="eastAsia" w:cs="Times New Roman"/>
                <w:sz w:val="24"/>
                <w:szCs w:val="24"/>
                <w:u w:val="single"/>
                <w:lang w:val="en-US" w:eastAsia="zh-CN"/>
              </w:rPr>
              <w:t>排放</w:t>
            </w:r>
            <w:r>
              <w:rPr>
                <w:rFonts w:hint="eastAsia" w:cs="Times New Roman"/>
                <w:sz w:val="24"/>
                <w:szCs w:val="24"/>
                <w:u w:val="single"/>
                <w:vertAlign w:val="baseline"/>
                <w:lang w:val="en-US" w:eastAsia="zh-CN"/>
              </w:rPr>
              <w:t>浓度147.28mg/m</w:t>
            </w:r>
            <w:r>
              <w:rPr>
                <w:rFonts w:hint="eastAsia" w:cs="Times New Roman"/>
                <w:sz w:val="24"/>
                <w:szCs w:val="24"/>
                <w:u w:val="single"/>
                <w:vertAlign w:val="superscript"/>
                <w:lang w:val="en-US" w:eastAsia="zh-CN"/>
              </w:rPr>
              <w:t>3</w:t>
            </w:r>
            <w:r>
              <w:rPr>
                <w:rFonts w:hint="eastAsia" w:cs="Times New Roman"/>
                <w:sz w:val="24"/>
                <w:szCs w:val="24"/>
                <w:u w:val="single"/>
                <w:vertAlign w:val="baseline"/>
                <w:lang w:val="en-US" w:eastAsia="zh-CN"/>
              </w:rPr>
              <w:t>；</w:t>
            </w:r>
            <w:r>
              <w:rPr>
                <w:rFonts w:hint="eastAsia"/>
                <w:sz w:val="24"/>
                <w:szCs w:val="24"/>
                <w:u w:val="single"/>
                <w:lang w:val="en-US" w:eastAsia="zh-CN"/>
              </w:rPr>
              <w:t>烟尘</w:t>
            </w:r>
            <w:r>
              <w:rPr>
                <w:rFonts w:hint="eastAsia" w:cs="Times New Roman"/>
                <w:sz w:val="24"/>
                <w:szCs w:val="24"/>
                <w:u w:val="single"/>
                <w:lang w:val="en-US" w:eastAsia="zh-CN"/>
              </w:rPr>
              <w:t>的排放量为0.120</w:t>
            </w:r>
            <w:r>
              <w:rPr>
                <w:rFonts w:hint="eastAsia"/>
                <w:sz w:val="24"/>
                <w:szCs w:val="24"/>
                <w:u w:val="single"/>
                <w:lang w:val="en-US" w:eastAsia="zh-CN"/>
              </w:rPr>
              <w:t>t/a，</w:t>
            </w:r>
            <w:r>
              <w:rPr>
                <w:rFonts w:hint="eastAsia" w:cs="Times New Roman"/>
                <w:sz w:val="24"/>
                <w:szCs w:val="24"/>
                <w:u w:val="single"/>
                <w:lang w:val="en-US" w:eastAsia="zh-CN"/>
              </w:rPr>
              <w:t>排放</w:t>
            </w:r>
            <w:r>
              <w:rPr>
                <w:rFonts w:hint="eastAsia"/>
                <w:sz w:val="24"/>
                <w:szCs w:val="24"/>
                <w:u w:val="single"/>
                <w:lang w:val="en-US" w:eastAsia="zh-CN"/>
              </w:rPr>
              <w:t>速率0.082</w:t>
            </w:r>
            <w:r>
              <w:rPr>
                <w:rFonts w:hint="eastAsia" w:cs="Times New Roman"/>
                <w:sz w:val="24"/>
                <w:szCs w:val="24"/>
                <w:u w:val="single"/>
                <w:vertAlign w:val="baseline"/>
                <w:lang w:val="en-US" w:eastAsia="zh-CN"/>
              </w:rPr>
              <w:t>kg/h，</w:t>
            </w:r>
            <w:r>
              <w:rPr>
                <w:rFonts w:hint="eastAsia" w:cs="Times New Roman"/>
                <w:sz w:val="24"/>
                <w:szCs w:val="24"/>
                <w:u w:val="single"/>
                <w:lang w:val="en-US" w:eastAsia="zh-CN"/>
              </w:rPr>
              <w:t>排放</w:t>
            </w:r>
            <w:r>
              <w:rPr>
                <w:rFonts w:hint="eastAsia" w:cs="Times New Roman"/>
                <w:sz w:val="24"/>
                <w:szCs w:val="24"/>
                <w:u w:val="single"/>
                <w:vertAlign w:val="baseline"/>
                <w:lang w:val="en-US" w:eastAsia="zh-CN"/>
              </w:rPr>
              <w:t>浓度22.27mg/m</w:t>
            </w:r>
            <w:r>
              <w:rPr>
                <w:rFonts w:hint="eastAsia" w:cs="Times New Roman"/>
                <w:sz w:val="24"/>
                <w:szCs w:val="24"/>
                <w:u w:val="single"/>
                <w:vertAlign w:val="superscript"/>
                <w:lang w:val="en-US" w:eastAsia="zh-CN"/>
              </w:rPr>
              <w:t>3</w:t>
            </w:r>
            <w:r>
              <w:rPr>
                <w:rFonts w:hint="eastAsia" w:cs="Times New Roman"/>
                <w:sz w:val="24"/>
                <w:szCs w:val="24"/>
                <w:u w:val="single"/>
                <w:lang w:val="en-US" w:eastAsia="zh-CN"/>
              </w:rPr>
              <w:t>。本项目燃气锅炉大气污染物的排放满足《锅炉大气污染物排放标准》（GB13271-2014）的要求，</w:t>
            </w:r>
            <w:r>
              <w:rPr>
                <w:rFonts w:hint="eastAsia"/>
                <w:color w:val="auto"/>
                <w:sz w:val="24"/>
                <w:szCs w:val="24"/>
                <w:u w:val="single"/>
                <w:lang w:val="en-US" w:eastAsia="zh-CN"/>
              </w:rPr>
              <w:t>对周围大气环境影响较小。</w:t>
            </w:r>
          </w:p>
          <w:p>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0" w:leftChars="0" w:firstLine="0" w:firstLineChars="0"/>
              <w:jc w:val="both"/>
              <w:textAlignment w:val="auto"/>
              <w:rPr>
                <w:rFonts w:hint="eastAsia" w:cs="Times New Roman"/>
                <w:b/>
                <w:bCs/>
                <w:sz w:val="24"/>
                <w:szCs w:val="24"/>
                <w:lang w:val="en-US" w:eastAsia="zh-CN"/>
              </w:rPr>
            </w:pPr>
            <w:r>
              <w:rPr>
                <w:rFonts w:hint="eastAsia" w:cs="Times New Roman"/>
                <w:b/>
                <w:bCs/>
                <w:sz w:val="24"/>
                <w:szCs w:val="24"/>
                <w:lang w:val="en-US" w:eastAsia="zh-CN"/>
              </w:rPr>
              <w:t>食堂油烟</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eastAsia" w:cs="Times New Roman"/>
                <w:sz w:val="24"/>
                <w:szCs w:val="24"/>
                <w:lang w:val="en-US" w:eastAsia="zh-CN"/>
              </w:rPr>
            </w:pPr>
            <w:r>
              <w:rPr>
                <w:rFonts w:hint="eastAsia" w:ascii="Times New Roman" w:hAnsi="Times New Roman" w:eastAsia="宋体" w:cs="Times New Roman"/>
                <w:sz w:val="24"/>
                <w:szCs w:val="24"/>
                <w:vertAlign w:val="baseline"/>
                <w:lang w:val="en-US" w:eastAsia="zh-CN"/>
              </w:rPr>
              <w:t>根据业主提供的资料，本项目员工食堂共有5个灶台，提供一日3餐（早、中、晚），工作时间8h/d，就餐人数约</w:t>
            </w:r>
            <w:r>
              <w:rPr>
                <w:rFonts w:hint="eastAsia" w:cs="Times New Roman"/>
                <w:sz w:val="24"/>
                <w:szCs w:val="24"/>
                <w:vertAlign w:val="baseline"/>
                <w:lang w:val="en-US" w:eastAsia="zh-CN"/>
              </w:rPr>
              <w:t>500</w:t>
            </w:r>
            <w:r>
              <w:rPr>
                <w:rFonts w:hint="eastAsia" w:ascii="Times New Roman" w:hAnsi="Times New Roman" w:eastAsia="宋体" w:cs="Times New Roman"/>
                <w:sz w:val="24"/>
                <w:szCs w:val="24"/>
                <w:vertAlign w:val="baseline"/>
                <w:lang w:val="en-US" w:eastAsia="zh-CN"/>
              </w:rPr>
              <w:t>人。</w:t>
            </w:r>
            <w:r>
              <w:rPr>
                <w:rFonts w:hint="eastAsia" w:cs="Times New Roman"/>
                <w:sz w:val="24"/>
                <w:szCs w:val="24"/>
                <w:vertAlign w:val="baseline"/>
                <w:lang w:val="en-US" w:eastAsia="zh-CN"/>
              </w:rPr>
              <w:t>每人每天按30g食用油计算，</w:t>
            </w:r>
            <w:r>
              <w:rPr>
                <w:rFonts w:hint="eastAsia" w:ascii="Times New Roman" w:hAnsi="Times New Roman" w:eastAsia="宋体" w:cs="Times New Roman"/>
                <w:sz w:val="24"/>
                <w:szCs w:val="24"/>
                <w:vertAlign w:val="baseline"/>
                <w:lang w:val="en-US" w:eastAsia="zh-CN"/>
              </w:rPr>
              <w:t>食堂食用油用量为</w:t>
            </w:r>
            <w:r>
              <w:rPr>
                <w:rFonts w:hint="eastAsia" w:cs="Times New Roman"/>
                <w:sz w:val="24"/>
                <w:szCs w:val="24"/>
                <w:vertAlign w:val="baseline"/>
                <w:lang w:val="en-US" w:eastAsia="zh-CN"/>
              </w:rPr>
              <w:t>5.58</w:t>
            </w:r>
            <w:r>
              <w:rPr>
                <w:rFonts w:hint="eastAsia" w:ascii="Times New Roman" w:hAnsi="Times New Roman" w:eastAsia="宋体" w:cs="Times New Roman"/>
                <w:sz w:val="24"/>
                <w:szCs w:val="24"/>
                <w:vertAlign w:val="baseline"/>
                <w:lang w:val="en-US" w:eastAsia="zh-CN"/>
              </w:rPr>
              <w:t>t/a</w:t>
            </w:r>
            <w:r>
              <w:rPr>
                <w:rFonts w:hint="eastAsia"/>
                <w:sz w:val="24"/>
                <w:szCs w:val="24"/>
                <w:lang w:val="en-US" w:eastAsia="zh-CN"/>
              </w:rPr>
              <w:t>。油烟挥发量占总耗油量的3%</w:t>
            </w:r>
            <w:r>
              <w:rPr>
                <w:rFonts w:hint="eastAsia" w:cs="Times New Roman"/>
                <w:sz w:val="24"/>
                <w:szCs w:val="24"/>
                <w:lang w:val="en-US" w:eastAsia="zh-CN"/>
              </w:rPr>
              <w:t>，则油烟的产生量为0.18t/a，产生速率为0.062</w:t>
            </w:r>
            <w:r>
              <w:rPr>
                <w:rFonts w:hint="eastAsia" w:cs="Times New Roman"/>
                <w:sz w:val="24"/>
                <w:szCs w:val="24"/>
                <w:vertAlign w:val="baseline"/>
                <w:lang w:val="en-US" w:eastAsia="zh-CN"/>
              </w:rPr>
              <w:t>kg/h，产生浓度6.20mg/m</w:t>
            </w:r>
            <w:r>
              <w:rPr>
                <w:rFonts w:hint="eastAsia" w:cs="Times New Roman"/>
                <w:sz w:val="24"/>
                <w:szCs w:val="24"/>
                <w:vertAlign w:val="superscript"/>
                <w:lang w:val="en-US" w:eastAsia="zh-CN"/>
              </w:rPr>
              <w:t>3</w:t>
            </w:r>
            <w:r>
              <w:rPr>
                <w:rFonts w:hint="eastAsia" w:cs="Times New Roman"/>
                <w:sz w:val="24"/>
                <w:szCs w:val="24"/>
                <w:lang w:val="en-US" w:eastAsia="zh-CN"/>
              </w:rPr>
              <w:t>。</w:t>
            </w:r>
          </w:p>
          <w:p>
            <w:pPr>
              <w:bidi w:val="0"/>
              <w:spacing w:line="360" w:lineRule="auto"/>
              <w:ind w:firstLine="480" w:firstLineChars="200"/>
              <w:rPr>
                <w:rFonts w:hint="eastAsia"/>
                <w:sz w:val="24"/>
                <w:szCs w:val="24"/>
                <w:vertAlign w:val="baseline"/>
                <w:lang w:val="en-US" w:eastAsia="zh-CN"/>
              </w:rPr>
            </w:pPr>
            <w:r>
              <w:rPr>
                <w:rFonts w:hint="eastAsia"/>
                <w:sz w:val="24"/>
                <w:szCs w:val="24"/>
                <w:lang w:val="en-US" w:eastAsia="zh-CN"/>
              </w:rPr>
              <w:t>本项目拟在食堂设置1套油烟净化装置，设计风量10000m</w:t>
            </w:r>
            <w:r>
              <w:rPr>
                <w:rFonts w:hint="eastAsia"/>
                <w:sz w:val="24"/>
                <w:szCs w:val="24"/>
                <w:vertAlign w:val="superscript"/>
                <w:lang w:val="en-US" w:eastAsia="zh-CN"/>
              </w:rPr>
              <w:t>3</w:t>
            </w:r>
            <w:r>
              <w:rPr>
                <w:rFonts w:hint="eastAsia"/>
                <w:sz w:val="24"/>
                <w:szCs w:val="24"/>
                <w:lang w:val="en-US" w:eastAsia="zh-CN"/>
              </w:rPr>
              <w:t>/h，集气罩面积10m</w:t>
            </w:r>
            <w:r>
              <w:rPr>
                <w:rFonts w:hint="eastAsia"/>
                <w:sz w:val="24"/>
                <w:szCs w:val="24"/>
                <w:vertAlign w:val="superscript"/>
                <w:lang w:val="en-US" w:eastAsia="zh-CN"/>
              </w:rPr>
              <w:t>2</w:t>
            </w:r>
            <w:r>
              <w:rPr>
                <w:rFonts w:hint="eastAsia"/>
                <w:sz w:val="24"/>
                <w:szCs w:val="24"/>
                <w:lang w:val="en-US" w:eastAsia="zh-CN"/>
              </w:rPr>
              <w:t>。油烟收集效率为90%，烟油净化效率为95%，经处理后通过排气管道引至食堂楼顶排放，则排气筒（DA002）油烟排放量为0.0081t/a，排放速率为0.003kg/h，排放浓度为0.28mg/m</w:t>
            </w:r>
            <w:r>
              <w:rPr>
                <w:rFonts w:hint="eastAsia"/>
                <w:sz w:val="24"/>
                <w:szCs w:val="24"/>
                <w:vertAlign w:val="superscript"/>
                <w:lang w:val="en-US" w:eastAsia="zh-CN"/>
              </w:rPr>
              <w:t>3</w:t>
            </w:r>
            <w:r>
              <w:rPr>
                <w:rFonts w:hint="eastAsia"/>
                <w:sz w:val="24"/>
                <w:szCs w:val="24"/>
                <w:vertAlign w:val="baseline"/>
                <w:lang w:val="en-US" w:eastAsia="zh-CN"/>
              </w:rPr>
              <w:t>。经处理后的油烟，</w:t>
            </w:r>
            <w:r>
              <w:rPr>
                <w:rFonts w:hint="eastAsia"/>
                <w:color w:val="auto"/>
                <w:sz w:val="24"/>
                <w:szCs w:val="24"/>
                <w:lang w:val="en-US" w:eastAsia="zh-CN"/>
              </w:rPr>
              <w:t>对周围大气环境影响较小。</w:t>
            </w:r>
          </w:p>
          <w:p>
            <w:pPr>
              <w:spacing w:line="360" w:lineRule="auto"/>
              <w:rPr>
                <w:b/>
                <w:bCs/>
                <w:sz w:val="24"/>
              </w:rPr>
            </w:pPr>
            <w:r>
              <w:rPr>
                <w:rFonts w:hint="eastAsia"/>
                <w:b/>
                <w:bCs/>
                <w:sz w:val="24"/>
                <w:szCs w:val="24"/>
                <w:lang w:eastAsia="zh-CN"/>
              </w:rPr>
              <w:t>（</w:t>
            </w:r>
            <w:r>
              <w:rPr>
                <w:rFonts w:hint="eastAsia"/>
                <w:b/>
                <w:bCs/>
                <w:sz w:val="24"/>
                <w:szCs w:val="24"/>
                <w:lang w:val="en-US" w:eastAsia="zh-CN"/>
              </w:rPr>
              <w:t>三</w:t>
            </w:r>
            <w:r>
              <w:rPr>
                <w:rFonts w:hint="eastAsia"/>
                <w:b/>
                <w:bCs/>
                <w:sz w:val="24"/>
                <w:szCs w:val="24"/>
                <w:lang w:eastAsia="zh-CN"/>
              </w:rPr>
              <w:t>）</w:t>
            </w:r>
            <w:r>
              <w:rPr>
                <w:rFonts w:hint="eastAsia"/>
                <w:b/>
                <w:bCs/>
                <w:color w:val="auto"/>
                <w:sz w:val="24"/>
                <w:lang w:val="en-US" w:eastAsia="zh-CN"/>
              </w:rPr>
              <w:t>医疗废物暂存间废气</w:t>
            </w:r>
          </w:p>
          <w:p>
            <w:pPr>
              <w:bidi w:val="0"/>
              <w:spacing w:line="360" w:lineRule="auto"/>
              <w:ind w:firstLine="480" w:firstLineChars="200"/>
              <w:rPr>
                <w:rFonts w:hint="default"/>
                <w:color w:val="auto"/>
                <w:sz w:val="24"/>
                <w:szCs w:val="24"/>
                <w:lang w:val="en-US" w:eastAsia="zh-CN"/>
              </w:rPr>
            </w:pPr>
            <w:r>
              <w:rPr>
                <w:rFonts w:hint="eastAsia"/>
                <w:color w:val="auto"/>
                <w:sz w:val="24"/>
                <w:szCs w:val="24"/>
                <w:lang w:val="en-US" w:eastAsia="zh-CN"/>
              </w:rPr>
              <w:t>医疗废物暂存间恶臭产生量较少，且医疗废物暂存间封闭性良好，远离医疗区、人员活动区，并设置相应的警示标识，定期消毒（喷洒消毒水和除臭剂）和清洁，少量臭气消毒除臭后经抽风机外排，对周围大气环境影响较小。</w:t>
            </w:r>
          </w:p>
          <w:p>
            <w:pPr>
              <w:spacing w:line="240" w:lineRule="auto"/>
              <w:jc w:val="center"/>
              <w:rPr>
                <w:rFonts w:hint="eastAsia"/>
                <w:b/>
                <w:bCs/>
              </w:rPr>
            </w:pPr>
          </w:p>
          <w:p>
            <w:pPr>
              <w:spacing w:line="240" w:lineRule="auto"/>
              <w:jc w:val="center"/>
              <w:rPr>
                <w:b/>
                <w:bCs/>
                <w:color w:val="000000"/>
                <w:szCs w:val="21"/>
              </w:rPr>
            </w:pPr>
            <w:r>
              <w:rPr>
                <w:rFonts w:hint="eastAsia"/>
                <w:b/>
                <w:bCs/>
              </w:rPr>
              <w:t>表4-</w:t>
            </w:r>
            <w:r>
              <w:rPr>
                <w:rFonts w:hint="eastAsia"/>
                <w:b/>
                <w:bCs/>
                <w:lang w:val="en-US" w:eastAsia="zh-CN"/>
              </w:rPr>
              <w:t>8</w:t>
            </w:r>
            <w:r>
              <w:rPr>
                <w:rFonts w:hint="eastAsia"/>
                <w:b/>
                <w:bCs/>
              </w:rPr>
              <w:t xml:space="preserve">  项目运营期</w:t>
            </w:r>
            <w:r>
              <w:rPr>
                <w:b/>
                <w:bCs/>
                <w:color w:val="000000"/>
                <w:szCs w:val="21"/>
              </w:rPr>
              <w:t>废气污染物源强产排情况一览表</w:t>
            </w:r>
          </w:p>
          <w:tbl>
            <w:tblPr>
              <w:tblStyle w:val="26"/>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9"/>
              <w:gridCol w:w="1147"/>
              <w:gridCol w:w="1033"/>
              <w:gridCol w:w="1036"/>
              <w:gridCol w:w="1033"/>
              <w:gridCol w:w="1033"/>
              <w:gridCol w:w="1038"/>
              <w:gridCol w:w="10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5" w:type="pct"/>
                  <w:vMerge w:val="restart"/>
                  <w:tcBorders>
                    <w:tl2br w:val="nil"/>
                    <w:tr2bl w:val="nil"/>
                  </w:tcBorders>
                  <w:vAlign w:val="center"/>
                </w:tcPr>
                <w:p>
                  <w:pPr>
                    <w:spacing w:line="240" w:lineRule="auto"/>
                    <w:jc w:val="center"/>
                    <w:rPr>
                      <w:b/>
                      <w:bCs/>
                    </w:rPr>
                  </w:pPr>
                  <w:r>
                    <w:rPr>
                      <w:rFonts w:hint="eastAsia"/>
                      <w:b/>
                      <w:bCs/>
                    </w:rPr>
                    <w:t>污染源</w:t>
                  </w:r>
                </w:p>
              </w:tc>
              <w:tc>
                <w:tcPr>
                  <w:tcW w:w="693" w:type="pct"/>
                  <w:vMerge w:val="restart"/>
                  <w:tcBorders>
                    <w:tl2br w:val="nil"/>
                    <w:tr2bl w:val="nil"/>
                  </w:tcBorders>
                  <w:vAlign w:val="center"/>
                </w:tcPr>
                <w:p>
                  <w:pPr>
                    <w:spacing w:line="240" w:lineRule="auto"/>
                    <w:jc w:val="center"/>
                    <w:rPr>
                      <w:b/>
                      <w:bCs/>
                    </w:rPr>
                  </w:pPr>
                  <w:r>
                    <w:rPr>
                      <w:rFonts w:hint="eastAsia"/>
                      <w:b/>
                      <w:bCs/>
                    </w:rPr>
                    <w:t>污染物</w:t>
                  </w:r>
                </w:p>
              </w:tc>
              <w:tc>
                <w:tcPr>
                  <w:tcW w:w="1250" w:type="pct"/>
                  <w:gridSpan w:val="2"/>
                  <w:tcBorders>
                    <w:tl2br w:val="nil"/>
                    <w:tr2bl w:val="nil"/>
                  </w:tcBorders>
                  <w:vAlign w:val="center"/>
                </w:tcPr>
                <w:p>
                  <w:pPr>
                    <w:spacing w:line="240" w:lineRule="auto"/>
                    <w:jc w:val="center"/>
                    <w:rPr>
                      <w:b/>
                      <w:bCs/>
                    </w:rPr>
                  </w:pPr>
                  <w:r>
                    <w:rPr>
                      <w:rFonts w:hint="eastAsia"/>
                      <w:b/>
                      <w:bCs/>
                    </w:rPr>
                    <w:t>产生情况</w:t>
                  </w:r>
                </w:p>
              </w:tc>
              <w:tc>
                <w:tcPr>
                  <w:tcW w:w="624" w:type="pct"/>
                  <w:vMerge w:val="restart"/>
                  <w:tcBorders>
                    <w:tl2br w:val="nil"/>
                    <w:tr2bl w:val="nil"/>
                  </w:tcBorders>
                  <w:vAlign w:val="center"/>
                </w:tcPr>
                <w:p>
                  <w:pPr>
                    <w:spacing w:line="240" w:lineRule="auto"/>
                    <w:jc w:val="center"/>
                    <w:rPr>
                      <w:b/>
                      <w:bCs/>
                    </w:rPr>
                  </w:pPr>
                  <w:r>
                    <w:rPr>
                      <w:b/>
                      <w:bCs/>
                    </w:rPr>
                    <w:t>治理</w:t>
                  </w:r>
                </w:p>
                <w:p>
                  <w:pPr>
                    <w:spacing w:line="240" w:lineRule="auto"/>
                    <w:jc w:val="center"/>
                    <w:rPr>
                      <w:b/>
                      <w:bCs/>
                    </w:rPr>
                  </w:pPr>
                  <w:r>
                    <w:rPr>
                      <w:b/>
                      <w:bCs/>
                    </w:rPr>
                    <w:t>措施</w:t>
                  </w:r>
                </w:p>
              </w:tc>
              <w:tc>
                <w:tcPr>
                  <w:tcW w:w="1251" w:type="pct"/>
                  <w:gridSpan w:val="2"/>
                  <w:tcBorders>
                    <w:tl2br w:val="nil"/>
                    <w:tr2bl w:val="nil"/>
                  </w:tcBorders>
                  <w:vAlign w:val="center"/>
                </w:tcPr>
                <w:p>
                  <w:pPr>
                    <w:spacing w:line="240" w:lineRule="auto"/>
                    <w:jc w:val="center"/>
                    <w:rPr>
                      <w:b/>
                      <w:bCs/>
                    </w:rPr>
                  </w:pPr>
                  <w:r>
                    <w:rPr>
                      <w:b/>
                      <w:bCs/>
                      <w:color w:val="000000"/>
                      <w:szCs w:val="21"/>
                    </w:rPr>
                    <w:t>排放情况</w:t>
                  </w:r>
                </w:p>
              </w:tc>
              <w:tc>
                <w:tcPr>
                  <w:tcW w:w="625" w:type="pct"/>
                  <w:vMerge w:val="restart"/>
                  <w:tcBorders>
                    <w:tl2br w:val="nil"/>
                    <w:tr2bl w:val="nil"/>
                  </w:tcBorders>
                  <w:vAlign w:val="center"/>
                </w:tcPr>
                <w:p>
                  <w:pPr>
                    <w:spacing w:line="240" w:lineRule="auto"/>
                    <w:jc w:val="center"/>
                    <w:rPr>
                      <w:b/>
                      <w:bCs/>
                    </w:rPr>
                  </w:pPr>
                  <w:r>
                    <w:rPr>
                      <w:b/>
                      <w:bCs/>
                      <w:color w:val="000000"/>
                      <w:szCs w:val="21"/>
                    </w:rPr>
                    <w:t>排放方式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5" w:type="pct"/>
                  <w:vMerge w:val="continue"/>
                  <w:tcBorders>
                    <w:tl2br w:val="nil"/>
                    <w:tr2bl w:val="nil"/>
                  </w:tcBorders>
                  <w:vAlign w:val="center"/>
                </w:tcPr>
                <w:p>
                  <w:pPr>
                    <w:spacing w:line="240" w:lineRule="auto"/>
                    <w:jc w:val="center"/>
                  </w:pPr>
                </w:p>
              </w:tc>
              <w:tc>
                <w:tcPr>
                  <w:tcW w:w="693" w:type="pct"/>
                  <w:vMerge w:val="continue"/>
                  <w:tcBorders>
                    <w:tl2br w:val="nil"/>
                    <w:tr2bl w:val="nil"/>
                  </w:tcBorders>
                  <w:vAlign w:val="center"/>
                </w:tcPr>
                <w:p>
                  <w:pPr>
                    <w:spacing w:line="240" w:lineRule="auto"/>
                    <w:jc w:val="center"/>
                  </w:pPr>
                </w:p>
              </w:tc>
              <w:tc>
                <w:tcPr>
                  <w:tcW w:w="624" w:type="pct"/>
                  <w:tcBorders>
                    <w:tl2br w:val="nil"/>
                    <w:tr2bl w:val="nil"/>
                  </w:tcBorders>
                  <w:vAlign w:val="center"/>
                </w:tcPr>
                <w:p>
                  <w:pPr>
                    <w:spacing w:line="240" w:lineRule="auto"/>
                    <w:jc w:val="center"/>
                  </w:pPr>
                  <w:r>
                    <w:rPr>
                      <w:b/>
                      <w:bCs/>
                      <w:color w:val="000000"/>
                      <w:szCs w:val="21"/>
                    </w:rPr>
                    <w:t>产生量</w:t>
                  </w:r>
                  <w:r>
                    <w:rPr>
                      <w:rFonts w:hint="eastAsia"/>
                      <w:b/>
                      <w:bCs/>
                      <w:color w:val="000000"/>
                      <w:szCs w:val="21"/>
                      <w:lang w:val="en-US" w:eastAsia="zh-CN"/>
                    </w:rPr>
                    <w:t>t</w:t>
                  </w:r>
                  <w:r>
                    <w:rPr>
                      <w:rStyle w:val="28"/>
                      <w:color w:val="000000"/>
                      <w:szCs w:val="21"/>
                    </w:rPr>
                    <w:t>/a</w:t>
                  </w:r>
                </w:p>
              </w:tc>
              <w:tc>
                <w:tcPr>
                  <w:tcW w:w="625" w:type="pct"/>
                  <w:tcBorders>
                    <w:tl2br w:val="nil"/>
                    <w:tr2bl w:val="nil"/>
                  </w:tcBorders>
                  <w:vAlign w:val="center"/>
                </w:tcPr>
                <w:p>
                  <w:pPr>
                    <w:spacing w:line="240" w:lineRule="auto"/>
                    <w:jc w:val="center"/>
                  </w:pPr>
                  <w:r>
                    <w:rPr>
                      <w:b/>
                      <w:bCs/>
                      <w:color w:val="000000"/>
                      <w:szCs w:val="21"/>
                    </w:rPr>
                    <w:t>浓度</w:t>
                  </w:r>
                  <w:r>
                    <w:rPr>
                      <w:rStyle w:val="28"/>
                      <w:color w:val="000000"/>
                      <w:szCs w:val="21"/>
                    </w:rPr>
                    <w:t>mg/m</w:t>
                  </w:r>
                  <w:r>
                    <w:rPr>
                      <w:rStyle w:val="28"/>
                      <w:color w:val="000000"/>
                      <w:szCs w:val="21"/>
                      <w:vertAlign w:val="superscript"/>
                    </w:rPr>
                    <w:t>3</w:t>
                  </w:r>
                </w:p>
              </w:tc>
              <w:tc>
                <w:tcPr>
                  <w:tcW w:w="624" w:type="pct"/>
                  <w:vMerge w:val="continue"/>
                  <w:tcBorders>
                    <w:tl2br w:val="nil"/>
                    <w:tr2bl w:val="nil"/>
                  </w:tcBorders>
                  <w:vAlign w:val="center"/>
                </w:tcPr>
                <w:p>
                  <w:pPr>
                    <w:spacing w:line="240" w:lineRule="auto"/>
                    <w:jc w:val="center"/>
                  </w:pPr>
                </w:p>
              </w:tc>
              <w:tc>
                <w:tcPr>
                  <w:tcW w:w="624" w:type="pct"/>
                  <w:tcBorders>
                    <w:tl2br w:val="nil"/>
                    <w:tr2bl w:val="nil"/>
                  </w:tcBorders>
                  <w:vAlign w:val="center"/>
                </w:tcPr>
                <w:p>
                  <w:pPr>
                    <w:spacing w:line="240" w:lineRule="auto"/>
                    <w:jc w:val="center"/>
                  </w:pPr>
                  <w:r>
                    <w:rPr>
                      <w:b/>
                      <w:bCs/>
                      <w:color w:val="000000"/>
                      <w:szCs w:val="21"/>
                    </w:rPr>
                    <w:t>排放量</w:t>
                  </w:r>
                  <w:r>
                    <w:rPr>
                      <w:rFonts w:hint="eastAsia"/>
                      <w:b/>
                      <w:bCs/>
                      <w:color w:val="000000"/>
                      <w:szCs w:val="21"/>
                      <w:lang w:val="en-US" w:eastAsia="zh-CN"/>
                    </w:rPr>
                    <w:t>t</w:t>
                  </w:r>
                  <w:r>
                    <w:rPr>
                      <w:rStyle w:val="28"/>
                      <w:color w:val="000000"/>
                      <w:szCs w:val="21"/>
                    </w:rPr>
                    <w:t>/a</w:t>
                  </w:r>
                </w:p>
              </w:tc>
              <w:tc>
                <w:tcPr>
                  <w:tcW w:w="626" w:type="pct"/>
                  <w:tcBorders>
                    <w:tl2br w:val="nil"/>
                    <w:tr2bl w:val="nil"/>
                  </w:tcBorders>
                  <w:vAlign w:val="center"/>
                </w:tcPr>
                <w:p>
                  <w:pPr>
                    <w:spacing w:line="240" w:lineRule="auto"/>
                    <w:jc w:val="center"/>
                  </w:pPr>
                  <w:r>
                    <w:rPr>
                      <w:b/>
                      <w:bCs/>
                      <w:color w:val="000000"/>
                      <w:szCs w:val="21"/>
                    </w:rPr>
                    <w:t>浓度</w:t>
                  </w:r>
                  <w:r>
                    <w:rPr>
                      <w:rStyle w:val="28"/>
                      <w:color w:val="000000"/>
                      <w:szCs w:val="21"/>
                    </w:rPr>
                    <w:t>mg/m</w:t>
                  </w:r>
                  <w:r>
                    <w:rPr>
                      <w:rStyle w:val="28"/>
                      <w:color w:val="000000"/>
                      <w:szCs w:val="21"/>
                      <w:vertAlign w:val="superscript"/>
                    </w:rPr>
                    <w:t>3</w:t>
                  </w:r>
                </w:p>
              </w:tc>
              <w:tc>
                <w:tcPr>
                  <w:tcW w:w="625" w:type="pct"/>
                  <w:vMerge w:val="continue"/>
                  <w:tcBorders>
                    <w:tl2br w:val="nil"/>
                    <w:tr2bl w:val="nil"/>
                  </w:tcBorders>
                  <w:vAlign w:val="center"/>
                </w:tcPr>
                <w:p>
                  <w:pPr>
                    <w:spacing w:line="240" w:lineRule="auto"/>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55" w:type="pct"/>
                  <w:vMerge w:val="restart"/>
                  <w:tcBorders>
                    <w:tl2br w:val="nil"/>
                    <w:tr2bl w:val="nil"/>
                  </w:tcBorders>
                  <w:vAlign w:val="center"/>
                </w:tcPr>
                <w:p>
                  <w:pPr>
                    <w:spacing w:line="240" w:lineRule="auto"/>
                    <w:jc w:val="center"/>
                    <w:rPr>
                      <w:rFonts w:hint="default" w:eastAsia="宋体"/>
                      <w:lang w:val="en-US" w:eastAsia="zh-CN"/>
                    </w:rPr>
                  </w:pPr>
                  <w:r>
                    <w:rPr>
                      <w:rFonts w:hint="eastAsia"/>
                      <w:lang w:val="en-US" w:eastAsia="zh-CN"/>
                    </w:rPr>
                    <w:t>锅炉供热</w:t>
                  </w:r>
                </w:p>
              </w:tc>
              <w:tc>
                <w:tcPr>
                  <w:tcW w:w="693" w:type="pct"/>
                  <w:tcBorders>
                    <w:tl2br w:val="nil"/>
                    <w:tr2bl w:val="nil"/>
                  </w:tcBorders>
                  <w:vAlign w:val="center"/>
                </w:tcPr>
                <w:p>
                  <w:pPr>
                    <w:spacing w:line="240" w:lineRule="auto"/>
                    <w:jc w:val="center"/>
                    <w:rPr>
                      <w:rFonts w:hint="eastAsia" w:eastAsia="宋体"/>
                      <w:lang w:val="en-US" w:eastAsia="zh-CN"/>
                    </w:rPr>
                  </w:pPr>
                  <w:r>
                    <w:rPr>
                      <w:rFonts w:hint="eastAsia"/>
                      <w:lang w:val="en-US" w:eastAsia="zh-CN"/>
                    </w:rPr>
                    <w:t>二氧化硫</w:t>
                  </w:r>
                </w:p>
              </w:tc>
              <w:tc>
                <w:tcPr>
                  <w:tcW w:w="624" w:type="pct"/>
                  <w:tcBorders>
                    <w:tl2br w:val="nil"/>
                    <w:tr2bl w:val="nil"/>
                  </w:tcBorders>
                  <w:vAlign w:val="center"/>
                </w:tcPr>
                <w:p>
                  <w:pPr>
                    <w:spacing w:line="240" w:lineRule="auto"/>
                    <w:jc w:val="center"/>
                    <w:rPr>
                      <w:rFonts w:hint="default" w:eastAsia="宋体"/>
                      <w:lang w:val="en-US" w:eastAsia="zh-CN"/>
                    </w:rPr>
                  </w:pPr>
                  <w:r>
                    <w:rPr>
                      <w:rFonts w:hint="eastAsia"/>
                      <w:lang w:val="en-US" w:eastAsia="zh-CN"/>
                    </w:rPr>
                    <w:t>0.10</w:t>
                  </w:r>
                </w:p>
              </w:tc>
              <w:tc>
                <w:tcPr>
                  <w:tcW w:w="625" w:type="pct"/>
                  <w:tcBorders>
                    <w:tl2br w:val="nil"/>
                    <w:tr2bl w:val="nil"/>
                  </w:tcBorders>
                  <w:vAlign w:val="center"/>
                </w:tcPr>
                <w:p>
                  <w:pPr>
                    <w:spacing w:line="240" w:lineRule="auto"/>
                    <w:jc w:val="center"/>
                    <w:rPr>
                      <w:rFonts w:hint="default" w:eastAsia="宋体"/>
                      <w:lang w:val="en-US" w:eastAsia="zh-CN"/>
                    </w:rPr>
                  </w:pPr>
                  <w:r>
                    <w:rPr>
                      <w:rFonts w:hint="eastAsia"/>
                      <w:lang w:val="en-US" w:eastAsia="zh-CN"/>
                    </w:rPr>
                    <w:t>18.56</w:t>
                  </w:r>
                </w:p>
              </w:tc>
              <w:tc>
                <w:tcPr>
                  <w:tcW w:w="624" w:type="pct"/>
                  <w:vMerge w:val="restart"/>
                  <w:tcBorders>
                    <w:tl2br w:val="nil"/>
                    <w:tr2bl w:val="nil"/>
                  </w:tcBorders>
                  <w:vAlign w:val="center"/>
                </w:tcPr>
                <w:p>
                  <w:pPr>
                    <w:spacing w:line="240" w:lineRule="auto"/>
                    <w:jc w:val="center"/>
                  </w:pPr>
                  <w:r>
                    <w:rPr>
                      <w:rFonts w:hint="eastAsia"/>
                      <w:szCs w:val="21"/>
                      <w:lang w:val="en-US" w:eastAsia="zh-CN"/>
                    </w:rPr>
                    <w:t>20.0</w:t>
                  </w:r>
                  <w:r>
                    <w:rPr>
                      <w:szCs w:val="21"/>
                    </w:rPr>
                    <w:t>m</w:t>
                  </w:r>
                  <w:r>
                    <w:rPr>
                      <w:rFonts w:hint="eastAsia"/>
                      <w:szCs w:val="21"/>
                      <w:lang w:val="en-US" w:eastAsia="zh-CN"/>
                    </w:rPr>
                    <w:t>高</w:t>
                  </w:r>
                  <w:r>
                    <w:rPr>
                      <w:szCs w:val="21"/>
                    </w:rPr>
                    <w:t>排气筒</w:t>
                  </w:r>
                </w:p>
              </w:tc>
              <w:tc>
                <w:tcPr>
                  <w:tcW w:w="1075" w:type="dxa"/>
                  <w:tcBorders>
                    <w:tl2br w:val="nil"/>
                    <w:tr2bl w:val="nil"/>
                  </w:tcBorders>
                  <w:vAlign w:val="center"/>
                </w:tcPr>
                <w:p>
                  <w:pPr>
                    <w:spacing w:line="240" w:lineRule="auto"/>
                    <w:jc w:val="center"/>
                  </w:pPr>
                  <w:r>
                    <w:rPr>
                      <w:rFonts w:hint="eastAsia"/>
                      <w:lang w:val="en-US" w:eastAsia="zh-CN"/>
                    </w:rPr>
                    <w:t>0.10</w:t>
                  </w:r>
                </w:p>
              </w:tc>
              <w:tc>
                <w:tcPr>
                  <w:tcW w:w="626" w:type="pct"/>
                  <w:tcBorders>
                    <w:tl2br w:val="nil"/>
                    <w:tr2bl w:val="nil"/>
                  </w:tcBorders>
                  <w:vAlign w:val="center"/>
                </w:tcPr>
                <w:p>
                  <w:pPr>
                    <w:spacing w:line="240" w:lineRule="auto"/>
                    <w:jc w:val="center"/>
                    <w:rPr>
                      <w:rFonts w:hint="default" w:eastAsia="宋体"/>
                      <w:lang w:val="en-US" w:eastAsia="zh-CN"/>
                    </w:rPr>
                  </w:pPr>
                  <w:r>
                    <w:rPr>
                      <w:rFonts w:hint="eastAsia"/>
                      <w:lang w:val="en-US" w:eastAsia="zh-CN"/>
                    </w:rPr>
                    <w:t>18.56</w:t>
                  </w:r>
                </w:p>
              </w:tc>
              <w:tc>
                <w:tcPr>
                  <w:tcW w:w="625" w:type="pct"/>
                  <w:tcBorders>
                    <w:tl2br w:val="nil"/>
                    <w:tr2bl w:val="nil"/>
                  </w:tcBorders>
                  <w:vAlign w:val="center"/>
                </w:tcPr>
                <w:p>
                  <w:pPr>
                    <w:spacing w:line="240" w:lineRule="auto"/>
                    <w:jc w:val="center"/>
                  </w:pPr>
                  <w:r>
                    <w:rPr>
                      <w:rFonts w:hint="eastAsia"/>
                    </w:rPr>
                    <w:t>有组织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555" w:type="pct"/>
                  <w:vMerge w:val="continue"/>
                  <w:tcBorders>
                    <w:tl2br w:val="nil"/>
                    <w:tr2bl w:val="nil"/>
                  </w:tcBorders>
                  <w:vAlign w:val="center"/>
                </w:tcPr>
                <w:p>
                  <w:pPr>
                    <w:spacing w:line="240" w:lineRule="auto"/>
                    <w:jc w:val="center"/>
                  </w:pPr>
                </w:p>
              </w:tc>
              <w:tc>
                <w:tcPr>
                  <w:tcW w:w="693" w:type="pct"/>
                  <w:tcBorders>
                    <w:tl2br w:val="nil"/>
                    <w:tr2bl w:val="nil"/>
                  </w:tcBorders>
                  <w:vAlign w:val="center"/>
                </w:tcPr>
                <w:p>
                  <w:pPr>
                    <w:spacing w:line="240" w:lineRule="auto"/>
                    <w:jc w:val="center"/>
                    <w:rPr>
                      <w:rFonts w:hint="eastAsia" w:eastAsia="宋体"/>
                      <w:lang w:val="en-US" w:eastAsia="zh-CN"/>
                    </w:rPr>
                  </w:pPr>
                  <w:r>
                    <w:rPr>
                      <w:rFonts w:hint="eastAsia"/>
                      <w:lang w:val="en-US" w:eastAsia="zh-CN"/>
                    </w:rPr>
                    <w:t>氮氧化物</w:t>
                  </w:r>
                </w:p>
              </w:tc>
              <w:tc>
                <w:tcPr>
                  <w:tcW w:w="624" w:type="pct"/>
                  <w:tcBorders>
                    <w:tl2br w:val="nil"/>
                    <w:tr2bl w:val="nil"/>
                  </w:tcBorders>
                  <w:vAlign w:val="center"/>
                </w:tcPr>
                <w:p>
                  <w:pPr>
                    <w:spacing w:line="240" w:lineRule="auto"/>
                    <w:jc w:val="center"/>
                    <w:rPr>
                      <w:rFonts w:hint="default" w:eastAsia="宋体"/>
                      <w:lang w:val="en-US" w:eastAsia="zh-CN"/>
                    </w:rPr>
                  </w:pPr>
                  <w:r>
                    <w:rPr>
                      <w:rFonts w:hint="eastAsia"/>
                      <w:lang w:val="en-US" w:eastAsia="zh-CN"/>
                    </w:rPr>
                    <w:t>0.79</w:t>
                  </w:r>
                </w:p>
              </w:tc>
              <w:tc>
                <w:tcPr>
                  <w:tcW w:w="625" w:type="pct"/>
                  <w:tcBorders>
                    <w:tl2br w:val="nil"/>
                    <w:tr2bl w:val="nil"/>
                  </w:tcBorders>
                  <w:vAlign w:val="center"/>
                </w:tcPr>
                <w:p>
                  <w:pPr>
                    <w:spacing w:line="240" w:lineRule="auto"/>
                    <w:jc w:val="center"/>
                    <w:rPr>
                      <w:rFonts w:hint="default" w:eastAsia="宋体"/>
                      <w:lang w:val="en-US" w:eastAsia="zh-CN"/>
                    </w:rPr>
                  </w:pPr>
                  <w:r>
                    <w:rPr>
                      <w:rFonts w:hint="eastAsia"/>
                      <w:lang w:val="en-US" w:eastAsia="zh-CN"/>
                    </w:rPr>
                    <w:t>147.28</w:t>
                  </w:r>
                </w:p>
              </w:tc>
              <w:tc>
                <w:tcPr>
                  <w:tcW w:w="624" w:type="pct"/>
                  <w:vMerge w:val="continue"/>
                  <w:tcBorders>
                    <w:tl2br w:val="nil"/>
                    <w:tr2bl w:val="nil"/>
                  </w:tcBorders>
                  <w:vAlign w:val="center"/>
                </w:tcPr>
                <w:p>
                  <w:pPr>
                    <w:spacing w:line="240" w:lineRule="auto"/>
                    <w:jc w:val="center"/>
                  </w:pPr>
                </w:p>
              </w:tc>
              <w:tc>
                <w:tcPr>
                  <w:tcW w:w="1075" w:type="dxa"/>
                  <w:tcBorders>
                    <w:tl2br w:val="nil"/>
                    <w:tr2bl w:val="nil"/>
                  </w:tcBorders>
                  <w:vAlign w:val="center"/>
                </w:tcPr>
                <w:p>
                  <w:pPr>
                    <w:spacing w:line="240" w:lineRule="auto"/>
                    <w:jc w:val="center"/>
                  </w:pPr>
                  <w:r>
                    <w:rPr>
                      <w:rFonts w:hint="eastAsia"/>
                      <w:lang w:val="en-US" w:eastAsia="zh-CN"/>
                    </w:rPr>
                    <w:t>0.658</w:t>
                  </w:r>
                </w:p>
              </w:tc>
              <w:tc>
                <w:tcPr>
                  <w:tcW w:w="626" w:type="pct"/>
                  <w:tcBorders>
                    <w:tl2br w:val="nil"/>
                    <w:tr2bl w:val="nil"/>
                  </w:tcBorders>
                  <w:vAlign w:val="center"/>
                </w:tcPr>
                <w:p>
                  <w:pPr>
                    <w:spacing w:line="240" w:lineRule="auto"/>
                    <w:jc w:val="center"/>
                    <w:rPr>
                      <w:rFonts w:hint="default" w:eastAsia="宋体"/>
                      <w:lang w:val="en-US" w:eastAsia="zh-CN"/>
                    </w:rPr>
                  </w:pPr>
                  <w:r>
                    <w:rPr>
                      <w:rFonts w:hint="eastAsia"/>
                      <w:lang w:val="en-US" w:eastAsia="zh-CN"/>
                    </w:rPr>
                    <w:t>147.28</w:t>
                  </w:r>
                </w:p>
              </w:tc>
              <w:tc>
                <w:tcPr>
                  <w:tcW w:w="625" w:type="pct"/>
                  <w:tcBorders>
                    <w:tl2br w:val="nil"/>
                    <w:tr2bl w:val="nil"/>
                  </w:tcBorders>
                  <w:vAlign w:val="center"/>
                </w:tcPr>
                <w:p>
                  <w:pPr>
                    <w:spacing w:line="240" w:lineRule="auto"/>
                    <w:jc w:val="center"/>
                  </w:pPr>
                  <w:r>
                    <w:rPr>
                      <w:rFonts w:hint="eastAsia"/>
                    </w:rPr>
                    <w:t>有组织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5" w:type="pct"/>
                  <w:vMerge w:val="continue"/>
                  <w:tcBorders>
                    <w:tl2br w:val="nil"/>
                    <w:tr2bl w:val="nil"/>
                  </w:tcBorders>
                  <w:vAlign w:val="center"/>
                </w:tcPr>
                <w:p>
                  <w:pPr>
                    <w:spacing w:line="240" w:lineRule="auto"/>
                    <w:jc w:val="center"/>
                  </w:pPr>
                </w:p>
              </w:tc>
              <w:tc>
                <w:tcPr>
                  <w:tcW w:w="693" w:type="pct"/>
                  <w:tcBorders>
                    <w:tl2br w:val="nil"/>
                    <w:tr2bl w:val="nil"/>
                  </w:tcBorders>
                  <w:vAlign w:val="center"/>
                </w:tcPr>
                <w:p>
                  <w:pPr>
                    <w:spacing w:line="240" w:lineRule="auto"/>
                    <w:jc w:val="center"/>
                    <w:rPr>
                      <w:rFonts w:hint="eastAsia" w:eastAsia="宋体"/>
                      <w:lang w:val="en-US" w:eastAsia="zh-CN"/>
                    </w:rPr>
                  </w:pPr>
                  <w:r>
                    <w:rPr>
                      <w:rFonts w:hint="eastAsia"/>
                      <w:lang w:val="en-US" w:eastAsia="zh-CN"/>
                    </w:rPr>
                    <w:t>烟尘</w:t>
                  </w:r>
                </w:p>
              </w:tc>
              <w:tc>
                <w:tcPr>
                  <w:tcW w:w="624" w:type="pct"/>
                  <w:tcBorders>
                    <w:tl2br w:val="nil"/>
                    <w:tr2bl w:val="nil"/>
                  </w:tcBorders>
                  <w:vAlign w:val="center"/>
                </w:tcPr>
                <w:p>
                  <w:pPr>
                    <w:spacing w:line="240" w:lineRule="auto"/>
                    <w:jc w:val="center"/>
                    <w:rPr>
                      <w:rFonts w:hint="default" w:eastAsia="宋体"/>
                      <w:lang w:val="en-US" w:eastAsia="zh-CN"/>
                    </w:rPr>
                  </w:pPr>
                  <w:r>
                    <w:rPr>
                      <w:rFonts w:hint="eastAsia"/>
                      <w:lang w:val="en-US" w:eastAsia="zh-CN"/>
                    </w:rPr>
                    <w:t>0.12</w:t>
                  </w:r>
                </w:p>
              </w:tc>
              <w:tc>
                <w:tcPr>
                  <w:tcW w:w="625" w:type="pct"/>
                  <w:tcBorders>
                    <w:tl2br w:val="nil"/>
                    <w:tr2bl w:val="nil"/>
                  </w:tcBorders>
                  <w:vAlign w:val="center"/>
                </w:tcPr>
                <w:p>
                  <w:pPr>
                    <w:spacing w:line="240" w:lineRule="auto"/>
                    <w:jc w:val="center"/>
                    <w:rPr>
                      <w:rFonts w:hint="default" w:eastAsia="宋体"/>
                      <w:lang w:val="en-US" w:eastAsia="zh-CN"/>
                    </w:rPr>
                  </w:pPr>
                  <w:r>
                    <w:rPr>
                      <w:rFonts w:hint="eastAsia"/>
                      <w:lang w:val="en-US" w:eastAsia="zh-CN"/>
                    </w:rPr>
                    <w:t>0.082</w:t>
                  </w:r>
                </w:p>
              </w:tc>
              <w:tc>
                <w:tcPr>
                  <w:tcW w:w="624" w:type="pct"/>
                  <w:vMerge w:val="continue"/>
                  <w:tcBorders>
                    <w:tl2br w:val="nil"/>
                    <w:tr2bl w:val="nil"/>
                  </w:tcBorders>
                  <w:vAlign w:val="center"/>
                </w:tcPr>
                <w:p>
                  <w:pPr>
                    <w:spacing w:line="240" w:lineRule="auto"/>
                    <w:jc w:val="center"/>
                  </w:pPr>
                </w:p>
              </w:tc>
              <w:tc>
                <w:tcPr>
                  <w:tcW w:w="1075" w:type="dxa"/>
                  <w:tcBorders>
                    <w:tl2br w:val="nil"/>
                    <w:tr2bl w:val="nil"/>
                  </w:tcBorders>
                  <w:vAlign w:val="center"/>
                </w:tcPr>
                <w:p>
                  <w:pPr>
                    <w:spacing w:line="240" w:lineRule="auto"/>
                    <w:jc w:val="center"/>
                  </w:pPr>
                  <w:r>
                    <w:rPr>
                      <w:rFonts w:hint="eastAsia"/>
                      <w:lang w:val="en-US" w:eastAsia="zh-CN"/>
                    </w:rPr>
                    <w:t>0.12</w:t>
                  </w:r>
                </w:p>
              </w:tc>
              <w:tc>
                <w:tcPr>
                  <w:tcW w:w="626" w:type="pct"/>
                  <w:tcBorders>
                    <w:tl2br w:val="nil"/>
                    <w:tr2bl w:val="nil"/>
                  </w:tcBorders>
                  <w:vAlign w:val="center"/>
                </w:tcPr>
                <w:p>
                  <w:pPr>
                    <w:spacing w:line="240" w:lineRule="auto"/>
                    <w:jc w:val="center"/>
                    <w:rPr>
                      <w:rFonts w:hint="default" w:eastAsia="宋体"/>
                      <w:lang w:val="en-US" w:eastAsia="zh-CN"/>
                    </w:rPr>
                  </w:pPr>
                  <w:r>
                    <w:rPr>
                      <w:rFonts w:hint="eastAsia"/>
                      <w:lang w:val="en-US" w:eastAsia="zh-CN"/>
                    </w:rPr>
                    <w:t>22.27</w:t>
                  </w:r>
                </w:p>
              </w:tc>
              <w:tc>
                <w:tcPr>
                  <w:tcW w:w="625" w:type="pct"/>
                  <w:tcBorders>
                    <w:tl2br w:val="nil"/>
                    <w:tr2bl w:val="nil"/>
                  </w:tcBorders>
                  <w:vAlign w:val="center"/>
                </w:tcPr>
                <w:p>
                  <w:pPr>
                    <w:spacing w:line="240" w:lineRule="auto"/>
                    <w:jc w:val="center"/>
                  </w:pPr>
                  <w:r>
                    <w:rPr>
                      <w:rFonts w:hint="eastAsia"/>
                    </w:rPr>
                    <w:t>有组织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5" w:type="pct"/>
                  <w:tcBorders>
                    <w:tl2br w:val="nil"/>
                    <w:tr2bl w:val="nil"/>
                  </w:tcBorders>
                  <w:vAlign w:val="center"/>
                </w:tcPr>
                <w:p>
                  <w:pPr>
                    <w:spacing w:line="240" w:lineRule="auto"/>
                    <w:jc w:val="center"/>
                  </w:pPr>
                  <w:r>
                    <w:rPr>
                      <w:rFonts w:hint="eastAsia"/>
                    </w:rPr>
                    <w:t>食堂</w:t>
                  </w:r>
                </w:p>
              </w:tc>
              <w:tc>
                <w:tcPr>
                  <w:tcW w:w="693" w:type="pct"/>
                  <w:tcBorders>
                    <w:tl2br w:val="nil"/>
                    <w:tr2bl w:val="nil"/>
                  </w:tcBorders>
                  <w:vAlign w:val="center"/>
                </w:tcPr>
                <w:p>
                  <w:pPr>
                    <w:spacing w:line="240" w:lineRule="auto"/>
                    <w:jc w:val="center"/>
                  </w:pPr>
                  <w:r>
                    <w:rPr>
                      <w:rFonts w:hint="eastAsia"/>
                    </w:rPr>
                    <w:t>油烟</w:t>
                  </w:r>
                </w:p>
              </w:tc>
              <w:tc>
                <w:tcPr>
                  <w:tcW w:w="624" w:type="pct"/>
                  <w:tcBorders>
                    <w:tl2br w:val="nil"/>
                    <w:tr2bl w:val="nil"/>
                  </w:tcBorders>
                  <w:vAlign w:val="center"/>
                </w:tcPr>
                <w:p>
                  <w:pPr>
                    <w:spacing w:line="240" w:lineRule="auto"/>
                    <w:jc w:val="center"/>
                    <w:rPr>
                      <w:rFonts w:hint="default" w:eastAsia="宋体"/>
                      <w:lang w:val="en-US" w:eastAsia="zh-CN"/>
                    </w:rPr>
                  </w:pPr>
                  <w:r>
                    <w:rPr>
                      <w:rFonts w:hint="eastAsia"/>
                      <w:lang w:val="en-US" w:eastAsia="zh-CN"/>
                    </w:rPr>
                    <w:t>0.18</w:t>
                  </w:r>
                </w:p>
              </w:tc>
              <w:tc>
                <w:tcPr>
                  <w:tcW w:w="625" w:type="pct"/>
                  <w:tcBorders>
                    <w:tl2br w:val="nil"/>
                    <w:tr2bl w:val="nil"/>
                  </w:tcBorders>
                  <w:vAlign w:val="center"/>
                </w:tcPr>
                <w:p>
                  <w:pPr>
                    <w:spacing w:line="240" w:lineRule="auto"/>
                    <w:jc w:val="center"/>
                    <w:rPr>
                      <w:rFonts w:hint="default" w:eastAsia="宋体"/>
                      <w:lang w:val="en-US" w:eastAsia="zh-CN"/>
                    </w:rPr>
                  </w:pPr>
                  <w:r>
                    <w:rPr>
                      <w:rFonts w:hint="eastAsia"/>
                      <w:lang w:val="en-US" w:eastAsia="zh-CN"/>
                    </w:rPr>
                    <w:t>6.20</w:t>
                  </w:r>
                </w:p>
              </w:tc>
              <w:tc>
                <w:tcPr>
                  <w:tcW w:w="624" w:type="pct"/>
                  <w:tcBorders>
                    <w:tl2br w:val="nil"/>
                    <w:tr2bl w:val="nil"/>
                  </w:tcBorders>
                  <w:vAlign w:val="center"/>
                </w:tcPr>
                <w:p>
                  <w:pPr>
                    <w:spacing w:line="240" w:lineRule="auto"/>
                    <w:jc w:val="center"/>
                    <w:rPr>
                      <w:szCs w:val="21"/>
                    </w:rPr>
                  </w:pPr>
                  <w:r>
                    <w:rPr>
                      <w:rFonts w:hint="eastAsia"/>
                    </w:rPr>
                    <w:t>油烟净化设施</w:t>
                  </w:r>
                </w:p>
              </w:tc>
              <w:tc>
                <w:tcPr>
                  <w:tcW w:w="624" w:type="pct"/>
                  <w:tcBorders>
                    <w:tl2br w:val="nil"/>
                    <w:tr2bl w:val="nil"/>
                  </w:tcBorders>
                  <w:vAlign w:val="center"/>
                </w:tcPr>
                <w:p>
                  <w:pPr>
                    <w:spacing w:line="240" w:lineRule="auto"/>
                    <w:jc w:val="center"/>
                    <w:rPr>
                      <w:rFonts w:hint="default" w:eastAsia="宋体"/>
                      <w:lang w:val="en-US" w:eastAsia="zh-CN"/>
                    </w:rPr>
                  </w:pPr>
                  <w:r>
                    <w:rPr>
                      <w:rFonts w:hint="eastAsia"/>
                      <w:lang w:val="en-US" w:eastAsia="zh-CN"/>
                    </w:rPr>
                    <w:t>0.0081</w:t>
                  </w:r>
                </w:p>
              </w:tc>
              <w:tc>
                <w:tcPr>
                  <w:tcW w:w="626" w:type="pct"/>
                  <w:tcBorders>
                    <w:tl2br w:val="nil"/>
                    <w:tr2bl w:val="nil"/>
                  </w:tcBorders>
                  <w:vAlign w:val="center"/>
                </w:tcPr>
                <w:p>
                  <w:pPr>
                    <w:spacing w:line="240" w:lineRule="auto"/>
                    <w:jc w:val="center"/>
                    <w:rPr>
                      <w:rFonts w:hint="default" w:eastAsia="宋体"/>
                      <w:lang w:val="en-US" w:eastAsia="zh-CN"/>
                    </w:rPr>
                  </w:pPr>
                  <w:r>
                    <w:rPr>
                      <w:rFonts w:hint="eastAsia"/>
                      <w:lang w:val="en-US" w:eastAsia="zh-CN"/>
                    </w:rPr>
                    <w:t>0.28</w:t>
                  </w:r>
                </w:p>
              </w:tc>
              <w:tc>
                <w:tcPr>
                  <w:tcW w:w="625" w:type="pct"/>
                  <w:tcBorders>
                    <w:tl2br w:val="nil"/>
                    <w:tr2bl w:val="nil"/>
                  </w:tcBorders>
                  <w:vAlign w:val="center"/>
                </w:tcPr>
                <w:p>
                  <w:pPr>
                    <w:spacing w:line="240" w:lineRule="auto"/>
                    <w:jc w:val="center"/>
                  </w:pPr>
                  <w:r>
                    <w:rPr>
                      <w:rFonts w:hint="eastAsia"/>
                    </w:rPr>
                    <w:t>有组织</w:t>
                  </w:r>
                </w:p>
              </w:tc>
            </w:tr>
          </w:tbl>
          <w:p>
            <w:pPr>
              <w:spacing w:line="240" w:lineRule="auto"/>
              <w:jc w:val="center"/>
              <w:rPr>
                <w:rFonts w:hint="eastAsia"/>
                <w:b/>
                <w:bCs/>
              </w:rPr>
            </w:pPr>
          </w:p>
          <w:p>
            <w:pPr>
              <w:spacing w:line="240" w:lineRule="auto"/>
              <w:jc w:val="center"/>
              <w:rPr>
                <w:b/>
                <w:bCs/>
              </w:rPr>
            </w:pPr>
            <w:r>
              <w:rPr>
                <w:rFonts w:hint="eastAsia"/>
                <w:b/>
                <w:bCs/>
              </w:rPr>
              <w:t>表4-</w:t>
            </w:r>
            <w:r>
              <w:rPr>
                <w:rFonts w:hint="eastAsia"/>
                <w:b/>
                <w:bCs/>
                <w:lang w:val="en-US" w:eastAsia="zh-CN"/>
              </w:rPr>
              <w:t>9</w:t>
            </w:r>
            <w:r>
              <w:rPr>
                <w:rFonts w:hint="eastAsia"/>
                <w:b/>
                <w:bCs/>
              </w:rPr>
              <w:t xml:space="preserve">  大气污染物有组织排放量核算表</w:t>
            </w:r>
          </w:p>
          <w:tbl>
            <w:tblPr>
              <w:tblStyle w:val="26"/>
              <w:tblW w:w="4995"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72"/>
              <w:gridCol w:w="1378"/>
              <w:gridCol w:w="1373"/>
              <w:gridCol w:w="1373"/>
              <w:gridCol w:w="1387"/>
              <w:gridCol w:w="13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9" w:type="pct"/>
                  <w:tcBorders>
                    <w:tl2br w:val="nil"/>
                    <w:tr2bl w:val="nil"/>
                  </w:tcBorders>
                  <w:vAlign w:val="center"/>
                </w:tcPr>
                <w:p>
                  <w:pPr>
                    <w:spacing w:line="240" w:lineRule="auto"/>
                    <w:jc w:val="center"/>
                    <w:rPr>
                      <w:b/>
                      <w:bCs/>
                    </w:rPr>
                  </w:pPr>
                  <w:r>
                    <w:rPr>
                      <w:rFonts w:hint="eastAsia"/>
                      <w:b/>
                      <w:bCs/>
                    </w:rPr>
                    <w:t>序号</w:t>
                  </w:r>
                </w:p>
              </w:tc>
              <w:tc>
                <w:tcPr>
                  <w:tcW w:w="832" w:type="pct"/>
                  <w:tcBorders>
                    <w:tl2br w:val="nil"/>
                    <w:tr2bl w:val="nil"/>
                  </w:tcBorders>
                  <w:vAlign w:val="center"/>
                </w:tcPr>
                <w:p>
                  <w:pPr>
                    <w:spacing w:line="240" w:lineRule="auto"/>
                    <w:jc w:val="center"/>
                    <w:rPr>
                      <w:b/>
                      <w:bCs/>
                    </w:rPr>
                  </w:pPr>
                  <w:r>
                    <w:rPr>
                      <w:rFonts w:hint="eastAsia"/>
                      <w:b/>
                      <w:bCs/>
                    </w:rPr>
                    <w:t>排放口编号</w:t>
                  </w:r>
                </w:p>
              </w:tc>
              <w:tc>
                <w:tcPr>
                  <w:tcW w:w="829" w:type="pct"/>
                  <w:tcBorders>
                    <w:tl2br w:val="nil"/>
                    <w:tr2bl w:val="nil"/>
                  </w:tcBorders>
                  <w:vAlign w:val="center"/>
                </w:tcPr>
                <w:p>
                  <w:pPr>
                    <w:spacing w:line="240" w:lineRule="auto"/>
                    <w:jc w:val="center"/>
                    <w:rPr>
                      <w:b/>
                      <w:bCs/>
                    </w:rPr>
                  </w:pPr>
                  <w:r>
                    <w:rPr>
                      <w:rFonts w:hint="eastAsia"/>
                      <w:b/>
                      <w:bCs/>
                    </w:rPr>
                    <w:t>污染物</w:t>
                  </w:r>
                </w:p>
              </w:tc>
              <w:tc>
                <w:tcPr>
                  <w:tcW w:w="829" w:type="pct"/>
                  <w:tcBorders>
                    <w:tl2br w:val="nil"/>
                    <w:tr2bl w:val="nil"/>
                  </w:tcBorders>
                  <w:vAlign w:val="center"/>
                </w:tcPr>
                <w:p>
                  <w:pPr>
                    <w:spacing w:line="240" w:lineRule="auto"/>
                    <w:jc w:val="center"/>
                    <w:rPr>
                      <w:b/>
                      <w:bCs/>
                    </w:rPr>
                  </w:pPr>
                  <w:r>
                    <w:rPr>
                      <w:rFonts w:hint="eastAsia"/>
                      <w:b/>
                      <w:bCs/>
                    </w:rPr>
                    <w:t>核算排放浓度（mg/m</w:t>
                  </w:r>
                  <w:r>
                    <w:rPr>
                      <w:rFonts w:hint="eastAsia"/>
                      <w:b/>
                      <w:bCs/>
                      <w:vertAlign w:val="superscript"/>
                    </w:rPr>
                    <w:t>3</w:t>
                  </w:r>
                  <w:r>
                    <w:rPr>
                      <w:rFonts w:hint="eastAsia"/>
                      <w:b/>
                      <w:bCs/>
                    </w:rPr>
                    <w:t>）</w:t>
                  </w:r>
                </w:p>
              </w:tc>
              <w:tc>
                <w:tcPr>
                  <w:tcW w:w="838" w:type="pct"/>
                  <w:tcBorders>
                    <w:tl2br w:val="nil"/>
                    <w:tr2bl w:val="nil"/>
                  </w:tcBorders>
                  <w:vAlign w:val="center"/>
                </w:tcPr>
                <w:p>
                  <w:pPr>
                    <w:spacing w:line="240" w:lineRule="auto"/>
                    <w:jc w:val="center"/>
                    <w:rPr>
                      <w:b/>
                      <w:bCs/>
                    </w:rPr>
                  </w:pPr>
                  <w:r>
                    <w:rPr>
                      <w:rFonts w:hint="eastAsia"/>
                      <w:b/>
                      <w:bCs/>
                    </w:rPr>
                    <w:t>核算排放速率（kg/h）</w:t>
                  </w:r>
                </w:p>
              </w:tc>
              <w:tc>
                <w:tcPr>
                  <w:tcW w:w="840" w:type="pct"/>
                  <w:tcBorders>
                    <w:tl2br w:val="nil"/>
                    <w:tr2bl w:val="nil"/>
                  </w:tcBorders>
                  <w:vAlign w:val="center"/>
                </w:tcPr>
                <w:p>
                  <w:pPr>
                    <w:spacing w:line="240" w:lineRule="auto"/>
                    <w:jc w:val="center"/>
                    <w:rPr>
                      <w:b/>
                      <w:bCs/>
                    </w:rPr>
                  </w:pPr>
                  <w:r>
                    <w:rPr>
                      <w:rFonts w:hint="eastAsia"/>
                      <w:b/>
                      <w:bCs/>
                    </w:rPr>
                    <w:t>核算年排放量（</w:t>
                  </w:r>
                  <w:r>
                    <w:rPr>
                      <w:rFonts w:hint="eastAsia"/>
                      <w:b/>
                      <w:bCs/>
                      <w:lang w:val="en-US" w:eastAsia="zh-CN"/>
                    </w:rPr>
                    <w:t>t</w:t>
                  </w:r>
                  <w:r>
                    <w:rPr>
                      <w:rFonts w:hint="eastAsia"/>
                      <w:b/>
                      <w:bCs/>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6"/>
                  <w:tcBorders>
                    <w:tl2br w:val="nil"/>
                    <w:tr2bl w:val="nil"/>
                  </w:tcBorders>
                  <w:vAlign w:val="center"/>
                </w:tcPr>
                <w:p>
                  <w:pPr>
                    <w:spacing w:line="240" w:lineRule="auto"/>
                    <w:jc w:val="center"/>
                  </w:pPr>
                  <w:r>
                    <w:rPr>
                      <w:rFonts w:hint="eastAsia"/>
                    </w:rPr>
                    <w:t>主要排放口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9" w:type="pct"/>
                  <w:tcBorders>
                    <w:tl2br w:val="nil"/>
                    <w:tr2bl w:val="nil"/>
                  </w:tcBorders>
                  <w:vAlign w:val="center"/>
                </w:tcPr>
                <w:p>
                  <w:pPr>
                    <w:spacing w:line="240" w:lineRule="auto"/>
                    <w:jc w:val="center"/>
                  </w:pPr>
                  <w:r>
                    <w:rPr>
                      <w:rFonts w:hint="eastAsia"/>
                    </w:rPr>
                    <w:t>/</w:t>
                  </w:r>
                </w:p>
              </w:tc>
              <w:tc>
                <w:tcPr>
                  <w:tcW w:w="832" w:type="pct"/>
                  <w:tcBorders>
                    <w:tl2br w:val="nil"/>
                    <w:tr2bl w:val="nil"/>
                  </w:tcBorders>
                  <w:vAlign w:val="center"/>
                </w:tcPr>
                <w:p>
                  <w:pPr>
                    <w:spacing w:line="240" w:lineRule="auto"/>
                    <w:jc w:val="center"/>
                  </w:pPr>
                  <w:r>
                    <w:rPr>
                      <w:rFonts w:hint="eastAsia"/>
                    </w:rPr>
                    <w:t>/</w:t>
                  </w:r>
                </w:p>
              </w:tc>
              <w:tc>
                <w:tcPr>
                  <w:tcW w:w="829" w:type="pct"/>
                  <w:tcBorders>
                    <w:tl2br w:val="nil"/>
                    <w:tr2bl w:val="nil"/>
                  </w:tcBorders>
                  <w:vAlign w:val="center"/>
                </w:tcPr>
                <w:p>
                  <w:pPr>
                    <w:spacing w:line="240" w:lineRule="auto"/>
                    <w:jc w:val="center"/>
                  </w:pPr>
                  <w:r>
                    <w:rPr>
                      <w:rFonts w:hint="eastAsia"/>
                    </w:rPr>
                    <w:t>/</w:t>
                  </w:r>
                </w:p>
              </w:tc>
              <w:tc>
                <w:tcPr>
                  <w:tcW w:w="829" w:type="pct"/>
                  <w:tcBorders>
                    <w:tl2br w:val="nil"/>
                    <w:tr2bl w:val="nil"/>
                  </w:tcBorders>
                  <w:vAlign w:val="center"/>
                </w:tcPr>
                <w:p>
                  <w:pPr>
                    <w:spacing w:line="240" w:lineRule="auto"/>
                    <w:jc w:val="center"/>
                  </w:pPr>
                  <w:r>
                    <w:rPr>
                      <w:rFonts w:hint="eastAsia"/>
                    </w:rPr>
                    <w:t>/</w:t>
                  </w:r>
                </w:p>
              </w:tc>
              <w:tc>
                <w:tcPr>
                  <w:tcW w:w="838" w:type="pct"/>
                  <w:tcBorders>
                    <w:tl2br w:val="nil"/>
                    <w:tr2bl w:val="nil"/>
                  </w:tcBorders>
                  <w:vAlign w:val="center"/>
                </w:tcPr>
                <w:p>
                  <w:pPr>
                    <w:spacing w:line="240" w:lineRule="auto"/>
                    <w:jc w:val="center"/>
                  </w:pPr>
                  <w:r>
                    <w:rPr>
                      <w:rFonts w:hint="eastAsia"/>
                    </w:rPr>
                    <w:t>/</w:t>
                  </w:r>
                </w:p>
              </w:tc>
              <w:tc>
                <w:tcPr>
                  <w:tcW w:w="840" w:type="pct"/>
                  <w:tcBorders>
                    <w:tl2br w:val="nil"/>
                    <w:tr2bl w:val="nil"/>
                  </w:tcBorders>
                  <w:vAlign w:val="center"/>
                </w:tcPr>
                <w:p>
                  <w:pPr>
                    <w:spacing w:line="240" w:lineRule="auto"/>
                    <w:jc w:val="center"/>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6"/>
                  <w:tcBorders>
                    <w:tl2br w:val="nil"/>
                    <w:tr2bl w:val="nil"/>
                  </w:tcBorders>
                  <w:vAlign w:val="center"/>
                </w:tcPr>
                <w:p>
                  <w:pPr>
                    <w:spacing w:line="240" w:lineRule="auto"/>
                    <w:jc w:val="center"/>
                  </w:pPr>
                  <w:r>
                    <w:rPr>
                      <w:rFonts w:hint="eastAsia"/>
                    </w:rPr>
                    <w:t>一般排放口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9" w:type="pct"/>
                  <w:vMerge w:val="restart"/>
                  <w:tcBorders>
                    <w:tl2br w:val="nil"/>
                    <w:tr2bl w:val="nil"/>
                  </w:tcBorders>
                  <w:vAlign w:val="center"/>
                </w:tcPr>
                <w:p>
                  <w:pPr>
                    <w:spacing w:line="240" w:lineRule="auto"/>
                    <w:jc w:val="center"/>
                    <w:rPr>
                      <w:u w:val="single"/>
                    </w:rPr>
                  </w:pPr>
                  <w:r>
                    <w:rPr>
                      <w:rFonts w:hint="eastAsia"/>
                      <w:u w:val="single"/>
                    </w:rPr>
                    <w:t>1</w:t>
                  </w:r>
                </w:p>
              </w:tc>
              <w:tc>
                <w:tcPr>
                  <w:tcW w:w="832" w:type="pct"/>
                  <w:vMerge w:val="restart"/>
                  <w:tcBorders>
                    <w:tl2br w:val="nil"/>
                    <w:tr2bl w:val="nil"/>
                  </w:tcBorders>
                  <w:vAlign w:val="center"/>
                </w:tcPr>
                <w:p>
                  <w:pPr>
                    <w:spacing w:line="240" w:lineRule="auto"/>
                    <w:jc w:val="center"/>
                    <w:rPr>
                      <w:u w:val="single"/>
                    </w:rPr>
                  </w:pPr>
                  <w:r>
                    <w:rPr>
                      <w:rFonts w:hint="eastAsia"/>
                      <w:u w:val="single"/>
                    </w:rPr>
                    <w:t>DA001</w:t>
                  </w:r>
                </w:p>
              </w:tc>
              <w:tc>
                <w:tcPr>
                  <w:tcW w:w="829" w:type="pct"/>
                  <w:tcBorders>
                    <w:tl2br w:val="nil"/>
                    <w:tr2bl w:val="nil"/>
                  </w:tcBorders>
                  <w:vAlign w:val="center"/>
                </w:tcPr>
                <w:p>
                  <w:pPr>
                    <w:spacing w:line="240" w:lineRule="auto"/>
                    <w:jc w:val="center"/>
                    <w:rPr>
                      <w:u w:val="single"/>
                    </w:rPr>
                  </w:pPr>
                  <w:r>
                    <w:rPr>
                      <w:rFonts w:hint="eastAsia"/>
                      <w:u w:val="single"/>
                      <w:lang w:val="en-US" w:eastAsia="zh-CN"/>
                    </w:rPr>
                    <w:t>二氧化硫</w:t>
                  </w:r>
                </w:p>
              </w:tc>
              <w:tc>
                <w:tcPr>
                  <w:tcW w:w="829" w:type="pct"/>
                  <w:tcBorders>
                    <w:tl2br w:val="nil"/>
                    <w:tr2bl w:val="nil"/>
                  </w:tcBorders>
                  <w:vAlign w:val="center"/>
                </w:tcPr>
                <w:p>
                  <w:pPr>
                    <w:spacing w:line="240" w:lineRule="auto"/>
                    <w:jc w:val="center"/>
                    <w:rPr>
                      <w:u w:val="single"/>
                    </w:rPr>
                  </w:pPr>
                  <w:r>
                    <w:rPr>
                      <w:rFonts w:hint="eastAsia"/>
                      <w:u w:val="single"/>
                      <w:lang w:val="en-US" w:eastAsia="zh-CN"/>
                    </w:rPr>
                    <w:t>18.56</w:t>
                  </w:r>
                </w:p>
              </w:tc>
              <w:tc>
                <w:tcPr>
                  <w:tcW w:w="838" w:type="pct"/>
                  <w:tcBorders>
                    <w:tl2br w:val="nil"/>
                    <w:tr2bl w:val="nil"/>
                  </w:tcBorders>
                  <w:vAlign w:val="center"/>
                </w:tcPr>
                <w:p>
                  <w:pPr>
                    <w:spacing w:line="240" w:lineRule="auto"/>
                    <w:jc w:val="center"/>
                    <w:rPr>
                      <w:rFonts w:hint="default" w:eastAsia="宋体"/>
                      <w:u w:val="single"/>
                      <w:lang w:val="en-US" w:eastAsia="zh-CN"/>
                    </w:rPr>
                  </w:pPr>
                  <w:r>
                    <w:rPr>
                      <w:rFonts w:hint="eastAsia"/>
                      <w:u w:val="single"/>
                      <w:lang w:val="en-US" w:eastAsia="zh-CN"/>
                    </w:rPr>
                    <w:t>0.068</w:t>
                  </w:r>
                </w:p>
              </w:tc>
              <w:tc>
                <w:tcPr>
                  <w:tcW w:w="1390" w:type="dxa"/>
                  <w:tcBorders>
                    <w:tl2br w:val="nil"/>
                    <w:tr2bl w:val="nil"/>
                  </w:tcBorders>
                  <w:vAlign w:val="center"/>
                </w:tcPr>
                <w:p>
                  <w:pPr>
                    <w:spacing w:line="240" w:lineRule="auto"/>
                    <w:jc w:val="center"/>
                    <w:rPr>
                      <w:rFonts w:hint="default" w:eastAsia="宋体"/>
                      <w:u w:val="single"/>
                      <w:lang w:val="en-US" w:eastAsia="zh-CN"/>
                    </w:rPr>
                  </w:pPr>
                  <w:r>
                    <w:rPr>
                      <w:rFonts w:hint="eastAsia"/>
                      <w:u w:val="single"/>
                      <w:lang w:val="en-US" w:eastAsia="zh-CN"/>
                    </w:rPr>
                    <w:t>0.10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9" w:type="pct"/>
                  <w:vMerge w:val="continue"/>
                  <w:tcBorders>
                    <w:tl2br w:val="nil"/>
                    <w:tr2bl w:val="nil"/>
                  </w:tcBorders>
                  <w:vAlign w:val="center"/>
                </w:tcPr>
                <w:p>
                  <w:pPr>
                    <w:spacing w:line="240" w:lineRule="auto"/>
                    <w:jc w:val="center"/>
                    <w:rPr>
                      <w:u w:val="single"/>
                    </w:rPr>
                  </w:pPr>
                </w:p>
              </w:tc>
              <w:tc>
                <w:tcPr>
                  <w:tcW w:w="832" w:type="pct"/>
                  <w:vMerge w:val="continue"/>
                  <w:tcBorders>
                    <w:tl2br w:val="nil"/>
                    <w:tr2bl w:val="nil"/>
                  </w:tcBorders>
                  <w:vAlign w:val="center"/>
                </w:tcPr>
                <w:p>
                  <w:pPr>
                    <w:spacing w:line="240" w:lineRule="auto"/>
                    <w:jc w:val="center"/>
                    <w:rPr>
                      <w:u w:val="single"/>
                    </w:rPr>
                  </w:pPr>
                </w:p>
              </w:tc>
              <w:tc>
                <w:tcPr>
                  <w:tcW w:w="829" w:type="pct"/>
                  <w:tcBorders>
                    <w:tl2br w:val="nil"/>
                    <w:tr2bl w:val="nil"/>
                  </w:tcBorders>
                  <w:vAlign w:val="center"/>
                </w:tcPr>
                <w:p>
                  <w:pPr>
                    <w:spacing w:line="240" w:lineRule="auto"/>
                    <w:jc w:val="center"/>
                    <w:rPr>
                      <w:u w:val="single"/>
                    </w:rPr>
                  </w:pPr>
                  <w:r>
                    <w:rPr>
                      <w:rFonts w:hint="eastAsia"/>
                      <w:u w:val="single"/>
                      <w:lang w:val="en-US" w:eastAsia="zh-CN"/>
                    </w:rPr>
                    <w:t>氮氧化物</w:t>
                  </w:r>
                </w:p>
              </w:tc>
              <w:tc>
                <w:tcPr>
                  <w:tcW w:w="829" w:type="pct"/>
                  <w:tcBorders>
                    <w:tl2br w:val="nil"/>
                    <w:tr2bl w:val="nil"/>
                  </w:tcBorders>
                  <w:vAlign w:val="center"/>
                </w:tcPr>
                <w:p>
                  <w:pPr>
                    <w:spacing w:line="240" w:lineRule="auto"/>
                    <w:jc w:val="center"/>
                    <w:rPr>
                      <w:u w:val="single"/>
                    </w:rPr>
                  </w:pPr>
                  <w:r>
                    <w:rPr>
                      <w:rFonts w:hint="eastAsia"/>
                      <w:u w:val="single"/>
                      <w:lang w:val="en-US" w:eastAsia="zh-CN"/>
                    </w:rPr>
                    <w:t>147.28</w:t>
                  </w:r>
                </w:p>
              </w:tc>
              <w:tc>
                <w:tcPr>
                  <w:tcW w:w="838" w:type="pct"/>
                  <w:tcBorders>
                    <w:tl2br w:val="nil"/>
                    <w:tr2bl w:val="nil"/>
                  </w:tcBorders>
                  <w:vAlign w:val="center"/>
                </w:tcPr>
                <w:p>
                  <w:pPr>
                    <w:spacing w:line="240" w:lineRule="auto"/>
                    <w:jc w:val="center"/>
                    <w:rPr>
                      <w:rFonts w:hint="default" w:eastAsia="宋体"/>
                      <w:u w:val="single"/>
                      <w:lang w:val="en-US" w:eastAsia="zh-CN"/>
                    </w:rPr>
                  </w:pPr>
                  <w:r>
                    <w:rPr>
                      <w:rFonts w:hint="eastAsia"/>
                      <w:u w:val="single"/>
                      <w:lang w:val="en-US" w:eastAsia="zh-CN"/>
                    </w:rPr>
                    <w:t>0.540</w:t>
                  </w:r>
                </w:p>
              </w:tc>
              <w:tc>
                <w:tcPr>
                  <w:tcW w:w="1390" w:type="dxa"/>
                  <w:tcBorders>
                    <w:tl2br w:val="nil"/>
                    <w:tr2bl w:val="nil"/>
                  </w:tcBorders>
                  <w:vAlign w:val="center"/>
                </w:tcPr>
                <w:p>
                  <w:pPr>
                    <w:spacing w:line="240" w:lineRule="auto"/>
                    <w:jc w:val="center"/>
                    <w:rPr>
                      <w:rFonts w:hint="default" w:eastAsia="宋体"/>
                      <w:u w:val="single"/>
                      <w:lang w:val="en-US" w:eastAsia="zh-CN"/>
                    </w:rPr>
                  </w:pPr>
                  <w:r>
                    <w:rPr>
                      <w:rFonts w:hint="eastAsia"/>
                      <w:u w:val="single"/>
                      <w:lang w:val="en-US" w:eastAsia="zh-CN"/>
                    </w:rPr>
                    <w:t>0.79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9" w:type="pct"/>
                  <w:vMerge w:val="continue"/>
                  <w:tcBorders>
                    <w:tl2br w:val="nil"/>
                    <w:tr2bl w:val="nil"/>
                  </w:tcBorders>
                  <w:vAlign w:val="center"/>
                </w:tcPr>
                <w:p>
                  <w:pPr>
                    <w:spacing w:line="240" w:lineRule="auto"/>
                    <w:jc w:val="center"/>
                    <w:rPr>
                      <w:u w:val="single"/>
                    </w:rPr>
                  </w:pPr>
                </w:p>
              </w:tc>
              <w:tc>
                <w:tcPr>
                  <w:tcW w:w="832" w:type="pct"/>
                  <w:vMerge w:val="continue"/>
                  <w:tcBorders>
                    <w:tl2br w:val="nil"/>
                    <w:tr2bl w:val="nil"/>
                  </w:tcBorders>
                  <w:vAlign w:val="center"/>
                </w:tcPr>
                <w:p>
                  <w:pPr>
                    <w:spacing w:line="240" w:lineRule="auto"/>
                    <w:jc w:val="center"/>
                    <w:rPr>
                      <w:u w:val="single"/>
                    </w:rPr>
                  </w:pPr>
                </w:p>
              </w:tc>
              <w:tc>
                <w:tcPr>
                  <w:tcW w:w="829" w:type="pct"/>
                  <w:tcBorders>
                    <w:tl2br w:val="nil"/>
                    <w:tr2bl w:val="nil"/>
                  </w:tcBorders>
                  <w:vAlign w:val="center"/>
                </w:tcPr>
                <w:p>
                  <w:pPr>
                    <w:spacing w:line="240" w:lineRule="auto"/>
                    <w:jc w:val="center"/>
                    <w:rPr>
                      <w:u w:val="single"/>
                    </w:rPr>
                  </w:pPr>
                  <w:r>
                    <w:rPr>
                      <w:rFonts w:hint="eastAsia"/>
                      <w:u w:val="single"/>
                      <w:lang w:val="en-US" w:eastAsia="zh-CN"/>
                    </w:rPr>
                    <w:t>烟尘</w:t>
                  </w:r>
                </w:p>
              </w:tc>
              <w:tc>
                <w:tcPr>
                  <w:tcW w:w="829" w:type="pct"/>
                  <w:tcBorders>
                    <w:tl2br w:val="nil"/>
                    <w:tr2bl w:val="nil"/>
                  </w:tcBorders>
                  <w:vAlign w:val="center"/>
                </w:tcPr>
                <w:p>
                  <w:pPr>
                    <w:spacing w:line="240" w:lineRule="auto"/>
                    <w:jc w:val="center"/>
                    <w:rPr>
                      <w:u w:val="single"/>
                    </w:rPr>
                  </w:pPr>
                  <w:r>
                    <w:rPr>
                      <w:rFonts w:hint="eastAsia"/>
                      <w:u w:val="single"/>
                      <w:lang w:val="en-US" w:eastAsia="zh-CN"/>
                    </w:rPr>
                    <w:t>22.27</w:t>
                  </w:r>
                </w:p>
              </w:tc>
              <w:tc>
                <w:tcPr>
                  <w:tcW w:w="838" w:type="pct"/>
                  <w:tcBorders>
                    <w:tl2br w:val="nil"/>
                    <w:tr2bl w:val="nil"/>
                  </w:tcBorders>
                  <w:vAlign w:val="center"/>
                </w:tcPr>
                <w:p>
                  <w:pPr>
                    <w:spacing w:line="240" w:lineRule="auto"/>
                    <w:jc w:val="center"/>
                    <w:rPr>
                      <w:rFonts w:hint="default" w:eastAsia="宋体"/>
                      <w:u w:val="single"/>
                      <w:lang w:val="en-US" w:eastAsia="zh-CN"/>
                    </w:rPr>
                  </w:pPr>
                  <w:r>
                    <w:rPr>
                      <w:rFonts w:hint="eastAsia"/>
                      <w:u w:val="single"/>
                      <w:lang w:val="en-US" w:eastAsia="zh-CN"/>
                    </w:rPr>
                    <w:t>0.082</w:t>
                  </w:r>
                </w:p>
              </w:tc>
              <w:tc>
                <w:tcPr>
                  <w:tcW w:w="1390" w:type="dxa"/>
                  <w:tcBorders>
                    <w:tl2br w:val="nil"/>
                    <w:tr2bl w:val="nil"/>
                  </w:tcBorders>
                  <w:vAlign w:val="center"/>
                </w:tcPr>
                <w:p>
                  <w:pPr>
                    <w:spacing w:line="240" w:lineRule="auto"/>
                    <w:jc w:val="center"/>
                    <w:rPr>
                      <w:rFonts w:hint="default" w:eastAsia="宋体"/>
                      <w:u w:val="single"/>
                      <w:lang w:val="en-US" w:eastAsia="zh-CN"/>
                    </w:rPr>
                  </w:pPr>
                  <w:r>
                    <w:rPr>
                      <w:rFonts w:hint="eastAsia"/>
                      <w:u w:val="single"/>
                      <w:lang w:val="en-US" w:eastAsia="zh-CN"/>
                    </w:rPr>
                    <w:t>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9" w:type="pct"/>
                  <w:tcBorders>
                    <w:tl2br w:val="nil"/>
                    <w:tr2bl w:val="nil"/>
                  </w:tcBorders>
                  <w:vAlign w:val="center"/>
                </w:tcPr>
                <w:p>
                  <w:pPr>
                    <w:spacing w:line="240" w:lineRule="auto"/>
                    <w:jc w:val="center"/>
                    <w:rPr>
                      <w:rFonts w:hint="eastAsia" w:eastAsia="宋体"/>
                      <w:lang w:val="en-US" w:eastAsia="zh-CN"/>
                    </w:rPr>
                  </w:pPr>
                  <w:r>
                    <w:rPr>
                      <w:rFonts w:hint="eastAsia"/>
                      <w:lang w:val="en-US" w:eastAsia="zh-CN"/>
                    </w:rPr>
                    <w:t>2</w:t>
                  </w:r>
                </w:p>
              </w:tc>
              <w:tc>
                <w:tcPr>
                  <w:tcW w:w="832" w:type="pct"/>
                  <w:tcBorders>
                    <w:tl2br w:val="nil"/>
                    <w:tr2bl w:val="nil"/>
                  </w:tcBorders>
                  <w:vAlign w:val="center"/>
                </w:tcPr>
                <w:p>
                  <w:pPr>
                    <w:spacing w:line="240" w:lineRule="auto"/>
                    <w:jc w:val="center"/>
                    <w:rPr>
                      <w:rFonts w:hint="eastAsia" w:eastAsia="宋体"/>
                      <w:lang w:eastAsia="zh-CN"/>
                    </w:rPr>
                  </w:pPr>
                  <w:r>
                    <w:rPr>
                      <w:rFonts w:hint="eastAsia"/>
                    </w:rPr>
                    <w:t>DA00</w:t>
                  </w:r>
                  <w:r>
                    <w:rPr>
                      <w:rFonts w:hint="eastAsia"/>
                      <w:lang w:val="en-US" w:eastAsia="zh-CN"/>
                    </w:rPr>
                    <w:t>2</w:t>
                  </w:r>
                </w:p>
              </w:tc>
              <w:tc>
                <w:tcPr>
                  <w:tcW w:w="829" w:type="pct"/>
                  <w:tcBorders>
                    <w:tl2br w:val="nil"/>
                    <w:tr2bl w:val="nil"/>
                  </w:tcBorders>
                  <w:vAlign w:val="center"/>
                </w:tcPr>
                <w:p>
                  <w:pPr>
                    <w:spacing w:line="240" w:lineRule="auto"/>
                    <w:jc w:val="center"/>
                  </w:pPr>
                  <w:r>
                    <w:rPr>
                      <w:rFonts w:hint="eastAsia"/>
                    </w:rPr>
                    <w:t>油烟</w:t>
                  </w:r>
                </w:p>
              </w:tc>
              <w:tc>
                <w:tcPr>
                  <w:tcW w:w="829" w:type="pct"/>
                  <w:tcBorders>
                    <w:tl2br w:val="nil"/>
                    <w:tr2bl w:val="nil"/>
                  </w:tcBorders>
                  <w:vAlign w:val="center"/>
                </w:tcPr>
                <w:p>
                  <w:pPr>
                    <w:spacing w:line="240" w:lineRule="auto"/>
                    <w:jc w:val="center"/>
                    <w:rPr>
                      <w:rFonts w:hint="default" w:eastAsia="宋体"/>
                      <w:lang w:val="en-US" w:eastAsia="zh-CN"/>
                    </w:rPr>
                  </w:pPr>
                  <w:r>
                    <w:rPr>
                      <w:rFonts w:hint="eastAsia"/>
                      <w:lang w:val="en-US" w:eastAsia="zh-CN"/>
                    </w:rPr>
                    <w:t>0.28</w:t>
                  </w:r>
                </w:p>
              </w:tc>
              <w:tc>
                <w:tcPr>
                  <w:tcW w:w="838" w:type="pct"/>
                  <w:tcBorders>
                    <w:tl2br w:val="nil"/>
                    <w:tr2bl w:val="nil"/>
                  </w:tcBorders>
                  <w:vAlign w:val="center"/>
                </w:tcPr>
                <w:p>
                  <w:pPr>
                    <w:spacing w:line="240" w:lineRule="auto"/>
                    <w:jc w:val="center"/>
                    <w:rPr>
                      <w:rFonts w:hint="default" w:eastAsia="宋体"/>
                      <w:lang w:val="en-US" w:eastAsia="zh-CN"/>
                    </w:rPr>
                  </w:pPr>
                  <w:r>
                    <w:rPr>
                      <w:rFonts w:hint="eastAsia"/>
                      <w:lang w:val="en-US" w:eastAsia="zh-CN"/>
                    </w:rPr>
                    <w:t>0.003</w:t>
                  </w:r>
                </w:p>
              </w:tc>
              <w:tc>
                <w:tcPr>
                  <w:tcW w:w="840" w:type="pct"/>
                  <w:tcBorders>
                    <w:tl2br w:val="nil"/>
                    <w:tr2bl w:val="nil"/>
                  </w:tcBorders>
                  <w:vAlign w:val="center"/>
                </w:tcPr>
                <w:p>
                  <w:pPr>
                    <w:spacing w:line="240" w:lineRule="auto"/>
                    <w:jc w:val="center"/>
                    <w:rPr>
                      <w:rFonts w:hint="default" w:eastAsia="宋体"/>
                      <w:lang w:val="en-US" w:eastAsia="zh-CN"/>
                    </w:rPr>
                  </w:pPr>
                  <w:r>
                    <w:rPr>
                      <w:rFonts w:hint="eastAsia"/>
                      <w:lang w:val="en-US" w:eastAsia="zh-CN"/>
                    </w:rPr>
                    <w:t>0.0081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62" w:type="pct"/>
                  <w:gridSpan w:val="2"/>
                  <w:vMerge w:val="restart"/>
                  <w:tcBorders>
                    <w:tl2br w:val="nil"/>
                    <w:tr2bl w:val="nil"/>
                  </w:tcBorders>
                  <w:vAlign w:val="center"/>
                </w:tcPr>
                <w:p>
                  <w:pPr>
                    <w:spacing w:line="240" w:lineRule="auto"/>
                    <w:jc w:val="center"/>
                  </w:pPr>
                  <w:r>
                    <w:rPr>
                      <w:rFonts w:hint="eastAsia"/>
                    </w:rPr>
                    <w:t>有组织排放总计</w:t>
                  </w:r>
                </w:p>
              </w:tc>
              <w:tc>
                <w:tcPr>
                  <w:tcW w:w="2497" w:type="pct"/>
                  <w:gridSpan w:val="3"/>
                  <w:tcBorders>
                    <w:tl2br w:val="nil"/>
                    <w:tr2bl w:val="nil"/>
                  </w:tcBorders>
                  <w:vAlign w:val="center"/>
                </w:tcPr>
                <w:p>
                  <w:pPr>
                    <w:spacing w:line="240" w:lineRule="auto"/>
                    <w:jc w:val="center"/>
                  </w:pPr>
                  <w:r>
                    <w:rPr>
                      <w:rFonts w:hint="eastAsia"/>
                      <w:lang w:val="en-US" w:eastAsia="zh-CN"/>
                    </w:rPr>
                    <w:t>二氧化硫</w:t>
                  </w:r>
                </w:p>
              </w:tc>
              <w:tc>
                <w:tcPr>
                  <w:tcW w:w="840" w:type="pct"/>
                  <w:tcBorders>
                    <w:tl2br w:val="nil"/>
                    <w:tr2bl w:val="nil"/>
                  </w:tcBorders>
                  <w:vAlign w:val="center"/>
                </w:tcPr>
                <w:p>
                  <w:pPr>
                    <w:spacing w:line="240" w:lineRule="auto"/>
                    <w:jc w:val="center"/>
                  </w:pPr>
                  <w:r>
                    <w:rPr>
                      <w:rFonts w:hint="eastAsia"/>
                      <w:lang w:val="en-US" w:eastAsia="zh-CN"/>
                    </w:rPr>
                    <w:t>0.10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62" w:type="pct"/>
                  <w:gridSpan w:val="2"/>
                  <w:vMerge w:val="continue"/>
                  <w:tcBorders>
                    <w:tl2br w:val="nil"/>
                    <w:tr2bl w:val="nil"/>
                  </w:tcBorders>
                  <w:vAlign w:val="center"/>
                </w:tcPr>
                <w:p>
                  <w:pPr>
                    <w:spacing w:line="240" w:lineRule="auto"/>
                    <w:jc w:val="center"/>
                  </w:pPr>
                </w:p>
              </w:tc>
              <w:tc>
                <w:tcPr>
                  <w:tcW w:w="2497" w:type="pct"/>
                  <w:gridSpan w:val="3"/>
                  <w:tcBorders>
                    <w:tl2br w:val="nil"/>
                    <w:tr2bl w:val="nil"/>
                  </w:tcBorders>
                  <w:vAlign w:val="center"/>
                </w:tcPr>
                <w:p>
                  <w:pPr>
                    <w:spacing w:line="240" w:lineRule="auto"/>
                    <w:jc w:val="center"/>
                  </w:pPr>
                  <w:r>
                    <w:rPr>
                      <w:rFonts w:hint="eastAsia"/>
                      <w:lang w:val="en-US" w:eastAsia="zh-CN"/>
                    </w:rPr>
                    <w:t>氮氧化物</w:t>
                  </w:r>
                </w:p>
              </w:tc>
              <w:tc>
                <w:tcPr>
                  <w:tcW w:w="840" w:type="pct"/>
                  <w:tcBorders>
                    <w:tl2br w:val="nil"/>
                    <w:tr2bl w:val="nil"/>
                  </w:tcBorders>
                  <w:vAlign w:val="center"/>
                </w:tcPr>
                <w:p>
                  <w:pPr>
                    <w:spacing w:line="240" w:lineRule="auto"/>
                    <w:jc w:val="center"/>
                    <w:rPr>
                      <w:rFonts w:hint="default"/>
                      <w:lang w:val="en-US"/>
                    </w:rPr>
                  </w:pPr>
                  <w:r>
                    <w:rPr>
                      <w:rFonts w:hint="eastAsia"/>
                      <w:lang w:val="en-US" w:eastAsia="zh-CN"/>
                    </w:rPr>
                    <w:t>0.79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662" w:type="pct"/>
                  <w:gridSpan w:val="2"/>
                  <w:vMerge w:val="continue"/>
                  <w:tcBorders>
                    <w:tl2br w:val="nil"/>
                    <w:tr2bl w:val="nil"/>
                  </w:tcBorders>
                  <w:vAlign w:val="center"/>
                </w:tcPr>
                <w:p>
                  <w:pPr>
                    <w:spacing w:line="240" w:lineRule="auto"/>
                    <w:jc w:val="center"/>
                  </w:pPr>
                </w:p>
              </w:tc>
              <w:tc>
                <w:tcPr>
                  <w:tcW w:w="2497" w:type="pct"/>
                  <w:gridSpan w:val="3"/>
                  <w:tcBorders>
                    <w:tl2br w:val="nil"/>
                    <w:tr2bl w:val="nil"/>
                  </w:tcBorders>
                  <w:vAlign w:val="center"/>
                </w:tcPr>
                <w:p>
                  <w:pPr>
                    <w:spacing w:line="240" w:lineRule="auto"/>
                    <w:jc w:val="center"/>
                  </w:pPr>
                  <w:r>
                    <w:rPr>
                      <w:rFonts w:hint="eastAsia"/>
                      <w:lang w:val="en-US" w:eastAsia="zh-CN"/>
                    </w:rPr>
                    <w:t>烟尘</w:t>
                  </w:r>
                </w:p>
              </w:tc>
              <w:tc>
                <w:tcPr>
                  <w:tcW w:w="840" w:type="pct"/>
                  <w:tcBorders>
                    <w:tl2br w:val="nil"/>
                    <w:tr2bl w:val="nil"/>
                  </w:tcBorders>
                  <w:vAlign w:val="center"/>
                </w:tcPr>
                <w:p>
                  <w:pPr>
                    <w:spacing w:line="240" w:lineRule="auto"/>
                    <w:jc w:val="center"/>
                  </w:pPr>
                  <w:r>
                    <w:rPr>
                      <w:rFonts w:hint="eastAsia"/>
                      <w:lang w:val="en-US" w:eastAsia="zh-CN"/>
                    </w:rPr>
                    <w:t>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62" w:type="pct"/>
                  <w:gridSpan w:val="2"/>
                  <w:vMerge w:val="continue"/>
                  <w:tcBorders>
                    <w:tl2br w:val="nil"/>
                    <w:tr2bl w:val="nil"/>
                  </w:tcBorders>
                  <w:vAlign w:val="center"/>
                </w:tcPr>
                <w:p>
                  <w:pPr>
                    <w:spacing w:line="240" w:lineRule="auto"/>
                    <w:jc w:val="center"/>
                  </w:pPr>
                </w:p>
              </w:tc>
              <w:tc>
                <w:tcPr>
                  <w:tcW w:w="2497" w:type="pct"/>
                  <w:gridSpan w:val="3"/>
                  <w:tcBorders>
                    <w:tl2br w:val="nil"/>
                    <w:tr2bl w:val="nil"/>
                  </w:tcBorders>
                  <w:vAlign w:val="center"/>
                </w:tcPr>
                <w:p>
                  <w:pPr>
                    <w:spacing w:line="240" w:lineRule="auto"/>
                    <w:jc w:val="center"/>
                    <w:rPr>
                      <w:rFonts w:hint="eastAsia" w:eastAsia="宋体"/>
                      <w:lang w:val="en-US" w:eastAsia="zh-CN"/>
                    </w:rPr>
                  </w:pPr>
                  <w:r>
                    <w:rPr>
                      <w:rFonts w:hint="eastAsia"/>
                      <w:lang w:val="en-US" w:eastAsia="zh-CN"/>
                    </w:rPr>
                    <w:t>油烟</w:t>
                  </w:r>
                </w:p>
              </w:tc>
              <w:tc>
                <w:tcPr>
                  <w:tcW w:w="840" w:type="pct"/>
                  <w:tcBorders>
                    <w:tl2br w:val="nil"/>
                    <w:tr2bl w:val="nil"/>
                  </w:tcBorders>
                  <w:vAlign w:val="center"/>
                </w:tcPr>
                <w:p>
                  <w:pPr>
                    <w:spacing w:line="240" w:lineRule="auto"/>
                    <w:jc w:val="center"/>
                    <w:rPr>
                      <w:rFonts w:hint="default" w:eastAsia="宋体"/>
                      <w:lang w:val="en-US" w:eastAsia="zh-CN"/>
                    </w:rPr>
                  </w:pPr>
                  <w:r>
                    <w:rPr>
                      <w:rFonts w:hint="eastAsia"/>
                      <w:lang w:val="en-US" w:eastAsia="zh-CN"/>
                    </w:rPr>
                    <w:t>0.0081</w:t>
                  </w:r>
                </w:p>
              </w:tc>
            </w:tr>
          </w:tbl>
          <w:p>
            <w:pPr>
              <w:spacing w:line="240" w:lineRule="auto"/>
              <w:jc w:val="center"/>
              <w:rPr>
                <w:rFonts w:hint="eastAsia"/>
                <w:b/>
                <w:bCs/>
              </w:rPr>
            </w:pPr>
          </w:p>
          <w:p>
            <w:pPr>
              <w:spacing w:line="240" w:lineRule="auto"/>
              <w:jc w:val="center"/>
              <w:rPr>
                <w:b/>
                <w:bCs/>
              </w:rPr>
            </w:pPr>
            <w:r>
              <w:rPr>
                <w:rFonts w:hint="eastAsia"/>
                <w:b/>
                <w:bCs/>
              </w:rPr>
              <w:t>表4-1</w:t>
            </w:r>
            <w:r>
              <w:rPr>
                <w:rFonts w:hint="eastAsia"/>
                <w:b/>
                <w:bCs/>
                <w:lang w:val="en-US" w:eastAsia="zh-CN"/>
              </w:rPr>
              <w:t>0</w:t>
            </w:r>
            <w:r>
              <w:rPr>
                <w:rFonts w:hint="eastAsia"/>
                <w:b/>
                <w:bCs/>
              </w:rPr>
              <w:t xml:space="preserve">  运营期废气排放源情况汇总表</w:t>
            </w:r>
          </w:p>
          <w:tbl>
            <w:tblPr>
              <w:tblStyle w:val="26"/>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42"/>
              <w:gridCol w:w="1237"/>
              <w:gridCol w:w="1337"/>
              <w:gridCol w:w="1527"/>
              <w:gridCol w:w="22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72" w:type="pct"/>
                  <w:tcBorders>
                    <w:tl2br w:val="nil"/>
                    <w:tr2bl w:val="nil"/>
                  </w:tcBorders>
                  <w:vAlign w:val="center"/>
                </w:tcPr>
                <w:p>
                  <w:pPr>
                    <w:numPr>
                      <w:ilvl w:val="255"/>
                      <w:numId w:val="0"/>
                    </w:numPr>
                    <w:spacing w:line="240" w:lineRule="auto"/>
                    <w:jc w:val="center"/>
                    <w:rPr>
                      <w:b/>
                      <w:bCs/>
                      <w:szCs w:val="21"/>
                    </w:rPr>
                  </w:pPr>
                  <w:r>
                    <w:rPr>
                      <w:rFonts w:hint="eastAsia"/>
                      <w:b/>
                      <w:bCs/>
                      <w:szCs w:val="21"/>
                    </w:rPr>
                    <w:t>污染物</w:t>
                  </w:r>
                </w:p>
              </w:tc>
              <w:tc>
                <w:tcPr>
                  <w:tcW w:w="747" w:type="pct"/>
                  <w:tcBorders>
                    <w:tl2br w:val="nil"/>
                    <w:tr2bl w:val="nil"/>
                  </w:tcBorders>
                  <w:vAlign w:val="center"/>
                </w:tcPr>
                <w:p>
                  <w:pPr>
                    <w:numPr>
                      <w:ilvl w:val="255"/>
                      <w:numId w:val="0"/>
                    </w:numPr>
                    <w:spacing w:line="240" w:lineRule="auto"/>
                    <w:jc w:val="center"/>
                    <w:rPr>
                      <w:b/>
                      <w:bCs/>
                      <w:szCs w:val="21"/>
                    </w:rPr>
                  </w:pPr>
                  <w:r>
                    <w:rPr>
                      <w:rFonts w:hint="eastAsia"/>
                      <w:b/>
                      <w:bCs/>
                      <w:lang w:val="en-US" w:eastAsia="zh-CN"/>
                    </w:rPr>
                    <w:t>二氧化硫</w:t>
                  </w:r>
                </w:p>
              </w:tc>
              <w:tc>
                <w:tcPr>
                  <w:tcW w:w="807" w:type="pct"/>
                  <w:tcBorders>
                    <w:tl2br w:val="nil"/>
                    <w:tr2bl w:val="nil"/>
                  </w:tcBorders>
                  <w:vAlign w:val="center"/>
                </w:tcPr>
                <w:p>
                  <w:pPr>
                    <w:numPr>
                      <w:ilvl w:val="255"/>
                      <w:numId w:val="0"/>
                    </w:numPr>
                    <w:spacing w:line="240" w:lineRule="auto"/>
                    <w:jc w:val="center"/>
                    <w:rPr>
                      <w:b/>
                      <w:bCs/>
                      <w:szCs w:val="21"/>
                    </w:rPr>
                  </w:pPr>
                  <w:r>
                    <w:rPr>
                      <w:rFonts w:hint="eastAsia"/>
                      <w:b/>
                      <w:bCs/>
                      <w:lang w:val="en-US" w:eastAsia="zh-CN"/>
                    </w:rPr>
                    <w:t>氮氧化物</w:t>
                  </w:r>
                </w:p>
              </w:tc>
              <w:tc>
                <w:tcPr>
                  <w:tcW w:w="922" w:type="pct"/>
                  <w:tcBorders>
                    <w:tl2br w:val="nil"/>
                    <w:tr2bl w:val="nil"/>
                  </w:tcBorders>
                  <w:vAlign w:val="center"/>
                </w:tcPr>
                <w:p>
                  <w:pPr>
                    <w:numPr>
                      <w:ilvl w:val="255"/>
                      <w:numId w:val="0"/>
                    </w:numPr>
                    <w:spacing w:line="240" w:lineRule="auto"/>
                    <w:jc w:val="center"/>
                    <w:rPr>
                      <w:b/>
                      <w:bCs/>
                      <w:szCs w:val="21"/>
                    </w:rPr>
                  </w:pPr>
                  <w:r>
                    <w:rPr>
                      <w:rFonts w:hint="eastAsia"/>
                      <w:b/>
                      <w:bCs/>
                      <w:lang w:val="en-US" w:eastAsia="zh-CN"/>
                    </w:rPr>
                    <w:t>烟尘</w:t>
                  </w:r>
                </w:p>
              </w:tc>
              <w:tc>
                <w:tcPr>
                  <w:tcW w:w="1349" w:type="pct"/>
                  <w:tcBorders>
                    <w:tl2br w:val="nil"/>
                    <w:tr2bl w:val="nil"/>
                  </w:tcBorders>
                  <w:vAlign w:val="center"/>
                </w:tcPr>
                <w:p>
                  <w:pPr>
                    <w:numPr>
                      <w:ilvl w:val="255"/>
                      <w:numId w:val="0"/>
                    </w:numPr>
                    <w:spacing w:line="240" w:lineRule="auto"/>
                    <w:jc w:val="center"/>
                    <w:rPr>
                      <w:b/>
                      <w:bCs/>
                      <w:szCs w:val="21"/>
                    </w:rPr>
                  </w:pPr>
                  <w:r>
                    <w:rPr>
                      <w:rFonts w:hint="eastAsia"/>
                      <w:b/>
                      <w:bCs/>
                      <w:szCs w:val="21"/>
                    </w:rPr>
                    <w:t>油烟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72" w:type="pct"/>
                  <w:tcBorders>
                    <w:tl2br w:val="nil"/>
                    <w:tr2bl w:val="nil"/>
                  </w:tcBorders>
                  <w:vAlign w:val="center"/>
                </w:tcPr>
                <w:p>
                  <w:pPr>
                    <w:numPr>
                      <w:ilvl w:val="255"/>
                      <w:numId w:val="0"/>
                    </w:numPr>
                    <w:spacing w:line="240" w:lineRule="auto"/>
                    <w:jc w:val="center"/>
                    <w:rPr>
                      <w:b/>
                      <w:bCs/>
                      <w:szCs w:val="21"/>
                    </w:rPr>
                  </w:pPr>
                  <w:r>
                    <w:rPr>
                      <w:rFonts w:hint="eastAsia"/>
                      <w:szCs w:val="21"/>
                    </w:rPr>
                    <w:t>年排放量（</w:t>
                  </w:r>
                  <w:r>
                    <w:rPr>
                      <w:rFonts w:hint="eastAsia"/>
                      <w:szCs w:val="21"/>
                      <w:lang w:val="en-US" w:eastAsia="zh-CN"/>
                    </w:rPr>
                    <w:t>t</w:t>
                  </w:r>
                  <w:r>
                    <w:rPr>
                      <w:rFonts w:hint="eastAsia"/>
                      <w:szCs w:val="21"/>
                    </w:rPr>
                    <w:t>/a）</w:t>
                  </w:r>
                </w:p>
              </w:tc>
              <w:tc>
                <w:tcPr>
                  <w:tcW w:w="747" w:type="pct"/>
                  <w:tcBorders>
                    <w:tl2br w:val="nil"/>
                    <w:tr2bl w:val="nil"/>
                  </w:tcBorders>
                  <w:vAlign w:val="center"/>
                </w:tcPr>
                <w:p>
                  <w:pPr>
                    <w:numPr>
                      <w:ilvl w:val="255"/>
                      <w:numId w:val="0"/>
                    </w:numPr>
                    <w:spacing w:line="240" w:lineRule="auto"/>
                    <w:jc w:val="center"/>
                    <w:rPr>
                      <w:szCs w:val="21"/>
                    </w:rPr>
                  </w:pPr>
                  <w:r>
                    <w:rPr>
                      <w:rFonts w:hint="eastAsia"/>
                      <w:lang w:val="en-US" w:eastAsia="zh-CN"/>
                    </w:rPr>
                    <w:t>0.10</w:t>
                  </w:r>
                </w:p>
              </w:tc>
              <w:tc>
                <w:tcPr>
                  <w:tcW w:w="807" w:type="pct"/>
                  <w:tcBorders>
                    <w:tl2br w:val="nil"/>
                    <w:tr2bl w:val="nil"/>
                  </w:tcBorders>
                  <w:vAlign w:val="center"/>
                </w:tcPr>
                <w:p>
                  <w:pPr>
                    <w:numPr>
                      <w:ilvl w:val="255"/>
                      <w:numId w:val="0"/>
                    </w:numPr>
                    <w:spacing w:line="240" w:lineRule="auto"/>
                    <w:jc w:val="center"/>
                    <w:rPr>
                      <w:rFonts w:hint="default"/>
                      <w:szCs w:val="21"/>
                      <w:lang w:val="en-US"/>
                    </w:rPr>
                  </w:pPr>
                  <w:r>
                    <w:rPr>
                      <w:rFonts w:hint="eastAsia"/>
                      <w:lang w:val="en-US" w:eastAsia="zh-CN"/>
                    </w:rPr>
                    <w:t>0.79</w:t>
                  </w:r>
                </w:p>
              </w:tc>
              <w:tc>
                <w:tcPr>
                  <w:tcW w:w="922" w:type="pct"/>
                  <w:tcBorders>
                    <w:tl2br w:val="nil"/>
                    <w:tr2bl w:val="nil"/>
                  </w:tcBorders>
                  <w:vAlign w:val="center"/>
                </w:tcPr>
                <w:p>
                  <w:pPr>
                    <w:numPr>
                      <w:ilvl w:val="255"/>
                      <w:numId w:val="0"/>
                    </w:numPr>
                    <w:spacing w:line="240" w:lineRule="auto"/>
                    <w:jc w:val="center"/>
                    <w:rPr>
                      <w:szCs w:val="21"/>
                    </w:rPr>
                  </w:pPr>
                  <w:r>
                    <w:rPr>
                      <w:rFonts w:hint="eastAsia"/>
                      <w:lang w:val="en-US" w:eastAsia="zh-CN"/>
                    </w:rPr>
                    <w:t>0.12</w:t>
                  </w:r>
                </w:p>
              </w:tc>
              <w:tc>
                <w:tcPr>
                  <w:tcW w:w="1349" w:type="pct"/>
                  <w:tcBorders>
                    <w:tl2br w:val="nil"/>
                    <w:tr2bl w:val="nil"/>
                  </w:tcBorders>
                  <w:vAlign w:val="center"/>
                </w:tcPr>
                <w:p>
                  <w:pPr>
                    <w:numPr>
                      <w:ilvl w:val="255"/>
                      <w:numId w:val="0"/>
                    </w:numPr>
                    <w:spacing w:line="240" w:lineRule="auto"/>
                    <w:jc w:val="center"/>
                    <w:rPr>
                      <w:szCs w:val="21"/>
                    </w:rPr>
                  </w:pPr>
                  <w:r>
                    <w:rPr>
                      <w:rFonts w:hint="eastAsia"/>
                      <w:lang w:val="en-US" w:eastAsia="zh-CN"/>
                    </w:rPr>
                    <w:t>0.0081</w:t>
                  </w:r>
                </w:p>
              </w:tc>
            </w:tr>
          </w:tbl>
          <w:p>
            <w:pPr>
              <w:numPr>
                <w:ilvl w:val="255"/>
                <w:numId w:val="0"/>
              </w:numPr>
              <w:spacing w:line="240" w:lineRule="auto"/>
              <w:jc w:val="center"/>
              <w:rPr>
                <w:rFonts w:hint="eastAsia"/>
                <w:b/>
                <w:bCs/>
                <w:szCs w:val="21"/>
              </w:rPr>
            </w:pPr>
          </w:p>
          <w:p>
            <w:pPr>
              <w:spacing w:line="360" w:lineRule="auto"/>
              <w:rPr>
                <w:rFonts w:hint="eastAsia"/>
                <w:b/>
                <w:bCs/>
                <w:color w:val="auto"/>
                <w:sz w:val="24"/>
                <w:u w:val="single"/>
                <w:lang w:val="en-US" w:eastAsia="zh-CN"/>
              </w:rPr>
            </w:pPr>
            <w:r>
              <w:rPr>
                <w:rFonts w:hint="eastAsia"/>
                <w:b/>
                <w:bCs/>
                <w:color w:val="auto"/>
                <w:sz w:val="24"/>
                <w:u w:val="single"/>
                <w:lang w:val="en-US" w:eastAsia="zh-CN"/>
              </w:rPr>
              <w:t>（四）排污口设置情况及监测计划</w:t>
            </w:r>
          </w:p>
          <w:p>
            <w:pPr>
              <w:numPr>
                <w:ilvl w:val="0"/>
                <w:numId w:val="0"/>
              </w:numPr>
              <w:spacing w:line="360" w:lineRule="auto"/>
              <w:ind w:leftChars="0" w:firstLine="482" w:firstLineChars="200"/>
              <w:jc w:val="both"/>
              <w:rPr>
                <w:rFonts w:hint="eastAsia"/>
                <w:b/>
                <w:bCs/>
                <w:color w:val="auto"/>
                <w:sz w:val="24"/>
                <w:u w:val="single"/>
                <w:lang w:val="en-US" w:eastAsia="zh-CN"/>
              </w:rPr>
            </w:pPr>
            <w:r>
              <w:rPr>
                <w:rFonts w:hint="eastAsia"/>
                <w:b/>
                <w:bCs/>
                <w:color w:val="auto"/>
                <w:sz w:val="24"/>
                <w:u w:val="single"/>
                <w:lang w:val="en-US" w:eastAsia="zh-CN"/>
              </w:rPr>
              <w:fldChar w:fldCharType="begin"/>
            </w:r>
            <w:r>
              <w:rPr>
                <w:rFonts w:hint="eastAsia"/>
                <w:b/>
                <w:bCs/>
                <w:color w:val="auto"/>
                <w:sz w:val="24"/>
                <w:u w:val="single"/>
                <w:lang w:val="en-US" w:eastAsia="zh-CN"/>
              </w:rPr>
              <w:instrText xml:space="preserve"> = 1 \* GB3 \* MERGEFORMAT </w:instrText>
            </w:r>
            <w:r>
              <w:rPr>
                <w:rFonts w:hint="eastAsia"/>
                <w:b/>
                <w:bCs/>
                <w:color w:val="auto"/>
                <w:sz w:val="24"/>
                <w:u w:val="single"/>
                <w:lang w:val="en-US" w:eastAsia="zh-CN"/>
              </w:rPr>
              <w:fldChar w:fldCharType="separate"/>
            </w:r>
            <w:r>
              <w:rPr>
                <w:rFonts w:hint="eastAsia"/>
                <w:b/>
                <w:bCs/>
                <w:color w:val="auto"/>
                <w:sz w:val="24"/>
                <w:u w:val="single"/>
                <w:lang w:val="en-US" w:eastAsia="zh-CN"/>
              </w:rPr>
              <w:t>①</w:t>
            </w:r>
            <w:r>
              <w:rPr>
                <w:rFonts w:hint="eastAsia"/>
                <w:b/>
                <w:bCs/>
                <w:color w:val="auto"/>
                <w:sz w:val="24"/>
                <w:u w:val="single"/>
                <w:lang w:val="en-US" w:eastAsia="zh-CN"/>
              </w:rPr>
              <w:fldChar w:fldCharType="end"/>
            </w:r>
            <w:r>
              <w:rPr>
                <w:rFonts w:hint="eastAsia"/>
                <w:b/>
                <w:bCs/>
                <w:color w:val="auto"/>
                <w:sz w:val="24"/>
                <w:u w:val="single"/>
                <w:lang w:val="en-US" w:eastAsia="zh-CN"/>
              </w:rPr>
              <w:t>排污口设置情况</w:t>
            </w:r>
          </w:p>
          <w:p>
            <w:pPr>
              <w:spacing w:line="360" w:lineRule="auto"/>
              <w:ind w:firstLine="480" w:firstLineChars="200"/>
              <w:rPr>
                <w:sz w:val="24"/>
                <w:u w:val="single"/>
              </w:rPr>
            </w:pPr>
            <w:r>
              <w:rPr>
                <w:sz w:val="24"/>
                <w:u w:val="single"/>
              </w:rPr>
              <w:t>根据《</w:t>
            </w:r>
            <w:r>
              <w:rPr>
                <w:rFonts w:hint="eastAsia"/>
                <w:sz w:val="24"/>
                <w:u w:val="single"/>
                <w:lang w:val="en-US" w:eastAsia="zh-CN"/>
              </w:rPr>
              <w:t>锅炉</w:t>
            </w:r>
            <w:r>
              <w:rPr>
                <w:sz w:val="24"/>
                <w:u w:val="single"/>
              </w:rPr>
              <w:t>污染物综合排放标准》（GB1</w:t>
            </w:r>
            <w:r>
              <w:rPr>
                <w:rFonts w:hint="eastAsia"/>
                <w:sz w:val="24"/>
                <w:u w:val="single"/>
                <w:lang w:val="en-US" w:eastAsia="zh-CN"/>
              </w:rPr>
              <w:t>3271</w:t>
            </w:r>
            <w:r>
              <w:rPr>
                <w:sz w:val="24"/>
                <w:u w:val="single"/>
              </w:rPr>
              <w:t>-1</w:t>
            </w:r>
            <w:r>
              <w:rPr>
                <w:rFonts w:hint="eastAsia"/>
                <w:sz w:val="24"/>
                <w:u w:val="single"/>
                <w:lang w:val="en-US" w:eastAsia="zh-CN"/>
              </w:rPr>
              <w:t>014</w:t>
            </w:r>
            <w:r>
              <w:rPr>
                <w:sz w:val="24"/>
                <w:u w:val="single"/>
              </w:rPr>
              <w:t>）相关规定，</w:t>
            </w:r>
            <w:r>
              <w:rPr>
                <w:rFonts w:hint="eastAsia"/>
                <w:sz w:val="24"/>
                <w:u w:val="single"/>
                <w:lang w:val="en-US" w:eastAsia="zh-CN"/>
              </w:rPr>
              <w:t>燃气烟囱</w:t>
            </w:r>
            <w:r>
              <w:rPr>
                <w:sz w:val="24"/>
                <w:u w:val="single"/>
              </w:rPr>
              <w:t>高度不应低于</w:t>
            </w:r>
            <w:r>
              <w:rPr>
                <w:rFonts w:hint="eastAsia"/>
                <w:sz w:val="24"/>
                <w:u w:val="single"/>
                <w:lang w:val="en-US" w:eastAsia="zh-CN"/>
              </w:rPr>
              <w:t>8</w:t>
            </w:r>
            <w:r>
              <w:rPr>
                <w:sz w:val="24"/>
                <w:u w:val="single"/>
              </w:rPr>
              <w:t>m，因此，</w:t>
            </w:r>
            <w:r>
              <w:rPr>
                <w:rFonts w:hint="eastAsia"/>
                <w:sz w:val="24"/>
                <w:u w:val="single"/>
                <w:lang w:val="en-US" w:eastAsia="zh-CN"/>
              </w:rPr>
              <w:t>燃气锅炉</w:t>
            </w:r>
            <w:r>
              <w:rPr>
                <w:sz w:val="24"/>
                <w:u w:val="single"/>
              </w:rPr>
              <w:t>排气筒</w:t>
            </w:r>
            <w:r>
              <w:rPr>
                <w:rFonts w:hint="eastAsia"/>
                <w:sz w:val="24"/>
                <w:u w:val="single"/>
                <w:lang w:eastAsia="zh-CN"/>
              </w:rPr>
              <w:t>（</w:t>
            </w:r>
            <w:r>
              <w:rPr>
                <w:rFonts w:hint="eastAsia"/>
                <w:sz w:val="24"/>
                <w:u w:val="single"/>
                <w:lang w:val="en-US" w:eastAsia="zh-CN"/>
              </w:rPr>
              <w:t>20.0m</w:t>
            </w:r>
            <w:r>
              <w:rPr>
                <w:rFonts w:hint="eastAsia"/>
                <w:sz w:val="24"/>
                <w:u w:val="single"/>
                <w:lang w:eastAsia="zh-CN"/>
              </w:rPr>
              <w:t>）</w:t>
            </w:r>
            <w:r>
              <w:rPr>
                <w:sz w:val="24"/>
                <w:u w:val="single"/>
              </w:rPr>
              <w:t>几何高度符合GB30484-2013标准规定的要求。</w:t>
            </w:r>
          </w:p>
          <w:p>
            <w:pPr>
              <w:spacing w:line="360" w:lineRule="auto"/>
              <w:ind w:firstLine="480" w:firstLineChars="200"/>
              <w:rPr>
                <w:rFonts w:hint="eastAsia"/>
                <w:sz w:val="24"/>
                <w:u w:val="single"/>
                <w:lang w:val="en-US" w:eastAsia="zh-CN"/>
              </w:rPr>
            </w:pPr>
            <w:r>
              <w:rPr>
                <w:rFonts w:hint="eastAsia"/>
                <w:sz w:val="24"/>
                <w:u w:val="single"/>
                <w:lang w:val="en-US" w:eastAsia="zh-CN"/>
              </w:rPr>
              <w:t>采样位置应优先选择在垂直管段。应避开烟道弯头和断面急剧变化的部位，采样位置应设置在距弯头、阀门、变径管下游方向不小于6倍直径和距上述部件上游方向不小于3倍直径处。对矩形烟道，其当量直径D=2AB/（A+B），式中A、B为边长。</w:t>
            </w:r>
          </w:p>
          <w:p>
            <w:pPr>
              <w:spacing w:line="360" w:lineRule="auto"/>
              <w:ind w:firstLine="480" w:firstLineChars="200"/>
              <w:rPr>
                <w:rFonts w:hint="eastAsia" w:ascii="Times New Roman" w:hAnsi="Times New Roman" w:eastAsia="宋体"/>
                <w:sz w:val="24"/>
                <w:u w:val="single"/>
                <w:lang w:val="en-US" w:eastAsia="zh-CN"/>
              </w:rPr>
            </w:pPr>
            <w:r>
              <w:rPr>
                <w:rFonts w:hint="eastAsia" w:ascii="Times New Roman" w:hAnsi="Times New Roman" w:eastAsia="宋体"/>
                <w:sz w:val="24"/>
                <w:u w:val="single"/>
                <w:lang w:val="en-US" w:eastAsia="zh-CN"/>
              </w:rPr>
              <w:t>在选定的采样位置上开设采样孔，采样孔内径应不小于80mm，采样孔管长应不大于50mm。不使用时应用盖板、管堵或管帽封闭。当采样孔仅用于采集气态污染物时，其内径应不小于40mm。</w:t>
            </w:r>
          </w:p>
          <w:p>
            <w:pPr>
              <w:spacing w:line="360" w:lineRule="auto"/>
              <w:ind w:firstLine="480" w:firstLineChars="200"/>
              <w:rPr>
                <w:rFonts w:hint="default" w:ascii="Times New Roman" w:hAnsi="Times New Roman" w:eastAsia="宋体"/>
                <w:sz w:val="24"/>
                <w:u w:val="single"/>
                <w:lang w:val="en-US" w:eastAsia="zh-CN"/>
              </w:rPr>
            </w:pPr>
            <w:r>
              <w:rPr>
                <w:rFonts w:hint="eastAsia" w:ascii="Times New Roman" w:hAnsi="Times New Roman" w:eastAsia="宋体"/>
                <w:sz w:val="24"/>
                <w:u w:val="single"/>
                <w:lang w:val="en-US" w:eastAsia="zh-CN"/>
              </w:rPr>
              <w:t>采样平台为检测人员采样设置，应有足够的工作面积使工作人员安全、方便地操作。平台面积应不小于1.5m</w:t>
            </w:r>
            <w:r>
              <w:rPr>
                <w:rFonts w:hint="eastAsia" w:ascii="Times New Roman" w:hAnsi="Times New Roman" w:eastAsia="宋体"/>
                <w:sz w:val="24"/>
                <w:u w:val="single"/>
                <w:vertAlign w:val="superscript"/>
                <w:lang w:val="en-US" w:eastAsia="zh-CN"/>
              </w:rPr>
              <w:t>2</w:t>
            </w:r>
            <w:r>
              <w:rPr>
                <w:rFonts w:hint="eastAsia" w:ascii="Times New Roman" w:hAnsi="Times New Roman" w:eastAsia="宋体"/>
                <w:sz w:val="24"/>
                <w:u w:val="single"/>
                <w:lang w:val="en-US" w:eastAsia="zh-CN"/>
              </w:rPr>
              <w:t>，并设有1.1m高的护栏，采样孔距平台面约为1.2~1.3m。</w:t>
            </w:r>
          </w:p>
          <w:p>
            <w:pPr>
              <w:numPr>
                <w:ilvl w:val="0"/>
                <w:numId w:val="0"/>
              </w:numPr>
              <w:spacing w:line="360" w:lineRule="auto"/>
              <w:ind w:leftChars="0" w:firstLine="482" w:firstLineChars="200"/>
              <w:jc w:val="both"/>
              <w:rPr>
                <w:rFonts w:hint="default"/>
                <w:b/>
                <w:bCs/>
                <w:color w:val="auto"/>
                <w:sz w:val="24"/>
                <w:u w:val="single"/>
                <w:lang w:val="en-US" w:eastAsia="zh-CN"/>
              </w:rPr>
            </w:pPr>
            <w:r>
              <w:rPr>
                <w:rFonts w:hint="eastAsia"/>
                <w:b/>
                <w:bCs/>
                <w:color w:val="auto"/>
                <w:sz w:val="24"/>
                <w:u w:val="single"/>
                <w:lang w:val="en-US" w:eastAsia="zh-CN"/>
              </w:rPr>
              <w:fldChar w:fldCharType="begin"/>
            </w:r>
            <w:r>
              <w:rPr>
                <w:rFonts w:hint="eastAsia"/>
                <w:b/>
                <w:bCs/>
                <w:color w:val="auto"/>
                <w:sz w:val="24"/>
                <w:u w:val="single"/>
                <w:lang w:val="en-US" w:eastAsia="zh-CN"/>
              </w:rPr>
              <w:instrText xml:space="preserve"> = 2 \* GB3 \* MERGEFORMAT </w:instrText>
            </w:r>
            <w:r>
              <w:rPr>
                <w:rFonts w:hint="eastAsia"/>
                <w:b/>
                <w:bCs/>
                <w:color w:val="auto"/>
                <w:sz w:val="24"/>
                <w:u w:val="single"/>
                <w:lang w:val="en-US" w:eastAsia="zh-CN"/>
              </w:rPr>
              <w:fldChar w:fldCharType="separate"/>
            </w:r>
            <w:r>
              <w:rPr>
                <w:rFonts w:hint="eastAsia"/>
                <w:b/>
                <w:bCs/>
                <w:color w:val="auto"/>
                <w:sz w:val="24"/>
                <w:u w:val="single"/>
                <w:lang w:val="en-US" w:eastAsia="zh-CN"/>
              </w:rPr>
              <w:t>②</w:t>
            </w:r>
            <w:r>
              <w:rPr>
                <w:rFonts w:hint="eastAsia"/>
                <w:b/>
                <w:bCs/>
                <w:color w:val="auto"/>
                <w:sz w:val="24"/>
                <w:u w:val="single"/>
                <w:lang w:val="en-US" w:eastAsia="zh-CN"/>
              </w:rPr>
              <w:fldChar w:fldCharType="end"/>
            </w:r>
            <w:r>
              <w:rPr>
                <w:rFonts w:hint="eastAsia"/>
                <w:b/>
                <w:bCs/>
                <w:color w:val="auto"/>
                <w:sz w:val="24"/>
                <w:u w:val="single"/>
                <w:lang w:val="en-US" w:eastAsia="zh-CN"/>
              </w:rPr>
              <w:t>监测计划</w:t>
            </w:r>
          </w:p>
          <w:p>
            <w:pPr>
              <w:bidi w:val="0"/>
              <w:spacing w:line="360" w:lineRule="auto"/>
              <w:ind w:firstLine="480" w:firstLineChars="200"/>
              <w:rPr>
                <w:rFonts w:hint="eastAsia"/>
                <w:sz w:val="24"/>
                <w:u w:val="single"/>
                <w:lang w:val="en-US" w:eastAsia="zh-CN"/>
              </w:rPr>
            </w:pPr>
            <w:r>
              <w:rPr>
                <w:rFonts w:hint="eastAsia"/>
                <w:sz w:val="24"/>
                <w:u w:val="single"/>
                <w:lang w:val="en-US" w:eastAsia="zh-CN"/>
              </w:rPr>
              <w:t>根据《排污许可证申请与核发技术规范 锅炉》（HJ953-2018）、《排污许可证申请与核发技术规范 火力发电及锅炉》（HJ820-2017）以及《排污许可证申请与核发技术规范 总则》（HJ942-2018）的技术要求，本项目废气污染物监测计划如下表所示。</w:t>
            </w:r>
          </w:p>
          <w:p>
            <w:pPr>
              <w:numPr>
                <w:ilvl w:val="255"/>
                <w:numId w:val="0"/>
              </w:numPr>
              <w:spacing w:line="240" w:lineRule="auto"/>
              <w:jc w:val="center"/>
              <w:rPr>
                <w:b/>
                <w:bCs/>
                <w:szCs w:val="21"/>
              </w:rPr>
            </w:pPr>
            <w:r>
              <w:rPr>
                <w:rFonts w:hint="eastAsia"/>
                <w:b/>
                <w:bCs/>
                <w:szCs w:val="21"/>
              </w:rPr>
              <w:t>表4-1</w:t>
            </w:r>
            <w:r>
              <w:rPr>
                <w:rFonts w:hint="eastAsia"/>
                <w:b/>
                <w:bCs/>
                <w:szCs w:val="21"/>
                <w:lang w:val="en-US" w:eastAsia="zh-CN"/>
              </w:rPr>
              <w:t>1</w:t>
            </w:r>
            <w:r>
              <w:rPr>
                <w:rFonts w:hint="eastAsia"/>
                <w:b/>
                <w:bCs/>
                <w:szCs w:val="21"/>
              </w:rPr>
              <w:t xml:space="preserve">  运营期环境监测计划一览表</w:t>
            </w:r>
          </w:p>
          <w:tbl>
            <w:tblPr>
              <w:tblStyle w:val="26"/>
              <w:tblW w:w="4995"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150"/>
              <w:gridCol w:w="1124"/>
              <w:gridCol w:w="1166"/>
              <w:gridCol w:w="31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8" w:type="pct"/>
                  <w:tcBorders>
                    <w:tl2br w:val="nil"/>
                    <w:tr2bl w:val="nil"/>
                  </w:tcBorders>
                  <w:vAlign w:val="center"/>
                </w:tcPr>
                <w:p>
                  <w:pPr>
                    <w:numPr>
                      <w:ilvl w:val="255"/>
                      <w:numId w:val="0"/>
                    </w:numPr>
                    <w:spacing w:line="240" w:lineRule="auto"/>
                    <w:jc w:val="center"/>
                    <w:rPr>
                      <w:b/>
                      <w:bCs/>
                      <w:szCs w:val="21"/>
                      <w:u w:val="single"/>
                    </w:rPr>
                  </w:pPr>
                  <w:r>
                    <w:rPr>
                      <w:rFonts w:hint="eastAsia"/>
                      <w:b/>
                      <w:bCs/>
                      <w:szCs w:val="21"/>
                      <w:u w:val="single"/>
                    </w:rPr>
                    <w:t>类别</w:t>
                  </w:r>
                </w:p>
              </w:tc>
              <w:tc>
                <w:tcPr>
                  <w:tcW w:w="1299" w:type="pct"/>
                  <w:tcBorders>
                    <w:tl2br w:val="nil"/>
                    <w:tr2bl w:val="nil"/>
                  </w:tcBorders>
                  <w:vAlign w:val="center"/>
                </w:tcPr>
                <w:p>
                  <w:pPr>
                    <w:numPr>
                      <w:ilvl w:val="255"/>
                      <w:numId w:val="0"/>
                    </w:numPr>
                    <w:spacing w:line="240" w:lineRule="auto"/>
                    <w:jc w:val="center"/>
                    <w:rPr>
                      <w:b/>
                      <w:bCs/>
                      <w:szCs w:val="21"/>
                      <w:u w:val="single"/>
                    </w:rPr>
                  </w:pPr>
                  <w:r>
                    <w:rPr>
                      <w:rFonts w:hint="eastAsia"/>
                      <w:b/>
                      <w:bCs/>
                      <w:szCs w:val="21"/>
                      <w:u w:val="single"/>
                    </w:rPr>
                    <w:t>监测项目</w:t>
                  </w:r>
                </w:p>
              </w:tc>
              <w:tc>
                <w:tcPr>
                  <w:tcW w:w="679" w:type="pct"/>
                  <w:tcBorders>
                    <w:tl2br w:val="nil"/>
                    <w:tr2bl w:val="nil"/>
                  </w:tcBorders>
                  <w:vAlign w:val="center"/>
                </w:tcPr>
                <w:p>
                  <w:pPr>
                    <w:numPr>
                      <w:ilvl w:val="255"/>
                      <w:numId w:val="0"/>
                    </w:numPr>
                    <w:spacing w:line="240" w:lineRule="auto"/>
                    <w:jc w:val="center"/>
                    <w:rPr>
                      <w:b/>
                      <w:bCs/>
                      <w:szCs w:val="21"/>
                      <w:u w:val="single"/>
                    </w:rPr>
                  </w:pPr>
                  <w:r>
                    <w:rPr>
                      <w:rFonts w:hint="eastAsia"/>
                      <w:b/>
                      <w:bCs/>
                      <w:szCs w:val="21"/>
                      <w:u w:val="single"/>
                    </w:rPr>
                    <w:t>监测点位</w:t>
                  </w:r>
                </w:p>
              </w:tc>
              <w:tc>
                <w:tcPr>
                  <w:tcW w:w="704" w:type="pct"/>
                  <w:tcBorders>
                    <w:tl2br w:val="nil"/>
                    <w:tr2bl w:val="nil"/>
                  </w:tcBorders>
                  <w:vAlign w:val="center"/>
                </w:tcPr>
                <w:p>
                  <w:pPr>
                    <w:numPr>
                      <w:ilvl w:val="255"/>
                      <w:numId w:val="0"/>
                    </w:numPr>
                    <w:spacing w:line="240" w:lineRule="auto"/>
                    <w:jc w:val="center"/>
                    <w:rPr>
                      <w:b/>
                      <w:bCs/>
                      <w:szCs w:val="21"/>
                      <w:u w:val="single"/>
                    </w:rPr>
                  </w:pPr>
                  <w:r>
                    <w:rPr>
                      <w:rFonts w:hint="eastAsia"/>
                      <w:b/>
                      <w:bCs/>
                      <w:szCs w:val="21"/>
                      <w:u w:val="single"/>
                    </w:rPr>
                    <w:t>监测频次</w:t>
                  </w:r>
                </w:p>
              </w:tc>
              <w:tc>
                <w:tcPr>
                  <w:tcW w:w="1888" w:type="pct"/>
                  <w:tcBorders>
                    <w:tl2br w:val="nil"/>
                    <w:tr2bl w:val="nil"/>
                  </w:tcBorders>
                  <w:vAlign w:val="center"/>
                </w:tcPr>
                <w:p>
                  <w:pPr>
                    <w:numPr>
                      <w:ilvl w:val="255"/>
                      <w:numId w:val="0"/>
                    </w:numPr>
                    <w:spacing w:line="240" w:lineRule="auto"/>
                    <w:jc w:val="center"/>
                    <w:rPr>
                      <w:b/>
                      <w:bCs/>
                      <w:szCs w:val="21"/>
                      <w:u w:val="single"/>
                    </w:rPr>
                  </w:pPr>
                  <w:r>
                    <w:rPr>
                      <w:rFonts w:hint="eastAsia"/>
                      <w:b/>
                      <w:bCs/>
                      <w:szCs w:val="21"/>
                      <w:u w:val="single"/>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428" w:type="pct"/>
                  <w:vMerge w:val="restart"/>
                  <w:tcBorders>
                    <w:tl2br w:val="nil"/>
                    <w:tr2bl w:val="nil"/>
                  </w:tcBorders>
                  <w:vAlign w:val="center"/>
                </w:tcPr>
                <w:p>
                  <w:pPr>
                    <w:numPr>
                      <w:ilvl w:val="255"/>
                      <w:numId w:val="0"/>
                    </w:numPr>
                    <w:spacing w:line="240" w:lineRule="auto"/>
                    <w:jc w:val="center"/>
                    <w:rPr>
                      <w:rFonts w:hint="default" w:eastAsia="宋体"/>
                      <w:szCs w:val="21"/>
                      <w:u w:val="single"/>
                      <w:lang w:val="en-US" w:eastAsia="zh-CN"/>
                    </w:rPr>
                  </w:pPr>
                  <w:r>
                    <w:rPr>
                      <w:rFonts w:hint="eastAsia"/>
                      <w:szCs w:val="21"/>
                      <w:u w:val="single"/>
                      <w:lang w:val="en-US" w:eastAsia="zh-CN"/>
                    </w:rPr>
                    <w:t>有组织</w:t>
                  </w:r>
                  <w:r>
                    <w:rPr>
                      <w:rFonts w:hint="eastAsia"/>
                      <w:szCs w:val="21"/>
                      <w:u w:val="single"/>
                    </w:rPr>
                    <w:t>废气</w:t>
                  </w:r>
                </w:p>
              </w:tc>
              <w:tc>
                <w:tcPr>
                  <w:tcW w:w="1299" w:type="pct"/>
                  <w:tcBorders>
                    <w:tl2br w:val="nil"/>
                    <w:tr2bl w:val="nil"/>
                  </w:tcBorders>
                  <w:vAlign w:val="center"/>
                </w:tcPr>
                <w:p>
                  <w:pPr>
                    <w:numPr>
                      <w:ilvl w:val="255"/>
                      <w:numId w:val="0"/>
                    </w:numPr>
                    <w:spacing w:line="240" w:lineRule="auto"/>
                    <w:jc w:val="center"/>
                    <w:rPr>
                      <w:rFonts w:hint="default"/>
                      <w:szCs w:val="21"/>
                      <w:u w:val="single"/>
                      <w:lang w:val="en-US"/>
                    </w:rPr>
                  </w:pPr>
                  <w:r>
                    <w:rPr>
                      <w:rFonts w:hint="eastAsia"/>
                      <w:u w:val="single"/>
                      <w:lang w:val="en-US" w:eastAsia="zh-CN"/>
                    </w:rPr>
                    <w:t>二氧化硫、烟尘、烟气黑度</w:t>
                  </w:r>
                </w:p>
              </w:tc>
              <w:tc>
                <w:tcPr>
                  <w:tcW w:w="679" w:type="pct"/>
                  <w:vMerge w:val="restart"/>
                  <w:tcBorders>
                    <w:tl2br w:val="nil"/>
                    <w:tr2bl w:val="nil"/>
                  </w:tcBorders>
                  <w:vAlign w:val="center"/>
                </w:tcPr>
                <w:p>
                  <w:pPr>
                    <w:numPr>
                      <w:ilvl w:val="255"/>
                      <w:numId w:val="0"/>
                    </w:numPr>
                    <w:spacing w:line="240" w:lineRule="auto"/>
                    <w:jc w:val="center"/>
                    <w:rPr>
                      <w:szCs w:val="21"/>
                      <w:u w:val="single"/>
                    </w:rPr>
                  </w:pPr>
                  <w:r>
                    <w:rPr>
                      <w:rFonts w:hint="eastAsia"/>
                      <w:szCs w:val="21"/>
                      <w:u w:val="single"/>
                    </w:rPr>
                    <w:t>DA001</w:t>
                  </w:r>
                </w:p>
              </w:tc>
              <w:tc>
                <w:tcPr>
                  <w:tcW w:w="704" w:type="pct"/>
                  <w:tcBorders>
                    <w:tl2br w:val="nil"/>
                    <w:tr2bl w:val="nil"/>
                  </w:tcBorders>
                  <w:vAlign w:val="center"/>
                </w:tcPr>
                <w:p>
                  <w:pPr>
                    <w:numPr>
                      <w:ilvl w:val="255"/>
                      <w:numId w:val="0"/>
                    </w:numPr>
                    <w:spacing w:line="240" w:lineRule="auto"/>
                    <w:jc w:val="center"/>
                    <w:rPr>
                      <w:szCs w:val="21"/>
                      <w:u w:val="single"/>
                    </w:rPr>
                  </w:pPr>
                  <w:r>
                    <w:rPr>
                      <w:rFonts w:hint="eastAsia"/>
                      <w:szCs w:val="21"/>
                      <w:u w:val="single"/>
                    </w:rPr>
                    <w:t>1次/年</w:t>
                  </w:r>
                </w:p>
              </w:tc>
              <w:tc>
                <w:tcPr>
                  <w:tcW w:w="1888" w:type="pct"/>
                  <w:vMerge w:val="restart"/>
                  <w:tcBorders>
                    <w:tl2br w:val="nil"/>
                    <w:tr2bl w:val="nil"/>
                  </w:tcBorders>
                  <w:vAlign w:val="center"/>
                </w:tcPr>
                <w:p>
                  <w:pPr>
                    <w:numPr>
                      <w:ilvl w:val="255"/>
                      <w:numId w:val="0"/>
                    </w:numPr>
                    <w:spacing w:line="240" w:lineRule="auto"/>
                    <w:jc w:val="center"/>
                    <w:rPr>
                      <w:szCs w:val="21"/>
                      <w:u w:val="single"/>
                    </w:rPr>
                  </w:pPr>
                  <w:r>
                    <w:rPr>
                      <w:rFonts w:hint="eastAsia" w:ascii="Times New Roman" w:hAnsi="Times New Roman" w:eastAsia="宋体" w:cs="Times New Roman"/>
                      <w:u w:val="single"/>
                      <w:lang w:val="en-US" w:eastAsia="zh-CN"/>
                    </w:rPr>
                    <w:t>《锅炉大气污染物排放标准》（GB13271-2014）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428" w:type="pct"/>
                  <w:vMerge w:val="continue"/>
                  <w:tcBorders>
                    <w:tl2br w:val="nil"/>
                    <w:tr2bl w:val="nil"/>
                  </w:tcBorders>
                  <w:vAlign w:val="center"/>
                </w:tcPr>
                <w:p>
                  <w:pPr>
                    <w:numPr>
                      <w:ilvl w:val="255"/>
                      <w:numId w:val="0"/>
                    </w:numPr>
                    <w:spacing w:line="240" w:lineRule="auto"/>
                    <w:jc w:val="center"/>
                    <w:rPr>
                      <w:rFonts w:hint="eastAsia"/>
                      <w:szCs w:val="21"/>
                      <w:u w:val="single"/>
                      <w:lang w:val="en-US" w:eastAsia="zh-CN"/>
                    </w:rPr>
                  </w:pPr>
                </w:p>
              </w:tc>
              <w:tc>
                <w:tcPr>
                  <w:tcW w:w="1299" w:type="pct"/>
                  <w:tcBorders>
                    <w:tl2br w:val="nil"/>
                    <w:tr2bl w:val="nil"/>
                  </w:tcBorders>
                  <w:vAlign w:val="center"/>
                </w:tcPr>
                <w:p>
                  <w:pPr>
                    <w:numPr>
                      <w:ilvl w:val="255"/>
                      <w:numId w:val="0"/>
                    </w:numPr>
                    <w:spacing w:line="240" w:lineRule="auto"/>
                    <w:jc w:val="center"/>
                    <w:rPr>
                      <w:rFonts w:hint="eastAsia"/>
                      <w:u w:val="single"/>
                      <w:lang w:val="en-US" w:eastAsia="zh-CN"/>
                    </w:rPr>
                  </w:pPr>
                  <w:r>
                    <w:rPr>
                      <w:rFonts w:hint="eastAsia"/>
                      <w:u w:val="single"/>
                      <w:lang w:val="en-US" w:eastAsia="zh-CN"/>
                    </w:rPr>
                    <w:t>氮氧化物</w:t>
                  </w:r>
                </w:p>
              </w:tc>
              <w:tc>
                <w:tcPr>
                  <w:tcW w:w="679" w:type="pct"/>
                  <w:vMerge w:val="continue"/>
                  <w:tcBorders>
                    <w:tl2br w:val="nil"/>
                    <w:tr2bl w:val="nil"/>
                  </w:tcBorders>
                  <w:vAlign w:val="center"/>
                </w:tcPr>
                <w:p>
                  <w:pPr>
                    <w:numPr>
                      <w:ilvl w:val="255"/>
                      <w:numId w:val="0"/>
                    </w:numPr>
                    <w:spacing w:line="240" w:lineRule="auto"/>
                    <w:jc w:val="center"/>
                    <w:rPr>
                      <w:rFonts w:hint="eastAsia"/>
                      <w:szCs w:val="21"/>
                      <w:u w:val="single"/>
                    </w:rPr>
                  </w:pPr>
                </w:p>
              </w:tc>
              <w:tc>
                <w:tcPr>
                  <w:tcW w:w="704" w:type="pct"/>
                  <w:tcBorders>
                    <w:tl2br w:val="nil"/>
                    <w:tr2bl w:val="nil"/>
                  </w:tcBorders>
                  <w:vAlign w:val="center"/>
                </w:tcPr>
                <w:p>
                  <w:pPr>
                    <w:numPr>
                      <w:ilvl w:val="255"/>
                      <w:numId w:val="0"/>
                    </w:numPr>
                    <w:spacing w:line="240" w:lineRule="auto"/>
                    <w:jc w:val="center"/>
                    <w:rPr>
                      <w:rFonts w:hint="eastAsia" w:eastAsia="宋体"/>
                      <w:szCs w:val="21"/>
                      <w:u w:val="single"/>
                      <w:lang w:eastAsia="zh-CN"/>
                    </w:rPr>
                  </w:pPr>
                  <w:r>
                    <w:rPr>
                      <w:rFonts w:hint="eastAsia"/>
                      <w:szCs w:val="21"/>
                      <w:u w:val="single"/>
                    </w:rPr>
                    <w:t>1次/</w:t>
                  </w:r>
                  <w:r>
                    <w:rPr>
                      <w:rFonts w:hint="eastAsia"/>
                      <w:szCs w:val="21"/>
                      <w:u w:val="single"/>
                      <w:lang w:val="en-US" w:eastAsia="zh-CN"/>
                    </w:rPr>
                    <w:t>月</w:t>
                  </w:r>
                </w:p>
              </w:tc>
              <w:tc>
                <w:tcPr>
                  <w:tcW w:w="1888" w:type="pct"/>
                  <w:vMerge w:val="continue"/>
                  <w:tcBorders>
                    <w:tl2br w:val="nil"/>
                    <w:tr2bl w:val="nil"/>
                  </w:tcBorders>
                  <w:vAlign w:val="center"/>
                </w:tcPr>
                <w:p>
                  <w:pPr>
                    <w:numPr>
                      <w:ilvl w:val="255"/>
                      <w:numId w:val="0"/>
                    </w:numPr>
                    <w:spacing w:line="240" w:lineRule="auto"/>
                    <w:jc w:val="center"/>
                    <w:rPr>
                      <w:rFonts w:hint="eastAsia" w:ascii="Times New Roman" w:hAnsi="Times New Roman" w:eastAsia="宋体" w:cs="Times New Roman"/>
                      <w:u w:val="singl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428" w:type="pct"/>
                  <w:vMerge w:val="continue"/>
                  <w:tcBorders>
                    <w:tl2br w:val="nil"/>
                    <w:tr2bl w:val="nil"/>
                  </w:tcBorders>
                  <w:vAlign w:val="center"/>
                </w:tcPr>
                <w:p>
                  <w:pPr>
                    <w:numPr>
                      <w:ilvl w:val="255"/>
                      <w:numId w:val="0"/>
                    </w:numPr>
                    <w:spacing w:line="240" w:lineRule="auto"/>
                    <w:jc w:val="center"/>
                    <w:rPr>
                      <w:szCs w:val="21"/>
                      <w:u w:val="single"/>
                    </w:rPr>
                  </w:pPr>
                </w:p>
              </w:tc>
              <w:tc>
                <w:tcPr>
                  <w:tcW w:w="1299" w:type="pct"/>
                  <w:tcBorders>
                    <w:tl2br w:val="nil"/>
                    <w:tr2bl w:val="nil"/>
                  </w:tcBorders>
                  <w:vAlign w:val="center"/>
                </w:tcPr>
                <w:p>
                  <w:pPr>
                    <w:numPr>
                      <w:ilvl w:val="255"/>
                      <w:numId w:val="0"/>
                    </w:numPr>
                    <w:spacing w:line="240" w:lineRule="auto"/>
                    <w:jc w:val="center"/>
                    <w:rPr>
                      <w:rFonts w:hint="eastAsia"/>
                      <w:szCs w:val="21"/>
                      <w:u w:val="single"/>
                    </w:rPr>
                  </w:pPr>
                  <w:r>
                    <w:rPr>
                      <w:rFonts w:hint="eastAsia"/>
                      <w:szCs w:val="21"/>
                      <w:u w:val="single"/>
                    </w:rPr>
                    <w:t>油烟</w:t>
                  </w:r>
                </w:p>
              </w:tc>
              <w:tc>
                <w:tcPr>
                  <w:tcW w:w="679" w:type="pct"/>
                  <w:tcBorders>
                    <w:tl2br w:val="nil"/>
                    <w:tr2bl w:val="nil"/>
                  </w:tcBorders>
                  <w:vAlign w:val="center"/>
                </w:tcPr>
                <w:p>
                  <w:pPr>
                    <w:numPr>
                      <w:ilvl w:val="255"/>
                      <w:numId w:val="0"/>
                    </w:numPr>
                    <w:spacing w:line="240" w:lineRule="auto"/>
                    <w:jc w:val="center"/>
                    <w:rPr>
                      <w:rFonts w:hint="eastAsia" w:eastAsia="宋体"/>
                      <w:szCs w:val="21"/>
                      <w:u w:val="single"/>
                      <w:lang w:eastAsia="zh-CN"/>
                    </w:rPr>
                  </w:pPr>
                  <w:r>
                    <w:rPr>
                      <w:rFonts w:hint="eastAsia"/>
                      <w:szCs w:val="21"/>
                      <w:u w:val="single"/>
                    </w:rPr>
                    <w:t>DA00</w:t>
                  </w:r>
                  <w:r>
                    <w:rPr>
                      <w:rFonts w:hint="eastAsia"/>
                      <w:szCs w:val="21"/>
                      <w:u w:val="single"/>
                      <w:lang w:val="en-US" w:eastAsia="zh-CN"/>
                    </w:rPr>
                    <w:t>2</w:t>
                  </w:r>
                </w:p>
              </w:tc>
              <w:tc>
                <w:tcPr>
                  <w:tcW w:w="704" w:type="pct"/>
                  <w:tcBorders>
                    <w:tl2br w:val="nil"/>
                    <w:tr2bl w:val="nil"/>
                  </w:tcBorders>
                  <w:vAlign w:val="center"/>
                </w:tcPr>
                <w:p>
                  <w:pPr>
                    <w:numPr>
                      <w:ilvl w:val="255"/>
                      <w:numId w:val="0"/>
                    </w:numPr>
                    <w:spacing w:line="240" w:lineRule="auto"/>
                    <w:jc w:val="center"/>
                    <w:rPr>
                      <w:szCs w:val="21"/>
                      <w:u w:val="single"/>
                    </w:rPr>
                  </w:pPr>
                  <w:r>
                    <w:rPr>
                      <w:rFonts w:hint="eastAsia"/>
                      <w:szCs w:val="21"/>
                      <w:u w:val="single"/>
                    </w:rPr>
                    <w:t>1次/年</w:t>
                  </w:r>
                </w:p>
              </w:tc>
              <w:tc>
                <w:tcPr>
                  <w:tcW w:w="1888" w:type="pct"/>
                  <w:tcBorders>
                    <w:tl2br w:val="nil"/>
                    <w:tr2bl w:val="nil"/>
                  </w:tcBorders>
                  <w:vAlign w:val="center"/>
                </w:tcPr>
                <w:p>
                  <w:pPr>
                    <w:numPr>
                      <w:ilvl w:val="255"/>
                      <w:numId w:val="0"/>
                    </w:numPr>
                    <w:spacing w:line="240" w:lineRule="auto"/>
                    <w:jc w:val="center"/>
                    <w:rPr>
                      <w:kern w:val="0"/>
                      <w:szCs w:val="21"/>
                      <w:u w:val="single"/>
                    </w:rPr>
                  </w:pPr>
                  <w:r>
                    <w:rPr>
                      <w:rFonts w:hint="eastAsia"/>
                      <w:szCs w:val="21"/>
                      <w:u w:val="single"/>
                    </w:rPr>
                    <w:t>《饮食业油烟排放标准（试行）》（GB18483-2001）</w:t>
                  </w:r>
                </w:p>
              </w:tc>
            </w:tr>
          </w:tbl>
          <w:p>
            <w:pPr>
              <w:bidi w:val="0"/>
              <w:spacing w:line="240" w:lineRule="auto"/>
              <w:ind w:firstLine="480" w:firstLineChars="200"/>
              <w:rPr>
                <w:sz w:val="24"/>
              </w:rPr>
            </w:pPr>
          </w:p>
          <w:p>
            <w:pPr>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leftChars="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噪声</w:t>
            </w:r>
          </w:p>
          <w:p>
            <w:pPr>
              <w:bidi w:val="0"/>
              <w:spacing w:line="360" w:lineRule="auto"/>
              <w:ind w:firstLine="482" w:firstLineChars="200"/>
              <w:rPr>
                <w:rFonts w:hint="eastAsia"/>
                <w:b/>
                <w:bCs/>
                <w:sz w:val="24"/>
                <w:szCs w:val="24"/>
                <w:lang w:val="en-US" w:eastAsia="zh-CN"/>
              </w:rPr>
            </w:pPr>
            <w:r>
              <w:rPr>
                <w:rFonts w:hint="eastAsia"/>
                <w:b/>
                <w:bCs/>
                <w:sz w:val="24"/>
                <w:szCs w:val="24"/>
                <w:lang w:val="en-US" w:eastAsia="zh-CN"/>
              </w:rPr>
              <w:t>1、噪声源强及源强核算</w:t>
            </w:r>
          </w:p>
          <w:p>
            <w:pPr>
              <w:widowControl/>
              <w:spacing w:line="360" w:lineRule="auto"/>
              <w:ind w:firstLine="480" w:firstLineChars="200"/>
              <w:rPr>
                <w:rFonts w:hAnsi="宋体"/>
                <w:color w:val="auto"/>
                <w:kern w:val="0"/>
                <w:sz w:val="24"/>
                <w:highlight w:val="none"/>
              </w:rPr>
            </w:pPr>
            <w:r>
              <w:rPr>
                <w:color w:val="auto"/>
                <w:kern w:val="0"/>
                <w:sz w:val="24"/>
                <w:highlight w:val="none"/>
              </w:rPr>
              <w:t>本</w:t>
            </w:r>
            <w:r>
              <w:rPr>
                <w:rFonts w:ascii="Times New Roman" w:hAnsi="Times New Roman" w:eastAsia="宋体" w:cs="Times New Roman"/>
                <w:color w:val="auto"/>
                <w:kern w:val="0"/>
                <w:sz w:val="24"/>
                <w:highlight w:val="none"/>
              </w:rPr>
              <w:t>项目</w:t>
            </w:r>
            <w:r>
              <w:rPr>
                <w:rFonts w:hint="eastAsia" w:ascii="Times New Roman" w:hAnsi="Times New Roman" w:eastAsia="宋体" w:cs="Times New Roman"/>
                <w:color w:val="auto"/>
                <w:kern w:val="0"/>
                <w:sz w:val="24"/>
                <w:highlight w:val="none"/>
                <w:lang w:val="en-US" w:eastAsia="zh-CN"/>
              </w:rPr>
              <w:t>运营</w:t>
            </w:r>
            <w:r>
              <w:rPr>
                <w:rFonts w:ascii="Times New Roman" w:hAnsi="Times New Roman" w:eastAsia="宋体" w:cs="Times New Roman"/>
                <w:color w:val="auto"/>
                <w:kern w:val="0"/>
                <w:sz w:val="24"/>
                <w:highlight w:val="none"/>
              </w:rPr>
              <w:t>后噪声源主要为</w:t>
            </w:r>
            <w:r>
              <w:rPr>
                <w:rFonts w:hint="default" w:ascii="Times New Roman" w:hAnsi="Times New Roman" w:eastAsia="宋体" w:cs="Times New Roman"/>
                <w:color w:val="auto"/>
                <w:kern w:val="0"/>
                <w:sz w:val="24"/>
                <w:highlight w:val="none"/>
              </w:rPr>
              <w:t>水泵、中央空调冷却塔、</w:t>
            </w:r>
            <w:r>
              <w:rPr>
                <w:rFonts w:ascii="Times New Roman" w:hAnsi="Times New Roman" w:eastAsia="宋体" w:cs="Times New Roman"/>
                <w:color w:val="auto"/>
                <w:kern w:val="0"/>
                <w:sz w:val="24"/>
                <w:szCs w:val="24"/>
                <w:highlight w:val="none"/>
              </w:rPr>
              <w:t>鼓风机</w:t>
            </w:r>
            <w:r>
              <w:rPr>
                <w:rFonts w:hint="default" w:ascii="Times New Roman" w:hAnsi="Times New Roman" w:eastAsia="宋体" w:cs="Times New Roman"/>
                <w:color w:val="auto"/>
                <w:kern w:val="0"/>
                <w:sz w:val="24"/>
                <w:highlight w:val="none"/>
              </w:rPr>
              <w:t>等运</w:t>
            </w:r>
            <w:r>
              <w:rPr>
                <w:rFonts w:hint="eastAsia"/>
                <w:color w:val="auto"/>
                <w:sz w:val="24"/>
              </w:rPr>
              <w:t>行噪声，针对上述主要声源，工程拟选用低噪声设备，同时对不同设备采取减震基础、密闭隔声、吸声和消声处理措施，</w:t>
            </w:r>
            <w:r>
              <w:rPr>
                <w:color w:val="auto"/>
                <w:sz w:val="24"/>
              </w:rPr>
              <w:t>各源强数据</w:t>
            </w:r>
            <w:r>
              <w:rPr>
                <w:rFonts w:hint="eastAsia"/>
                <w:color w:val="auto"/>
                <w:sz w:val="24"/>
              </w:rPr>
              <w:t>及采取相应防治措施后的排放源强</w:t>
            </w:r>
            <w:r>
              <w:rPr>
                <w:color w:val="auto"/>
                <w:sz w:val="24"/>
              </w:rPr>
              <w:t>见</w:t>
            </w:r>
            <w:r>
              <w:rPr>
                <w:rFonts w:hAnsi="宋体"/>
                <w:color w:val="auto"/>
                <w:kern w:val="0"/>
                <w:sz w:val="24"/>
                <w:highlight w:val="none"/>
              </w:rPr>
              <w:t>表</w:t>
            </w:r>
            <w:r>
              <w:rPr>
                <w:rFonts w:hint="eastAsia"/>
                <w:color w:val="auto"/>
                <w:kern w:val="0"/>
                <w:sz w:val="24"/>
                <w:highlight w:val="none"/>
                <w:lang w:eastAsia="zh-CN"/>
              </w:rPr>
              <w:t>4</w:t>
            </w:r>
            <w:r>
              <w:rPr>
                <w:rFonts w:hint="eastAsia"/>
                <w:color w:val="auto"/>
                <w:kern w:val="0"/>
                <w:sz w:val="24"/>
                <w:highlight w:val="none"/>
              </w:rPr>
              <w:t>-</w:t>
            </w:r>
            <w:r>
              <w:rPr>
                <w:rFonts w:hint="eastAsia"/>
                <w:color w:val="auto"/>
                <w:kern w:val="0"/>
                <w:sz w:val="24"/>
                <w:highlight w:val="none"/>
                <w:lang w:val="en-US" w:eastAsia="zh-CN"/>
              </w:rPr>
              <w:t>12</w:t>
            </w:r>
            <w:r>
              <w:rPr>
                <w:rFonts w:hAnsi="宋体"/>
                <w:color w:val="auto"/>
                <w:kern w:val="0"/>
                <w:sz w:val="24"/>
                <w:highlight w:val="none"/>
              </w:rPr>
              <w:t>。</w:t>
            </w:r>
          </w:p>
          <w:p>
            <w:pPr>
              <w:jc w:val="center"/>
              <w:rPr>
                <w:rFonts w:hint="eastAsia"/>
                <w:b/>
                <w:bCs/>
                <w:szCs w:val="21"/>
              </w:rPr>
            </w:pPr>
            <w:r>
              <w:rPr>
                <w:rFonts w:hint="eastAsia"/>
                <w:b/>
                <w:bCs/>
                <w:szCs w:val="21"/>
              </w:rPr>
              <w:t>表4-</w:t>
            </w:r>
            <w:r>
              <w:rPr>
                <w:rFonts w:hint="eastAsia"/>
                <w:b/>
                <w:bCs/>
                <w:szCs w:val="21"/>
                <w:lang w:val="en-US" w:eastAsia="zh-CN"/>
              </w:rPr>
              <w:t>12</w:t>
            </w:r>
            <w:r>
              <w:rPr>
                <w:rFonts w:hint="eastAsia"/>
                <w:b/>
                <w:bCs/>
                <w:szCs w:val="21"/>
              </w:rPr>
              <w:t xml:space="preserve">  拟建项目主要设备及其噪声源强   单位：</w:t>
            </w:r>
            <w:r>
              <w:rPr>
                <w:b/>
                <w:bCs/>
                <w:szCs w:val="21"/>
              </w:rPr>
              <w:t>dB</w:t>
            </w:r>
            <w:r>
              <w:rPr>
                <w:rFonts w:hint="eastAsia"/>
                <w:b/>
                <w:bCs/>
                <w:szCs w:val="21"/>
              </w:rPr>
              <w:t>（</w:t>
            </w:r>
            <w:r>
              <w:rPr>
                <w:b/>
                <w:bCs/>
                <w:szCs w:val="21"/>
              </w:rPr>
              <w:t>A</w:t>
            </w:r>
            <w:r>
              <w:rPr>
                <w:rFonts w:hint="eastAsia"/>
                <w:b/>
                <w:bCs/>
                <w:szCs w:val="21"/>
              </w:rPr>
              <w:t>）</w:t>
            </w:r>
          </w:p>
          <w:tbl>
            <w:tblPr>
              <w:tblStyle w:val="25"/>
              <w:tblW w:w="8338" w:type="dxa"/>
              <w:tblInd w:w="-1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599"/>
              <w:gridCol w:w="1322"/>
              <w:gridCol w:w="969"/>
              <w:gridCol w:w="2031"/>
              <w:gridCol w:w="341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99" w:type="dxa"/>
                  <w:tcBorders>
                    <w:tl2br w:val="nil"/>
                    <w:tr2bl w:val="nil"/>
                  </w:tcBorders>
                  <w:noWrap w:val="0"/>
                  <w:vAlign w:val="center"/>
                </w:tcPr>
                <w:p>
                  <w:pPr>
                    <w:pStyle w:val="63"/>
                    <w:rPr>
                      <w:b/>
                      <w:bCs/>
                      <w:color w:val="000000"/>
                    </w:rPr>
                  </w:pPr>
                  <w:r>
                    <w:rPr>
                      <w:b/>
                      <w:bCs/>
                      <w:color w:val="000000"/>
                    </w:rPr>
                    <w:t>序号</w:t>
                  </w:r>
                </w:p>
              </w:tc>
              <w:tc>
                <w:tcPr>
                  <w:tcW w:w="1322" w:type="dxa"/>
                  <w:tcBorders>
                    <w:tl2br w:val="nil"/>
                    <w:tr2bl w:val="nil"/>
                  </w:tcBorders>
                  <w:noWrap w:val="0"/>
                  <w:vAlign w:val="center"/>
                </w:tcPr>
                <w:p>
                  <w:pPr>
                    <w:pStyle w:val="63"/>
                    <w:rPr>
                      <w:b/>
                      <w:bCs/>
                      <w:color w:val="000000"/>
                    </w:rPr>
                  </w:pPr>
                  <w:r>
                    <w:rPr>
                      <w:b/>
                      <w:bCs/>
                      <w:color w:val="000000"/>
                    </w:rPr>
                    <w:t>噪声源</w:t>
                  </w:r>
                </w:p>
              </w:tc>
              <w:tc>
                <w:tcPr>
                  <w:tcW w:w="969" w:type="dxa"/>
                  <w:tcBorders>
                    <w:tl2br w:val="nil"/>
                    <w:tr2bl w:val="nil"/>
                  </w:tcBorders>
                  <w:noWrap w:val="0"/>
                  <w:vAlign w:val="center"/>
                </w:tcPr>
                <w:p>
                  <w:pPr>
                    <w:pStyle w:val="63"/>
                    <w:rPr>
                      <w:b/>
                      <w:bCs/>
                      <w:color w:val="000000"/>
                    </w:rPr>
                  </w:pPr>
                  <w:r>
                    <w:rPr>
                      <w:b/>
                      <w:bCs/>
                      <w:color w:val="000000"/>
                    </w:rPr>
                    <w:t>噪声值</w:t>
                  </w:r>
                </w:p>
              </w:tc>
              <w:tc>
                <w:tcPr>
                  <w:tcW w:w="2031" w:type="dxa"/>
                  <w:tcBorders>
                    <w:tl2br w:val="nil"/>
                    <w:tr2bl w:val="nil"/>
                  </w:tcBorders>
                  <w:noWrap w:val="0"/>
                  <w:vAlign w:val="center"/>
                </w:tcPr>
                <w:p>
                  <w:pPr>
                    <w:pStyle w:val="63"/>
                    <w:rPr>
                      <w:b/>
                      <w:bCs/>
                      <w:color w:val="000000"/>
                    </w:rPr>
                  </w:pPr>
                  <w:r>
                    <w:rPr>
                      <w:b/>
                      <w:bCs/>
                      <w:color w:val="000000"/>
                    </w:rPr>
                    <w:t>产生位置</w:t>
                  </w:r>
                </w:p>
              </w:tc>
              <w:tc>
                <w:tcPr>
                  <w:tcW w:w="3417" w:type="dxa"/>
                  <w:tcBorders>
                    <w:tl2br w:val="nil"/>
                    <w:tr2bl w:val="nil"/>
                  </w:tcBorders>
                  <w:noWrap w:val="0"/>
                  <w:vAlign w:val="center"/>
                </w:tcPr>
                <w:p>
                  <w:pPr>
                    <w:pStyle w:val="63"/>
                    <w:rPr>
                      <w:b/>
                      <w:bCs/>
                      <w:color w:val="000000"/>
                    </w:rPr>
                  </w:pPr>
                  <w:r>
                    <w:rPr>
                      <w:b/>
                      <w:bCs/>
                      <w:color w:val="000000"/>
                    </w:rPr>
                    <w:t>隔声、降噪措施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599" w:type="dxa"/>
                  <w:tcBorders>
                    <w:tl2br w:val="nil"/>
                    <w:tr2bl w:val="nil"/>
                  </w:tcBorders>
                  <w:noWrap w:val="0"/>
                  <w:vAlign w:val="center"/>
                </w:tcPr>
                <w:p>
                  <w:pPr>
                    <w:pStyle w:val="63"/>
                    <w:rPr>
                      <w:color w:val="000000"/>
                    </w:rPr>
                  </w:pPr>
                  <w:r>
                    <w:rPr>
                      <w:rFonts w:hint="eastAsia"/>
                      <w:color w:val="000000"/>
                    </w:rPr>
                    <w:t>1</w:t>
                  </w:r>
                </w:p>
              </w:tc>
              <w:tc>
                <w:tcPr>
                  <w:tcW w:w="1322" w:type="dxa"/>
                  <w:tcBorders>
                    <w:tl2br w:val="nil"/>
                    <w:tr2bl w:val="nil"/>
                  </w:tcBorders>
                  <w:noWrap w:val="0"/>
                  <w:vAlign w:val="center"/>
                </w:tcPr>
                <w:p>
                  <w:pPr>
                    <w:adjustRightInd w:val="0"/>
                    <w:snapToGrid w:val="0"/>
                    <w:spacing w:before="62" w:beforeLines="20" w:after="62" w:afterLines="20"/>
                    <w:jc w:val="center"/>
                    <w:rPr>
                      <w:rFonts w:hint="default" w:eastAsia="宋体"/>
                      <w:color w:val="000000"/>
                      <w:lang w:val="en-US" w:eastAsia="zh-CN"/>
                    </w:rPr>
                  </w:pPr>
                  <w:r>
                    <w:rPr>
                      <w:rFonts w:hint="eastAsia"/>
                      <w:szCs w:val="21"/>
                    </w:rPr>
                    <w:t>生活水泵</w:t>
                  </w:r>
                </w:p>
              </w:tc>
              <w:tc>
                <w:tcPr>
                  <w:tcW w:w="969" w:type="dxa"/>
                  <w:tcBorders>
                    <w:tl2br w:val="nil"/>
                    <w:tr2bl w:val="nil"/>
                  </w:tcBorders>
                  <w:noWrap w:val="0"/>
                  <w:vAlign w:val="center"/>
                </w:tcPr>
                <w:p>
                  <w:pPr>
                    <w:adjustRightInd w:val="0"/>
                    <w:snapToGrid w:val="0"/>
                    <w:spacing w:before="62" w:beforeLines="20" w:after="62" w:afterLines="20"/>
                    <w:jc w:val="center"/>
                    <w:rPr>
                      <w:rFonts w:hint="default"/>
                      <w:color w:val="000000"/>
                      <w:lang w:val="en-US"/>
                    </w:rPr>
                  </w:pPr>
                  <w:r>
                    <w:rPr>
                      <w:rFonts w:hint="eastAsia"/>
                      <w:szCs w:val="21"/>
                      <w:lang w:val="en-US" w:eastAsia="zh-CN"/>
                    </w:rPr>
                    <w:t>70</w:t>
                  </w:r>
                </w:p>
              </w:tc>
              <w:tc>
                <w:tcPr>
                  <w:tcW w:w="2031" w:type="dxa"/>
                  <w:tcBorders>
                    <w:tl2br w:val="nil"/>
                    <w:tr2bl w:val="nil"/>
                  </w:tcBorders>
                  <w:noWrap w:val="0"/>
                  <w:vAlign w:val="center"/>
                </w:tcPr>
                <w:p>
                  <w:pPr>
                    <w:pStyle w:val="63"/>
                    <w:rPr>
                      <w:rFonts w:hint="default" w:eastAsia="宋体"/>
                      <w:color w:val="000000"/>
                      <w:lang w:val="en-US" w:eastAsia="zh-CN"/>
                    </w:rPr>
                  </w:pPr>
                  <w:r>
                    <w:rPr>
                      <w:rFonts w:hint="eastAsia"/>
                      <w:color w:val="000000"/>
                    </w:rPr>
                    <w:t>主要分布在</w:t>
                  </w:r>
                  <w:r>
                    <w:rPr>
                      <w:rFonts w:hint="eastAsia"/>
                      <w:color w:val="000000"/>
                      <w:lang w:val="en-US" w:eastAsia="zh-CN"/>
                    </w:rPr>
                    <w:t>月子中心大楼</w:t>
                  </w:r>
                </w:p>
              </w:tc>
              <w:tc>
                <w:tcPr>
                  <w:tcW w:w="3417" w:type="dxa"/>
                  <w:tcBorders>
                    <w:tl2br w:val="nil"/>
                    <w:tr2bl w:val="nil"/>
                  </w:tcBorders>
                  <w:noWrap w:val="0"/>
                  <w:vAlign w:val="center"/>
                </w:tcPr>
                <w:p>
                  <w:pPr>
                    <w:pStyle w:val="63"/>
                    <w:rPr>
                      <w:color w:val="000000"/>
                    </w:rPr>
                  </w:pPr>
                  <w:r>
                    <w:rPr>
                      <w:rFonts w:hint="eastAsia"/>
                      <w:color w:val="000000"/>
                    </w:rPr>
                    <w:t>绿化、墙体隔声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599" w:type="dxa"/>
                  <w:tcBorders>
                    <w:tl2br w:val="nil"/>
                    <w:tr2bl w:val="nil"/>
                  </w:tcBorders>
                  <w:noWrap w:val="0"/>
                  <w:vAlign w:val="center"/>
                </w:tcPr>
                <w:p>
                  <w:pPr>
                    <w:pStyle w:val="63"/>
                    <w:ind w:firstLine="0" w:firstLineChars="0"/>
                    <w:rPr>
                      <w:rFonts w:hint="eastAsia"/>
                      <w:color w:val="000000"/>
                    </w:rPr>
                  </w:pPr>
                  <w:r>
                    <w:rPr>
                      <w:color w:val="000000"/>
                    </w:rPr>
                    <w:t>2</w:t>
                  </w:r>
                </w:p>
              </w:tc>
              <w:tc>
                <w:tcPr>
                  <w:tcW w:w="1322" w:type="dxa"/>
                  <w:tcBorders>
                    <w:tl2br w:val="nil"/>
                    <w:tr2bl w:val="nil"/>
                  </w:tcBorders>
                  <w:noWrap w:val="0"/>
                  <w:vAlign w:val="center"/>
                </w:tcPr>
                <w:p>
                  <w:pPr>
                    <w:adjustRightInd w:val="0"/>
                    <w:snapToGrid w:val="0"/>
                    <w:spacing w:before="62" w:beforeLines="20" w:after="62" w:afterLines="20"/>
                    <w:jc w:val="center"/>
                    <w:rPr>
                      <w:rStyle w:val="30"/>
                      <w:rFonts w:hint="default" w:eastAsia="宋体"/>
                      <w:color w:val="000000"/>
                      <w:lang w:val="en-US" w:eastAsia="zh-CN"/>
                    </w:rPr>
                  </w:pPr>
                  <w:r>
                    <w:rPr>
                      <w:rFonts w:hint="eastAsia"/>
                      <w:szCs w:val="21"/>
                      <w:lang w:val="en-US" w:eastAsia="zh-CN"/>
                    </w:rPr>
                    <w:t>中央空调冷却塔</w:t>
                  </w:r>
                </w:p>
              </w:tc>
              <w:tc>
                <w:tcPr>
                  <w:tcW w:w="969" w:type="dxa"/>
                  <w:tcBorders>
                    <w:tl2br w:val="nil"/>
                    <w:tr2bl w:val="nil"/>
                  </w:tcBorders>
                  <w:noWrap w:val="0"/>
                  <w:vAlign w:val="center"/>
                </w:tcPr>
                <w:p>
                  <w:pPr>
                    <w:adjustRightInd w:val="0"/>
                    <w:snapToGrid w:val="0"/>
                    <w:spacing w:before="62" w:beforeLines="20" w:after="62" w:afterLines="20"/>
                    <w:jc w:val="center"/>
                    <w:rPr>
                      <w:rFonts w:hint="default" w:eastAsia="宋体"/>
                      <w:color w:val="000000"/>
                      <w:lang w:val="en-US" w:eastAsia="zh-CN"/>
                    </w:rPr>
                  </w:pPr>
                  <w:r>
                    <w:rPr>
                      <w:rFonts w:hint="eastAsia"/>
                      <w:szCs w:val="21"/>
                      <w:lang w:val="en-US" w:eastAsia="zh-CN"/>
                    </w:rPr>
                    <w:t>60</w:t>
                  </w:r>
                </w:p>
              </w:tc>
              <w:tc>
                <w:tcPr>
                  <w:tcW w:w="2031" w:type="dxa"/>
                  <w:tcBorders>
                    <w:tl2br w:val="nil"/>
                    <w:tr2bl w:val="nil"/>
                  </w:tcBorders>
                  <w:noWrap w:val="0"/>
                  <w:vAlign w:val="center"/>
                </w:tcPr>
                <w:p>
                  <w:pPr>
                    <w:pStyle w:val="63"/>
                    <w:ind w:firstLine="0" w:firstLineChars="0"/>
                    <w:rPr>
                      <w:rFonts w:hint="default" w:ascii="Times New Roman" w:hAnsi="Times New Roman" w:eastAsia="宋体"/>
                      <w:color w:val="000000"/>
                      <w:kern w:val="2"/>
                      <w:sz w:val="21"/>
                      <w:szCs w:val="24"/>
                      <w:lang w:val="en-US" w:eastAsia="zh-CN" w:bidi="ar-SA"/>
                    </w:rPr>
                  </w:pPr>
                  <w:r>
                    <w:rPr>
                      <w:rFonts w:hint="eastAsia"/>
                      <w:color w:val="000000"/>
                      <w:lang w:val="en-US" w:eastAsia="zh-CN"/>
                    </w:rPr>
                    <w:t>月子中心大楼</w:t>
                  </w:r>
                </w:p>
              </w:tc>
              <w:tc>
                <w:tcPr>
                  <w:tcW w:w="3417" w:type="dxa"/>
                  <w:tcBorders>
                    <w:tl2br w:val="nil"/>
                    <w:tr2bl w:val="nil"/>
                  </w:tcBorders>
                  <w:noWrap w:val="0"/>
                  <w:vAlign w:val="center"/>
                </w:tcPr>
                <w:p>
                  <w:pPr>
                    <w:pStyle w:val="63"/>
                    <w:ind w:firstLine="0" w:firstLineChars="0"/>
                    <w:rPr>
                      <w:rFonts w:hint="eastAsia" w:ascii="Times New Roman" w:hAnsi="Times New Roman"/>
                      <w:color w:val="000000"/>
                      <w:kern w:val="2"/>
                      <w:sz w:val="21"/>
                      <w:szCs w:val="24"/>
                      <w:lang w:val="en-US" w:eastAsia="zh-CN" w:bidi="ar-SA"/>
                    </w:rPr>
                  </w:pPr>
                  <w:r>
                    <w:rPr>
                      <w:color w:val="000000"/>
                    </w:rPr>
                    <w:t>选择低噪声设备、置于设备间内，泵与基座之间设置减振垫，可降噪15~20dB(A)以上</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599" w:type="dxa"/>
                  <w:tcBorders>
                    <w:tl2br w:val="nil"/>
                    <w:tr2bl w:val="nil"/>
                  </w:tcBorders>
                  <w:noWrap w:val="0"/>
                  <w:vAlign w:val="center"/>
                </w:tcPr>
                <w:p>
                  <w:pPr>
                    <w:pStyle w:val="63"/>
                    <w:rPr>
                      <w:color w:val="000000"/>
                    </w:rPr>
                  </w:pPr>
                  <w:r>
                    <w:rPr>
                      <w:color w:val="000000"/>
                    </w:rPr>
                    <w:t>3</w:t>
                  </w:r>
                </w:p>
              </w:tc>
              <w:tc>
                <w:tcPr>
                  <w:tcW w:w="1322" w:type="dxa"/>
                  <w:tcBorders>
                    <w:tl2br w:val="nil"/>
                    <w:tr2bl w:val="nil"/>
                  </w:tcBorders>
                  <w:noWrap w:val="0"/>
                  <w:vAlign w:val="center"/>
                </w:tcPr>
                <w:p>
                  <w:pPr>
                    <w:adjustRightInd w:val="0"/>
                    <w:snapToGrid w:val="0"/>
                    <w:spacing w:before="62" w:beforeLines="20" w:after="62" w:afterLines="20"/>
                    <w:jc w:val="center"/>
                    <w:rPr>
                      <w:rFonts w:hint="eastAsia" w:eastAsia="宋体"/>
                      <w:color w:val="000000"/>
                      <w:lang w:eastAsia="zh-CN"/>
                    </w:rPr>
                  </w:pPr>
                  <w:r>
                    <w:rPr>
                      <w:szCs w:val="21"/>
                    </w:rPr>
                    <w:t>鼓风机</w:t>
                  </w:r>
                </w:p>
              </w:tc>
              <w:tc>
                <w:tcPr>
                  <w:tcW w:w="969" w:type="dxa"/>
                  <w:tcBorders>
                    <w:tl2br w:val="nil"/>
                    <w:tr2bl w:val="nil"/>
                  </w:tcBorders>
                  <w:noWrap w:val="0"/>
                  <w:vAlign w:val="center"/>
                </w:tcPr>
                <w:p>
                  <w:pPr>
                    <w:adjustRightInd w:val="0"/>
                    <w:snapToGrid w:val="0"/>
                    <w:spacing w:before="62" w:beforeLines="20" w:after="62" w:afterLines="20"/>
                    <w:jc w:val="center"/>
                    <w:rPr>
                      <w:rFonts w:hint="default" w:eastAsia="宋体"/>
                      <w:color w:val="000000"/>
                      <w:lang w:val="en-US" w:eastAsia="zh-CN"/>
                    </w:rPr>
                  </w:pPr>
                  <w:r>
                    <w:rPr>
                      <w:rFonts w:hint="eastAsia" w:eastAsia="宋体"/>
                      <w:szCs w:val="21"/>
                      <w:lang w:val="en-US" w:eastAsia="zh-CN"/>
                    </w:rPr>
                    <w:t>70</w:t>
                  </w:r>
                </w:p>
              </w:tc>
              <w:tc>
                <w:tcPr>
                  <w:tcW w:w="2031" w:type="dxa"/>
                  <w:tcBorders>
                    <w:tl2br w:val="nil"/>
                    <w:tr2bl w:val="nil"/>
                  </w:tcBorders>
                  <w:noWrap w:val="0"/>
                  <w:vAlign w:val="center"/>
                </w:tcPr>
                <w:p>
                  <w:pPr>
                    <w:pStyle w:val="63"/>
                    <w:rPr>
                      <w:rFonts w:hint="default" w:eastAsia="宋体"/>
                      <w:color w:val="000000"/>
                      <w:lang w:val="en-US" w:eastAsia="zh-CN"/>
                    </w:rPr>
                  </w:pPr>
                  <w:r>
                    <w:rPr>
                      <w:rFonts w:hint="eastAsia"/>
                      <w:color w:val="000000"/>
                      <w:lang w:val="en-US" w:eastAsia="zh-CN"/>
                    </w:rPr>
                    <w:t>新设置到项目食堂外</w:t>
                  </w:r>
                </w:p>
              </w:tc>
              <w:tc>
                <w:tcPr>
                  <w:tcW w:w="3417" w:type="dxa"/>
                  <w:tcBorders>
                    <w:tl2br w:val="nil"/>
                    <w:tr2bl w:val="nil"/>
                  </w:tcBorders>
                  <w:noWrap w:val="0"/>
                  <w:vAlign w:val="center"/>
                </w:tcPr>
                <w:p>
                  <w:pPr>
                    <w:pStyle w:val="63"/>
                    <w:rPr>
                      <w:rFonts w:hint="default" w:eastAsia="宋体"/>
                      <w:color w:val="000000"/>
                      <w:lang w:val="en-US" w:eastAsia="zh-CN"/>
                    </w:rPr>
                  </w:pPr>
                  <w:r>
                    <w:rPr>
                      <w:color w:val="000000"/>
                    </w:rPr>
                    <w:t>选用低噪声设备</w:t>
                  </w:r>
                  <w:r>
                    <w:rPr>
                      <w:rFonts w:hint="eastAsia"/>
                      <w:color w:val="000000"/>
                      <w:lang w:eastAsia="zh-CN"/>
                    </w:rPr>
                    <w:t>、</w:t>
                  </w:r>
                  <w:r>
                    <w:rPr>
                      <w:rFonts w:hint="eastAsia"/>
                      <w:szCs w:val="21"/>
                      <w:lang w:val="en-US" w:eastAsia="zh-CN"/>
                    </w:rPr>
                    <w:t>减震垫</w:t>
                  </w:r>
                  <w:r>
                    <w:rPr>
                      <w:szCs w:val="21"/>
                    </w:rPr>
                    <w:t>降噪</w:t>
                  </w:r>
                  <w:r>
                    <w:rPr>
                      <w:rFonts w:hint="eastAsia"/>
                      <w:szCs w:val="21"/>
                      <w:lang w:eastAsia="zh-CN"/>
                    </w:rPr>
                    <w:t>、</w:t>
                  </w:r>
                  <w:r>
                    <w:rPr>
                      <w:rFonts w:hint="eastAsia"/>
                      <w:szCs w:val="21"/>
                      <w:lang w:val="en-US" w:eastAsia="zh-CN"/>
                    </w:rPr>
                    <w:t>隔声挡板</w:t>
                  </w:r>
                </w:p>
              </w:tc>
            </w:tr>
          </w:tbl>
          <w:p>
            <w:pPr>
              <w:bidi w:val="0"/>
            </w:pPr>
          </w:p>
          <w:p>
            <w:pPr>
              <w:spacing w:line="360" w:lineRule="auto"/>
              <w:ind w:firstLine="480"/>
              <w:rPr>
                <w:rFonts w:hint="eastAsia"/>
                <w:sz w:val="24"/>
                <w:szCs w:val="24"/>
                <w:u w:val="none"/>
              </w:rPr>
            </w:pPr>
            <w:r>
              <w:rPr>
                <w:rFonts w:hint="eastAsia"/>
                <w:color w:val="000000"/>
                <w:sz w:val="24"/>
                <w:szCs w:val="24"/>
                <w:u w:val="none"/>
              </w:rPr>
              <w:t>本次环境噪声影响预测主要使针对本项目主要噪声源对厂界的影响进行预测，</w:t>
            </w:r>
            <w:r>
              <w:rPr>
                <w:rFonts w:hint="eastAsia"/>
                <w:sz w:val="24"/>
                <w:szCs w:val="24"/>
                <w:u w:val="none"/>
              </w:rPr>
              <w:t>根据《环境影响评价技术导则 声环境》（HJ2.4-2021），结合本项目声源的噪声排放特点，选择整体声源预测模式来模拟预测本建设项目主要声源排放噪声随距离的衰减变化规律。对室外噪声源主要考虑噪声的几何发散衰减及环境因素衰减：</w:t>
            </w:r>
          </w:p>
          <w:p>
            <w:pPr>
              <w:pStyle w:val="2"/>
              <w:spacing w:line="360" w:lineRule="auto"/>
              <w:jc w:val="center"/>
              <w:rPr>
                <w:rFonts w:hint="eastAsia" w:eastAsia="宋体"/>
                <w:sz w:val="24"/>
                <w:szCs w:val="24"/>
                <w:u w:val="none"/>
                <w:lang w:eastAsia="zh-CN"/>
              </w:rPr>
            </w:pPr>
            <w:r>
              <w:rPr>
                <w:rFonts w:hint="eastAsia" w:eastAsia="宋体"/>
                <w:sz w:val="24"/>
                <w:szCs w:val="24"/>
                <w:u w:val="none"/>
                <w:lang w:eastAsia="zh-CN"/>
              </w:rPr>
              <w:drawing>
                <wp:inline distT="0" distB="0" distL="114300" distR="114300">
                  <wp:extent cx="1726565" cy="293370"/>
                  <wp:effectExtent l="0" t="0" r="6985" b="11430"/>
                  <wp:docPr id="63" name="图片 6" descr="16652460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 descr="1665246068(1)"/>
                          <pic:cNvPicPr>
                            <a:picLocks noChangeAspect="1"/>
                          </pic:cNvPicPr>
                        </pic:nvPicPr>
                        <pic:blipFill>
                          <a:blip r:embed="rId20"/>
                          <a:stretch>
                            <a:fillRect/>
                          </a:stretch>
                        </pic:blipFill>
                        <pic:spPr>
                          <a:xfrm>
                            <a:off x="0" y="0"/>
                            <a:ext cx="1726565" cy="293370"/>
                          </a:xfrm>
                          <a:prstGeom prst="rect">
                            <a:avLst/>
                          </a:prstGeom>
                          <a:noFill/>
                          <a:ln>
                            <a:noFill/>
                          </a:ln>
                        </pic:spPr>
                      </pic:pic>
                    </a:graphicData>
                  </a:graphic>
                </wp:inline>
              </w:drawing>
            </w:r>
          </w:p>
          <w:p>
            <w:pPr>
              <w:spacing w:line="360" w:lineRule="auto"/>
              <w:rPr>
                <w:rFonts w:hint="eastAsia"/>
                <w:sz w:val="24"/>
                <w:szCs w:val="24"/>
                <w:u w:val="none"/>
              </w:rPr>
            </w:pPr>
            <w:r>
              <w:rPr>
                <w:rFonts w:hint="eastAsia"/>
                <w:sz w:val="24"/>
                <w:szCs w:val="24"/>
                <w:u w:val="none"/>
              </w:rPr>
              <w:t>式中：L</w:t>
            </w:r>
            <w:r>
              <w:rPr>
                <w:rFonts w:hint="eastAsia"/>
                <w:sz w:val="24"/>
                <w:szCs w:val="24"/>
                <w:u w:val="none"/>
                <w:vertAlign w:val="subscript"/>
              </w:rPr>
              <w:t>2</w:t>
            </w:r>
            <w:r>
              <w:rPr>
                <w:rFonts w:hint="eastAsia"/>
                <w:sz w:val="24"/>
                <w:szCs w:val="24"/>
                <w:u w:val="none"/>
              </w:rPr>
              <w:t>——点声源在预测点产生的声压级，dB(A)；</w:t>
            </w:r>
          </w:p>
          <w:p>
            <w:pPr>
              <w:spacing w:line="360" w:lineRule="auto"/>
              <w:ind w:firstLine="1200" w:firstLineChars="500"/>
              <w:rPr>
                <w:rFonts w:hint="eastAsia"/>
                <w:sz w:val="24"/>
                <w:szCs w:val="24"/>
                <w:u w:val="none"/>
              </w:rPr>
            </w:pPr>
            <w:r>
              <w:rPr>
                <w:rFonts w:hint="eastAsia"/>
                <w:sz w:val="24"/>
                <w:szCs w:val="24"/>
                <w:u w:val="none"/>
              </w:rPr>
              <w:t>L</w:t>
            </w:r>
            <w:r>
              <w:rPr>
                <w:rFonts w:hint="eastAsia"/>
                <w:sz w:val="24"/>
                <w:szCs w:val="24"/>
                <w:u w:val="none"/>
                <w:vertAlign w:val="subscript"/>
              </w:rPr>
              <w:t>1</w:t>
            </w:r>
            <w:r>
              <w:rPr>
                <w:rFonts w:hint="eastAsia"/>
                <w:sz w:val="24"/>
                <w:szCs w:val="24"/>
                <w:u w:val="none"/>
              </w:rPr>
              <w:t>——点声源在参考点产生的声压级，dB(A)；</w:t>
            </w:r>
          </w:p>
          <w:p>
            <w:pPr>
              <w:spacing w:line="360" w:lineRule="auto"/>
              <w:ind w:firstLine="1200" w:firstLineChars="500"/>
              <w:rPr>
                <w:rFonts w:hint="eastAsia"/>
                <w:sz w:val="24"/>
                <w:szCs w:val="24"/>
                <w:u w:val="none"/>
              </w:rPr>
            </w:pPr>
            <w:r>
              <w:rPr>
                <w:rFonts w:hint="eastAsia"/>
                <w:sz w:val="24"/>
                <w:szCs w:val="24"/>
                <w:u w:val="none"/>
              </w:rPr>
              <w:t>r</w:t>
            </w:r>
            <w:r>
              <w:rPr>
                <w:rFonts w:hint="eastAsia"/>
                <w:sz w:val="24"/>
                <w:szCs w:val="24"/>
                <w:u w:val="none"/>
                <w:vertAlign w:val="subscript"/>
              </w:rPr>
              <w:t>2</w:t>
            </w:r>
            <w:r>
              <w:rPr>
                <w:rFonts w:hint="eastAsia"/>
                <w:sz w:val="24"/>
                <w:szCs w:val="24"/>
                <w:u w:val="none"/>
              </w:rPr>
              <w:t>——预测点距声源的距离，m；</w:t>
            </w:r>
          </w:p>
          <w:p>
            <w:pPr>
              <w:spacing w:line="360" w:lineRule="auto"/>
              <w:ind w:firstLine="1200" w:firstLineChars="500"/>
              <w:rPr>
                <w:rFonts w:hint="eastAsia"/>
                <w:sz w:val="24"/>
                <w:szCs w:val="24"/>
                <w:u w:val="none"/>
              </w:rPr>
            </w:pPr>
            <w:r>
              <w:rPr>
                <w:rFonts w:hint="eastAsia"/>
                <w:sz w:val="24"/>
                <w:szCs w:val="24"/>
                <w:u w:val="none"/>
              </w:rPr>
              <w:t>R</w:t>
            </w:r>
            <w:r>
              <w:rPr>
                <w:rFonts w:hint="eastAsia"/>
                <w:sz w:val="24"/>
                <w:szCs w:val="24"/>
                <w:u w:val="none"/>
                <w:vertAlign w:val="subscript"/>
                <w:lang w:val="en-US" w:eastAsia="zh-CN"/>
              </w:rPr>
              <w:t>1</w:t>
            </w:r>
            <w:r>
              <w:rPr>
                <w:rFonts w:hint="eastAsia"/>
                <w:sz w:val="24"/>
                <w:szCs w:val="24"/>
                <w:u w:val="none"/>
              </w:rPr>
              <w:t>——参考点距声源的距离，m；</w:t>
            </w:r>
          </w:p>
          <w:p>
            <w:pPr>
              <w:spacing w:line="360" w:lineRule="auto"/>
              <w:ind w:firstLine="1200" w:firstLineChars="500"/>
              <w:rPr>
                <w:rFonts w:hint="eastAsia"/>
                <w:sz w:val="24"/>
                <w:szCs w:val="24"/>
                <w:u w:val="none"/>
              </w:rPr>
            </w:pPr>
            <w:r>
              <w:rPr>
                <w:rFonts w:hint="eastAsia"/>
                <w:sz w:val="24"/>
                <w:szCs w:val="24"/>
                <w:u w:val="none"/>
              </w:rPr>
              <w:t>△L——各种因素引起的衰减量（包括声屏障、空气吸收等引起的衰减量），dB(A)。</w:t>
            </w:r>
          </w:p>
          <w:p>
            <w:pPr>
              <w:pStyle w:val="2"/>
              <w:spacing w:line="360" w:lineRule="auto"/>
              <w:rPr>
                <w:rFonts w:hint="eastAsia"/>
                <w:sz w:val="24"/>
                <w:szCs w:val="24"/>
                <w:u w:val="none"/>
              </w:rPr>
            </w:pPr>
            <w:r>
              <w:rPr>
                <w:rFonts w:hint="eastAsia"/>
                <w:sz w:val="24"/>
                <w:szCs w:val="24"/>
                <w:u w:val="none"/>
              </w:rPr>
              <w:t>对室内噪声源采用室内声源噪声模式并换算成等效的室外声源：</w:t>
            </w:r>
          </w:p>
          <w:p>
            <w:pPr>
              <w:spacing w:line="360" w:lineRule="auto"/>
              <w:jc w:val="center"/>
              <w:rPr>
                <w:rFonts w:hint="eastAsia" w:eastAsia="宋体"/>
                <w:sz w:val="24"/>
                <w:szCs w:val="24"/>
                <w:u w:val="none"/>
                <w:lang w:eastAsia="zh-CN"/>
              </w:rPr>
            </w:pPr>
            <w:r>
              <w:rPr>
                <w:rFonts w:hint="eastAsia" w:eastAsia="宋体"/>
                <w:sz w:val="24"/>
                <w:szCs w:val="24"/>
                <w:u w:val="none"/>
                <w:lang w:eastAsia="zh-CN"/>
              </w:rPr>
              <w:drawing>
                <wp:inline distT="0" distB="0" distL="114300" distR="114300">
                  <wp:extent cx="1873250" cy="670560"/>
                  <wp:effectExtent l="0" t="0" r="12700" b="15240"/>
                  <wp:docPr id="65" name="图片 7" descr="1665246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7" descr="1665246245(1)"/>
                          <pic:cNvPicPr>
                            <a:picLocks noChangeAspect="1"/>
                          </pic:cNvPicPr>
                        </pic:nvPicPr>
                        <pic:blipFill>
                          <a:blip r:embed="rId21"/>
                          <a:stretch>
                            <a:fillRect/>
                          </a:stretch>
                        </pic:blipFill>
                        <pic:spPr>
                          <a:xfrm>
                            <a:off x="0" y="0"/>
                            <a:ext cx="1873250" cy="67056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after="0" w:afterLines="0" w:line="360" w:lineRule="auto"/>
              <w:textAlignment w:val="auto"/>
              <w:rPr>
                <w:rFonts w:hint="eastAsia"/>
                <w:sz w:val="24"/>
                <w:szCs w:val="24"/>
                <w:u w:val="none"/>
              </w:rPr>
            </w:pPr>
            <w:r>
              <w:rPr>
                <w:rFonts w:hint="eastAsia"/>
                <w:sz w:val="24"/>
                <w:szCs w:val="24"/>
                <w:u w:val="none"/>
              </w:rPr>
              <w:t>式中：L</w:t>
            </w:r>
            <w:r>
              <w:rPr>
                <w:rFonts w:hint="eastAsia"/>
                <w:sz w:val="24"/>
                <w:szCs w:val="24"/>
                <w:u w:val="none"/>
                <w:vertAlign w:val="subscript"/>
              </w:rPr>
              <w:t>n</w:t>
            </w:r>
            <w:r>
              <w:rPr>
                <w:rFonts w:hint="eastAsia"/>
                <w:sz w:val="24"/>
                <w:szCs w:val="24"/>
                <w:u w:val="none"/>
              </w:rPr>
              <w:t>——室内靠近围护结构处产生的声压级，dB；</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1200" w:firstLineChars="500"/>
              <w:textAlignment w:val="auto"/>
              <w:rPr>
                <w:rFonts w:hint="eastAsia"/>
                <w:sz w:val="24"/>
                <w:szCs w:val="24"/>
                <w:u w:val="none"/>
              </w:rPr>
            </w:pPr>
            <w:r>
              <w:rPr>
                <w:rFonts w:hint="eastAsia"/>
                <w:sz w:val="24"/>
                <w:szCs w:val="24"/>
                <w:u w:val="none"/>
              </w:rPr>
              <w:t>L</w:t>
            </w:r>
            <w:r>
              <w:rPr>
                <w:rFonts w:hint="eastAsia"/>
                <w:sz w:val="24"/>
                <w:szCs w:val="24"/>
                <w:u w:val="none"/>
                <w:vertAlign w:val="subscript"/>
              </w:rPr>
              <w:t>w</w:t>
            </w:r>
            <w:r>
              <w:rPr>
                <w:rFonts w:hint="eastAsia"/>
                <w:sz w:val="24"/>
                <w:szCs w:val="24"/>
                <w:u w:val="none"/>
              </w:rPr>
              <w:t>——室外靠近围护结构处产生的声压级，dB；</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1200" w:firstLineChars="500"/>
              <w:textAlignment w:val="auto"/>
              <w:rPr>
                <w:rFonts w:hint="eastAsia"/>
                <w:sz w:val="24"/>
                <w:szCs w:val="24"/>
                <w:u w:val="none"/>
              </w:rPr>
            </w:pPr>
            <w:r>
              <w:rPr>
                <w:rFonts w:hint="eastAsia"/>
                <w:sz w:val="24"/>
                <w:szCs w:val="24"/>
                <w:u w:val="none"/>
              </w:rPr>
              <w:t>L</w:t>
            </w:r>
            <w:r>
              <w:rPr>
                <w:rFonts w:hint="eastAsia"/>
                <w:sz w:val="24"/>
                <w:szCs w:val="24"/>
                <w:u w:val="none"/>
                <w:vertAlign w:val="subscript"/>
              </w:rPr>
              <w:t>e</w:t>
            </w:r>
            <w:r>
              <w:rPr>
                <w:rFonts w:hint="eastAsia"/>
                <w:sz w:val="24"/>
                <w:szCs w:val="24"/>
                <w:u w:val="none"/>
              </w:rPr>
              <w:t>——声源的声压级，dB；</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1200" w:firstLineChars="500"/>
              <w:textAlignment w:val="auto"/>
              <w:rPr>
                <w:rFonts w:hint="eastAsia"/>
                <w:sz w:val="24"/>
                <w:szCs w:val="24"/>
                <w:u w:val="none"/>
              </w:rPr>
            </w:pPr>
            <w:r>
              <w:rPr>
                <w:rFonts w:hint="eastAsia"/>
                <w:sz w:val="24"/>
                <w:szCs w:val="24"/>
                <w:u w:val="none"/>
              </w:rPr>
              <w:t>r——声源与室内靠近围护结构处的距离，m；</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1200" w:firstLineChars="500"/>
              <w:textAlignment w:val="auto"/>
              <w:rPr>
                <w:rFonts w:hint="eastAsia"/>
                <w:sz w:val="24"/>
                <w:szCs w:val="24"/>
                <w:u w:val="none"/>
              </w:rPr>
            </w:pPr>
            <w:r>
              <w:rPr>
                <w:rFonts w:hint="eastAsia"/>
                <w:sz w:val="24"/>
                <w:szCs w:val="24"/>
                <w:u w:val="none"/>
              </w:rPr>
              <w:t>R——房间常数，m</w:t>
            </w:r>
            <w:r>
              <w:rPr>
                <w:rFonts w:hint="eastAsia"/>
                <w:sz w:val="24"/>
                <w:szCs w:val="24"/>
                <w:u w:val="none"/>
                <w:vertAlign w:val="superscript"/>
              </w:rPr>
              <w:t>2</w:t>
            </w:r>
            <w:r>
              <w:rPr>
                <w:rFonts w:hint="eastAsia"/>
                <w:sz w:val="24"/>
                <w:szCs w:val="24"/>
                <w:u w:val="none"/>
              </w:rPr>
              <w:t>；</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1200" w:firstLineChars="500"/>
              <w:textAlignment w:val="auto"/>
              <w:rPr>
                <w:rFonts w:hint="eastAsia"/>
                <w:sz w:val="24"/>
                <w:szCs w:val="24"/>
                <w:u w:val="none"/>
              </w:rPr>
            </w:pPr>
            <w:r>
              <w:rPr>
                <w:rFonts w:hint="eastAsia"/>
                <w:sz w:val="24"/>
                <w:szCs w:val="24"/>
                <w:u w:val="none"/>
              </w:rPr>
              <w:t>Q——方向性因子；</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1200" w:firstLineChars="500"/>
              <w:textAlignment w:val="auto"/>
              <w:rPr>
                <w:rFonts w:hint="eastAsia"/>
                <w:sz w:val="24"/>
                <w:szCs w:val="24"/>
                <w:u w:val="none"/>
              </w:rPr>
            </w:pPr>
            <w:r>
              <w:rPr>
                <w:rFonts w:hint="eastAsia"/>
                <w:sz w:val="24"/>
                <w:szCs w:val="24"/>
                <w:u w:val="none"/>
              </w:rPr>
              <w:t>TL——围护结构的传输损失，dB；</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1200" w:firstLineChars="500"/>
              <w:textAlignment w:val="auto"/>
              <w:rPr>
                <w:rFonts w:hint="eastAsia" w:eastAsia="宋体"/>
                <w:sz w:val="24"/>
                <w:szCs w:val="24"/>
                <w:u w:val="none"/>
                <w:lang w:eastAsia="zh-CN"/>
              </w:rPr>
            </w:pPr>
            <w:r>
              <w:rPr>
                <w:rFonts w:hint="eastAsia"/>
                <w:sz w:val="24"/>
                <w:szCs w:val="24"/>
                <w:u w:val="none"/>
              </w:rPr>
              <w:t>S——透声面积，m</w:t>
            </w:r>
            <w:r>
              <w:rPr>
                <w:rFonts w:hint="eastAsia"/>
                <w:sz w:val="24"/>
                <w:szCs w:val="24"/>
                <w:u w:val="none"/>
                <w:vertAlign w:val="superscript"/>
              </w:rPr>
              <w:t>2</w:t>
            </w:r>
            <w:r>
              <w:rPr>
                <w:rFonts w:hint="eastAsia"/>
                <w:sz w:val="24"/>
                <w:szCs w:val="24"/>
                <w:u w:val="none"/>
                <w:vertAlign w:val="baseline"/>
                <w:lang w:eastAsia="zh-CN"/>
              </w:rPr>
              <w:t>。</w:t>
            </w:r>
          </w:p>
          <w:p>
            <w:pPr>
              <w:bidi w:val="0"/>
              <w:spacing w:line="360" w:lineRule="auto"/>
              <w:ind w:firstLine="480" w:firstLineChars="200"/>
              <w:rPr>
                <w:rFonts w:hint="default"/>
                <w:sz w:val="24"/>
                <w:szCs w:val="24"/>
                <w:lang w:val="en-US"/>
              </w:rPr>
            </w:pPr>
            <w:r>
              <w:rPr>
                <w:rFonts w:hint="eastAsia"/>
                <w:sz w:val="24"/>
                <w:szCs w:val="24"/>
              </w:rPr>
              <w:t>根据项目平面布局，综合考虑距离衰减、地面吸收、空气吸收以及墙体的阻隔，利用上述噪声预测公式，可预测出项目</w:t>
            </w:r>
            <w:r>
              <w:rPr>
                <w:rFonts w:hint="eastAsia"/>
                <w:sz w:val="24"/>
                <w:szCs w:val="24"/>
                <w:lang w:eastAsia="zh-CN"/>
              </w:rPr>
              <w:t>厂界</w:t>
            </w:r>
            <w:r>
              <w:rPr>
                <w:rFonts w:hint="eastAsia"/>
                <w:sz w:val="24"/>
                <w:szCs w:val="24"/>
              </w:rPr>
              <w:t>的噪声级及对敏感点的影响。</w:t>
            </w:r>
            <w:r>
              <w:rPr>
                <w:rFonts w:hint="default"/>
                <w:sz w:val="24"/>
                <w:szCs w:val="24"/>
                <w:lang w:val="en-US" w:eastAsia="zh-CN"/>
              </w:rPr>
              <w:t>以厂界中心（</w:t>
            </w:r>
            <w:bookmarkStart w:id="10" w:name="PO_5"/>
            <w:r>
              <w:rPr>
                <w:rFonts w:hint="default"/>
                <w:sz w:val="24"/>
                <w:szCs w:val="24"/>
                <w:lang w:val="en-US" w:eastAsia="zh-CN"/>
              </w:rPr>
              <w:t>112.9140625,28.6603260</w:t>
            </w:r>
            <w:bookmarkEnd w:id="10"/>
            <w:r>
              <w:rPr>
                <w:rFonts w:hint="default"/>
                <w:sz w:val="24"/>
                <w:szCs w:val="24"/>
                <w:lang w:val="en-US" w:eastAsia="zh-CN"/>
              </w:rPr>
              <w:t>）为坐标原点，正东向为X轴正方向，正北向为Y轴正方向</w:t>
            </w:r>
            <w:r>
              <w:rPr>
                <w:rFonts w:hint="eastAsia"/>
                <w:sz w:val="24"/>
                <w:szCs w:val="24"/>
                <w:lang w:val="en-US" w:eastAsia="zh-CN"/>
              </w:rPr>
              <w:t>。</w:t>
            </w:r>
            <w:r>
              <w:rPr>
                <w:sz w:val="24"/>
                <w:szCs w:val="24"/>
                <w:lang w:eastAsia="zh-CN"/>
              </w:rPr>
              <w:t>通过预测模型计算，项目厂界噪声预测结果与达标分析见表</w:t>
            </w:r>
            <w:r>
              <w:rPr>
                <w:rFonts w:hint="eastAsia"/>
                <w:sz w:val="24"/>
                <w:szCs w:val="24"/>
                <w:lang w:val="en-US" w:eastAsia="zh-CN"/>
              </w:rPr>
              <w:t>4-13，</w:t>
            </w:r>
            <w:r>
              <w:rPr>
                <w:sz w:val="24"/>
                <w:szCs w:val="24"/>
                <w:lang w:eastAsia="zh-CN"/>
              </w:rPr>
              <w:t>声环境保护目标噪声预测结果与达标分析见</w:t>
            </w:r>
            <w:r>
              <w:rPr>
                <w:rFonts w:hint="eastAsia"/>
                <w:sz w:val="24"/>
                <w:szCs w:val="24"/>
                <w:lang w:val="en-US" w:eastAsia="zh-CN"/>
              </w:rPr>
              <w:t>4-14。</w:t>
            </w:r>
          </w:p>
          <w:p>
            <w:pPr>
              <w:bidi w:val="0"/>
              <w:jc w:val="center"/>
              <w:rPr>
                <w:rFonts w:hint="eastAsia"/>
                <w:b/>
                <w:bCs/>
                <w:lang w:val="en-US" w:eastAsia="zh-CN"/>
              </w:rPr>
            </w:pPr>
            <w:r>
              <w:rPr>
                <w:rFonts w:hint="eastAsia"/>
                <w:b/>
                <w:bCs/>
                <w:lang w:val="en-US" w:eastAsia="zh-CN"/>
              </w:rPr>
              <w:t>表4-13  项目噪声预测结果一览表（单位：dB（A））</w:t>
            </w:r>
          </w:p>
          <w:tbl>
            <w:tblPr>
              <w:tblStyle w:val="26"/>
              <w:tblW w:w="8311"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1039"/>
              <w:gridCol w:w="1039"/>
              <w:gridCol w:w="1039"/>
              <w:gridCol w:w="768"/>
              <w:gridCol w:w="1138"/>
              <w:gridCol w:w="1211"/>
              <w:gridCol w:w="10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38" w:type="dxa"/>
                  <w:vMerge w:val="restart"/>
                  <w:tcBorders>
                    <w:tl2br w:val="nil"/>
                    <w:tr2bl w:val="nil"/>
                  </w:tcBorders>
                  <w:vAlign w:val="center"/>
                </w:tcPr>
                <w:p>
                  <w:pPr>
                    <w:bidi w:val="0"/>
                    <w:jc w:val="center"/>
                    <w:rPr>
                      <w:rFonts w:hint="default"/>
                      <w:lang w:val="en-US" w:eastAsia="zh-CN"/>
                    </w:rPr>
                  </w:pPr>
                  <w:r>
                    <w:rPr>
                      <w:rFonts w:hint="eastAsia"/>
                      <w:lang w:val="en-US" w:eastAsia="zh-CN"/>
                    </w:rPr>
                    <w:t>预测方位</w:t>
                  </w:r>
                </w:p>
              </w:tc>
              <w:tc>
                <w:tcPr>
                  <w:tcW w:w="3117" w:type="dxa"/>
                  <w:gridSpan w:val="3"/>
                  <w:tcBorders>
                    <w:tl2br w:val="nil"/>
                    <w:tr2bl w:val="nil"/>
                  </w:tcBorders>
                  <w:vAlign w:val="center"/>
                </w:tcPr>
                <w:p>
                  <w:pPr>
                    <w:bidi w:val="0"/>
                    <w:jc w:val="center"/>
                    <w:rPr>
                      <w:rFonts w:hint="default"/>
                      <w:lang w:val="en-US" w:eastAsia="zh-CN"/>
                    </w:rPr>
                  </w:pPr>
                  <w:r>
                    <w:rPr>
                      <w:rFonts w:hint="eastAsia"/>
                      <w:lang w:val="en-US" w:eastAsia="zh-CN"/>
                    </w:rPr>
                    <w:t>空间相对位置</w:t>
                  </w:r>
                </w:p>
              </w:tc>
              <w:tc>
                <w:tcPr>
                  <w:tcW w:w="768" w:type="dxa"/>
                  <w:vMerge w:val="restart"/>
                  <w:tcBorders>
                    <w:tl2br w:val="nil"/>
                    <w:tr2bl w:val="nil"/>
                  </w:tcBorders>
                  <w:vAlign w:val="center"/>
                </w:tcPr>
                <w:p>
                  <w:pPr>
                    <w:bidi w:val="0"/>
                    <w:jc w:val="center"/>
                    <w:rPr>
                      <w:rFonts w:hint="default"/>
                      <w:lang w:val="en-US" w:eastAsia="zh-CN"/>
                    </w:rPr>
                  </w:pPr>
                  <w:r>
                    <w:rPr>
                      <w:rFonts w:hint="eastAsia"/>
                      <w:lang w:val="en-US" w:eastAsia="zh-CN"/>
                    </w:rPr>
                    <w:t>时段</w:t>
                  </w:r>
                </w:p>
              </w:tc>
              <w:tc>
                <w:tcPr>
                  <w:tcW w:w="1138" w:type="dxa"/>
                  <w:vMerge w:val="restart"/>
                  <w:tcBorders>
                    <w:tl2br w:val="nil"/>
                    <w:tr2bl w:val="nil"/>
                  </w:tcBorders>
                  <w:vAlign w:val="center"/>
                </w:tcPr>
                <w:p>
                  <w:pPr>
                    <w:bidi w:val="0"/>
                    <w:jc w:val="center"/>
                    <w:rPr>
                      <w:rFonts w:hint="default"/>
                      <w:lang w:val="en-US" w:eastAsia="zh-CN"/>
                    </w:rPr>
                  </w:pPr>
                  <w:r>
                    <w:t>预测值（dB(A)）</w:t>
                  </w:r>
                </w:p>
              </w:tc>
              <w:tc>
                <w:tcPr>
                  <w:tcW w:w="1211" w:type="dxa"/>
                  <w:vMerge w:val="restart"/>
                  <w:tcBorders>
                    <w:tl2br w:val="nil"/>
                    <w:tr2bl w:val="nil"/>
                  </w:tcBorders>
                  <w:vAlign w:val="center"/>
                </w:tcPr>
                <w:p>
                  <w:pPr>
                    <w:bidi w:val="0"/>
                    <w:jc w:val="center"/>
                    <w:rPr>
                      <w:rFonts w:hint="default"/>
                      <w:lang w:val="en-US" w:eastAsia="zh-CN"/>
                    </w:rPr>
                  </w:pPr>
                  <w:r>
                    <w:t>标准限值（dB(A)）</w:t>
                  </w:r>
                </w:p>
              </w:tc>
              <w:tc>
                <w:tcPr>
                  <w:tcW w:w="1039" w:type="dxa"/>
                  <w:vMerge w:val="restart"/>
                  <w:tcBorders>
                    <w:tl2br w:val="nil"/>
                    <w:tr2bl w:val="nil"/>
                  </w:tcBorders>
                  <w:vAlign w:val="center"/>
                </w:tcPr>
                <w:p>
                  <w:pPr>
                    <w:bidi w:val="0"/>
                    <w:jc w:val="center"/>
                    <w:rPr>
                      <w:rFonts w:hint="default"/>
                      <w:lang w:val="en-US" w:eastAsia="zh-CN"/>
                    </w:rPr>
                  </w:pPr>
                  <w: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38" w:type="dxa"/>
                  <w:vMerge w:val="continue"/>
                  <w:tcBorders>
                    <w:tl2br w:val="nil"/>
                    <w:tr2bl w:val="nil"/>
                  </w:tcBorders>
                  <w:vAlign w:val="center"/>
                </w:tcPr>
                <w:p>
                  <w:pPr>
                    <w:bidi w:val="0"/>
                    <w:jc w:val="center"/>
                    <w:rPr>
                      <w:rFonts w:hint="default"/>
                      <w:lang w:val="en-US" w:eastAsia="zh-CN"/>
                    </w:rPr>
                  </w:pPr>
                </w:p>
              </w:tc>
              <w:tc>
                <w:tcPr>
                  <w:tcW w:w="1039" w:type="dxa"/>
                  <w:tcBorders>
                    <w:tl2br w:val="nil"/>
                    <w:tr2bl w:val="nil"/>
                  </w:tcBorders>
                  <w:vAlign w:val="center"/>
                </w:tcPr>
                <w:p>
                  <w:pPr>
                    <w:jc w:val="center"/>
                    <w:rPr>
                      <w:rFonts w:hint="default"/>
                      <w:lang w:val="en-US" w:eastAsia="zh-CN"/>
                    </w:rPr>
                  </w:pPr>
                  <w:r>
                    <w:rPr>
                      <w:rFonts w:ascii="Times New Roman" w:hAnsi="Times New Roman" w:cs="Times New Roman" w:eastAsiaTheme="minorEastAsia"/>
                      <w:sz w:val="21"/>
                      <w:szCs w:val="21"/>
                    </w:rPr>
                    <w:t>X</w:t>
                  </w:r>
                </w:p>
              </w:tc>
              <w:tc>
                <w:tcPr>
                  <w:tcW w:w="1039" w:type="dxa"/>
                  <w:tcBorders>
                    <w:tl2br w:val="nil"/>
                    <w:tr2bl w:val="nil"/>
                  </w:tcBorders>
                  <w:vAlign w:val="center"/>
                </w:tcPr>
                <w:p>
                  <w:pPr>
                    <w:jc w:val="center"/>
                    <w:rPr>
                      <w:rFonts w:hint="default"/>
                      <w:lang w:val="en-US" w:eastAsia="zh-CN"/>
                    </w:rPr>
                  </w:pPr>
                  <w:r>
                    <w:rPr>
                      <w:rFonts w:ascii="Times New Roman" w:hAnsi="Times New Roman" w:cs="Times New Roman" w:eastAsiaTheme="minorEastAsia"/>
                      <w:sz w:val="21"/>
                      <w:szCs w:val="21"/>
                    </w:rPr>
                    <w:t>Y</w:t>
                  </w:r>
                </w:p>
              </w:tc>
              <w:tc>
                <w:tcPr>
                  <w:tcW w:w="1039" w:type="dxa"/>
                  <w:tcBorders>
                    <w:tl2br w:val="nil"/>
                    <w:tr2bl w:val="nil"/>
                  </w:tcBorders>
                  <w:vAlign w:val="center"/>
                </w:tcPr>
                <w:p>
                  <w:pPr>
                    <w:jc w:val="center"/>
                    <w:rPr>
                      <w:rFonts w:hint="default"/>
                      <w:lang w:val="en-US" w:eastAsia="zh-CN"/>
                    </w:rPr>
                  </w:pPr>
                  <w:r>
                    <w:rPr>
                      <w:rFonts w:ascii="Times New Roman" w:hAnsi="Times New Roman" w:cs="Times New Roman" w:eastAsiaTheme="minorEastAsia"/>
                      <w:sz w:val="21"/>
                      <w:szCs w:val="21"/>
                    </w:rPr>
                    <w:t>Z</w:t>
                  </w:r>
                </w:p>
              </w:tc>
              <w:tc>
                <w:tcPr>
                  <w:tcW w:w="768" w:type="dxa"/>
                  <w:vMerge w:val="continue"/>
                  <w:tcBorders>
                    <w:tl2br w:val="nil"/>
                    <w:tr2bl w:val="nil"/>
                  </w:tcBorders>
                  <w:vAlign w:val="center"/>
                </w:tcPr>
                <w:p>
                  <w:pPr>
                    <w:bidi w:val="0"/>
                    <w:jc w:val="center"/>
                    <w:rPr>
                      <w:rFonts w:hint="default"/>
                      <w:lang w:val="en-US" w:eastAsia="zh-CN"/>
                    </w:rPr>
                  </w:pPr>
                </w:p>
              </w:tc>
              <w:tc>
                <w:tcPr>
                  <w:tcW w:w="1138" w:type="dxa"/>
                  <w:vMerge w:val="continue"/>
                  <w:tcBorders>
                    <w:tl2br w:val="nil"/>
                    <w:tr2bl w:val="nil"/>
                  </w:tcBorders>
                  <w:vAlign w:val="center"/>
                </w:tcPr>
                <w:p>
                  <w:pPr>
                    <w:bidi w:val="0"/>
                    <w:jc w:val="center"/>
                    <w:rPr>
                      <w:rFonts w:hint="default"/>
                      <w:lang w:val="en-US" w:eastAsia="zh-CN"/>
                    </w:rPr>
                  </w:pPr>
                </w:p>
              </w:tc>
              <w:tc>
                <w:tcPr>
                  <w:tcW w:w="1211" w:type="dxa"/>
                  <w:vMerge w:val="continue"/>
                  <w:tcBorders>
                    <w:tl2br w:val="nil"/>
                    <w:tr2bl w:val="nil"/>
                  </w:tcBorders>
                  <w:vAlign w:val="center"/>
                </w:tcPr>
                <w:p>
                  <w:pPr>
                    <w:bidi w:val="0"/>
                    <w:jc w:val="center"/>
                    <w:rPr>
                      <w:rFonts w:hint="default"/>
                      <w:lang w:val="en-US" w:eastAsia="zh-CN"/>
                    </w:rPr>
                  </w:pPr>
                </w:p>
              </w:tc>
              <w:tc>
                <w:tcPr>
                  <w:tcW w:w="1039" w:type="dxa"/>
                  <w:vMerge w:val="continue"/>
                  <w:tcBorders>
                    <w:tl2br w:val="nil"/>
                    <w:tr2bl w:val="nil"/>
                  </w:tcBorders>
                  <w:vAlign w:val="center"/>
                </w:tcPr>
                <w:p>
                  <w:pPr>
                    <w:bidi w:val="0"/>
                    <w:jc w:val="center"/>
                    <w:rPr>
                      <w:rFonts w:hint="default"/>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38" w:type="dxa"/>
                  <w:vMerge w:val="restart"/>
                  <w:tcBorders>
                    <w:tl2br w:val="nil"/>
                    <w:tr2bl w:val="nil"/>
                  </w:tcBorders>
                  <w:vAlign w:val="center"/>
                </w:tcPr>
                <w:p>
                  <w:pPr>
                    <w:bidi w:val="0"/>
                    <w:jc w:val="center"/>
                    <w:rPr>
                      <w:rFonts w:hint="default"/>
                      <w:lang w:val="en-US" w:eastAsia="zh-CN"/>
                    </w:rPr>
                  </w:pPr>
                  <w:r>
                    <w:t>东侧</w:t>
                  </w:r>
                </w:p>
              </w:tc>
              <w:tc>
                <w:tcPr>
                  <w:tcW w:w="1039" w:type="dxa"/>
                  <w:tcBorders>
                    <w:tl2br w:val="nil"/>
                    <w:tr2bl w:val="nil"/>
                  </w:tcBorders>
                  <w:vAlign w:val="center"/>
                </w:tcPr>
                <w:p>
                  <w:pPr>
                    <w:bidi w:val="0"/>
                    <w:jc w:val="center"/>
                    <w:rPr>
                      <w:rFonts w:hint="default"/>
                      <w:lang w:val="en-US" w:eastAsia="zh-CN"/>
                    </w:rPr>
                  </w:pPr>
                  <w:r>
                    <w:t>33.3</w:t>
                  </w:r>
                </w:p>
              </w:tc>
              <w:tc>
                <w:tcPr>
                  <w:tcW w:w="1039" w:type="dxa"/>
                  <w:tcBorders>
                    <w:tl2br w:val="nil"/>
                    <w:tr2bl w:val="nil"/>
                  </w:tcBorders>
                  <w:vAlign w:val="center"/>
                </w:tcPr>
                <w:p>
                  <w:pPr>
                    <w:bidi w:val="0"/>
                    <w:jc w:val="center"/>
                    <w:rPr>
                      <w:rFonts w:hint="default"/>
                      <w:lang w:val="en-US" w:eastAsia="zh-CN"/>
                    </w:rPr>
                  </w:pPr>
                  <w:r>
                    <w:t>28.4</w:t>
                  </w:r>
                </w:p>
              </w:tc>
              <w:tc>
                <w:tcPr>
                  <w:tcW w:w="1039" w:type="dxa"/>
                  <w:tcBorders>
                    <w:tl2br w:val="nil"/>
                    <w:tr2bl w:val="nil"/>
                  </w:tcBorders>
                  <w:vAlign w:val="center"/>
                </w:tcPr>
                <w:p>
                  <w:pPr>
                    <w:bidi w:val="0"/>
                    <w:jc w:val="center"/>
                    <w:rPr>
                      <w:rFonts w:hint="default"/>
                      <w:lang w:val="en-US" w:eastAsia="zh-CN"/>
                    </w:rPr>
                  </w:pPr>
                  <w:r>
                    <w:t>57.9</w:t>
                  </w:r>
                </w:p>
              </w:tc>
              <w:tc>
                <w:tcPr>
                  <w:tcW w:w="768" w:type="dxa"/>
                  <w:tcBorders>
                    <w:tl2br w:val="nil"/>
                    <w:tr2bl w:val="nil"/>
                  </w:tcBorders>
                  <w:vAlign w:val="center"/>
                </w:tcPr>
                <w:p>
                  <w:pPr>
                    <w:bidi w:val="0"/>
                    <w:jc w:val="center"/>
                    <w:rPr>
                      <w:rFonts w:hint="default"/>
                      <w:lang w:val="en-US" w:eastAsia="zh-CN"/>
                    </w:rPr>
                  </w:pPr>
                  <w:r>
                    <w:t>昼间</w:t>
                  </w:r>
                </w:p>
              </w:tc>
              <w:tc>
                <w:tcPr>
                  <w:tcW w:w="1138" w:type="dxa"/>
                  <w:tcBorders>
                    <w:tl2br w:val="nil"/>
                    <w:tr2bl w:val="nil"/>
                  </w:tcBorders>
                  <w:vAlign w:val="center"/>
                </w:tcPr>
                <w:p>
                  <w:pPr>
                    <w:bidi w:val="0"/>
                    <w:jc w:val="center"/>
                    <w:rPr>
                      <w:rFonts w:hint="default"/>
                      <w:lang w:val="en-US" w:eastAsia="zh-CN"/>
                    </w:rPr>
                  </w:pPr>
                  <w:r>
                    <w:t>39</w:t>
                  </w:r>
                </w:p>
              </w:tc>
              <w:tc>
                <w:tcPr>
                  <w:tcW w:w="1211" w:type="dxa"/>
                  <w:tcBorders>
                    <w:tl2br w:val="nil"/>
                    <w:tr2bl w:val="nil"/>
                  </w:tcBorders>
                  <w:vAlign w:val="center"/>
                </w:tcPr>
                <w:p>
                  <w:pPr>
                    <w:bidi w:val="0"/>
                    <w:jc w:val="center"/>
                    <w:rPr>
                      <w:rFonts w:hint="default"/>
                      <w:lang w:val="en-US" w:eastAsia="zh-CN"/>
                    </w:rPr>
                  </w:pPr>
                  <w:r>
                    <w:t>60</w:t>
                  </w:r>
                </w:p>
              </w:tc>
              <w:tc>
                <w:tcPr>
                  <w:tcW w:w="1039" w:type="dxa"/>
                  <w:tcBorders>
                    <w:tl2br w:val="nil"/>
                    <w:tr2bl w:val="nil"/>
                  </w:tcBorders>
                  <w:vAlign w:val="center"/>
                </w:tcPr>
                <w:p>
                  <w:pPr>
                    <w:bidi w:val="0"/>
                    <w:jc w:val="center"/>
                    <w:rPr>
                      <w:rFonts w:hint="default"/>
                      <w:lang w:val="en-US" w:eastAsia="zh-CN"/>
                    </w:rPr>
                  </w:pPr>
                  <w: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38" w:type="dxa"/>
                  <w:vMerge w:val="continue"/>
                  <w:tcBorders>
                    <w:tl2br w:val="nil"/>
                    <w:tr2bl w:val="nil"/>
                  </w:tcBorders>
                  <w:vAlign w:val="center"/>
                </w:tcPr>
                <w:p>
                  <w:pPr>
                    <w:bidi w:val="0"/>
                    <w:jc w:val="center"/>
                    <w:rPr>
                      <w:rFonts w:hint="default"/>
                      <w:lang w:val="en-US" w:eastAsia="zh-CN"/>
                    </w:rPr>
                  </w:pPr>
                  <w:r>
                    <w:t>东侧</w:t>
                  </w:r>
                </w:p>
              </w:tc>
              <w:tc>
                <w:tcPr>
                  <w:tcW w:w="1039" w:type="dxa"/>
                  <w:tcBorders>
                    <w:tl2br w:val="nil"/>
                    <w:tr2bl w:val="nil"/>
                  </w:tcBorders>
                  <w:vAlign w:val="center"/>
                </w:tcPr>
                <w:p>
                  <w:pPr>
                    <w:bidi w:val="0"/>
                    <w:jc w:val="center"/>
                    <w:rPr>
                      <w:rFonts w:hint="default"/>
                      <w:lang w:val="en-US" w:eastAsia="zh-CN"/>
                    </w:rPr>
                  </w:pPr>
                  <w:r>
                    <w:t>33.3</w:t>
                  </w:r>
                </w:p>
              </w:tc>
              <w:tc>
                <w:tcPr>
                  <w:tcW w:w="1039" w:type="dxa"/>
                  <w:tcBorders>
                    <w:tl2br w:val="nil"/>
                    <w:tr2bl w:val="nil"/>
                  </w:tcBorders>
                  <w:vAlign w:val="center"/>
                </w:tcPr>
                <w:p>
                  <w:pPr>
                    <w:bidi w:val="0"/>
                    <w:jc w:val="center"/>
                    <w:rPr>
                      <w:rFonts w:hint="default"/>
                      <w:lang w:val="en-US" w:eastAsia="zh-CN"/>
                    </w:rPr>
                  </w:pPr>
                  <w:r>
                    <w:t>28.4</w:t>
                  </w:r>
                </w:p>
              </w:tc>
              <w:tc>
                <w:tcPr>
                  <w:tcW w:w="1039" w:type="dxa"/>
                  <w:tcBorders>
                    <w:tl2br w:val="nil"/>
                    <w:tr2bl w:val="nil"/>
                  </w:tcBorders>
                  <w:vAlign w:val="center"/>
                </w:tcPr>
                <w:p>
                  <w:pPr>
                    <w:bidi w:val="0"/>
                    <w:jc w:val="center"/>
                    <w:rPr>
                      <w:rFonts w:hint="default"/>
                      <w:lang w:val="en-US" w:eastAsia="zh-CN"/>
                    </w:rPr>
                  </w:pPr>
                  <w:r>
                    <w:t>57.9</w:t>
                  </w:r>
                </w:p>
              </w:tc>
              <w:tc>
                <w:tcPr>
                  <w:tcW w:w="768" w:type="dxa"/>
                  <w:tcBorders>
                    <w:tl2br w:val="nil"/>
                    <w:tr2bl w:val="nil"/>
                  </w:tcBorders>
                  <w:vAlign w:val="center"/>
                </w:tcPr>
                <w:p>
                  <w:pPr>
                    <w:bidi w:val="0"/>
                    <w:jc w:val="center"/>
                    <w:rPr>
                      <w:rFonts w:hint="default"/>
                      <w:lang w:val="en-US" w:eastAsia="zh-CN"/>
                    </w:rPr>
                  </w:pPr>
                  <w:r>
                    <w:t>夜间</w:t>
                  </w:r>
                </w:p>
              </w:tc>
              <w:tc>
                <w:tcPr>
                  <w:tcW w:w="1138" w:type="dxa"/>
                  <w:tcBorders>
                    <w:tl2br w:val="nil"/>
                    <w:tr2bl w:val="nil"/>
                  </w:tcBorders>
                  <w:vAlign w:val="center"/>
                </w:tcPr>
                <w:p>
                  <w:pPr>
                    <w:bidi w:val="0"/>
                    <w:jc w:val="center"/>
                    <w:rPr>
                      <w:rFonts w:hint="default"/>
                      <w:lang w:val="en-US" w:eastAsia="zh-CN"/>
                    </w:rPr>
                  </w:pPr>
                  <w:r>
                    <w:t>39</w:t>
                  </w:r>
                </w:p>
              </w:tc>
              <w:tc>
                <w:tcPr>
                  <w:tcW w:w="1211" w:type="dxa"/>
                  <w:tcBorders>
                    <w:tl2br w:val="nil"/>
                    <w:tr2bl w:val="nil"/>
                  </w:tcBorders>
                  <w:vAlign w:val="center"/>
                </w:tcPr>
                <w:p>
                  <w:pPr>
                    <w:bidi w:val="0"/>
                    <w:jc w:val="center"/>
                    <w:rPr>
                      <w:rFonts w:hint="default"/>
                      <w:lang w:val="en-US" w:eastAsia="zh-CN"/>
                    </w:rPr>
                  </w:pPr>
                  <w:r>
                    <w:t>50</w:t>
                  </w:r>
                </w:p>
              </w:tc>
              <w:tc>
                <w:tcPr>
                  <w:tcW w:w="1039" w:type="dxa"/>
                  <w:tcBorders>
                    <w:tl2br w:val="nil"/>
                    <w:tr2bl w:val="nil"/>
                  </w:tcBorders>
                  <w:vAlign w:val="center"/>
                </w:tcPr>
                <w:p>
                  <w:pPr>
                    <w:bidi w:val="0"/>
                    <w:jc w:val="center"/>
                    <w:rPr>
                      <w:rFonts w:hint="default"/>
                      <w:lang w:val="en-US" w:eastAsia="zh-CN"/>
                    </w:rPr>
                  </w:pPr>
                  <w: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38" w:type="dxa"/>
                  <w:vMerge w:val="restart"/>
                  <w:tcBorders>
                    <w:tl2br w:val="nil"/>
                    <w:tr2bl w:val="nil"/>
                  </w:tcBorders>
                  <w:vAlign w:val="center"/>
                </w:tcPr>
                <w:p>
                  <w:pPr>
                    <w:bidi w:val="0"/>
                    <w:jc w:val="center"/>
                    <w:rPr>
                      <w:rFonts w:hint="default"/>
                      <w:lang w:val="en-US" w:eastAsia="zh-CN"/>
                    </w:rPr>
                  </w:pPr>
                  <w:r>
                    <w:t>南侧</w:t>
                  </w:r>
                </w:p>
              </w:tc>
              <w:tc>
                <w:tcPr>
                  <w:tcW w:w="1039" w:type="dxa"/>
                  <w:tcBorders>
                    <w:tl2br w:val="nil"/>
                    <w:tr2bl w:val="nil"/>
                  </w:tcBorders>
                  <w:vAlign w:val="center"/>
                </w:tcPr>
                <w:p>
                  <w:pPr>
                    <w:bidi w:val="0"/>
                    <w:jc w:val="center"/>
                    <w:rPr>
                      <w:rFonts w:hint="default"/>
                      <w:lang w:val="en-US" w:eastAsia="zh-CN"/>
                    </w:rPr>
                  </w:pPr>
                  <w:r>
                    <w:t>3.5</w:t>
                  </w:r>
                </w:p>
              </w:tc>
              <w:tc>
                <w:tcPr>
                  <w:tcW w:w="1039" w:type="dxa"/>
                  <w:tcBorders>
                    <w:tl2br w:val="nil"/>
                    <w:tr2bl w:val="nil"/>
                  </w:tcBorders>
                  <w:vAlign w:val="center"/>
                </w:tcPr>
                <w:p>
                  <w:pPr>
                    <w:bidi w:val="0"/>
                    <w:jc w:val="center"/>
                    <w:rPr>
                      <w:rFonts w:hint="default"/>
                      <w:lang w:val="en-US" w:eastAsia="zh-CN"/>
                    </w:rPr>
                  </w:pPr>
                  <w:r>
                    <w:t>-40.1</w:t>
                  </w:r>
                </w:p>
              </w:tc>
              <w:tc>
                <w:tcPr>
                  <w:tcW w:w="1039" w:type="dxa"/>
                  <w:tcBorders>
                    <w:tl2br w:val="nil"/>
                    <w:tr2bl w:val="nil"/>
                  </w:tcBorders>
                  <w:vAlign w:val="center"/>
                </w:tcPr>
                <w:p>
                  <w:pPr>
                    <w:bidi w:val="0"/>
                    <w:jc w:val="center"/>
                    <w:rPr>
                      <w:rFonts w:hint="default"/>
                      <w:lang w:val="en-US" w:eastAsia="zh-CN"/>
                    </w:rPr>
                  </w:pPr>
                  <w:r>
                    <w:t>50.5</w:t>
                  </w:r>
                </w:p>
              </w:tc>
              <w:tc>
                <w:tcPr>
                  <w:tcW w:w="768" w:type="dxa"/>
                  <w:tcBorders>
                    <w:tl2br w:val="nil"/>
                    <w:tr2bl w:val="nil"/>
                  </w:tcBorders>
                  <w:vAlign w:val="center"/>
                </w:tcPr>
                <w:p>
                  <w:pPr>
                    <w:bidi w:val="0"/>
                    <w:jc w:val="center"/>
                    <w:rPr>
                      <w:rFonts w:hint="default"/>
                      <w:lang w:val="en-US" w:eastAsia="zh-CN"/>
                    </w:rPr>
                  </w:pPr>
                  <w:r>
                    <w:t>昼间</w:t>
                  </w:r>
                </w:p>
              </w:tc>
              <w:tc>
                <w:tcPr>
                  <w:tcW w:w="1138" w:type="dxa"/>
                  <w:tcBorders>
                    <w:tl2br w:val="nil"/>
                    <w:tr2bl w:val="nil"/>
                  </w:tcBorders>
                  <w:vAlign w:val="center"/>
                </w:tcPr>
                <w:p>
                  <w:pPr>
                    <w:bidi w:val="0"/>
                    <w:jc w:val="center"/>
                    <w:rPr>
                      <w:rFonts w:hint="default"/>
                      <w:lang w:val="en-US" w:eastAsia="zh-CN"/>
                    </w:rPr>
                  </w:pPr>
                  <w:r>
                    <w:t>24.7</w:t>
                  </w:r>
                </w:p>
              </w:tc>
              <w:tc>
                <w:tcPr>
                  <w:tcW w:w="1211" w:type="dxa"/>
                  <w:tcBorders>
                    <w:tl2br w:val="nil"/>
                    <w:tr2bl w:val="nil"/>
                  </w:tcBorders>
                  <w:vAlign w:val="center"/>
                </w:tcPr>
                <w:p>
                  <w:pPr>
                    <w:bidi w:val="0"/>
                    <w:jc w:val="center"/>
                    <w:rPr>
                      <w:rFonts w:hint="default"/>
                      <w:lang w:val="en-US" w:eastAsia="zh-CN"/>
                    </w:rPr>
                  </w:pPr>
                  <w:r>
                    <w:t>60</w:t>
                  </w:r>
                </w:p>
              </w:tc>
              <w:tc>
                <w:tcPr>
                  <w:tcW w:w="1039" w:type="dxa"/>
                  <w:tcBorders>
                    <w:tl2br w:val="nil"/>
                    <w:tr2bl w:val="nil"/>
                  </w:tcBorders>
                  <w:vAlign w:val="center"/>
                </w:tcPr>
                <w:p>
                  <w:pPr>
                    <w:bidi w:val="0"/>
                    <w:jc w:val="center"/>
                    <w:rPr>
                      <w:rFonts w:hint="default"/>
                      <w:lang w:val="en-US" w:eastAsia="zh-CN"/>
                    </w:rPr>
                  </w:pPr>
                  <w: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38" w:type="dxa"/>
                  <w:vMerge w:val="continue"/>
                  <w:tcBorders>
                    <w:tl2br w:val="nil"/>
                    <w:tr2bl w:val="nil"/>
                  </w:tcBorders>
                  <w:vAlign w:val="center"/>
                </w:tcPr>
                <w:p>
                  <w:pPr>
                    <w:bidi w:val="0"/>
                    <w:jc w:val="center"/>
                    <w:rPr>
                      <w:rFonts w:hint="default"/>
                      <w:lang w:val="en-US" w:eastAsia="zh-CN"/>
                    </w:rPr>
                  </w:pPr>
                  <w:r>
                    <w:t>南侧</w:t>
                  </w:r>
                </w:p>
              </w:tc>
              <w:tc>
                <w:tcPr>
                  <w:tcW w:w="1039" w:type="dxa"/>
                  <w:tcBorders>
                    <w:tl2br w:val="nil"/>
                    <w:tr2bl w:val="nil"/>
                  </w:tcBorders>
                  <w:vAlign w:val="center"/>
                </w:tcPr>
                <w:p>
                  <w:pPr>
                    <w:bidi w:val="0"/>
                    <w:jc w:val="center"/>
                    <w:rPr>
                      <w:rFonts w:hint="default"/>
                      <w:lang w:val="en-US" w:eastAsia="zh-CN"/>
                    </w:rPr>
                  </w:pPr>
                  <w:r>
                    <w:t>3.5</w:t>
                  </w:r>
                </w:p>
              </w:tc>
              <w:tc>
                <w:tcPr>
                  <w:tcW w:w="1039" w:type="dxa"/>
                  <w:tcBorders>
                    <w:tl2br w:val="nil"/>
                    <w:tr2bl w:val="nil"/>
                  </w:tcBorders>
                  <w:vAlign w:val="center"/>
                </w:tcPr>
                <w:p>
                  <w:pPr>
                    <w:bidi w:val="0"/>
                    <w:jc w:val="center"/>
                    <w:rPr>
                      <w:rFonts w:hint="default"/>
                      <w:lang w:val="en-US" w:eastAsia="zh-CN"/>
                    </w:rPr>
                  </w:pPr>
                  <w:r>
                    <w:t>-40.1</w:t>
                  </w:r>
                </w:p>
              </w:tc>
              <w:tc>
                <w:tcPr>
                  <w:tcW w:w="1039" w:type="dxa"/>
                  <w:tcBorders>
                    <w:tl2br w:val="nil"/>
                    <w:tr2bl w:val="nil"/>
                  </w:tcBorders>
                  <w:vAlign w:val="center"/>
                </w:tcPr>
                <w:p>
                  <w:pPr>
                    <w:bidi w:val="0"/>
                    <w:jc w:val="center"/>
                    <w:rPr>
                      <w:rFonts w:hint="default"/>
                      <w:lang w:val="en-US" w:eastAsia="zh-CN"/>
                    </w:rPr>
                  </w:pPr>
                  <w:r>
                    <w:t>50.5</w:t>
                  </w:r>
                </w:p>
              </w:tc>
              <w:tc>
                <w:tcPr>
                  <w:tcW w:w="768" w:type="dxa"/>
                  <w:tcBorders>
                    <w:tl2br w:val="nil"/>
                    <w:tr2bl w:val="nil"/>
                  </w:tcBorders>
                  <w:vAlign w:val="center"/>
                </w:tcPr>
                <w:p>
                  <w:pPr>
                    <w:bidi w:val="0"/>
                    <w:jc w:val="center"/>
                    <w:rPr>
                      <w:rFonts w:hint="default"/>
                      <w:lang w:val="en-US" w:eastAsia="zh-CN"/>
                    </w:rPr>
                  </w:pPr>
                  <w:r>
                    <w:t>夜间</w:t>
                  </w:r>
                </w:p>
              </w:tc>
              <w:tc>
                <w:tcPr>
                  <w:tcW w:w="1138" w:type="dxa"/>
                  <w:tcBorders>
                    <w:tl2br w:val="nil"/>
                    <w:tr2bl w:val="nil"/>
                  </w:tcBorders>
                  <w:vAlign w:val="center"/>
                </w:tcPr>
                <w:p>
                  <w:pPr>
                    <w:bidi w:val="0"/>
                    <w:jc w:val="center"/>
                    <w:rPr>
                      <w:rFonts w:hint="default"/>
                      <w:lang w:val="en-US" w:eastAsia="zh-CN"/>
                    </w:rPr>
                  </w:pPr>
                  <w:r>
                    <w:t>24.7</w:t>
                  </w:r>
                </w:p>
              </w:tc>
              <w:tc>
                <w:tcPr>
                  <w:tcW w:w="1211" w:type="dxa"/>
                  <w:tcBorders>
                    <w:tl2br w:val="nil"/>
                    <w:tr2bl w:val="nil"/>
                  </w:tcBorders>
                  <w:vAlign w:val="center"/>
                </w:tcPr>
                <w:p>
                  <w:pPr>
                    <w:bidi w:val="0"/>
                    <w:jc w:val="center"/>
                    <w:rPr>
                      <w:rFonts w:hint="default"/>
                      <w:lang w:val="en-US" w:eastAsia="zh-CN"/>
                    </w:rPr>
                  </w:pPr>
                  <w:r>
                    <w:t>50</w:t>
                  </w:r>
                </w:p>
              </w:tc>
              <w:tc>
                <w:tcPr>
                  <w:tcW w:w="1039" w:type="dxa"/>
                  <w:tcBorders>
                    <w:tl2br w:val="nil"/>
                    <w:tr2bl w:val="nil"/>
                  </w:tcBorders>
                  <w:vAlign w:val="center"/>
                </w:tcPr>
                <w:p>
                  <w:pPr>
                    <w:bidi w:val="0"/>
                    <w:jc w:val="center"/>
                    <w:rPr>
                      <w:rFonts w:hint="default"/>
                      <w:lang w:val="en-US" w:eastAsia="zh-CN"/>
                    </w:rPr>
                  </w:pPr>
                  <w: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38" w:type="dxa"/>
                  <w:vMerge w:val="restart"/>
                  <w:tcBorders>
                    <w:tl2br w:val="nil"/>
                    <w:tr2bl w:val="nil"/>
                  </w:tcBorders>
                  <w:vAlign w:val="center"/>
                </w:tcPr>
                <w:p>
                  <w:pPr>
                    <w:bidi w:val="0"/>
                    <w:jc w:val="center"/>
                    <w:rPr>
                      <w:rFonts w:hint="default"/>
                      <w:lang w:val="en-US" w:eastAsia="zh-CN"/>
                    </w:rPr>
                  </w:pPr>
                  <w:r>
                    <w:t>西侧</w:t>
                  </w:r>
                </w:p>
              </w:tc>
              <w:tc>
                <w:tcPr>
                  <w:tcW w:w="1039" w:type="dxa"/>
                  <w:tcBorders>
                    <w:tl2br w:val="nil"/>
                    <w:tr2bl w:val="nil"/>
                  </w:tcBorders>
                  <w:vAlign w:val="center"/>
                </w:tcPr>
                <w:p>
                  <w:pPr>
                    <w:bidi w:val="0"/>
                    <w:jc w:val="center"/>
                    <w:rPr>
                      <w:rFonts w:hint="default"/>
                      <w:lang w:val="en-US" w:eastAsia="zh-CN"/>
                    </w:rPr>
                  </w:pPr>
                  <w:r>
                    <w:t>-30.7</w:t>
                  </w:r>
                </w:p>
              </w:tc>
              <w:tc>
                <w:tcPr>
                  <w:tcW w:w="1039" w:type="dxa"/>
                  <w:tcBorders>
                    <w:tl2br w:val="nil"/>
                    <w:tr2bl w:val="nil"/>
                  </w:tcBorders>
                  <w:vAlign w:val="center"/>
                </w:tcPr>
                <w:p>
                  <w:pPr>
                    <w:bidi w:val="0"/>
                    <w:jc w:val="center"/>
                    <w:rPr>
                      <w:rFonts w:hint="default"/>
                      <w:lang w:val="en-US" w:eastAsia="zh-CN"/>
                    </w:rPr>
                  </w:pPr>
                  <w:r>
                    <w:t>29.5</w:t>
                  </w:r>
                </w:p>
              </w:tc>
              <w:tc>
                <w:tcPr>
                  <w:tcW w:w="1039" w:type="dxa"/>
                  <w:tcBorders>
                    <w:tl2br w:val="nil"/>
                    <w:tr2bl w:val="nil"/>
                  </w:tcBorders>
                  <w:vAlign w:val="center"/>
                </w:tcPr>
                <w:p>
                  <w:pPr>
                    <w:bidi w:val="0"/>
                    <w:jc w:val="center"/>
                    <w:rPr>
                      <w:rFonts w:hint="default"/>
                      <w:lang w:val="en-US" w:eastAsia="zh-CN"/>
                    </w:rPr>
                  </w:pPr>
                  <w:r>
                    <w:t>51.1</w:t>
                  </w:r>
                </w:p>
              </w:tc>
              <w:tc>
                <w:tcPr>
                  <w:tcW w:w="768" w:type="dxa"/>
                  <w:tcBorders>
                    <w:tl2br w:val="nil"/>
                    <w:tr2bl w:val="nil"/>
                  </w:tcBorders>
                  <w:vAlign w:val="center"/>
                </w:tcPr>
                <w:p>
                  <w:pPr>
                    <w:bidi w:val="0"/>
                    <w:jc w:val="center"/>
                    <w:rPr>
                      <w:rFonts w:hint="default"/>
                      <w:lang w:val="en-US" w:eastAsia="zh-CN"/>
                    </w:rPr>
                  </w:pPr>
                  <w:r>
                    <w:t>昼间</w:t>
                  </w:r>
                </w:p>
              </w:tc>
              <w:tc>
                <w:tcPr>
                  <w:tcW w:w="1138" w:type="dxa"/>
                  <w:tcBorders>
                    <w:tl2br w:val="nil"/>
                    <w:tr2bl w:val="nil"/>
                  </w:tcBorders>
                  <w:vAlign w:val="center"/>
                </w:tcPr>
                <w:p>
                  <w:pPr>
                    <w:bidi w:val="0"/>
                    <w:jc w:val="center"/>
                    <w:rPr>
                      <w:rFonts w:hint="default"/>
                      <w:lang w:val="en-US" w:eastAsia="zh-CN"/>
                    </w:rPr>
                  </w:pPr>
                  <w:r>
                    <w:t>32.7</w:t>
                  </w:r>
                </w:p>
              </w:tc>
              <w:tc>
                <w:tcPr>
                  <w:tcW w:w="1211" w:type="dxa"/>
                  <w:tcBorders>
                    <w:tl2br w:val="nil"/>
                    <w:tr2bl w:val="nil"/>
                  </w:tcBorders>
                  <w:vAlign w:val="center"/>
                </w:tcPr>
                <w:p>
                  <w:pPr>
                    <w:bidi w:val="0"/>
                    <w:jc w:val="center"/>
                    <w:rPr>
                      <w:rFonts w:hint="default"/>
                      <w:lang w:val="en-US" w:eastAsia="zh-CN"/>
                    </w:rPr>
                  </w:pPr>
                  <w:r>
                    <w:t>60</w:t>
                  </w:r>
                </w:p>
              </w:tc>
              <w:tc>
                <w:tcPr>
                  <w:tcW w:w="1039" w:type="dxa"/>
                  <w:tcBorders>
                    <w:tl2br w:val="nil"/>
                    <w:tr2bl w:val="nil"/>
                  </w:tcBorders>
                  <w:vAlign w:val="center"/>
                </w:tcPr>
                <w:p>
                  <w:pPr>
                    <w:bidi w:val="0"/>
                    <w:jc w:val="center"/>
                    <w:rPr>
                      <w:rFonts w:hint="default"/>
                      <w:lang w:val="en-US" w:eastAsia="zh-CN"/>
                    </w:rPr>
                  </w:pPr>
                  <w: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38" w:type="dxa"/>
                  <w:vMerge w:val="continue"/>
                  <w:tcBorders>
                    <w:tl2br w:val="nil"/>
                    <w:tr2bl w:val="nil"/>
                  </w:tcBorders>
                  <w:vAlign w:val="center"/>
                </w:tcPr>
                <w:p>
                  <w:pPr>
                    <w:bidi w:val="0"/>
                    <w:jc w:val="center"/>
                    <w:rPr>
                      <w:rFonts w:hint="default"/>
                      <w:lang w:val="en-US" w:eastAsia="zh-CN"/>
                    </w:rPr>
                  </w:pPr>
                  <w:r>
                    <w:t>西侧</w:t>
                  </w:r>
                </w:p>
              </w:tc>
              <w:tc>
                <w:tcPr>
                  <w:tcW w:w="1039" w:type="dxa"/>
                  <w:tcBorders>
                    <w:tl2br w:val="nil"/>
                    <w:tr2bl w:val="nil"/>
                  </w:tcBorders>
                  <w:vAlign w:val="center"/>
                </w:tcPr>
                <w:p>
                  <w:pPr>
                    <w:bidi w:val="0"/>
                    <w:jc w:val="center"/>
                    <w:rPr>
                      <w:rFonts w:hint="default"/>
                      <w:lang w:val="en-US" w:eastAsia="zh-CN"/>
                    </w:rPr>
                  </w:pPr>
                  <w:r>
                    <w:t>-30.7</w:t>
                  </w:r>
                </w:p>
              </w:tc>
              <w:tc>
                <w:tcPr>
                  <w:tcW w:w="1039" w:type="dxa"/>
                  <w:tcBorders>
                    <w:tl2br w:val="nil"/>
                    <w:tr2bl w:val="nil"/>
                  </w:tcBorders>
                  <w:vAlign w:val="center"/>
                </w:tcPr>
                <w:p>
                  <w:pPr>
                    <w:bidi w:val="0"/>
                    <w:jc w:val="center"/>
                    <w:rPr>
                      <w:rFonts w:hint="default"/>
                      <w:lang w:val="en-US" w:eastAsia="zh-CN"/>
                    </w:rPr>
                  </w:pPr>
                  <w:r>
                    <w:t>29.5</w:t>
                  </w:r>
                </w:p>
              </w:tc>
              <w:tc>
                <w:tcPr>
                  <w:tcW w:w="1039" w:type="dxa"/>
                  <w:tcBorders>
                    <w:tl2br w:val="nil"/>
                    <w:tr2bl w:val="nil"/>
                  </w:tcBorders>
                  <w:vAlign w:val="center"/>
                </w:tcPr>
                <w:p>
                  <w:pPr>
                    <w:bidi w:val="0"/>
                    <w:jc w:val="center"/>
                    <w:rPr>
                      <w:rFonts w:hint="default"/>
                      <w:lang w:val="en-US" w:eastAsia="zh-CN"/>
                    </w:rPr>
                  </w:pPr>
                  <w:r>
                    <w:t>51.1</w:t>
                  </w:r>
                </w:p>
              </w:tc>
              <w:tc>
                <w:tcPr>
                  <w:tcW w:w="768" w:type="dxa"/>
                  <w:tcBorders>
                    <w:tl2br w:val="nil"/>
                    <w:tr2bl w:val="nil"/>
                  </w:tcBorders>
                  <w:vAlign w:val="center"/>
                </w:tcPr>
                <w:p>
                  <w:pPr>
                    <w:bidi w:val="0"/>
                    <w:jc w:val="center"/>
                    <w:rPr>
                      <w:rFonts w:hint="default"/>
                      <w:lang w:val="en-US" w:eastAsia="zh-CN"/>
                    </w:rPr>
                  </w:pPr>
                  <w:r>
                    <w:t>夜间</w:t>
                  </w:r>
                </w:p>
              </w:tc>
              <w:tc>
                <w:tcPr>
                  <w:tcW w:w="1138" w:type="dxa"/>
                  <w:tcBorders>
                    <w:tl2br w:val="nil"/>
                    <w:tr2bl w:val="nil"/>
                  </w:tcBorders>
                  <w:vAlign w:val="center"/>
                </w:tcPr>
                <w:p>
                  <w:pPr>
                    <w:bidi w:val="0"/>
                    <w:jc w:val="center"/>
                    <w:rPr>
                      <w:rFonts w:hint="default"/>
                      <w:lang w:val="en-US" w:eastAsia="zh-CN"/>
                    </w:rPr>
                  </w:pPr>
                  <w:r>
                    <w:t>32.7</w:t>
                  </w:r>
                </w:p>
              </w:tc>
              <w:tc>
                <w:tcPr>
                  <w:tcW w:w="1211" w:type="dxa"/>
                  <w:tcBorders>
                    <w:tl2br w:val="nil"/>
                    <w:tr2bl w:val="nil"/>
                  </w:tcBorders>
                  <w:vAlign w:val="center"/>
                </w:tcPr>
                <w:p>
                  <w:pPr>
                    <w:bidi w:val="0"/>
                    <w:jc w:val="center"/>
                    <w:rPr>
                      <w:rFonts w:hint="default"/>
                      <w:lang w:val="en-US" w:eastAsia="zh-CN"/>
                    </w:rPr>
                  </w:pPr>
                  <w:r>
                    <w:t>50</w:t>
                  </w:r>
                </w:p>
              </w:tc>
              <w:tc>
                <w:tcPr>
                  <w:tcW w:w="1039" w:type="dxa"/>
                  <w:tcBorders>
                    <w:tl2br w:val="nil"/>
                    <w:tr2bl w:val="nil"/>
                  </w:tcBorders>
                  <w:vAlign w:val="center"/>
                </w:tcPr>
                <w:p>
                  <w:pPr>
                    <w:bidi w:val="0"/>
                    <w:jc w:val="center"/>
                    <w:rPr>
                      <w:rFonts w:hint="default"/>
                      <w:lang w:val="en-US" w:eastAsia="zh-CN"/>
                    </w:rPr>
                  </w:pPr>
                  <w: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38" w:type="dxa"/>
                  <w:vMerge w:val="restart"/>
                  <w:tcBorders>
                    <w:tl2br w:val="nil"/>
                    <w:tr2bl w:val="nil"/>
                  </w:tcBorders>
                  <w:vAlign w:val="center"/>
                </w:tcPr>
                <w:p>
                  <w:pPr>
                    <w:bidi w:val="0"/>
                    <w:jc w:val="center"/>
                    <w:rPr>
                      <w:rFonts w:hint="default"/>
                      <w:lang w:val="en-US" w:eastAsia="zh-CN"/>
                    </w:rPr>
                  </w:pPr>
                  <w:r>
                    <w:t>北侧</w:t>
                  </w:r>
                </w:p>
              </w:tc>
              <w:tc>
                <w:tcPr>
                  <w:tcW w:w="1039" w:type="dxa"/>
                  <w:tcBorders>
                    <w:tl2br w:val="nil"/>
                    <w:tr2bl w:val="nil"/>
                  </w:tcBorders>
                  <w:vAlign w:val="center"/>
                </w:tcPr>
                <w:p>
                  <w:pPr>
                    <w:bidi w:val="0"/>
                    <w:jc w:val="center"/>
                    <w:rPr>
                      <w:rFonts w:hint="default"/>
                      <w:lang w:val="en-US" w:eastAsia="zh-CN"/>
                    </w:rPr>
                  </w:pPr>
                  <w:r>
                    <w:t>-0.5</w:t>
                  </w:r>
                </w:p>
              </w:tc>
              <w:tc>
                <w:tcPr>
                  <w:tcW w:w="1039" w:type="dxa"/>
                  <w:tcBorders>
                    <w:tl2br w:val="nil"/>
                    <w:tr2bl w:val="nil"/>
                  </w:tcBorders>
                  <w:vAlign w:val="center"/>
                </w:tcPr>
                <w:p>
                  <w:pPr>
                    <w:bidi w:val="0"/>
                    <w:jc w:val="center"/>
                    <w:rPr>
                      <w:rFonts w:hint="default"/>
                      <w:lang w:val="en-US" w:eastAsia="zh-CN"/>
                    </w:rPr>
                  </w:pPr>
                  <w:r>
                    <w:t>42.9</w:t>
                  </w:r>
                </w:p>
              </w:tc>
              <w:tc>
                <w:tcPr>
                  <w:tcW w:w="1039" w:type="dxa"/>
                  <w:tcBorders>
                    <w:tl2br w:val="nil"/>
                    <w:tr2bl w:val="nil"/>
                  </w:tcBorders>
                  <w:vAlign w:val="center"/>
                </w:tcPr>
                <w:p>
                  <w:pPr>
                    <w:bidi w:val="0"/>
                    <w:jc w:val="center"/>
                    <w:rPr>
                      <w:rFonts w:hint="default"/>
                      <w:lang w:val="en-US" w:eastAsia="zh-CN"/>
                    </w:rPr>
                  </w:pPr>
                  <w:r>
                    <w:t>52.1</w:t>
                  </w:r>
                </w:p>
              </w:tc>
              <w:tc>
                <w:tcPr>
                  <w:tcW w:w="768" w:type="dxa"/>
                  <w:tcBorders>
                    <w:tl2br w:val="nil"/>
                    <w:tr2bl w:val="nil"/>
                  </w:tcBorders>
                  <w:vAlign w:val="center"/>
                </w:tcPr>
                <w:p>
                  <w:pPr>
                    <w:bidi w:val="0"/>
                    <w:jc w:val="center"/>
                    <w:rPr>
                      <w:rFonts w:hint="default"/>
                      <w:lang w:val="en-US" w:eastAsia="zh-CN"/>
                    </w:rPr>
                  </w:pPr>
                  <w:r>
                    <w:t>昼间</w:t>
                  </w:r>
                </w:p>
              </w:tc>
              <w:tc>
                <w:tcPr>
                  <w:tcW w:w="1138" w:type="dxa"/>
                  <w:tcBorders>
                    <w:tl2br w:val="nil"/>
                    <w:tr2bl w:val="nil"/>
                  </w:tcBorders>
                  <w:vAlign w:val="center"/>
                </w:tcPr>
                <w:p>
                  <w:pPr>
                    <w:bidi w:val="0"/>
                    <w:jc w:val="center"/>
                    <w:rPr>
                      <w:rFonts w:hint="default"/>
                      <w:lang w:val="en-US" w:eastAsia="zh-CN"/>
                    </w:rPr>
                  </w:pPr>
                  <w:r>
                    <w:t>48.6</w:t>
                  </w:r>
                </w:p>
              </w:tc>
              <w:tc>
                <w:tcPr>
                  <w:tcW w:w="1211" w:type="dxa"/>
                  <w:tcBorders>
                    <w:tl2br w:val="nil"/>
                    <w:tr2bl w:val="nil"/>
                  </w:tcBorders>
                  <w:vAlign w:val="center"/>
                </w:tcPr>
                <w:p>
                  <w:pPr>
                    <w:bidi w:val="0"/>
                    <w:jc w:val="center"/>
                    <w:rPr>
                      <w:rFonts w:hint="default"/>
                      <w:lang w:val="en-US" w:eastAsia="zh-CN"/>
                    </w:rPr>
                  </w:pPr>
                  <w:r>
                    <w:t>60</w:t>
                  </w:r>
                </w:p>
              </w:tc>
              <w:tc>
                <w:tcPr>
                  <w:tcW w:w="1039" w:type="dxa"/>
                  <w:tcBorders>
                    <w:tl2br w:val="nil"/>
                    <w:tr2bl w:val="nil"/>
                  </w:tcBorders>
                  <w:vAlign w:val="center"/>
                </w:tcPr>
                <w:p>
                  <w:pPr>
                    <w:bidi w:val="0"/>
                    <w:jc w:val="center"/>
                    <w:rPr>
                      <w:rFonts w:hint="default"/>
                      <w:lang w:val="en-US" w:eastAsia="zh-CN"/>
                    </w:rPr>
                  </w:pPr>
                  <w: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38" w:type="dxa"/>
                  <w:vMerge w:val="continue"/>
                  <w:tcBorders>
                    <w:tl2br w:val="nil"/>
                    <w:tr2bl w:val="nil"/>
                  </w:tcBorders>
                  <w:vAlign w:val="center"/>
                </w:tcPr>
                <w:p>
                  <w:pPr>
                    <w:bidi w:val="0"/>
                    <w:jc w:val="center"/>
                    <w:rPr>
                      <w:rFonts w:hint="default"/>
                      <w:lang w:val="en-US" w:eastAsia="zh-CN"/>
                    </w:rPr>
                  </w:pPr>
                  <w:r>
                    <w:t>北侧</w:t>
                  </w:r>
                </w:p>
              </w:tc>
              <w:tc>
                <w:tcPr>
                  <w:tcW w:w="1039" w:type="dxa"/>
                  <w:tcBorders>
                    <w:tl2br w:val="nil"/>
                    <w:tr2bl w:val="nil"/>
                  </w:tcBorders>
                  <w:vAlign w:val="center"/>
                </w:tcPr>
                <w:p>
                  <w:pPr>
                    <w:bidi w:val="0"/>
                    <w:jc w:val="center"/>
                    <w:rPr>
                      <w:rFonts w:hint="default"/>
                      <w:lang w:val="en-US" w:eastAsia="zh-CN"/>
                    </w:rPr>
                  </w:pPr>
                  <w:r>
                    <w:t>-0.5</w:t>
                  </w:r>
                </w:p>
              </w:tc>
              <w:tc>
                <w:tcPr>
                  <w:tcW w:w="1039" w:type="dxa"/>
                  <w:tcBorders>
                    <w:tl2br w:val="nil"/>
                    <w:tr2bl w:val="nil"/>
                  </w:tcBorders>
                  <w:vAlign w:val="center"/>
                </w:tcPr>
                <w:p>
                  <w:pPr>
                    <w:bidi w:val="0"/>
                    <w:jc w:val="center"/>
                    <w:rPr>
                      <w:rFonts w:hint="default"/>
                      <w:lang w:val="en-US" w:eastAsia="zh-CN"/>
                    </w:rPr>
                  </w:pPr>
                  <w:r>
                    <w:t>42.9</w:t>
                  </w:r>
                </w:p>
              </w:tc>
              <w:tc>
                <w:tcPr>
                  <w:tcW w:w="1039" w:type="dxa"/>
                  <w:tcBorders>
                    <w:tl2br w:val="nil"/>
                    <w:tr2bl w:val="nil"/>
                  </w:tcBorders>
                  <w:vAlign w:val="center"/>
                </w:tcPr>
                <w:p>
                  <w:pPr>
                    <w:bidi w:val="0"/>
                    <w:jc w:val="center"/>
                    <w:rPr>
                      <w:rFonts w:hint="default"/>
                      <w:lang w:val="en-US" w:eastAsia="zh-CN"/>
                    </w:rPr>
                  </w:pPr>
                  <w:r>
                    <w:t>52.1</w:t>
                  </w:r>
                </w:p>
              </w:tc>
              <w:tc>
                <w:tcPr>
                  <w:tcW w:w="768" w:type="dxa"/>
                  <w:tcBorders>
                    <w:tl2br w:val="nil"/>
                    <w:tr2bl w:val="nil"/>
                  </w:tcBorders>
                  <w:vAlign w:val="center"/>
                </w:tcPr>
                <w:p>
                  <w:pPr>
                    <w:bidi w:val="0"/>
                    <w:jc w:val="center"/>
                    <w:rPr>
                      <w:rFonts w:hint="default"/>
                      <w:lang w:val="en-US" w:eastAsia="zh-CN"/>
                    </w:rPr>
                  </w:pPr>
                  <w:r>
                    <w:t>夜间</w:t>
                  </w:r>
                </w:p>
              </w:tc>
              <w:tc>
                <w:tcPr>
                  <w:tcW w:w="1138" w:type="dxa"/>
                  <w:tcBorders>
                    <w:tl2br w:val="nil"/>
                    <w:tr2bl w:val="nil"/>
                  </w:tcBorders>
                  <w:vAlign w:val="center"/>
                </w:tcPr>
                <w:p>
                  <w:pPr>
                    <w:bidi w:val="0"/>
                    <w:jc w:val="center"/>
                    <w:rPr>
                      <w:rFonts w:hint="default"/>
                      <w:lang w:val="en-US" w:eastAsia="zh-CN"/>
                    </w:rPr>
                  </w:pPr>
                  <w:r>
                    <w:t>48.6</w:t>
                  </w:r>
                </w:p>
              </w:tc>
              <w:tc>
                <w:tcPr>
                  <w:tcW w:w="1211" w:type="dxa"/>
                  <w:tcBorders>
                    <w:tl2br w:val="nil"/>
                    <w:tr2bl w:val="nil"/>
                  </w:tcBorders>
                  <w:vAlign w:val="center"/>
                </w:tcPr>
                <w:p>
                  <w:pPr>
                    <w:bidi w:val="0"/>
                    <w:jc w:val="center"/>
                    <w:rPr>
                      <w:rFonts w:hint="default"/>
                      <w:lang w:val="en-US" w:eastAsia="zh-CN"/>
                    </w:rPr>
                  </w:pPr>
                  <w:r>
                    <w:t>50</w:t>
                  </w:r>
                </w:p>
              </w:tc>
              <w:tc>
                <w:tcPr>
                  <w:tcW w:w="1039" w:type="dxa"/>
                  <w:tcBorders>
                    <w:tl2br w:val="nil"/>
                    <w:tr2bl w:val="nil"/>
                  </w:tcBorders>
                  <w:vAlign w:val="center"/>
                </w:tcPr>
                <w:p>
                  <w:pPr>
                    <w:bidi w:val="0"/>
                    <w:jc w:val="center"/>
                    <w:rPr>
                      <w:rFonts w:hint="default"/>
                      <w:lang w:val="en-US" w:eastAsia="zh-CN"/>
                    </w:rPr>
                  </w:pPr>
                  <w:r>
                    <w:t>达标</w:t>
                  </w:r>
                </w:p>
              </w:tc>
            </w:tr>
          </w:tbl>
          <w:p>
            <w:pPr>
              <w:bidi w:val="0"/>
              <w:rPr>
                <w:rFonts w:hint="default"/>
                <w:lang w:val="en-US" w:eastAsia="zh-CN"/>
              </w:rPr>
            </w:pPr>
          </w:p>
          <w:p>
            <w:pPr>
              <w:bidi w:val="0"/>
              <w:jc w:val="center"/>
              <w:rPr>
                <w:rFonts w:cs="Times New Roman" w:asciiTheme="minorEastAsia" w:hAnsiTheme="minorEastAsia" w:eastAsiaTheme="minorEastAsia"/>
                <w:b/>
                <w:bCs/>
                <w:lang w:eastAsia="zh-CN"/>
              </w:rPr>
            </w:pPr>
            <w:r>
              <w:rPr>
                <w:rFonts w:hint="eastAsia"/>
                <w:b/>
                <w:bCs/>
                <w:lang w:val="en-US" w:eastAsia="zh-CN"/>
              </w:rPr>
              <w:t xml:space="preserve">表4-14  </w:t>
            </w:r>
            <w:r>
              <w:rPr>
                <w:rFonts w:cs="Times New Roman" w:asciiTheme="minorEastAsia" w:hAnsiTheme="minorEastAsia" w:eastAsiaTheme="minorEastAsia"/>
                <w:b/>
                <w:bCs/>
                <w:lang w:eastAsia="zh-CN"/>
              </w:rPr>
              <w:t>工</w:t>
            </w:r>
            <w:r>
              <w:rPr>
                <w:rFonts w:cs="Times New Roman" w:asciiTheme="minorEastAsia" w:hAnsiTheme="minorEastAsia" w:eastAsiaTheme="minorEastAsia"/>
                <w:b/>
                <w:bCs/>
                <w:spacing w:val="-3"/>
                <w:lang w:eastAsia="zh-CN"/>
              </w:rPr>
              <w:t>业</w:t>
            </w:r>
            <w:r>
              <w:rPr>
                <w:rFonts w:cs="Times New Roman" w:asciiTheme="minorEastAsia" w:hAnsiTheme="minorEastAsia" w:eastAsiaTheme="minorEastAsia"/>
                <w:b/>
                <w:bCs/>
                <w:lang w:eastAsia="zh-CN"/>
              </w:rPr>
              <w:t>企</w:t>
            </w:r>
            <w:r>
              <w:rPr>
                <w:rFonts w:cs="Times New Roman" w:asciiTheme="minorEastAsia" w:hAnsiTheme="minorEastAsia" w:eastAsiaTheme="minorEastAsia"/>
                <w:b/>
                <w:bCs/>
                <w:spacing w:val="-3"/>
                <w:lang w:eastAsia="zh-CN"/>
              </w:rPr>
              <w:t>业</w:t>
            </w:r>
            <w:r>
              <w:rPr>
                <w:rFonts w:cs="Times New Roman" w:asciiTheme="minorEastAsia" w:hAnsiTheme="minorEastAsia" w:eastAsiaTheme="minorEastAsia"/>
                <w:b/>
                <w:bCs/>
                <w:lang w:eastAsia="zh-CN"/>
              </w:rPr>
              <w:t>声</w:t>
            </w:r>
            <w:r>
              <w:rPr>
                <w:rFonts w:cs="Times New Roman" w:asciiTheme="minorEastAsia" w:hAnsiTheme="minorEastAsia" w:eastAsiaTheme="minorEastAsia"/>
                <w:b/>
                <w:bCs/>
                <w:spacing w:val="-3"/>
                <w:lang w:eastAsia="zh-CN"/>
              </w:rPr>
              <w:t>环境</w:t>
            </w:r>
            <w:r>
              <w:rPr>
                <w:rFonts w:cs="Times New Roman" w:asciiTheme="minorEastAsia" w:hAnsiTheme="minorEastAsia" w:eastAsiaTheme="minorEastAsia"/>
                <w:b/>
                <w:bCs/>
                <w:lang w:eastAsia="zh-CN"/>
              </w:rPr>
              <w:t>保护</w:t>
            </w:r>
            <w:r>
              <w:rPr>
                <w:rFonts w:cs="Times New Roman" w:asciiTheme="minorEastAsia" w:hAnsiTheme="minorEastAsia" w:eastAsiaTheme="minorEastAsia"/>
                <w:b/>
                <w:bCs/>
                <w:spacing w:val="-3"/>
                <w:lang w:eastAsia="zh-CN"/>
              </w:rPr>
              <w:t>目</w:t>
            </w:r>
            <w:r>
              <w:rPr>
                <w:rFonts w:cs="Times New Roman" w:asciiTheme="minorEastAsia" w:hAnsiTheme="minorEastAsia" w:eastAsiaTheme="minorEastAsia"/>
                <w:b/>
                <w:bCs/>
                <w:lang w:eastAsia="zh-CN"/>
              </w:rPr>
              <w:t>标</w:t>
            </w:r>
            <w:r>
              <w:rPr>
                <w:rFonts w:cs="Times New Roman" w:asciiTheme="minorEastAsia" w:hAnsiTheme="minorEastAsia" w:eastAsiaTheme="minorEastAsia"/>
                <w:b/>
                <w:bCs/>
                <w:spacing w:val="-3"/>
                <w:lang w:eastAsia="zh-CN"/>
              </w:rPr>
              <w:t>噪</w:t>
            </w:r>
            <w:r>
              <w:rPr>
                <w:rFonts w:cs="Times New Roman" w:asciiTheme="minorEastAsia" w:hAnsiTheme="minorEastAsia" w:eastAsiaTheme="minorEastAsia"/>
                <w:b/>
                <w:bCs/>
                <w:lang w:eastAsia="zh-CN"/>
              </w:rPr>
              <w:t>声</w:t>
            </w:r>
            <w:r>
              <w:rPr>
                <w:rFonts w:cs="Times New Roman" w:asciiTheme="minorEastAsia" w:hAnsiTheme="minorEastAsia" w:eastAsiaTheme="minorEastAsia"/>
                <w:b/>
                <w:bCs/>
                <w:spacing w:val="-3"/>
                <w:lang w:eastAsia="zh-CN"/>
              </w:rPr>
              <w:t>预</w:t>
            </w:r>
            <w:r>
              <w:rPr>
                <w:rFonts w:cs="Times New Roman" w:asciiTheme="minorEastAsia" w:hAnsiTheme="minorEastAsia" w:eastAsiaTheme="minorEastAsia"/>
                <w:b/>
                <w:bCs/>
                <w:lang w:eastAsia="zh-CN"/>
              </w:rPr>
              <w:t>测</w:t>
            </w:r>
            <w:r>
              <w:rPr>
                <w:rFonts w:cs="Times New Roman" w:asciiTheme="minorEastAsia" w:hAnsiTheme="minorEastAsia" w:eastAsiaTheme="minorEastAsia"/>
                <w:b/>
                <w:bCs/>
                <w:spacing w:val="-3"/>
                <w:lang w:eastAsia="zh-CN"/>
              </w:rPr>
              <w:t>结</w:t>
            </w:r>
            <w:r>
              <w:rPr>
                <w:rFonts w:cs="Times New Roman" w:asciiTheme="minorEastAsia" w:hAnsiTheme="minorEastAsia" w:eastAsiaTheme="minorEastAsia"/>
                <w:b/>
                <w:bCs/>
                <w:lang w:eastAsia="zh-CN"/>
              </w:rPr>
              <w:t>果</w:t>
            </w:r>
            <w:r>
              <w:rPr>
                <w:rFonts w:cs="Times New Roman" w:asciiTheme="minorEastAsia" w:hAnsiTheme="minorEastAsia" w:eastAsiaTheme="minorEastAsia"/>
                <w:b/>
                <w:bCs/>
                <w:spacing w:val="-3"/>
                <w:lang w:eastAsia="zh-CN"/>
              </w:rPr>
              <w:t>与</w:t>
            </w:r>
            <w:r>
              <w:rPr>
                <w:rFonts w:cs="Times New Roman" w:asciiTheme="minorEastAsia" w:hAnsiTheme="minorEastAsia" w:eastAsiaTheme="minorEastAsia"/>
                <w:b/>
                <w:bCs/>
                <w:lang w:eastAsia="zh-CN"/>
              </w:rPr>
              <w:t>达标</w:t>
            </w:r>
            <w:r>
              <w:rPr>
                <w:rFonts w:cs="Times New Roman" w:asciiTheme="minorEastAsia" w:hAnsiTheme="minorEastAsia" w:eastAsiaTheme="minorEastAsia"/>
                <w:b/>
                <w:bCs/>
                <w:spacing w:val="-3"/>
                <w:lang w:eastAsia="zh-CN"/>
              </w:rPr>
              <w:t>分</w:t>
            </w:r>
            <w:r>
              <w:rPr>
                <w:rFonts w:cs="Times New Roman" w:asciiTheme="minorEastAsia" w:hAnsiTheme="minorEastAsia" w:eastAsiaTheme="minorEastAsia"/>
                <w:b/>
                <w:bCs/>
                <w:lang w:eastAsia="zh-CN"/>
              </w:rPr>
              <w:t>析表</w:t>
            </w:r>
          </w:p>
          <w:tbl>
            <w:tblPr>
              <w:tblStyle w:val="26"/>
              <w:tblW w:w="8311"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73"/>
              <w:gridCol w:w="665"/>
              <w:gridCol w:w="519"/>
              <w:gridCol w:w="519"/>
              <w:gridCol w:w="519"/>
              <w:gridCol w:w="519"/>
              <w:gridCol w:w="519"/>
              <w:gridCol w:w="519"/>
              <w:gridCol w:w="519"/>
              <w:gridCol w:w="520"/>
              <w:gridCol w:w="520"/>
              <w:gridCol w:w="520"/>
              <w:gridCol w:w="520"/>
              <w:gridCol w:w="520"/>
              <w:gridCol w:w="520"/>
              <w:gridCol w:w="5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3" w:type="dxa"/>
                  <w:vMerge w:val="restart"/>
                  <w:tcBorders>
                    <w:tl2br w:val="nil"/>
                    <w:tr2bl w:val="nil"/>
                  </w:tcBorders>
                  <w:vAlign w:val="center"/>
                </w:tcPr>
                <w:p>
                  <w:pPr>
                    <w:bidi w:val="0"/>
                    <w:jc w:val="center"/>
                    <w:rPr>
                      <w:rFonts w:hint="default"/>
                      <w:b/>
                      <w:bCs/>
                      <w:lang w:val="en-US" w:eastAsia="zh-CN"/>
                    </w:rPr>
                  </w:pPr>
                  <w:r>
                    <w:rPr>
                      <w:b/>
                      <w:bCs/>
                    </w:rPr>
                    <w:t>序号</w:t>
                  </w:r>
                </w:p>
              </w:tc>
              <w:tc>
                <w:tcPr>
                  <w:tcW w:w="665" w:type="dxa"/>
                  <w:vMerge w:val="restart"/>
                  <w:tcBorders>
                    <w:tl2br w:val="nil"/>
                    <w:tr2bl w:val="nil"/>
                  </w:tcBorders>
                  <w:vAlign w:val="center"/>
                </w:tcPr>
                <w:p>
                  <w:pPr>
                    <w:bidi w:val="0"/>
                    <w:jc w:val="center"/>
                    <w:rPr>
                      <w:rFonts w:hint="default"/>
                      <w:b/>
                      <w:bCs/>
                      <w:lang w:val="en-US" w:eastAsia="zh-CN"/>
                    </w:rPr>
                  </w:pPr>
                  <w:r>
                    <w:rPr>
                      <w:b/>
                      <w:bCs/>
                    </w:rPr>
                    <w:t>声环境保护目标名称</w:t>
                  </w:r>
                </w:p>
              </w:tc>
              <w:tc>
                <w:tcPr>
                  <w:tcW w:w="1038" w:type="dxa"/>
                  <w:gridSpan w:val="2"/>
                  <w:tcBorders>
                    <w:tl2br w:val="nil"/>
                    <w:tr2bl w:val="nil"/>
                  </w:tcBorders>
                  <w:vAlign w:val="center"/>
                </w:tcPr>
                <w:p>
                  <w:pPr>
                    <w:bidi w:val="0"/>
                    <w:jc w:val="center"/>
                    <w:rPr>
                      <w:rFonts w:hint="default"/>
                      <w:b/>
                      <w:bCs/>
                      <w:lang w:val="en-US" w:eastAsia="zh-CN"/>
                    </w:rPr>
                  </w:pPr>
                  <w:r>
                    <w:rPr>
                      <w:b/>
                      <w:bCs/>
                    </w:rPr>
                    <w:t>噪声背景值/dB(A)</w:t>
                  </w:r>
                </w:p>
              </w:tc>
              <w:tc>
                <w:tcPr>
                  <w:tcW w:w="1038" w:type="dxa"/>
                  <w:gridSpan w:val="2"/>
                  <w:tcBorders>
                    <w:tl2br w:val="nil"/>
                    <w:tr2bl w:val="nil"/>
                  </w:tcBorders>
                  <w:vAlign w:val="center"/>
                </w:tcPr>
                <w:p>
                  <w:pPr>
                    <w:bidi w:val="0"/>
                    <w:jc w:val="center"/>
                    <w:rPr>
                      <w:rFonts w:hint="default"/>
                      <w:b/>
                      <w:bCs/>
                      <w:lang w:val="en-US" w:eastAsia="zh-CN"/>
                    </w:rPr>
                  </w:pPr>
                  <w:r>
                    <w:rPr>
                      <w:b/>
                      <w:bCs/>
                    </w:rPr>
                    <w:t>噪声现状值/dB(A)</w:t>
                  </w:r>
                </w:p>
              </w:tc>
              <w:tc>
                <w:tcPr>
                  <w:tcW w:w="1038" w:type="dxa"/>
                  <w:gridSpan w:val="2"/>
                  <w:tcBorders>
                    <w:tl2br w:val="nil"/>
                    <w:tr2bl w:val="nil"/>
                  </w:tcBorders>
                  <w:vAlign w:val="center"/>
                </w:tcPr>
                <w:p>
                  <w:pPr>
                    <w:bidi w:val="0"/>
                    <w:jc w:val="center"/>
                    <w:rPr>
                      <w:rFonts w:hint="default"/>
                      <w:b/>
                      <w:bCs/>
                      <w:lang w:val="en-US" w:eastAsia="zh-CN"/>
                    </w:rPr>
                  </w:pPr>
                  <w:r>
                    <w:rPr>
                      <w:b/>
                      <w:bCs/>
                    </w:rPr>
                    <w:t>噪声标准/dB(A)</w:t>
                  </w:r>
                </w:p>
              </w:tc>
              <w:tc>
                <w:tcPr>
                  <w:tcW w:w="1039" w:type="dxa"/>
                  <w:gridSpan w:val="2"/>
                  <w:tcBorders>
                    <w:tl2br w:val="nil"/>
                    <w:tr2bl w:val="nil"/>
                  </w:tcBorders>
                  <w:vAlign w:val="center"/>
                </w:tcPr>
                <w:p>
                  <w:pPr>
                    <w:bidi w:val="0"/>
                    <w:jc w:val="center"/>
                    <w:rPr>
                      <w:rFonts w:hint="default"/>
                      <w:b/>
                      <w:bCs/>
                      <w:lang w:val="en-US" w:eastAsia="zh-CN"/>
                    </w:rPr>
                  </w:pPr>
                  <w:r>
                    <w:rPr>
                      <w:b/>
                      <w:bCs/>
                    </w:rPr>
                    <w:t>噪声贡献值/dB(A)</w:t>
                  </w:r>
                </w:p>
              </w:tc>
              <w:tc>
                <w:tcPr>
                  <w:tcW w:w="1040" w:type="dxa"/>
                  <w:gridSpan w:val="2"/>
                  <w:tcBorders>
                    <w:tl2br w:val="nil"/>
                    <w:tr2bl w:val="nil"/>
                  </w:tcBorders>
                  <w:vAlign w:val="center"/>
                </w:tcPr>
                <w:p>
                  <w:pPr>
                    <w:bidi w:val="0"/>
                    <w:jc w:val="center"/>
                    <w:rPr>
                      <w:rFonts w:hint="default"/>
                      <w:b/>
                      <w:bCs/>
                      <w:lang w:val="en-US" w:eastAsia="zh-CN"/>
                    </w:rPr>
                  </w:pPr>
                  <w:r>
                    <w:rPr>
                      <w:b/>
                      <w:bCs/>
                    </w:rPr>
                    <w:t>噪声预测值/dB(A)</w:t>
                  </w:r>
                </w:p>
              </w:tc>
              <w:tc>
                <w:tcPr>
                  <w:tcW w:w="1040" w:type="dxa"/>
                  <w:gridSpan w:val="2"/>
                  <w:tcBorders>
                    <w:tl2br w:val="nil"/>
                    <w:tr2bl w:val="nil"/>
                  </w:tcBorders>
                  <w:vAlign w:val="center"/>
                </w:tcPr>
                <w:p>
                  <w:pPr>
                    <w:bidi w:val="0"/>
                    <w:jc w:val="center"/>
                    <w:rPr>
                      <w:rFonts w:hint="default"/>
                      <w:b/>
                      <w:bCs/>
                      <w:lang w:val="en-US" w:eastAsia="zh-CN"/>
                    </w:rPr>
                  </w:pPr>
                  <w:r>
                    <w:rPr>
                      <w:b/>
                      <w:bCs/>
                    </w:rPr>
                    <w:t>较现状增量/dB(A)</w:t>
                  </w:r>
                </w:p>
              </w:tc>
              <w:tc>
                <w:tcPr>
                  <w:tcW w:w="1040" w:type="dxa"/>
                  <w:gridSpan w:val="2"/>
                  <w:tcBorders>
                    <w:tl2br w:val="nil"/>
                    <w:tr2bl w:val="nil"/>
                  </w:tcBorders>
                  <w:vAlign w:val="center"/>
                </w:tcPr>
                <w:p>
                  <w:pPr>
                    <w:bidi w:val="0"/>
                    <w:jc w:val="center"/>
                    <w:rPr>
                      <w:rFonts w:hint="default"/>
                      <w:b/>
                      <w:bCs/>
                      <w:lang w:val="en-US" w:eastAsia="zh-CN"/>
                    </w:rPr>
                  </w:pPr>
                  <w:r>
                    <w:rPr>
                      <w:b/>
                      <w:bCs/>
                    </w:rPr>
                    <w:t>超标和达标情况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3" w:type="dxa"/>
                  <w:vMerge w:val="continue"/>
                  <w:tcBorders>
                    <w:tl2br w:val="nil"/>
                    <w:tr2bl w:val="nil"/>
                  </w:tcBorders>
                  <w:vAlign w:val="center"/>
                </w:tcPr>
                <w:p>
                  <w:pPr>
                    <w:bidi w:val="0"/>
                    <w:jc w:val="center"/>
                    <w:rPr>
                      <w:rFonts w:hint="default"/>
                      <w:lang w:val="en-US" w:eastAsia="zh-CN"/>
                    </w:rPr>
                  </w:pPr>
                </w:p>
              </w:tc>
              <w:tc>
                <w:tcPr>
                  <w:tcW w:w="665" w:type="dxa"/>
                  <w:vMerge w:val="continue"/>
                  <w:tcBorders>
                    <w:tl2br w:val="nil"/>
                    <w:tr2bl w:val="nil"/>
                  </w:tcBorders>
                  <w:vAlign w:val="center"/>
                </w:tcPr>
                <w:p>
                  <w:pPr>
                    <w:bidi w:val="0"/>
                    <w:jc w:val="center"/>
                    <w:rPr>
                      <w:rFonts w:hint="default"/>
                      <w:lang w:val="en-US" w:eastAsia="zh-CN"/>
                    </w:rPr>
                  </w:pPr>
                </w:p>
              </w:tc>
              <w:tc>
                <w:tcPr>
                  <w:tcW w:w="519" w:type="dxa"/>
                  <w:tcBorders>
                    <w:tl2br w:val="nil"/>
                    <w:tr2bl w:val="nil"/>
                  </w:tcBorders>
                  <w:vAlign w:val="center"/>
                </w:tcPr>
                <w:p>
                  <w:pPr>
                    <w:bidi w:val="0"/>
                    <w:jc w:val="center"/>
                    <w:rPr>
                      <w:rFonts w:hint="default"/>
                      <w:lang w:val="en-US" w:eastAsia="zh-CN"/>
                    </w:rPr>
                  </w:pPr>
                  <w:r>
                    <w:t>昼间</w:t>
                  </w:r>
                </w:p>
              </w:tc>
              <w:tc>
                <w:tcPr>
                  <w:tcW w:w="519" w:type="dxa"/>
                  <w:tcBorders>
                    <w:tl2br w:val="nil"/>
                    <w:tr2bl w:val="nil"/>
                  </w:tcBorders>
                  <w:vAlign w:val="center"/>
                </w:tcPr>
                <w:p>
                  <w:pPr>
                    <w:bidi w:val="0"/>
                    <w:jc w:val="center"/>
                    <w:rPr>
                      <w:rFonts w:hint="default"/>
                      <w:lang w:val="en-US" w:eastAsia="zh-CN"/>
                    </w:rPr>
                  </w:pPr>
                  <w:r>
                    <w:t>夜间</w:t>
                  </w:r>
                </w:p>
              </w:tc>
              <w:tc>
                <w:tcPr>
                  <w:tcW w:w="519" w:type="dxa"/>
                  <w:tcBorders>
                    <w:tl2br w:val="nil"/>
                    <w:tr2bl w:val="nil"/>
                  </w:tcBorders>
                  <w:vAlign w:val="center"/>
                </w:tcPr>
                <w:p>
                  <w:pPr>
                    <w:bidi w:val="0"/>
                    <w:jc w:val="center"/>
                    <w:rPr>
                      <w:rFonts w:hint="default"/>
                      <w:lang w:val="en-US" w:eastAsia="zh-CN"/>
                    </w:rPr>
                  </w:pPr>
                  <w:r>
                    <w:t>昼间</w:t>
                  </w:r>
                </w:p>
              </w:tc>
              <w:tc>
                <w:tcPr>
                  <w:tcW w:w="519" w:type="dxa"/>
                  <w:tcBorders>
                    <w:tl2br w:val="nil"/>
                    <w:tr2bl w:val="nil"/>
                  </w:tcBorders>
                  <w:vAlign w:val="center"/>
                </w:tcPr>
                <w:p>
                  <w:pPr>
                    <w:bidi w:val="0"/>
                    <w:jc w:val="center"/>
                    <w:rPr>
                      <w:rFonts w:hint="default"/>
                      <w:lang w:val="en-US" w:eastAsia="zh-CN"/>
                    </w:rPr>
                  </w:pPr>
                  <w:r>
                    <w:t>夜间</w:t>
                  </w:r>
                </w:p>
              </w:tc>
              <w:tc>
                <w:tcPr>
                  <w:tcW w:w="519" w:type="dxa"/>
                  <w:tcBorders>
                    <w:tl2br w:val="nil"/>
                    <w:tr2bl w:val="nil"/>
                  </w:tcBorders>
                  <w:vAlign w:val="center"/>
                </w:tcPr>
                <w:p>
                  <w:pPr>
                    <w:bidi w:val="0"/>
                    <w:jc w:val="center"/>
                    <w:rPr>
                      <w:rFonts w:hint="default"/>
                      <w:lang w:val="en-US" w:eastAsia="zh-CN"/>
                    </w:rPr>
                  </w:pPr>
                  <w:r>
                    <w:t>昼间</w:t>
                  </w:r>
                </w:p>
              </w:tc>
              <w:tc>
                <w:tcPr>
                  <w:tcW w:w="519" w:type="dxa"/>
                  <w:tcBorders>
                    <w:tl2br w:val="nil"/>
                    <w:tr2bl w:val="nil"/>
                  </w:tcBorders>
                  <w:vAlign w:val="center"/>
                </w:tcPr>
                <w:p>
                  <w:pPr>
                    <w:bidi w:val="0"/>
                    <w:jc w:val="center"/>
                    <w:rPr>
                      <w:rFonts w:hint="default"/>
                      <w:lang w:val="en-US" w:eastAsia="zh-CN"/>
                    </w:rPr>
                  </w:pPr>
                  <w:r>
                    <w:t>夜间</w:t>
                  </w:r>
                </w:p>
              </w:tc>
              <w:tc>
                <w:tcPr>
                  <w:tcW w:w="519" w:type="dxa"/>
                  <w:tcBorders>
                    <w:tl2br w:val="nil"/>
                    <w:tr2bl w:val="nil"/>
                  </w:tcBorders>
                  <w:vAlign w:val="center"/>
                </w:tcPr>
                <w:p>
                  <w:pPr>
                    <w:bidi w:val="0"/>
                    <w:jc w:val="center"/>
                    <w:rPr>
                      <w:rFonts w:hint="default"/>
                      <w:lang w:val="en-US" w:eastAsia="zh-CN"/>
                    </w:rPr>
                  </w:pPr>
                  <w:r>
                    <w:t>昼间</w:t>
                  </w:r>
                </w:p>
              </w:tc>
              <w:tc>
                <w:tcPr>
                  <w:tcW w:w="520" w:type="dxa"/>
                  <w:tcBorders>
                    <w:tl2br w:val="nil"/>
                    <w:tr2bl w:val="nil"/>
                  </w:tcBorders>
                  <w:vAlign w:val="center"/>
                </w:tcPr>
                <w:p>
                  <w:pPr>
                    <w:bidi w:val="0"/>
                    <w:jc w:val="center"/>
                    <w:rPr>
                      <w:rFonts w:hint="default"/>
                      <w:lang w:val="en-US" w:eastAsia="zh-CN"/>
                    </w:rPr>
                  </w:pPr>
                  <w:r>
                    <w:t>夜间</w:t>
                  </w:r>
                </w:p>
              </w:tc>
              <w:tc>
                <w:tcPr>
                  <w:tcW w:w="520" w:type="dxa"/>
                  <w:tcBorders>
                    <w:tl2br w:val="nil"/>
                    <w:tr2bl w:val="nil"/>
                  </w:tcBorders>
                  <w:vAlign w:val="center"/>
                </w:tcPr>
                <w:p>
                  <w:pPr>
                    <w:bidi w:val="0"/>
                    <w:jc w:val="center"/>
                    <w:rPr>
                      <w:rFonts w:hint="default"/>
                      <w:lang w:val="en-US" w:eastAsia="zh-CN"/>
                    </w:rPr>
                  </w:pPr>
                  <w:r>
                    <w:t>昼间</w:t>
                  </w:r>
                </w:p>
              </w:tc>
              <w:tc>
                <w:tcPr>
                  <w:tcW w:w="520" w:type="dxa"/>
                  <w:tcBorders>
                    <w:tl2br w:val="nil"/>
                    <w:tr2bl w:val="nil"/>
                  </w:tcBorders>
                  <w:vAlign w:val="center"/>
                </w:tcPr>
                <w:p>
                  <w:pPr>
                    <w:bidi w:val="0"/>
                    <w:jc w:val="center"/>
                    <w:rPr>
                      <w:rFonts w:hint="default"/>
                      <w:lang w:val="en-US" w:eastAsia="zh-CN"/>
                    </w:rPr>
                  </w:pPr>
                  <w:r>
                    <w:t>夜间</w:t>
                  </w:r>
                </w:p>
              </w:tc>
              <w:tc>
                <w:tcPr>
                  <w:tcW w:w="520" w:type="dxa"/>
                  <w:tcBorders>
                    <w:tl2br w:val="nil"/>
                    <w:tr2bl w:val="nil"/>
                  </w:tcBorders>
                  <w:vAlign w:val="center"/>
                </w:tcPr>
                <w:p>
                  <w:pPr>
                    <w:bidi w:val="0"/>
                    <w:jc w:val="center"/>
                    <w:rPr>
                      <w:rFonts w:hint="default"/>
                      <w:lang w:val="en-US" w:eastAsia="zh-CN"/>
                    </w:rPr>
                  </w:pPr>
                  <w:r>
                    <w:t>昼间</w:t>
                  </w:r>
                </w:p>
              </w:tc>
              <w:tc>
                <w:tcPr>
                  <w:tcW w:w="520" w:type="dxa"/>
                  <w:tcBorders>
                    <w:tl2br w:val="nil"/>
                    <w:tr2bl w:val="nil"/>
                  </w:tcBorders>
                  <w:vAlign w:val="center"/>
                </w:tcPr>
                <w:p>
                  <w:pPr>
                    <w:bidi w:val="0"/>
                    <w:jc w:val="center"/>
                    <w:rPr>
                      <w:rFonts w:hint="default"/>
                      <w:lang w:val="en-US" w:eastAsia="zh-CN"/>
                    </w:rPr>
                  </w:pPr>
                  <w:r>
                    <w:t>夜间</w:t>
                  </w:r>
                </w:p>
              </w:tc>
              <w:tc>
                <w:tcPr>
                  <w:tcW w:w="520" w:type="dxa"/>
                  <w:tcBorders>
                    <w:tl2br w:val="nil"/>
                    <w:tr2bl w:val="nil"/>
                  </w:tcBorders>
                  <w:vAlign w:val="center"/>
                </w:tcPr>
                <w:p>
                  <w:pPr>
                    <w:bidi w:val="0"/>
                    <w:jc w:val="center"/>
                    <w:rPr>
                      <w:rFonts w:hint="default"/>
                      <w:lang w:val="en-US" w:eastAsia="zh-CN"/>
                    </w:rPr>
                  </w:pPr>
                  <w:r>
                    <w:t>昼间</w:t>
                  </w:r>
                </w:p>
              </w:tc>
              <w:tc>
                <w:tcPr>
                  <w:tcW w:w="520" w:type="dxa"/>
                  <w:tcBorders>
                    <w:tl2br w:val="nil"/>
                    <w:tr2bl w:val="nil"/>
                  </w:tcBorders>
                  <w:vAlign w:val="center"/>
                </w:tcPr>
                <w:p>
                  <w:pPr>
                    <w:bidi w:val="0"/>
                    <w:jc w:val="center"/>
                    <w:rPr>
                      <w:rFonts w:hint="default"/>
                      <w:lang w:val="en-US" w:eastAsia="zh-CN"/>
                    </w:rPr>
                  </w:pPr>
                  <w: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3" w:type="dxa"/>
                  <w:tcBorders>
                    <w:tl2br w:val="nil"/>
                    <w:tr2bl w:val="nil"/>
                  </w:tcBorders>
                  <w:vAlign w:val="center"/>
                </w:tcPr>
                <w:p>
                  <w:pPr>
                    <w:bidi w:val="0"/>
                    <w:jc w:val="center"/>
                    <w:rPr>
                      <w:rFonts w:hint="default"/>
                      <w:lang w:val="en-US" w:eastAsia="zh-CN"/>
                    </w:rPr>
                  </w:pPr>
                  <w:r>
                    <w:t>1</w:t>
                  </w:r>
                </w:p>
              </w:tc>
              <w:tc>
                <w:tcPr>
                  <w:tcW w:w="665" w:type="dxa"/>
                  <w:tcBorders>
                    <w:tl2br w:val="nil"/>
                    <w:tr2bl w:val="nil"/>
                  </w:tcBorders>
                  <w:vAlign w:val="center"/>
                </w:tcPr>
                <w:p>
                  <w:pPr>
                    <w:bidi w:val="0"/>
                    <w:jc w:val="center"/>
                    <w:rPr>
                      <w:rFonts w:hint="default"/>
                      <w:lang w:val="en-US" w:eastAsia="zh-CN"/>
                    </w:rPr>
                  </w:pPr>
                  <w:r>
                    <w:t>N3</w:t>
                  </w:r>
                  <w:r>
                    <w:rPr>
                      <w:rFonts w:hint="eastAsia"/>
                      <w:lang w:val="en-US" w:eastAsia="zh-CN"/>
                    </w:rPr>
                    <w:t>知</w:t>
                  </w:r>
                  <w:r>
                    <w:t>源小学</w:t>
                  </w:r>
                </w:p>
              </w:tc>
              <w:tc>
                <w:tcPr>
                  <w:tcW w:w="519" w:type="dxa"/>
                  <w:tcBorders>
                    <w:tl2br w:val="nil"/>
                    <w:tr2bl w:val="nil"/>
                  </w:tcBorders>
                  <w:vAlign w:val="center"/>
                </w:tcPr>
                <w:p>
                  <w:pPr>
                    <w:bidi w:val="0"/>
                    <w:jc w:val="center"/>
                    <w:rPr>
                      <w:rFonts w:hint="default"/>
                      <w:lang w:val="en-US" w:eastAsia="zh-CN"/>
                    </w:rPr>
                  </w:pPr>
                  <w:r>
                    <w:t>57.7</w:t>
                  </w:r>
                </w:p>
              </w:tc>
              <w:tc>
                <w:tcPr>
                  <w:tcW w:w="519" w:type="dxa"/>
                  <w:tcBorders>
                    <w:tl2br w:val="nil"/>
                    <w:tr2bl w:val="nil"/>
                  </w:tcBorders>
                  <w:vAlign w:val="center"/>
                </w:tcPr>
                <w:p>
                  <w:pPr>
                    <w:bidi w:val="0"/>
                    <w:jc w:val="center"/>
                    <w:rPr>
                      <w:rFonts w:hint="default"/>
                      <w:lang w:val="en-US" w:eastAsia="zh-CN"/>
                    </w:rPr>
                  </w:pPr>
                  <w:r>
                    <w:t>45.5</w:t>
                  </w:r>
                </w:p>
              </w:tc>
              <w:tc>
                <w:tcPr>
                  <w:tcW w:w="519" w:type="dxa"/>
                  <w:tcBorders>
                    <w:tl2br w:val="nil"/>
                    <w:tr2bl w:val="nil"/>
                  </w:tcBorders>
                  <w:vAlign w:val="center"/>
                </w:tcPr>
                <w:p>
                  <w:pPr>
                    <w:bidi w:val="0"/>
                    <w:jc w:val="center"/>
                    <w:rPr>
                      <w:rFonts w:hint="default"/>
                      <w:lang w:val="en-US" w:eastAsia="zh-CN"/>
                    </w:rPr>
                  </w:pPr>
                  <w:r>
                    <w:t>57.7</w:t>
                  </w:r>
                </w:p>
              </w:tc>
              <w:tc>
                <w:tcPr>
                  <w:tcW w:w="519" w:type="dxa"/>
                  <w:tcBorders>
                    <w:tl2br w:val="nil"/>
                    <w:tr2bl w:val="nil"/>
                  </w:tcBorders>
                  <w:vAlign w:val="center"/>
                </w:tcPr>
                <w:p>
                  <w:pPr>
                    <w:bidi w:val="0"/>
                    <w:jc w:val="center"/>
                    <w:rPr>
                      <w:rFonts w:hint="default"/>
                      <w:lang w:val="en-US" w:eastAsia="zh-CN"/>
                    </w:rPr>
                  </w:pPr>
                  <w:r>
                    <w:t>45.5</w:t>
                  </w:r>
                </w:p>
              </w:tc>
              <w:tc>
                <w:tcPr>
                  <w:tcW w:w="519" w:type="dxa"/>
                  <w:tcBorders>
                    <w:tl2br w:val="nil"/>
                    <w:tr2bl w:val="nil"/>
                  </w:tcBorders>
                  <w:vAlign w:val="center"/>
                </w:tcPr>
                <w:p>
                  <w:pPr>
                    <w:bidi w:val="0"/>
                    <w:jc w:val="center"/>
                    <w:rPr>
                      <w:rFonts w:hint="default"/>
                      <w:lang w:val="en-US" w:eastAsia="zh-CN"/>
                    </w:rPr>
                  </w:pPr>
                  <w:r>
                    <w:t>60</w:t>
                  </w:r>
                </w:p>
              </w:tc>
              <w:tc>
                <w:tcPr>
                  <w:tcW w:w="519" w:type="dxa"/>
                  <w:tcBorders>
                    <w:tl2br w:val="nil"/>
                    <w:tr2bl w:val="nil"/>
                  </w:tcBorders>
                  <w:vAlign w:val="center"/>
                </w:tcPr>
                <w:p>
                  <w:pPr>
                    <w:bidi w:val="0"/>
                    <w:jc w:val="center"/>
                    <w:rPr>
                      <w:rFonts w:hint="default"/>
                      <w:lang w:val="en-US" w:eastAsia="zh-CN"/>
                    </w:rPr>
                  </w:pPr>
                  <w:r>
                    <w:t>50</w:t>
                  </w:r>
                </w:p>
              </w:tc>
              <w:tc>
                <w:tcPr>
                  <w:tcW w:w="519" w:type="dxa"/>
                  <w:tcBorders>
                    <w:tl2br w:val="nil"/>
                    <w:tr2bl w:val="nil"/>
                  </w:tcBorders>
                  <w:vAlign w:val="center"/>
                </w:tcPr>
                <w:p>
                  <w:pPr>
                    <w:bidi w:val="0"/>
                    <w:jc w:val="center"/>
                    <w:rPr>
                      <w:rFonts w:hint="default"/>
                      <w:lang w:val="en-US" w:eastAsia="zh-CN"/>
                    </w:rPr>
                  </w:pPr>
                  <w:r>
                    <w:t>4.8</w:t>
                  </w:r>
                </w:p>
              </w:tc>
              <w:tc>
                <w:tcPr>
                  <w:tcW w:w="520" w:type="dxa"/>
                  <w:tcBorders>
                    <w:tl2br w:val="nil"/>
                    <w:tr2bl w:val="nil"/>
                  </w:tcBorders>
                  <w:vAlign w:val="center"/>
                </w:tcPr>
                <w:p>
                  <w:pPr>
                    <w:bidi w:val="0"/>
                    <w:jc w:val="center"/>
                    <w:rPr>
                      <w:rFonts w:hint="default"/>
                      <w:lang w:val="en-US" w:eastAsia="zh-CN"/>
                    </w:rPr>
                  </w:pPr>
                  <w:r>
                    <w:t>4.8</w:t>
                  </w:r>
                </w:p>
              </w:tc>
              <w:tc>
                <w:tcPr>
                  <w:tcW w:w="520" w:type="dxa"/>
                  <w:tcBorders>
                    <w:tl2br w:val="nil"/>
                    <w:tr2bl w:val="nil"/>
                  </w:tcBorders>
                  <w:vAlign w:val="center"/>
                </w:tcPr>
                <w:p>
                  <w:pPr>
                    <w:bidi w:val="0"/>
                    <w:jc w:val="center"/>
                    <w:rPr>
                      <w:rFonts w:hint="default"/>
                      <w:lang w:val="en-US" w:eastAsia="zh-CN"/>
                    </w:rPr>
                  </w:pPr>
                  <w:r>
                    <w:t>57.7</w:t>
                  </w:r>
                </w:p>
              </w:tc>
              <w:tc>
                <w:tcPr>
                  <w:tcW w:w="520" w:type="dxa"/>
                  <w:tcBorders>
                    <w:tl2br w:val="nil"/>
                    <w:tr2bl w:val="nil"/>
                  </w:tcBorders>
                  <w:vAlign w:val="center"/>
                </w:tcPr>
                <w:p>
                  <w:pPr>
                    <w:bidi w:val="0"/>
                    <w:jc w:val="center"/>
                    <w:rPr>
                      <w:rFonts w:hint="default"/>
                      <w:lang w:val="en-US" w:eastAsia="zh-CN"/>
                    </w:rPr>
                  </w:pPr>
                  <w:r>
                    <w:t>45.5</w:t>
                  </w:r>
                </w:p>
              </w:tc>
              <w:tc>
                <w:tcPr>
                  <w:tcW w:w="520" w:type="dxa"/>
                  <w:tcBorders>
                    <w:tl2br w:val="nil"/>
                    <w:tr2bl w:val="nil"/>
                  </w:tcBorders>
                  <w:vAlign w:val="center"/>
                </w:tcPr>
                <w:p>
                  <w:pPr>
                    <w:bidi w:val="0"/>
                    <w:jc w:val="center"/>
                    <w:rPr>
                      <w:rFonts w:hint="default"/>
                      <w:lang w:val="en-US" w:eastAsia="zh-CN"/>
                    </w:rPr>
                  </w:pPr>
                  <w:r>
                    <w:t>0.0</w:t>
                  </w:r>
                </w:p>
              </w:tc>
              <w:tc>
                <w:tcPr>
                  <w:tcW w:w="520" w:type="dxa"/>
                  <w:tcBorders>
                    <w:tl2br w:val="nil"/>
                    <w:tr2bl w:val="nil"/>
                  </w:tcBorders>
                  <w:vAlign w:val="center"/>
                </w:tcPr>
                <w:p>
                  <w:pPr>
                    <w:bidi w:val="0"/>
                    <w:jc w:val="center"/>
                    <w:rPr>
                      <w:rFonts w:hint="default"/>
                      <w:lang w:val="en-US" w:eastAsia="zh-CN"/>
                    </w:rPr>
                  </w:pPr>
                  <w:r>
                    <w:t>0.0</w:t>
                  </w:r>
                </w:p>
              </w:tc>
              <w:tc>
                <w:tcPr>
                  <w:tcW w:w="520" w:type="dxa"/>
                  <w:tcBorders>
                    <w:tl2br w:val="nil"/>
                    <w:tr2bl w:val="nil"/>
                  </w:tcBorders>
                  <w:vAlign w:val="center"/>
                </w:tcPr>
                <w:p>
                  <w:pPr>
                    <w:bidi w:val="0"/>
                    <w:jc w:val="center"/>
                    <w:rPr>
                      <w:rFonts w:hint="default"/>
                      <w:lang w:val="en-US" w:eastAsia="zh-CN"/>
                    </w:rPr>
                  </w:pPr>
                  <w:r>
                    <w:t>达标</w:t>
                  </w:r>
                </w:p>
              </w:tc>
              <w:tc>
                <w:tcPr>
                  <w:tcW w:w="520" w:type="dxa"/>
                  <w:tcBorders>
                    <w:tl2br w:val="nil"/>
                    <w:tr2bl w:val="nil"/>
                  </w:tcBorders>
                  <w:vAlign w:val="center"/>
                </w:tcPr>
                <w:p>
                  <w:pPr>
                    <w:bidi w:val="0"/>
                    <w:jc w:val="center"/>
                    <w:rPr>
                      <w:rFonts w:hint="default"/>
                      <w:lang w:val="en-US" w:eastAsia="zh-CN"/>
                    </w:rPr>
                  </w:pPr>
                  <w: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3" w:type="dxa"/>
                  <w:tcBorders>
                    <w:tl2br w:val="nil"/>
                    <w:tr2bl w:val="nil"/>
                  </w:tcBorders>
                  <w:vAlign w:val="center"/>
                </w:tcPr>
                <w:p>
                  <w:pPr>
                    <w:bidi w:val="0"/>
                    <w:jc w:val="center"/>
                    <w:rPr>
                      <w:rFonts w:hint="default"/>
                      <w:lang w:val="en-US" w:eastAsia="zh-CN"/>
                    </w:rPr>
                  </w:pPr>
                  <w:r>
                    <w:t>2</w:t>
                  </w:r>
                </w:p>
              </w:tc>
              <w:tc>
                <w:tcPr>
                  <w:tcW w:w="665" w:type="dxa"/>
                  <w:tcBorders>
                    <w:tl2br w:val="nil"/>
                    <w:tr2bl w:val="nil"/>
                  </w:tcBorders>
                  <w:vAlign w:val="center"/>
                </w:tcPr>
                <w:p>
                  <w:pPr>
                    <w:bidi w:val="0"/>
                    <w:jc w:val="center"/>
                    <w:rPr>
                      <w:rFonts w:hint="default"/>
                      <w:lang w:val="en-US" w:eastAsia="zh-CN"/>
                    </w:rPr>
                  </w:pPr>
                  <w:r>
                    <w:t>N1项目北侧居民点</w:t>
                  </w:r>
                </w:p>
              </w:tc>
              <w:tc>
                <w:tcPr>
                  <w:tcW w:w="519" w:type="dxa"/>
                  <w:tcBorders>
                    <w:tl2br w:val="nil"/>
                    <w:tr2bl w:val="nil"/>
                  </w:tcBorders>
                  <w:vAlign w:val="center"/>
                </w:tcPr>
                <w:p>
                  <w:pPr>
                    <w:bidi w:val="0"/>
                    <w:jc w:val="center"/>
                    <w:rPr>
                      <w:rFonts w:hint="default"/>
                      <w:lang w:val="en-US" w:eastAsia="zh-CN"/>
                    </w:rPr>
                  </w:pPr>
                  <w:r>
                    <w:t>57.0</w:t>
                  </w:r>
                </w:p>
              </w:tc>
              <w:tc>
                <w:tcPr>
                  <w:tcW w:w="519" w:type="dxa"/>
                  <w:tcBorders>
                    <w:tl2br w:val="nil"/>
                    <w:tr2bl w:val="nil"/>
                  </w:tcBorders>
                  <w:vAlign w:val="center"/>
                </w:tcPr>
                <w:p>
                  <w:pPr>
                    <w:bidi w:val="0"/>
                    <w:jc w:val="center"/>
                    <w:rPr>
                      <w:rFonts w:hint="default"/>
                      <w:lang w:val="en-US" w:eastAsia="zh-CN"/>
                    </w:rPr>
                  </w:pPr>
                  <w:r>
                    <w:t>46.0</w:t>
                  </w:r>
                </w:p>
              </w:tc>
              <w:tc>
                <w:tcPr>
                  <w:tcW w:w="519" w:type="dxa"/>
                  <w:tcBorders>
                    <w:tl2br w:val="nil"/>
                    <w:tr2bl w:val="nil"/>
                  </w:tcBorders>
                  <w:vAlign w:val="center"/>
                </w:tcPr>
                <w:p>
                  <w:pPr>
                    <w:bidi w:val="0"/>
                    <w:jc w:val="center"/>
                    <w:rPr>
                      <w:rFonts w:hint="default"/>
                      <w:lang w:val="en-US" w:eastAsia="zh-CN"/>
                    </w:rPr>
                  </w:pPr>
                  <w:r>
                    <w:t>57.0</w:t>
                  </w:r>
                </w:p>
              </w:tc>
              <w:tc>
                <w:tcPr>
                  <w:tcW w:w="519" w:type="dxa"/>
                  <w:tcBorders>
                    <w:tl2br w:val="nil"/>
                    <w:tr2bl w:val="nil"/>
                  </w:tcBorders>
                  <w:vAlign w:val="center"/>
                </w:tcPr>
                <w:p>
                  <w:pPr>
                    <w:bidi w:val="0"/>
                    <w:jc w:val="center"/>
                    <w:rPr>
                      <w:rFonts w:hint="default"/>
                      <w:lang w:val="en-US" w:eastAsia="zh-CN"/>
                    </w:rPr>
                  </w:pPr>
                  <w:r>
                    <w:t>46.0</w:t>
                  </w:r>
                </w:p>
              </w:tc>
              <w:tc>
                <w:tcPr>
                  <w:tcW w:w="519" w:type="dxa"/>
                  <w:tcBorders>
                    <w:tl2br w:val="nil"/>
                    <w:tr2bl w:val="nil"/>
                  </w:tcBorders>
                  <w:vAlign w:val="center"/>
                </w:tcPr>
                <w:p>
                  <w:pPr>
                    <w:bidi w:val="0"/>
                    <w:jc w:val="center"/>
                    <w:rPr>
                      <w:rFonts w:hint="default"/>
                      <w:lang w:val="en-US" w:eastAsia="zh-CN"/>
                    </w:rPr>
                  </w:pPr>
                  <w:r>
                    <w:t>60</w:t>
                  </w:r>
                </w:p>
              </w:tc>
              <w:tc>
                <w:tcPr>
                  <w:tcW w:w="519" w:type="dxa"/>
                  <w:tcBorders>
                    <w:tl2br w:val="nil"/>
                    <w:tr2bl w:val="nil"/>
                  </w:tcBorders>
                  <w:vAlign w:val="center"/>
                </w:tcPr>
                <w:p>
                  <w:pPr>
                    <w:bidi w:val="0"/>
                    <w:jc w:val="center"/>
                    <w:rPr>
                      <w:rFonts w:hint="default"/>
                      <w:lang w:val="en-US" w:eastAsia="zh-CN"/>
                    </w:rPr>
                  </w:pPr>
                  <w:r>
                    <w:t>50</w:t>
                  </w:r>
                </w:p>
              </w:tc>
              <w:tc>
                <w:tcPr>
                  <w:tcW w:w="519" w:type="dxa"/>
                  <w:tcBorders>
                    <w:tl2br w:val="nil"/>
                    <w:tr2bl w:val="nil"/>
                  </w:tcBorders>
                  <w:vAlign w:val="center"/>
                </w:tcPr>
                <w:p>
                  <w:pPr>
                    <w:bidi w:val="0"/>
                    <w:jc w:val="center"/>
                    <w:rPr>
                      <w:rFonts w:hint="default"/>
                      <w:lang w:val="en-US" w:eastAsia="zh-CN"/>
                    </w:rPr>
                  </w:pPr>
                  <w:r>
                    <w:t>22.9</w:t>
                  </w:r>
                </w:p>
              </w:tc>
              <w:tc>
                <w:tcPr>
                  <w:tcW w:w="520" w:type="dxa"/>
                  <w:tcBorders>
                    <w:tl2br w:val="nil"/>
                    <w:tr2bl w:val="nil"/>
                  </w:tcBorders>
                  <w:vAlign w:val="center"/>
                </w:tcPr>
                <w:p>
                  <w:pPr>
                    <w:bidi w:val="0"/>
                    <w:jc w:val="center"/>
                    <w:rPr>
                      <w:rFonts w:hint="default"/>
                      <w:lang w:val="en-US" w:eastAsia="zh-CN"/>
                    </w:rPr>
                  </w:pPr>
                  <w:r>
                    <w:t>22.9</w:t>
                  </w:r>
                </w:p>
              </w:tc>
              <w:tc>
                <w:tcPr>
                  <w:tcW w:w="520" w:type="dxa"/>
                  <w:tcBorders>
                    <w:tl2br w:val="nil"/>
                    <w:tr2bl w:val="nil"/>
                  </w:tcBorders>
                  <w:vAlign w:val="center"/>
                </w:tcPr>
                <w:p>
                  <w:pPr>
                    <w:bidi w:val="0"/>
                    <w:jc w:val="center"/>
                    <w:rPr>
                      <w:rFonts w:hint="default"/>
                      <w:lang w:val="en-US" w:eastAsia="zh-CN"/>
                    </w:rPr>
                  </w:pPr>
                  <w:r>
                    <w:t>57.0</w:t>
                  </w:r>
                </w:p>
              </w:tc>
              <w:tc>
                <w:tcPr>
                  <w:tcW w:w="520" w:type="dxa"/>
                  <w:tcBorders>
                    <w:tl2br w:val="nil"/>
                    <w:tr2bl w:val="nil"/>
                  </w:tcBorders>
                  <w:vAlign w:val="center"/>
                </w:tcPr>
                <w:p>
                  <w:pPr>
                    <w:bidi w:val="0"/>
                    <w:jc w:val="center"/>
                    <w:rPr>
                      <w:rFonts w:hint="default"/>
                      <w:lang w:val="en-US" w:eastAsia="zh-CN"/>
                    </w:rPr>
                  </w:pPr>
                  <w:r>
                    <w:t>46.0</w:t>
                  </w:r>
                </w:p>
              </w:tc>
              <w:tc>
                <w:tcPr>
                  <w:tcW w:w="520" w:type="dxa"/>
                  <w:tcBorders>
                    <w:tl2br w:val="nil"/>
                    <w:tr2bl w:val="nil"/>
                  </w:tcBorders>
                  <w:vAlign w:val="center"/>
                </w:tcPr>
                <w:p>
                  <w:pPr>
                    <w:bidi w:val="0"/>
                    <w:jc w:val="center"/>
                    <w:rPr>
                      <w:rFonts w:hint="default"/>
                      <w:lang w:val="en-US" w:eastAsia="zh-CN"/>
                    </w:rPr>
                  </w:pPr>
                  <w:r>
                    <w:t>0.0</w:t>
                  </w:r>
                </w:p>
              </w:tc>
              <w:tc>
                <w:tcPr>
                  <w:tcW w:w="520" w:type="dxa"/>
                  <w:tcBorders>
                    <w:tl2br w:val="nil"/>
                    <w:tr2bl w:val="nil"/>
                  </w:tcBorders>
                  <w:vAlign w:val="center"/>
                </w:tcPr>
                <w:p>
                  <w:pPr>
                    <w:bidi w:val="0"/>
                    <w:jc w:val="center"/>
                    <w:rPr>
                      <w:rFonts w:hint="default"/>
                      <w:lang w:val="en-US" w:eastAsia="zh-CN"/>
                    </w:rPr>
                  </w:pPr>
                  <w:r>
                    <w:t>0.0</w:t>
                  </w:r>
                </w:p>
              </w:tc>
              <w:tc>
                <w:tcPr>
                  <w:tcW w:w="520" w:type="dxa"/>
                  <w:tcBorders>
                    <w:tl2br w:val="nil"/>
                    <w:tr2bl w:val="nil"/>
                  </w:tcBorders>
                  <w:vAlign w:val="center"/>
                </w:tcPr>
                <w:p>
                  <w:pPr>
                    <w:bidi w:val="0"/>
                    <w:jc w:val="center"/>
                    <w:rPr>
                      <w:rFonts w:hint="default"/>
                      <w:lang w:val="en-US" w:eastAsia="zh-CN"/>
                    </w:rPr>
                  </w:pPr>
                  <w:r>
                    <w:t>达标</w:t>
                  </w:r>
                </w:p>
              </w:tc>
              <w:tc>
                <w:tcPr>
                  <w:tcW w:w="520" w:type="dxa"/>
                  <w:tcBorders>
                    <w:tl2br w:val="nil"/>
                    <w:tr2bl w:val="nil"/>
                  </w:tcBorders>
                  <w:vAlign w:val="center"/>
                </w:tcPr>
                <w:p>
                  <w:pPr>
                    <w:bidi w:val="0"/>
                    <w:jc w:val="center"/>
                    <w:rPr>
                      <w:rFonts w:hint="default"/>
                      <w:lang w:val="en-US" w:eastAsia="zh-CN"/>
                    </w:rPr>
                  </w:pPr>
                  <w: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3" w:type="dxa"/>
                  <w:tcBorders>
                    <w:tl2br w:val="nil"/>
                    <w:tr2bl w:val="nil"/>
                  </w:tcBorders>
                  <w:vAlign w:val="center"/>
                </w:tcPr>
                <w:p>
                  <w:pPr>
                    <w:bidi w:val="0"/>
                    <w:jc w:val="center"/>
                    <w:rPr>
                      <w:rFonts w:hint="default"/>
                      <w:lang w:val="en-US" w:eastAsia="zh-CN"/>
                    </w:rPr>
                  </w:pPr>
                  <w:r>
                    <w:t>3</w:t>
                  </w:r>
                </w:p>
              </w:tc>
              <w:tc>
                <w:tcPr>
                  <w:tcW w:w="665" w:type="dxa"/>
                  <w:tcBorders>
                    <w:tl2br w:val="nil"/>
                    <w:tr2bl w:val="nil"/>
                  </w:tcBorders>
                  <w:vAlign w:val="center"/>
                </w:tcPr>
                <w:p>
                  <w:pPr>
                    <w:bidi w:val="0"/>
                    <w:jc w:val="center"/>
                    <w:rPr>
                      <w:rFonts w:hint="default"/>
                      <w:lang w:val="en-US" w:eastAsia="zh-CN"/>
                    </w:rPr>
                  </w:pPr>
                  <w:r>
                    <w:t>N2项目南侧居民点</w:t>
                  </w:r>
                </w:p>
              </w:tc>
              <w:tc>
                <w:tcPr>
                  <w:tcW w:w="519" w:type="dxa"/>
                  <w:tcBorders>
                    <w:tl2br w:val="nil"/>
                    <w:tr2bl w:val="nil"/>
                  </w:tcBorders>
                  <w:vAlign w:val="center"/>
                </w:tcPr>
                <w:p>
                  <w:pPr>
                    <w:bidi w:val="0"/>
                    <w:jc w:val="center"/>
                    <w:rPr>
                      <w:rFonts w:hint="default"/>
                      <w:lang w:val="en-US" w:eastAsia="zh-CN"/>
                    </w:rPr>
                  </w:pPr>
                  <w:r>
                    <w:t>57.3</w:t>
                  </w:r>
                </w:p>
              </w:tc>
              <w:tc>
                <w:tcPr>
                  <w:tcW w:w="519" w:type="dxa"/>
                  <w:tcBorders>
                    <w:tl2br w:val="nil"/>
                    <w:tr2bl w:val="nil"/>
                  </w:tcBorders>
                  <w:vAlign w:val="center"/>
                </w:tcPr>
                <w:p>
                  <w:pPr>
                    <w:bidi w:val="0"/>
                    <w:jc w:val="center"/>
                    <w:rPr>
                      <w:rFonts w:hint="default"/>
                      <w:lang w:val="en-US" w:eastAsia="zh-CN"/>
                    </w:rPr>
                  </w:pPr>
                  <w:r>
                    <w:t>45.7</w:t>
                  </w:r>
                </w:p>
              </w:tc>
              <w:tc>
                <w:tcPr>
                  <w:tcW w:w="519" w:type="dxa"/>
                  <w:tcBorders>
                    <w:tl2br w:val="nil"/>
                    <w:tr2bl w:val="nil"/>
                  </w:tcBorders>
                  <w:vAlign w:val="center"/>
                </w:tcPr>
                <w:p>
                  <w:pPr>
                    <w:bidi w:val="0"/>
                    <w:jc w:val="center"/>
                    <w:rPr>
                      <w:rFonts w:hint="default"/>
                      <w:lang w:val="en-US" w:eastAsia="zh-CN"/>
                    </w:rPr>
                  </w:pPr>
                  <w:r>
                    <w:t>57.3</w:t>
                  </w:r>
                </w:p>
              </w:tc>
              <w:tc>
                <w:tcPr>
                  <w:tcW w:w="519" w:type="dxa"/>
                  <w:tcBorders>
                    <w:tl2br w:val="nil"/>
                    <w:tr2bl w:val="nil"/>
                  </w:tcBorders>
                  <w:vAlign w:val="center"/>
                </w:tcPr>
                <w:p>
                  <w:pPr>
                    <w:bidi w:val="0"/>
                    <w:jc w:val="center"/>
                    <w:rPr>
                      <w:rFonts w:hint="default"/>
                      <w:lang w:val="en-US" w:eastAsia="zh-CN"/>
                    </w:rPr>
                  </w:pPr>
                  <w:r>
                    <w:t>45.7</w:t>
                  </w:r>
                </w:p>
              </w:tc>
              <w:tc>
                <w:tcPr>
                  <w:tcW w:w="519" w:type="dxa"/>
                  <w:tcBorders>
                    <w:tl2br w:val="nil"/>
                    <w:tr2bl w:val="nil"/>
                  </w:tcBorders>
                  <w:vAlign w:val="center"/>
                </w:tcPr>
                <w:p>
                  <w:pPr>
                    <w:bidi w:val="0"/>
                    <w:jc w:val="center"/>
                    <w:rPr>
                      <w:rFonts w:hint="default"/>
                      <w:lang w:val="en-US" w:eastAsia="zh-CN"/>
                    </w:rPr>
                  </w:pPr>
                  <w:r>
                    <w:t>60</w:t>
                  </w:r>
                </w:p>
              </w:tc>
              <w:tc>
                <w:tcPr>
                  <w:tcW w:w="519" w:type="dxa"/>
                  <w:tcBorders>
                    <w:tl2br w:val="nil"/>
                    <w:tr2bl w:val="nil"/>
                  </w:tcBorders>
                  <w:vAlign w:val="center"/>
                </w:tcPr>
                <w:p>
                  <w:pPr>
                    <w:bidi w:val="0"/>
                    <w:jc w:val="center"/>
                    <w:rPr>
                      <w:rFonts w:hint="default"/>
                      <w:lang w:val="en-US" w:eastAsia="zh-CN"/>
                    </w:rPr>
                  </w:pPr>
                  <w:r>
                    <w:t>50</w:t>
                  </w:r>
                </w:p>
              </w:tc>
              <w:tc>
                <w:tcPr>
                  <w:tcW w:w="519" w:type="dxa"/>
                  <w:tcBorders>
                    <w:tl2br w:val="nil"/>
                    <w:tr2bl w:val="nil"/>
                  </w:tcBorders>
                  <w:vAlign w:val="center"/>
                </w:tcPr>
                <w:p>
                  <w:pPr>
                    <w:bidi w:val="0"/>
                    <w:jc w:val="center"/>
                    <w:rPr>
                      <w:rFonts w:hint="default"/>
                      <w:lang w:val="en-US" w:eastAsia="zh-CN"/>
                    </w:rPr>
                  </w:pPr>
                  <w:r>
                    <w:t>5.7</w:t>
                  </w:r>
                </w:p>
              </w:tc>
              <w:tc>
                <w:tcPr>
                  <w:tcW w:w="520" w:type="dxa"/>
                  <w:tcBorders>
                    <w:tl2br w:val="nil"/>
                    <w:tr2bl w:val="nil"/>
                  </w:tcBorders>
                  <w:vAlign w:val="center"/>
                </w:tcPr>
                <w:p>
                  <w:pPr>
                    <w:bidi w:val="0"/>
                    <w:jc w:val="center"/>
                    <w:rPr>
                      <w:rFonts w:hint="default"/>
                      <w:lang w:val="en-US" w:eastAsia="zh-CN"/>
                    </w:rPr>
                  </w:pPr>
                  <w:r>
                    <w:t>5.7</w:t>
                  </w:r>
                </w:p>
              </w:tc>
              <w:tc>
                <w:tcPr>
                  <w:tcW w:w="520" w:type="dxa"/>
                  <w:tcBorders>
                    <w:tl2br w:val="nil"/>
                    <w:tr2bl w:val="nil"/>
                  </w:tcBorders>
                  <w:vAlign w:val="center"/>
                </w:tcPr>
                <w:p>
                  <w:pPr>
                    <w:bidi w:val="0"/>
                    <w:jc w:val="center"/>
                    <w:rPr>
                      <w:rFonts w:hint="default"/>
                      <w:lang w:val="en-US" w:eastAsia="zh-CN"/>
                    </w:rPr>
                  </w:pPr>
                  <w:r>
                    <w:t>57.3</w:t>
                  </w:r>
                </w:p>
              </w:tc>
              <w:tc>
                <w:tcPr>
                  <w:tcW w:w="520" w:type="dxa"/>
                  <w:tcBorders>
                    <w:tl2br w:val="nil"/>
                    <w:tr2bl w:val="nil"/>
                  </w:tcBorders>
                  <w:vAlign w:val="center"/>
                </w:tcPr>
                <w:p>
                  <w:pPr>
                    <w:bidi w:val="0"/>
                    <w:jc w:val="center"/>
                    <w:rPr>
                      <w:rFonts w:hint="default"/>
                      <w:lang w:val="en-US" w:eastAsia="zh-CN"/>
                    </w:rPr>
                  </w:pPr>
                  <w:r>
                    <w:t>45.7</w:t>
                  </w:r>
                </w:p>
              </w:tc>
              <w:tc>
                <w:tcPr>
                  <w:tcW w:w="520" w:type="dxa"/>
                  <w:tcBorders>
                    <w:tl2br w:val="nil"/>
                    <w:tr2bl w:val="nil"/>
                  </w:tcBorders>
                  <w:vAlign w:val="center"/>
                </w:tcPr>
                <w:p>
                  <w:pPr>
                    <w:bidi w:val="0"/>
                    <w:jc w:val="center"/>
                    <w:rPr>
                      <w:rFonts w:hint="default"/>
                      <w:lang w:val="en-US" w:eastAsia="zh-CN"/>
                    </w:rPr>
                  </w:pPr>
                  <w:r>
                    <w:t>0.0</w:t>
                  </w:r>
                </w:p>
              </w:tc>
              <w:tc>
                <w:tcPr>
                  <w:tcW w:w="520" w:type="dxa"/>
                  <w:tcBorders>
                    <w:tl2br w:val="nil"/>
                    <w:tr2bl w:val="nil"/>
                  </w:tcBorders>
                  <w:vAlign w:val="center"/>
                </w:tcPr>
                <w:p>
                  <w:pPr>
                    <w:bidi w:val="0"/>
                    <w:jc w:val="center"/>
                    <w:rPr>
                      <w:rFonts w:hint="default"/>
                      <w:lang w:val="en-US" w:eastAsia="zh-CN"/>
                    </w:rPr>
                  </w:pPr>
                  <w:r>
                    <w:t>0.0</w:t>
                  </w:r>
                </w:p>
              </w:tc>
              <w:tc>
                <w:tcPr>
                  <w:tcW w:w="520" w:type="dxa"/>
                  <w:tcBorders>
                    <w:tl2br w:val="nil"/>
                    <w:tr2bl w:val="nil"/>
                  </w:tcBorders>
                  <w:vAlign w:val="center"/>
                </w:tcPr>
                <w:p>
                  <w:pPr>
                    <w:bidi w:val="0"/>
                    <w:jc w:val="center"/>
                    <w:rPr>
                      <w:rFonts w:hint="default"/>
                      <w:lang w:val="en-US" w:eastAsia="zh-CN"/>
                    </w:rPr>
                  </w:pPr>
                  <w:r>
                    <w:t>达标</w:t>
                  </w:r>
                </w:p>
              </w:tc>
              <w:tc>
                <w:tcPr>
                  <w:tcW w:w="520" w:type="dxa"/>
                  <w:tcBorders>
                    <w:tl2br w:val="nil"/>
                    <w:tr2bl w:val="nil"/>
                  </w:tcBorders>
                  <w:vAlign w:val="center"/>
                </w:tcPr>
                <w:p>
                  <w:pPr>
                    <w:bidi w:val="0"/>
                    <w:jc w:val="center"/>
                    <w:rPr>
                      <w:rFonts w:hint="default"/>
                      <w:lang w:val="en-US" w:eastAsia="zh-CN"/>
                    </w:rPr>
                  </w:pPr>
                  <w:r>
                    <w:t>达标</w:t>
                  </w:r>
                </w:p>
              </w:tc>
            </w:tr>
          </w:tbl>
          <w:p>
            <w:pPr>
              <w:spacing w:line="240" w:lineRule="auto"/>
              <w:jc w:val="center"/>
              <w:rPr>
                <w:rFonts w:hint="eastAsia" w:eastAsia="宋体"/>
                <w:sz w:val="24"/>
                <w:lang w:eastAsia="zh-CN"/>
              </w:rPr>
            </w:pPr>
            <w:r>
              <w:rPr>
                <w:rFonts w:hint="eastAsia" w:eastAsia="宋体"/>
                <w:sz w:val="24"/>
                <w:lang w:eastAsia="zh-CN"/>
              </w:rPr>
              <w:drawing>
                <wp:inline distT="0" distB="0" distL="114300" distR="114300">
                  <wp:extent cx="4568825" cy="3624580"/>
                  <wp:effectExtent l="0" t="0" r="3175" b="13970"/>
                  <wp:docPr id="11" name="图片 11" descr="873177e1cf5fd6c8c2a9852a4c9e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73177e1cf5fd6c8c2a9852a4c9e555"/>
                          <pic:cNvPicPr>
                            <a:picLocks noChangeAspect="1"/>
                          </pic:cNvPicPr>
                        </pic:nvPicPr>
                        <pic:blipFill>
                          <a:blip r:embed="rId22"/>
                          <a:stretch>
                            <a:fillRect/>
                          </a:stretch>
                        </pic:blipFill>
                        <pic:spPr>
                          <a:xfrm>
                            <a:off x="0" y="0"/>
                            <a:ext cx="4568825" cy="3624580"/>
                          </a:xfrm>
                          <a:prstGeom prst="rect">
                            <a:avLst/>
                          </a:prstGeom>
                        </pic:spPr>
                      </pic:pic>
                    </a:graphicData>
                  </a:graphic>
                </wp:inline>
              </w:drawing>
            </w:r>
          </w:p>
          <w:p>
            <w:pPr>
              <w:spacing w:line="240" w:lineRule="auto"/>
              <w:ind w:firstLine="422" w:firstLineChars="200"/>
              <w:jc w:val="center"/>
              <w:rPr>
                <w:rFonts w:hint="default" w:eastAsia="宋体"/>
                <w:b/>
                <w:bCs/>
                <w:sz w:val="21"/>
                <w:szCs w:val="21"/>
                <w:lang w:val="en-US" w:eastAsia="zh-CN"/>
              </w:rPr>
            </w:pPr>
            <w:r>
              <w:rPr>
                <w:rFonts w:hint="eastAsia"/>
                <w:b/>
                <w:bCs/>
                <w:sz w:val="21"/>
                <w:szCs w:val="21"/>
                <w:lang w:val="en-US" w:eastAsia="zh-CN"/>
              </w:rPr>
              <w:t>图4-1  噪声预测结果图</w:t>
            </w:r>
          </w:p>
          <w:p>
            <w:pPr>
              <w:spacing w:line="360" w:lineRule="auto"/>
              <w:ind w:firstLine="480" w:firstLineChars="200"/>
              <w:rPr>
                <w:rFonts w:hint="eastAsia"/>
                <w:sz w:val="24"/>
              </w:rPr>
            </w:pPr>
            <w:r>
              <w:rPr>
                <w:sz w:val="24"/>
              </w:rPr>
              <w:t>根据预测结果</w:t>
            </w:r>
            <w:r>
              <w:rPr>
                <w:rFonts w:hint="eastAsia"/>
                <w:sz w:val="24"/>
                <w:lang w:val="en-US" w:eastAsia="zh-CN"/>
              </w:rPr>
              <w:t>以及上图</w:t>
            </w:r>
            <w:r>
              <w:rPr>
                <w:sz w:val="24"/>
              </w:rPr>
              <w:t>可以看出，项目设备噪声经采取各种降噪措施和距离衰减以后，则项目噪声排放可达到《声环境质量标准》（GB3096-2008）中的2类标准要求</w:t>
            </w:r>
            <w:r>
              <w:rPr>
                <w:rFonts w:hint="eastAsia"/>
                <w:sz w:val="24"/>
                <w:lang w:eastAsia="zh-CN"/>
              </w:rPr>
              <w:t>（</w:t>
            </w:r>
            <w:r>
              <w:rPr>
                <w:rFonts w:hint="eastAsia"/>
                <w:sz w:val="24"/>
                <w:lang w:val="en-US" w:eastAsia="zh-CN"/>
              </w:rPr>
              <w:t>厂界西侧满足4a类</w:t>
            </w:r>
            <w:r>
              <w:rPr>
                <w:rFonts w:hint="eastAsia"/>
                <w:sz w:val="24"/>
                <w:lang w:eastAsia="zh-CN"/>
              </w:rPr>
              <w:t>）</w:t>
            </w:r>
            <w:r>
              <w:rPr>
                <w:sz w:val="24"/>
              </w:rPr>
              <w:t>。</w:t>
            </w:r>
            <w:r>
              <w:rPr>
                <w:rFonts w:hint="eastAsia"/>
                <w:sz w:val="24"/>
              </w:rPr>
              <w:t>对周边敏感点声环境质量影响较小。</w:t>
            </w:r>
          </w:p>
          <w:p>
            <w:pPr>
              <w:bidi w:val="0"/>
              <w:spacing w:line="360" w:lineRule="auto"/>
              <w:ind w:firstLine="480" w:firstLineChars="200"/>
              <w:rPr>
                <w:rFonts w:hint="default"/>
                <w:sz w:val="24"/>
                <w:szCs w:val="24"/>
                <w:u w:val="single"/>
                <w:lang w:val="en-US" w:eastAsia="zh-CN"/>
              </w:rPr>
            </w:pPr>
            <w:r>
              <w:rPr>
                <w:rFonts w:hint="eastAsia"/>
                <w:sz w:val="24"/>
                <w:szCs w:val="24"/>
                <w:u w:val="single"/>
                <w:lang w:val="en-US" w:eastAsia="zh-CN"/>
              </w:rPr>
              <w:t>南侧的知源学校</w:t>
            </w:r>
            <w:r>
              <w:rPr>
                <w:rFonts w:hint="eastAsia" w:ascii="Times New Roman" w:hAnsi="Times New Roman" w:eastAsia="宋体" w:cs="Times New Roman"/>
                <w:sz w:val="24"/>
                <w:szCs w:val="24"/>
                <w:u w:val="single"/>
                <w:lang w:val="en-US" w:eastAsia="zh-CN"/>
              </w:rPr>
              <w:t>和东南侧的袁家铺镇友爱村居民（一）距离噪声源较远，且有月子中心大楼及围墙的阻隔；北侧的袁家铺镇友爱村居民（二）与本项目之间有山坡阻隔，因此，本项目对居民和学校的噪声影响较小。</w:t>
            </w:r>
          </w:p>
          <w:p>
            <w:pPr>
              <w:bidi w:val="0"/>
              <w:spacing w:line="360" w:lineRule="auto"/>
              <w:ind w:firstLine="482" w:firstLineChars="200"/>
              <w:rPr>
                <w:rFonts w:hint="eastAsia"/>
                <w:b/>
                <w:bCs/>
                <w:sz w:val="24"/>
                <w:szCs w:val="24"/>
                <w:lang w:val="en-US" w:eastAsia="zh-CN"/>
              </w:rPr>
            </w:pPr>
            <w:r>
              <w:rPr>
                <w:rFonts w:hint="eastAsia"/>
                <w:b/>
                <w:bCs/>
                <w:sz w:val="24"/>
                <w:szCs w:val="24"/>
                <w:lang w:val="en-US" w:eastAsia="zh-CN"/>
              </w:rPr>
              <w:t>2、噪声污染防治措施</w:t>
            </w:r>
          </w:p>
          <w:p>
            <w:pPr>
              <w:spacing w:line="360" w:lineRule="auto"/>
              <w:ind w:firstLine="480" w:firstLineChars="200"/>
              <w:rPr>
                <w:sz w:val="24"/>
              </w:rPr>
            </w:pPr>
            <w:r>
              <w:rPr>
                <w:sz w:val="24"/>
              </w:rPr>
              <w:t>本项目建成后主要噪声源主要包括</w:t>
            </w:r>
            <w:r>
              <w:rPr>
                <w:rFonts w:hint="default"/>
                <w:sz w:val="24"/>
              </w:rPr>
              <w:t>水泵、中央空调冷却塔</w:t>
            </w:r>
            <w:r>
              <w:rPr>
                <w:rFonts w:hint="default"/>
                <w:sz w:val="24"/>
                <w:lang w:eastAsia="zh-CN"/>
              </w:rPr>
              <w:t>、</w:t>
            </w:r>
            <w:r>
              <w:rPr>
                <w:sz w:val="24"/>
              </w:rPr>
              <w:t>鼓风机。</w:t>
            </w:r>
          </w:p>
          <w:p>
            <w:pPr>
              <w:spacing w:line="360" w:lineRule="auto"/>
              <w:ind w:firstLine="480" w:firstLineChars="200"/>
              <w:rPr>
                <w:rFonts w:hint="eastAsia" w:eastAsia="宋体"/>
                <w:sz w:val="24"/>
                <w:lang w:val="en-US" w:eastAsia="zh-CN"/>
              </w:rPr>
            </w:pPr>
            <w:r>
              <w:rPr>
                <w:sz w:val="24"/>
              </w:rPr>
              <w:t>①对于</w:t>
            </w:r>
            <w:r>
              <w:rPr>
                <w:rFonts w:hint="default"/>
                <w:sz w:val="24"/>
              </w:rPr>
              <w:t>中央空调冷却塔</w:t>
            </w:r>
            <w:r>
              <w:rPr>
                <w:sz w:val="24"/>
              </w:rPr>
              <w:t>等机械设备运行噪声，在购买时选择低噪声设备，</w:t>
            </w:r>
            <w:r>
              <w:rPr>
                <w:rFonts w:hint="eastAsia"/>
                <w:sz w:val="24"/>
              </w:rPr>
              <w:t>在一定程度上</w:t>
            </w:r>
            <w:r>
              <w:rPr>
                <w:sz w:val="24"/>
              </w:rPr>
              <w:t>减少</w:t>
            </w:r>
            <w:r>
              <w:rPr>
                <w:rFonts w:hint="eastAsia"/>
                <w:sz w:val="24"/>
              </w:rPr>
              <w:t>了</w:t>
            </w:r>
            <w:r>
              <w:rPr>
                <w:sz w:val="24"/>
              </w:rPr>
              <w:t>运转时的噪声强度。</w:t>
            </w:r>
          </w:p>
          <w:p>
            <w:pPr>
              <w:spacing w:line="360" w:lineRule="auto"/>
              <w:ind w:firstLine="480" w:firstLineChars="200"/>
              <w:rPr>
                <w:rFonts w:ascii="Times New Roman" w:hAnsi="Times New Roman" w:eastAsia="宋体" w:cs="Times New Roman"/>
                <w:sz w:val="24"/>
              </w:rPr>
            </w:pPr>
            <w:r>
              <w:rPr>
                <w:sz w:val="24"/>
              </w:rPr>
              <w:t>②水泵、风机应安装在专用设备房内，水泵与管道连接处采用软连接形式，风机</w:t>
            </w:r>
            <w:r>
              <w:rPr>
                <w:rFonts w:ascii="Times New Roman" w:hAnsi="Times New Roman" w:eastAsia="宋体" w:cs="Times New Roman"/>
                <w:sz w:val="24"/>
              </w:rPr>
              <w:t>排放口处安装消声器。</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③增强绿化并合理管制，如车辆进出禁鸣、限速等标识牌。</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lang w:val="en-US" w:eastAsia="zh-CN"/>
              </w:rPr>
              <w:t>④</w:t>
            </w:r>
            <w:r>
              <w:rPr>
                <w:rFonts w:ascii="Times New Roman" w:hAnsi="Times New Roman" w:eastAsia="宋体" w:cs="Times New Roman"/>
                <w:sz w:val="24"/>
              </w:rPr>
              <w:t>在建筑结构设计时，按建筑隔音设计规范对噪声源采取隔声和消声措施；</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在</w:t>
            </w:r>
            <w:r>
              <w:rPr>
                <w:rFonts w:ascii="Times New Roman" w:hAnsi="Times New Roman" w:eastAsia="宋体" w:cs="Times New Roman"/>
                <w:sz w:val="24"/>
              </w:rPr>
              <w:t>采取上述噪声措施后对周边环境影响较小。</w:t>
            </w:r>
          </w:p>
          <w:p>
            <w:pPr>
              <w:numPr>
                <w:ilvl w:val="0"/>
                <w:numId w:val="10"/>
              </w:numPr>
              <w:spacing w:line="360" w:lineRule="auto"/>
              <w:ind w:left="-60" w:leftChars="0" w:firstLine="482" w:firstLineChars="200"/>
              <w:rPr>
                <w:rFonts w:hint="eastAsia"/>
                <w:b/>
                <w:bCs/>
                <w:sz w:val="24"/>
                <w:u w:val="none"/>
                <w:lang w:val="en-US" w:eastAsia="zh-CN"/>
              </w:rPr>
            </w:pPr>
            <w:r>
              <w:rPr>
                <w:rFonts w:hint="eastAsia"/>
                <w:b/>
                <w:bCs/>
                <w:sz w:val="24"/>
                <w:u w:val="none"/>
                <w:lang w:val="en-US" w:eastAsia="zh-CN"/>
              </w:rPr>
              <w:t>监测计划</w:t>
            </w:r>
          </w:p>
          <w:p>
            <w:pPr>
              <w:numPr>
                <w:ilvl w:val="0"/>
                <w:numId w:val="0"/>
              </w:numPr>
              <w:bidi w:val="0"/>
              <w:spacing w:line="240" w:lineRule="auto"/>
              <w:ind w:leftChars="0"/>
              <w:jc w:val="center"/>
              <w:rPr>
                <w:rFonts w:hint="default"/>
                <w:b/>
                <w:bCs/>
                <w:sz w:val="21"/>
                <w:szCs w:val="21"/>
                <w:lang w:val="en-US" w:eastAsia="zh-CN"/>
              </w:rPr>
            </w:pPr>
            <w:r>
              <w:rPr>
                <w:rFonts w:hint="eastAsia"/>
                <w:b/>
                <w:bCs/>
                <w:sz w:val="21"/>
                <w:szCs w:val="21"/>
                <w:lang w:val="en-US" w:eastAsia="zh-CN"/>
              </w:rPr>
              <w:t>表4-15  运营期环境噪声监测一览表</w:t>
            </w:r>
          </w:p>
          <w:tbl>
            <w:tblPr>
              <w:tblStyle w:val="26"/>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70"/>
              <w:gridCol w:w="2068"/>
              <w:gridCol w:w="1750"/>
              <w:gridCol w:w="23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50" w:type="pct"/>
                  <w:tcBorders>
                    <w:tl2br w:val="nil"/>
                    <w:tr2bl w:val="nil"/>
                  </w:tcBorders>
                  <w:vAlign w:val="center"/>
                </w:tcPr>
                <w:p>
                  <w:pPr>
                    <w:numPr>
                      <w:ilvl w:val="0"/>
                      <w:numId w:val="0"/>
                    </w:numPr>
                    <w:bidi w:val="0"/>
                    <w:spacing w:line="240" w:lineRule="auto"/>
                    <w:jc w:val="center"/>
                    <w:rPr>
                      <w:rFonts w:hint="default"/>
                      <w:b/>
                      <w:bCs/>
                      <w:sz w:val="21"/>
                      <w:szCs w:val="21"/>
                      <w:vertAlign w:val="baseline"/>
                      <w:lang w:val="en-US" w:eastAsia="zh-CN"/>
                    </w:rPr>
                  </w:pPr>
                  <w:r>
                    <w:rPr>
                      <w:rFonts w:hint="eastAsia"/>
                      <w:b/>
                      <w:bCs/>
                      <w:sz w:val="21"/>
                      <w:szCs w:val="21"/>
                      <w:vertAlign w:val="baseline"/>
                      <w:lang w:val="en-US" w:eastAsia="zh-CN"/>
                    </w:rPr>
                    <w:t>监测点位</w:t>
                  </w:r>
                </w:p>
              </w:tc>
              <w:tc>
                <w:tcPr>
                  <w:tcW w:w="1249" w:type="pct"/>
                  <w:tcBorders>
                    <w:tl2br w:val="nil"/>
                    <w:tr2bl w:val="nil"/>
                  </w:tcBorders>
                  <w:vAlign w:val="center"/>
                </w:tcPr>
                <w:p>
                  <w:pPr>
                    <w:numPr>
                      <w:ilvl w:val="0"/>
                      <w:numId w:val="0"/>
                    </w:numPr>
                    <w:bidi w:val="0"/>
                    <w:spacing w:line="240" w:lineRule="auto"/>
                    <w:jc w:val="center"/>
                    <w:rPr>
                      <w:rFonts w:hint="default"/>
                      <w:b/>
                      <w:bCs/>
                      <w:sz w:val="21"/>
                      <w:szCs w:val="21"/>
                      <w:vertAlign w:val="baseline"/>
                      <w:lang w:val="en-US" w:eastAsia="zh-CN"/>
                    </w:rPr>
                  </w:pPr>
                  <w:r>
                    <w:rPr>
                      <w:rFonts w:hint="eastAsia"/>
                      <w:b/>
                      <w:bCs/>
                      <w:sz w:val="21"/>
                      <w:szCs w:val="21"/>
                      <w:vertAlign w:val="baseline"/>
                      <w:lang w:val="en-US" w:eastAsia="zh-CN"/>
                    </w:rPr>
                    <w:t>监测项目</w:t>
                  </w:r>
                </w:p>
              </w:tc>
              <w:tc>
                <w:tcPr>
                  <w:tcW w:w="1057" w:type="pct"/>
                  <w:tcBorders>
                    <w:tl2br w:val="nil"/>
                    <w:tr2bl w:val="nil"/>
                  </w:tcBorders>
                  <w:vAlign w:val="center"/>
                </w:tcPr>
                <w:p>
                  <w:pPr>
                    <w:numPr>
                      <w:ilvl w:val="0"/>
                      <w:numId w:val="0"/>
                    </w:numPr>
                    <w:bidi w:val="0"/>
                    <w:spacing w:line="240" w:lineRule="auto"/>
                    <w:jc w:val="center"/>
                    <w:rPr>
                      <w:rFonts w:hint="default"/>
                      <w:b/>
                      <w:bCs/>
                      <w:sz w:val="21"/>
                      <w:szCs w:val="21"/>
                      <w:vertAlign w:val="baseline"/>
                      <w:lang w:val="en-US" w:eastAsia="zh-CN"/>
                    </w:rPr>
                  </w:pPr>
                  <w:r>
                    <w:rPr>
                      <w:rFonts w:hint="eastAsia"/>
                      <w:b/>
                      <w:bCs/>
                      <w:sz w:val="21"/>
                      <w:szCs w:val="21"/>
                      <w:vertAlign w:val="baseline"/>
                      <w:lang w:val="en-US" w:eastAsia="zh-CN"/>
                    </w:rPr>
                    <w:t>监测频次</w:t>
                  </w:r>
                </w:p>
              </w:tc>
              <w:tc>
                <w:tcPr>
                  <w:tcW w:w="1443" w:type="pct"/>
                  <w:tcBorders>
                    <w:tl2br w:val="nil"/>
                    <w:tr2bl w:val="nil"/>
                  </w:tcBorders>
                  <w:vAlign w:val="center"/>
                </w:tcPr>
                <w:p>
                  <w:pPr>
                    <w:numPr>
                      <w:ilvl w:val="0"/>
                      <w:numId w:val="0"/>
                    </w:numPr>
                    <w:bidi w:val="0"/>
                    <w:spacing w:line="240" w:lineRule="auto"/>
                    <w:jc w:val="center"/>
                    <w:rPr>
                      <w:rFonts w:hint="default"/>
                      <w:b/>
                      <w:bCs/>
                      <w:sz w:val="21"/>
                      <w:szCs w:val="21"/>
                      <w:vertAlign w:val="baseline"/>
                      <w:lang w:val="en-US" w:eastAsia="zh-CN"/>
                    </w:rPr>
                  </w:pPr>
                  <w:r>
                    <w:rPr>
                      <w:rFonts w:hint="eastAsia"/>
                      <w:b/>
                      <w:bCs/>
                      <w:sz w:val="21"/>
                      <w:szCs w:val="21"/>
                      <w:vertAlign w:val="baseline"/>
                      <w:lang w:val="en-US" w:eastAsia="zh-CN"/>
                    </w:rPr>
                    <w:t>参考标准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50" w:type="pct"/>
                  <w:tcBorders>
                    <w:tl2br w:val="nil"/>
                    <w:tr2bl w:val="nil"/>
                  </w:tcBorders>
                  <w:vAlign w:val="center"/>
                </w:tcPr>
                <w:p>
                  <w:pPr>
                    <w:spacing w:line="240" w:lineRule="auto"/>
                    <w:jc w:val="center"/>
                    <w:rPr>
                      <w:rFonts w:hint="eastAsia"/>
                      <w:sz w:val="21"/>
                      <w:szCs w:val="21"/>
                      <w:vertAlign w:val="baseline"/>
                      <w:lang w:val="en-US" w:eastAsia="zh-CN"/>
                    </w:rPr>
                  </w:pPr>
                  <w:r>
                    <w:rPr>
                      <w:rFonts w:hint="eastAsia"/>
                      <w:sz w:val="21"/>
                      <w:szCs w:val="21"/>
                    </w:rPr>
                    <w:t>厂界东侧外1m处</w:t>
                  </w:r>
                </w:p>
              </w:tc>
              <w:tc>
                <w:tcPr>
                  <w:tcW w:w="1249" w:type="pct"/>
                  <w:vMerge w:val="restart"/>
                  <w:tcBorders>
                    <w:tl2br w:val="nil"/>
                    <w:tr2bl w:val="nil"/>
                  </w:tcBorders>
                  <w:vAlign w:val="center"/>
                </w:tcPr>
                <w:p>
                  <w:pPr>
                    <w:spacing w:line="240" w:lineRule="auto"/>
                    <w:jc w:val="center"/>
                    <w:rPr>
                      <w:rFonts w:hint="eastAsia"/>
                      <w:sz w:val="21"/>
                      <w:szCs w:val="21"/>
                      <w:vertAlign w:val="baseline"/>
                      <w:lang w:val="en-US" w:eastAsia="zh-CN"/>
                    </w:rPr>
                  </w:pPr>
                  <w:r>
                    <w:rPr>
                      <w:rFonts w:hint="eastAsia"/>
                      <w:sz w:val="21"/>
                      <w:szCs w:val="21"/>
                    </w:rPr>
                    <w:t>等效A声级</w:t>
                  </w:r>
                </w:p>
              </w:tc>
              <w:tc>
                <w:tcPr>
                  <w:tcW w:w="1057" w:type="pct"/>
                  <w:vMerge w:val="restart"/>
                  <w:tcBorders>
                    <w:tl2br w:val="nil"/>
                    <w:tr2bl w:val="nil"/>
                  </w:tcBorders>
                  <w:vAlign w:val="center"/>
                </w:tcPr>
                <w:p>
                  <w:pPr>
                    <w:spacing w:line="240" w:lineRule="auto"/>
                    <w:jc w:val="center"/>
                    <w:rPr>
                      <w:rFonts w:hint="eastAsia" w:eastAsia="宋体"/>
                      <w:sz w:val="21"/>
                      <w:szCs w:val="21"/>
                      <w:vertAlign w:val="baseline"/>
                      <w:lang w:val="en-US" w:eastAsia="zh-CN"/>
                    </w:rPr>
                  </w:pPr>
                  <w:r>
                    <w:rPr>
                      <w:rFonts w:hint="eastAsia"/>
                      <w:sz w:val="21"/>
                      <w:szCs w:val="21"/>
                    </w:rPr>
                    <w:t>一次/</w:t>
                  </w:r>
                  <w:r>
                    <w:rPr>
                      <w:rFonts w:hint="eastAsia"/>
                      <w:sz w:val="21"/>
                      <w:szCs w:val="21"/>
                      <w:lang w:val="en-US" w:eastAsia="zh-CN"/>
                    </w:rPr>
                    <w:t>季度</w:t>
                  </w:r>
                </w:p>
              </w:tc>
              <w:tc>
                <w:tcPr>
                  <w:tcW w:w="1443" w:type="pct"/>
                  <w:vMerge w:val="restart"/>
                  <w:tcBorders>
                    <w:tl2br w:val="nil"/>
                    <w:tr2bl w:val="nil"/>
                  </w:tcBorders>
                  <w:vAlign w:val="center"/>
                </w:tcPr>
                <w:p>
                  <w:pPr>
                    <w:spacing w:line="240" w:lineRule="auto"/>
                    <w:jc w:val="center"/>
                    <w:rPr>
                      <w:rFonts w:hint="eastAsia" w:eastAsia="宋体"/>
                      <w:sz w:val="21"/>
                      <w:szCs w:val="21"/>
                      <w:vertAlign w:val="baseline"/>
                      <w:lang w:val="en-US" w:eastAsia="zh-CN"/>
                    </w:rPr>
                  </w:pPr>
                  <w:r>
                    <w:rPr>
                      <w:rFonts w:hint="eastAsia"/>
                      <w:sz w:val="21"/>
                      <w:szCs w:val="21"/>
                    </w:rPr>
                    <w:t>《工业企业厂界环境噪声排放标准》（GB12348-2008）2 类标准</w:t>
                  </w:r>
                  <w:r>
                    <w:rPr>
                      <w:rFonts w:hint="eastAsia"/>
                      <w:sz w:val="21"/>
                      <w:szCs w:val="21"/>
                      <w:lang w:eastAsia="zh-CN"/>
                    </w:rPr>
                    <w:t>（</w:t>
                  </w:r>
                  <w:r>
                    <w:rPr>
                      <w:rFonts w:hint="eastAsia"/>
                      <w:sz w:val="21"/>
                      <w:szCs w:val="21"/>
                      <w:lang w:val="en-US" w:eastAsia="zh-CN"/>
                    </w:rPr>
                    <w:t>西侧执行4a类</w:t>
                  </w:r>
                  <w:r>
                    <w:rPr>
                      <w:rFonts w:hint="eastAsia"/>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50" w:type="pct"/>
                  <w:tcBorders>
                    <w:tl2br w:val="nil"/>
                    <w:tr2bl w:val="nil"/>
                  </w:tcBorders>
                  <w:vAlign w:val="center"/>
                </w:tcPr>
                <w:p>
                  <w:pPr>
                    <w:spacing w:line="240" w:lineRule="auto"/>
                    <w:jc w:val="center"/>
                    <w:rPr>
                      <w:rFonts w:hint="eastAsia"/>
                      <w:sz w:val="21"/>
                      <w:szCs w:val="21"/>
                      <w:vertAlign w:val="baseline"/>
                      <w:lang w:val="en-US" w:eastAsia="zh-CN"/>
                    </w:rPr>
                  </w:pPr>
                  <w:r>
                    <w:rPr>
                      <w:rFonts w:hint="eastAsia"/>
                      <w:sz w:val="21"/>
                      <w:szCs w:val="21"/>
                    </w:rPr>
                    <w:t>厂界南侧外1m处</w:t>
                  </w:r>
                </w:p>
              </w:tc>
              <w:tc>
                <w:tcPr>
                  <w:tcW w:w="1249" w:type="pct"/>
                  <w:vMerge w:val="continue"/>
                  <w:tcBorders>
                    <w:tl2br w:val="nil"/>
                    <w:tr2bl w:val="nil"/>
                  </w:tcBorders>
                  <w:vAlign w:val="center"/>
                </w:tcPr>
                <w:p>
                  <w:pPr>
                    <w:numPr>
                      <w:ilvl w:val="0"/>
                      <w:numId w:val="0"/>
                    </w:numPr>
                    <w:bidi w:val="0"/>
                    <w:spacing w:line="240" w:lineRule="auto"/>
                    <w:jc w:val="center"/>
                    <w:rPr>
                      <w:rFonts w:hint="eastAsia"/>
                      <w:sz w:val="21"/>
                      <w:szCs w:val="21"/>
                      <w:vertAlign w:val="baseline"/>
                      <w:lang w:val="en-US" w:eastAsia="zh-CN"/>
                    </w:rPr>
                  </w:pPr>
                </w:p>
              </w:tc>
              <w:tc>
                <w:tcPr>
                  <w:tcW w:w="1057" w:type="pct"/>
                  <w:vMerge w:val="continue"/>
                  <w:tcBorders>
                    <w:tl2br w:val="nil"/>
                    <w:tr2bl w:val="nil"/>
                  </w:tcBorders>
                  <w:vAlign w:val="center"/>
                </w:tcPr>
                <w:p>
                  <w:pPr>
                    <w:numPr>
                      <w:ilvl w:val="0"/>
                      <w:numId w:val="0"/>
                    </w:numPr>
                    <w:bidi w:val="0"/>
                    <w:spacing w:line="240" w:lineRule="auto"/>
                    <w:jc w:val="center"/>
                    <w:rPr>
                      <w:rFonts w:hint="eastAsia"/>
                      <w:sz w:val="21"/>
                      <w:szCs w:val="21"/>
                      <w:vertAlign w:val="baseline"/>
                      <w:lang w:val="en-US" w:eastAsia="zh-CN"/>
                    </w:rPr>
                  </w:pPr>
                </w:p>
              </w:tc>
              <w:tc>
                <w:tcPr>
                  <w:tcW w:w="1443" w:type="pct"/>
                  <w:vMerge w:val="continue"/>
                  <w:tcBorders>
                    <w:tl2br w:val="nil"/>
                    <w:tr2bl w:val="nil"/>
                  </w:tcBorders>
                  <w:vAlign w:val="center"/>
                </w:tcPr>
                <w:p>
                  <w:pPr>
                    <w:numPr>
                      <w:ilvl w:val="0"/>
                      <w:numId w:val="0"/>
                    </w:numPr>
                    <w:bidi w:val="0"/>
                    <w:spacing w:line="240" w:lineRule="auto"/>
                    <w:jc w:val="center"/>
                    <w:rPr>
                      <w:rFonts w:hint="eastAsia"/>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50" w:type="pct"/>
                  <w:tcBorders>
                    <w:tl2br w:val="nil"/>
                    <w:tr2bl w:val="nil"/>
                  </w:tcBorders>
                  <w:vAlign w:val="center"/>
                </w:tcPr>
                <w:p>
                  <w:pPr>
                    <w:spacing w:line="240" w:lineRule="auto"/>
                    <w:jc w:val="center"/>
                    <w:rPr>
                      <w:rFonts w:hint="eastAsia"/>
                      <w:sz w:val="21"/>
                      <w:szCs w:val="21"/>
                      <w:vertAlign w:val="baseline"/>
                      <w:lang w:val="en-US" w:eastAsia="zh-CN"/>
                    </w:rPr>
                  </w:pPr>
                  <w:r>
                    <w:rPr>
                      <w:rFonts w:hint="eastAsia"/>
                      <w:sz w:val="21"/>
                      <w:szCs w:val="21"/>
                    </w:rPr>
                    <w:t>厂界西侧外1m处</w:t>
                  </w:r>
                </w:p>
              </w:tc>
              <w:tc>
                <w:tcPr>
                  <w:tcW w:w="1249" w:type="pct"/>
                  <w:vMerge w:val="continue"/>
                  <w:tcBorders>
                    <w:tl2br w:val="nil"/>
                    <w:tr2bl w:val="nil"/>
                  </w:tcBorders>
                  <w:vAlign w:val="center"/>
                </w:tcPr>
                <w:p>
                  <w:pPr>
                    <w:numPr>
                      <w:ilvl w:val="0"/>
                      <w:numId w:val="0"/>
                    </w:numPr>
                    <w:bidi w:val="0"/>
                    <w:spacing w:line="240" w:lineRule="auto"/>
                    <w:jc w:val="center"/>
                    <w:rPr>
                      <w:rFonts w:hint="eastAsia"/>
                      <w:sz w:val="21"/>
                      <w:szCs w:val="21"/>
                      <w:vertAlign w:val="baseline"/>
                      <w:lang w:val="en-US" w:eastAsia="zh-CN"/>
                    </w:rPr>
                  </w:pPr>
                </w:p>
              </w:tc>
              <w:tc>
                <w:tcPr>
                  <w:tcW w:w="1057" w:type="pct"/>
                  <w:vMerge w:val="continue"/>
                  <w:tcBorders>
                    <w:tl2br w:val="nil"/>
                    <w:tr2bl w:val="nil"/>
                  </w:tcBorders>
                  <w:vAlign w:val="center"/>
                </w:tcPr>
                <w:p>
                  <w:pPr>
                    <w:numPr>
                      <w:ilvl w:val="0"/>
                      <w:numId w:val="0"/>
                    </w:numPr>
                    <w:bidi w:val="0"/>
                    <w:spacing w:line="240" w:lineRule="auto"/>
                    <w:jc w:val="center"/>
                    <w:rPr>
                      <w:rFonts w:hint="eastAsia"/>
                      <w:sz w:val="21"/>
                      <w:szCs w:val="21"/>
                      <w:vertAlign w:val="baseline"/>
                      <w:lang w:val="en-US" w:eastAsia="zh-CN"/>
                    </w:rPr>
                  </w:pPr>
                </w:p>
              </w:tc>
              <w:tc>
                <w:tcPr>
                  <w:tcW w:w="1443" w:type="pct"/>
                  <w:vMerge w:val="continue"/>
                  <w:tcBorders>
                    <w:tl2br w:val="nil"/>
                    <w:tr2bl w:val="nil"/>
                  </w:tcBorders>
                  <w:vAlign w:val="center"/>
                </w:tcPr>
                <w:p>
                  <w:pPr>
                    <w:numPr>
                      <w:ilvl w:val="0"/>
                      <w:numId w:val="0"/>
                    </w:numPr>
                    <w:bidi w:val="0"/>
                    <w:spacing w:line="240" w:lineRule="auto"/>
                    <w:jc w:val="center"/>
                    <w:rPr>
                      <w:rFonts w:hint="eastAsia"/>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50" w:type="pct"/>
                  <w:tcBorders>
                    <w:tl2br w:val="nil"/>
                    <w:tr2bl w:val="nil"/>
                  </w:tcBorders>
                  <w:vAlign w:val="center"/>
                </w:tcPr>
                <w:p>
                  <w:pPr>
                    <w:spacing w:line="240" w:lineRule="auto"/>
                    <w:jc w:val="center"/>
                    <w:rPr>
                      <w:rFonts w:hint="eastAsia"/>
                      <w:sz w:val="21"/>
                      <w:szCs w:val="21"/>
                      <w:vertAlign w:val="baseline"/>
                      <w:lang w:val="en-US" w:eastAsia="zh-CN"/>
                    </w:rPr>
                  </w:pPr>
                  <w:r>
                    <w:rPr>
                      <w:rFonts w:hint="eastAsia"/>
                      <w:sz w:val="21"/>
                      <w:szCs w:val="21"/>
                    </w:rPr>
                    <w:t>厂界北侧外1m处</w:t>
                  </w:r>
                </w:p>
              </w:tc>
              <w:tc>
                <w:tcPr>
                  <w:tcW w:w="1249" w:type="pct"/>
                  <w:vMerge w:val="continue"/>
                  <w:tcBorders>
                    <w:tl2br w:val="nil"/>
                    <w:tr2bl w:val="nil"/>
                  </w:tcBorders>
                  <w:vAlign w:val="center"/>
                </w:tcPr>
                <w:p>
                  <w:pPr>
                    <w:numPr>
                      <w:ilvl w:val="0"/>
                      <w:numId w:val="0"/>
                    </w:numPr>
                    <w:bidi w:val="0"/>
                    <w:spacing w:line="240" w:lineRule="auto"/>
                    <w:jc w:val="center"/>
                    <w:rPr>
                      <w:rFonts w:hint="eastAsia"/>
                      <w:sz w:val="21"/>
                      <w:szCs w:val="21"/>
                      <w:vertAlign w:val="baseline"/>
                      <w:lang w:val="en-US" w:eastAsia="zh-CN"/>
                    </w:rPr>
                  </w:pPr>
                </w:p>
              </w:tc>
              <w:tc>
                <w:tcPr>
                  <w:tcW w:w="1057" w:type="pct"/>
                  <w:vMerge w:val="continue"/>
                  <w:tcBorders>
                    <w:tl2br w:val="nil"/>
                    <w:tr2bl w:val="nil"/>
                  </w:tcBorders>
                  <w:vAlign w:val="center"/>
                </w:tcPr>
                <w:p>
                  <w:pPr>
                    <w:numPr>
                      <w:ilvl w:val="0"/>
                      <w:numId w:val="0"/>
                    </w:numPr>
                    <w:bidi w:val="0"/>
                    <w:spacing w:line="240" w:lineRule="auto"/>
                    <w:jc w:val="center"/>
                    <w:rPr>
                      <w:rFonts w:hint="eastAsia"/>
                      <w:sz w:val="21"/>
                      <w:szCs w:val="21"/>
                      <w:vertAlign w:val="baseline"/>
                      <w:lang w:val="en-US" w:eastAsia="zh-CN"/>
                    </w:rPr>
                  </w:pPr>
                </w:p>
              </w:tc>
              <w:tc>
                <w:tcPr>
                  <w:tcW w:w="1443" w:type="pct"/>
                  <w:vMerge w:val="continue"/>
                  <w:tcBorders>
                    <w:tl2br w:val="nil"/>
                    <w:tr2bl w:val="nil"/>
                  </w:tcBorders>
                  <w:vAlign w:val="center"/>
                </w:tcPr>
                <w:p>
                  <w:pPr>
                    <w:numPr>
                      <w:ilvl w:val="0"/>
                      <w:numId w:val="0"/>
                    </w:numPr>
                    <w:bidi w:val="0"/>
                    <w:spacing w:line="240" w:lineRule="auto"/>
                    <w:jc w:val="center"/>
                    <w:rPr>
                      <w:rFonts w:hint="eastAsia"/>
                      <w:sz w:val="21"/>
                      <w:szCs w:val="21"/>
                      <w:vertAlign w:val="baseline"/>
                      <w:lang w:val="en-US" w:eastAsia="zh-CN"/>
                    </w:rPr>
                  </w:pPr>
                </w:p>
              </w:tc>
            </w:tr>
          </w:tbl>
          <w:p>
            <w:pPr>
              <w:numPr>
                <w:ilvl w:val="0"/>
                <w:numId w:val="0"/>
              </w:numPr>
              <w:bidi w:val="0"/>
              <w:spacing w:line="240" w:lineRule="auto"/>
              <w:ind w:leftChars="0"/>
              <w:rPr>
                <w:rFonts w:hint="eastAsia"/>
                <w:sz w:val="24"/>
                <w:szCs w:val="24"/>
                <w:lang w:val="en-US" w:eastAsia="zh-CN"/>
              </w:rPr>
            </w:pPr>
          </w:p>
          <w:p>
            <w:pPr>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left="0" w:leftChars="0" w:firstLine="0" w:firstLineChars="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固体废物</w:t>
            </w:r>
          </w:p>
          <w:p>
            <w:pPr>
              <w:spacing w:line="360" w:lineRule="auto"/>
              <w:ind w:firstLine="480" w:firstLineChars="200"/>
              <w:rPr>
                <w:sz w:val="24"/>
                <w:u w:val="none"/>
              </w:rPr>
            </w:pPr>
            <w:r>
              <w:rPr>
                <w:rFonts w:hint="eastAsia"/>
                <w:sz w:val="24"/>
                <w:u w:val="none"/>
              </w:rPr>
              <w:t>项目产生的固体废物主要包括医疗废物、生活垃圾、废包装材料、一次性输液瓶（袋）等，医疗废物、</w:t>
            </w:r>
            <w:r>
              <w:rPr>
                <w:rFonts w:hint="eastAsia"/>
                <w:sz w:val="24"/>
                <w:u w:val="none"/>
                <w:lang w:val="en-US" w:eastAsia="zh-CN"/>
              </w:rPr>
              <w:t>化粪池污泥</w:t>
            </w:r>
            <w:r>
              <w:rPr>
                <w:rFonts w:hint="eastAsia"/>
                <w:sz w:val="24"/>
                <w:u w:val="none"/>
              </w:rPr>
              <w:t>属于危险废物，生活垃圾、一次性输液瓶（袋）为一般固体废物。</w:t>
            </w:r>
          </w:p>
          <w:p>
            <w:pPr>
              <w:spacing w:line="360" w:lineRule="auto"/>
              <w:ind w:firstLine="480" w:firstLineChars="200"/>
              <w:rPr>
                <w:sz w:val="24"/>
                <w:u w:val="none"/>
              </w:rPr>
            </w:pPr>
            <w:r>
              <w:rPr>
                <w:sz w:val="24"/>
                <w:u w:val="none"/>
              </w:rPr>
              <w:t>a</w:t>
            </w:r>
            <w:r>
              <w:rPr>
                <w:rFonts w:hint="eastAsia"/>
                <w:sz w:val="24"/>
                <w:u w:val="none"/>
              </w:rPr>
              <w:t>、医疗废物</w:t>
            </w:r>
          </w:p>
          <w:p>
            <w:pPr>
              <w:spacing w:line="360" w:lineRule="auto"/>
              <w:ind w:firstLine="480" w:firstLineChars="200"/>
              <w:rPr>
                <w:sz w:val="24"/>
                <w:u w:val="none"/>
              </w:rPr>
            </w:pPr>
            <w:r>
              <w:rPr>
                <w:rFonts w:hint="eastAsia"/>
                <w:sz w:val="24"/>
                <w:u w:val="none"/>
              </w:rPr>
              <w:t>医疗废物主要有感染性废物（</w:t>
            </w:r>
            <w:r>
              <w:rPr>
                <w:rFonts w:hint="eastAsia"/>
                <w:sz w:val="24"/>
                <w:u w:val="none"/>
                <w:lang w:eastAsia="zh-CN"/>
              </w:rPr>
              <w:t>纱布</w:t>
            </w:r>
            <w:r>
              <w:rPr>
                <w:rFonts w:hint="eastAsia"/>
                <w:sz w:val="24"/>
                <w:u w:val="none"/>
              </w:rPr>
              <w:t>、棉球、手纸、手术服等各类受污染的纤维制品）、病理性废物（各类手术残余物等）、损伤性废物（各类金属毁形物等）、药物性废物（一次性针头、玻璃器皿、一次性输液管、注射器及相关的塑料制品、废药品、废试剂瓶等）。</w:t>
            </w:r>
          </w:p>
          <w:p>
            <w:pPr>
              <w:spacing w:line="360" w:lineRule="auto"/>
              <w:ind w:firstLine="480"/>
              <w:rPr>
                <w:sz w:val="24"/>
                <w:u w:val="none"/>
              </w:rPr>
            </w:pPr>
            <w:r>
              <w:rPr>
                <w:rFonts w:hint="eastAsia"/>
                <w:sz w:val="24"/>
                <w:u w:val="none"/>
              </w:rPr>
              <w:t>依据《医疗废物分类目录》（</w:t>
            </w:r>
            <w:r>
              <w:rPr>
                <w:rFonts w:hint="eastAsia"/>
                <w:sz w:val="24"/>
                <w:u w:val="none"/>
                <w:lang w:val="en-US" w:eastAsia="zh-CN"/>
              </w:rPr>
              <w:t>2021版</w:t>
            </w:r>
            <w:r>
              <w:rPr>
                <w:rFonts w:hint="eastAsia"/>
                <w:sz w:val="24"/>
                <w:u w:val="none"/>
              </w:rPr>
              <w:t>），医疗废物分</w:t>
            </w:r>
            <w:r>
              <w:rPr>
                <w:sz w:val="24"/>
                <w:u w:val="none"/>
              </w:rPr>
              <w:t>5</w:t>
            </w:r>
            <w:r>
              <w:rPr>
                <w:rFonts w:hint="eastAsia"/>
                <w:sz w:val="24"/>
                <w:u w:val="none"/>
              </w:rPr>
              <w:t>类：感染性、损伤性、病理性、化学性和药物性废物。医疗废物分类目录详见表4-</w:t>
            </w:r>
            <w:r>
              <w:rPr>
                <w:rFonts w:hint="eastAsia"/>
                <w:sz w:val="24"/>
                <w:u w:val="none"/>
                <w:lang w:val="en-US" w:eastAsia="zh-CN"/>
              </w:rPr>
              <w:t>16</w:t>
            </w:r>
            <w:r>
              <w:rPr>
                <w:rFonts w:hint="eastAsia"/>
                <w:sz w:val="24"/>
                <w:u w:val="none"/>
              </w:rPr>
              <w:t>。</w:t>
            </w:r>
          </w:p>
          <w:p>
            <w:pPr>
              <w:jc w:val="center"/>
              <w:rPr>
                <w:b/>
                <w:bCs/>
              </w:rPr>
            </w:pPr>
            <w:r>
              <w:rPr>
                <w:rFonts w:hint="eastAsia"/>
                <w:b/>
                <w:bCs/>
              </w:rPr>
              <w:t>表 4-1</w:t>
            </w:r>
            <w:r>
              <w:rPr>
                <w:rFonts w:hint="eastAsia"/>
                <w:b/>
                <w:bCs/>
                <w:lang w:val="en-US" w:eastAsia="zh-CN"/>
              </w:rPr>
              <w:t>6</w:t>
            </w:r>
            <w:r>
              <w:rPr>
                <w:rFonts w:hint="eastAsia"/>
                <w:b/>
                <w:bCs/>
              </w:rPr>
              <w:t xml:space="preserve"> </w:t>
            </w:r>
            <w:r>
              <w:rPr>
                <w:rFonts w:hint="eastAsia"/>
                <w:b/>
                <w:bCs/>
                <w:lang w:val="en-US" w:eastAsia="zh-CN"/>
              </w:rPr>
              <w:t xml:space="preserve"> </w:t>
            </w:r>
            <w:r>
              <w:rPr>
                <w:rFonts w:hint="eastAsia"/>
                <w:b/>
                <w:bCs/>
              </w:rPr>
              <w:t>医疗废物分类目录</w:t>
            </w:r>
          </w:p>
          <w:tbl>
            <w:tblPr>
              <w:tblStyle w:val="25"/>
              <w:tblW w:w="4998"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456"/>
              <w:gridCol w:w="969"/>
              <w:gridCol w:w="3424"/>
              <w:gridCol w:w="342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blHeader/>
              </w:trPr>
              <w:tc>
                <w:tcPr>
                  <w:tcW w:w="275" w:type="pct"/>
                  <w:tcBorders>
                    <w:top w:val="single" w:color="000000" w:sz="12" w:space="0"/>
                    <w:left w:val="single" w:color="000000" w:sz="12" w:space="0"/>
                    <w:bottom w:val="single" w:color="000000" w:sz="6" w:space="0"/>
                    <w:right w:val="single" w:color="000000" w:sz="6" w:space="0"/>
                  </w:tcBorders>
                  <w:vAlign w:val="center"/>
                </w:tcPr>
                <w:p>
                  <w:pPr>
                    <w:bidi w:val="0"/>
                    <w:jc w:val="center"/>
                    <w:rPr>
                      <w:b/>
                      <w:bCs/>
                    </w:rPr>
                  </w:pPr>
                  <w:r>
                    <w:rPr>
                      <w:rFonts w:hint="eastAsia"/>
                      <w:b/>
                      <w:bCs/>
                    </w:rPr>
                    <w:t>类别</w:t>
                  </w:r>
                </w:p>
              </w:tc>
              <w:tc>
                <w:tcPr>
                  <w:tcW w:w="585" w:type="pct"/>
                  <w:tcBorders>
                    <w:top w:val="single" w:color="000000" w:sz="12" w:space="0"/>
                    <w:left w:val="single" w:color="000000" w:sz="6" w:space="0"/>
                    <w:bottom w:val="single" w:color="000000" w:sz="6" w:space="0"/>
                    <w:right w:val="single" w:color="000000" w:sz="6" w:space="0"/>
                  </w:tcBorders>
                  <w:vAlign w:val="center"/>
                </w:tcPr>
                <w:p>
                  <w:pPr>
                    <w:bidi w:val="0"/>
                    <w:jc w:val="center"/>
                    <w:rPr>
                      <w:b/>
                      <w:bCs/>
                    </w:rPr>
                  </w:pPr>
                  <w:r>
                    <w:rPr>
                      <w:rFonts w:hint="eastAsia"/>
                      <w:b/>
                      <w:bCs/>
                    </w:rPr>
                    <w:t>特征</w:t>
                  </w:r>
                </w:p>
              </w:tc>
              <w:tc>
                <w:tcPr>
                  <w:tcW w:w="2068" w:type="pct"/>
                  <w:tcBorders>
                    <w:top w:val="single" w:color="000000" w:sz="12" w:space="0"/>
                    <w:left w:val="single" w:color="000000" w:sz="6" w:space="0"/>
                    <w:bottom w:val="single" w:color="000000" w:sz="6" w:space="0"/>
                    <w:right w:val="single" w:color="000000" w:sz="12" w:space="0"/>
                  </w:tcBorders>
                  <w:vAlign w:val="center"/>
                </w:tcPr>
                <w:p>
                  <w:pPr>
                    <w:bidi w:val="0"/>
                    <w:jc w:val="center"/>
                    <w:rPr>
                      <w:b/>
                      <w:bCs/>
                    </w:rPr>
                  </w:pPr>
                  <w:r>
                    <w:rPr>
                      <w:rFonts w:hint="eastAsia"/>
                      <w:b/>
                      <w:bCs/>
                    </w:rPr>
                    <w:t>常见组分或者废物名称</w:t>
                  </w:r>
                </w:p>
              </w:tc>
              <w:tc>
                <w:tcPr>
                  <w:tcW w:w="2071" w:type="pct"/>
                  <w:tcBorders>
                    <w:top w:val="single" w:color="000000" w:sz="12" w:space="0"/>
                    <w:left w:val="single" w:color="000000" w:sz="6" w:space="0"/>
                    <w:bottom w:val="single" w:color="000000" w:sz="6" w:space="0"/>
                    <w:right w:val="single" w:color="000000" w:sz="12" w:space="0"/>
                  </w:tcBorders>
                  <w:vAlign w:val="center"/>
                </w:tcPr>
                <w:p>
                  <w:pPr>
                    <w:bidi w:val="0"/>
                    <w:jc w:val="center"/>
                    <w:rPr>
                      <w:b/>
                      <w:bCs/>
                    </w:rPr>
                  </w:pPr>
                  <w:r>
                    <w:rPr>
                      <w:rFonts w:hint="eastAsia"/>
                      <w:b/>
                      <w:bCs/>
                    </w:rPr>
                    <w:t>收集方式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55" w:hRule="atLeast"/>
              </w:trPr>
              <w:tc>
                <w:tcPr>
                  <w:tcW w:w="275" w:type="pct"/>
                  <w:tcBorders>
                    <w:top w:val="single" w:color="000000" w:sz="6" w:space="0"/>
                    <w:left w:val="single" w:color="000000" w:sz="12" w:space="0"/>
                    <w:bottom w:val="single" w:color="000000" w:sz="6" w:space="0"/>
                    <w:right w:val="single" w:color="000000" w:sz="6" w:space="0"/>
                  </w:tcBorders>
                  <w:vAlign w:val="center"/>
                </w:tcPr>
                <w:p>
                  <w:pPr>
                    <w:bidi w:val="0"/>
                    <w:jc w:val="center"/>
                  </w:pPr>
                  <w:r>
                    <w:rPr>
                      <w:rFonts w:hint="eastAsia"/>
                    </w:rPr>
                    <w:t>感染性废物</w:t>
                  </w:r>
                </w:p>
              </w:tc>
              <w:tc>
                <w:tcPr>
                  <w:tcW w:w="585" w:type="pct"/>
                  <w:tcBorders>
                    <w:top w:val="single" w:color="000000" w:sz="6" w:space="0"/>
                    <w:left w:val="single" w:color="000000" w:sz="6" w:space="0"/>
                    <w:bottom w:val="single" w:color="000000" w:sz="6" w:space="0"/>
                    <w:right w:val="single" w:color="000000" w:sz="6" w:space="0"/>
                  </w:tcBorders>
                  <w:vAlign w:val="center"/>
                </w:tcPr>
                <w:p>
                  <w:pPr>
                    <w:bidi w:val="0"/>
                    <w:jc w:val="center"/>
                  </w:pPr>
                  <w:r>
                    <w:rPr>
                      <w:rFonts w:hint="eastAsia"/>
                    </w:rPr>
                    <w:t>携带病原微生物，具有引发感染性疾病传播危险的医疗废物</w:t>
                  </w:r>
                </w:p>
              </w:tc>
              <w:tc>
                <w:tcPr>
                  <w:tcW w:w="2068" w:type="pct"/>
                  <w:tcBorders>
                    <w:top w:val="single" w:color="000000" w:sz="6" w:space="0"/>
                    <w:left w:val="single" w:color="000000" w:sz="6" w:space="0"/>
                    <w:bottom w:val="single" w:color="000000" w:sz="6" w:space="0"/>
                    <w:right w:val="single" w:color="000000" w:sz="12" w:space="0"/>
                  </w:tcBorders>
                  <w:vAlign w:val="center"/>
                </w:tcPr>
                <w:p>
                  <w:pPr>
                    <w:bidi w:val="0"/>
                    <w:jc w:val="both"/>
                  </w:pPr>
                  <w:r>
                    <w:rPr>
                      <w:rFonts w:hint="eastAsia"/>
                    </w:rPr>
                    <w:t>1.被患者血液、体液、排泄物等污染的除锐器以外的废物；</w:t>
                  </w:r>
                </w:p>
                <w:p>
                  <w:pPr>
                    <w:bidi w:val="0"/>
                    <w:jc w:val="both"/>
                  </w:pPr>
                  <w:r>
                    <w:rPr>
                      <w:rFonts w:hint="eastAsia"/>
                    </w:rPr>
                    <w:t>2.使用后废弃的一次性使用医疗器械，如注射器、输液器、透析器等；</w:t>
                  </w:r>
                </w:p>
                <w:p>
                  <w:pPr>
                    <w:bidi w:val="0"/>
                    <w:jc w:val="both"/>
                  </w:pPr>
                  <w:r>
                    <w:rPr>
                      <w:rFonts w:hint="eastAsia"/>
                    </w:rPr>
                    <w:t>3.病原微生物实验室废弃的病原体培养基、标本，菌种和毒种保存液及其容器；其他实验室及科室废弃的血液、血清、分泌物等标本和容器；</w:t>
                  </w:r>
                </w:p>
                <w:p>
                  <w:pPr>
                    <w:bidi w:val="0"/>
                    <w:jc w:val="both"/>
                  </w:pPr>
                  <w:r>
                    <w:rPr>
                      <w:rFonts w:hint="eastAsia"/>
                    </w:rPr>
                    <w:t>4.隔离传染病患者或者疑似传染病患者产生的废弃物。</w:t>
                  </w:r>
                </w:p>
              </w:tc>
              <w:tc>
                <w:tcPr>
                  <w:tcW w:w="2071" w:type="pct"/>
                  <w:tcBorders>
                    <w:top w:val="single" w:color="000000" w:sz="6" w:space="0"/>
                    <w:left w:val="single" w:color="000000" w:sz="6" w:space="0"/>
                    <w:bottom w:val="single" w:color="000000" w:sz="6" w:space="0"/>
                    <w:right w:val="single" w:color="000000" w:sz="12" w:space="0"/>
                  </w:tcBorders>
                  <w:vAlign w:val="center"/>
                </w:tcPr>
                <w:p>
                  <w:pPr>
                    <w:bidi w:val="0"/>
                    <w:jc w:val="both"/>
                  </w:pPr>
                  <w:r>
                    <w:rPr>
                      <w:rFonts w:hint="eastAsia"/>
                    </w:rPr>
                    <w:t>1.收集于符合《医疗废物专用包装袋、容器和警示标志标准》（HJ421）的医疗废物包装袋中；</w:t>
                  </w:r>
                </w:p>
                <w:p>
                  <w:pPr>
                    <w:bidi w:val="0"/>
                    <w:jc w:val="both"/>
                  </w:pPr>
                  <w:r>
                    <w:rPr>
                      <w:rFonts w:hint="eastAsia"/>
                    </w:rPr>
                    <w:t>2.病原微生物实验室废弃的病原体培养基、标本，菌种和毒种保存液及其容器，应在产生地点进行压力蒸汽灭菌或者使用其他方式消毒，然后按感染性废物收集处理；</w:t>
                  </w:r>
                </w:p>
                <w:p>
                  <w:pPr>
                    <w:bidi w:val="0"/>
                    <w:jc w:val="both"/>
                  </w:pPr>
                  <w:r>
                    <w:rPr>
                      <w:rFonts w:hint="eastAsia"/>
                    </w:rPr>
                    <w:t>3.隔离传染病患者或者疑似传染病患者产生的医疗废物应当使用双层医疗废物包装袋盛装。</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275" w:type="pct"/>
                  <w:tcBorders>
                    <w:top w:val="single" w:color="000000" w:sz="6" w:space="0"/>
                    <w:left w:val="single" w:color="000000" w:sz="12" w:space="0"/>
                    <w:bottom w:val="single" w:color="000000" w:sz="6" w:space="0"/>
                    <w:right w:val="single" w:color="000000" w:sz="6" w:space="0"/>
                  </w:tcBorders>
                  <w:vAlign w:val="center"/>
                </w:tcPr>
                <w:p>
                  <w:pPr>
                    <w:bidi w:val="0"/>
                    <w:jc w:val="center"/>
                  </w:pPr>
                  <w:r>
                    <w:rPr>
                      <w:rFonts w:hint="eastAsia"/>
                    </w:rPr>
                    <w:t>损伤性废物</w:t>
                  </w:r>
                </w:p>
              </w:tc>
              <w:tc>
                <w:tcPr>
                  <w:tcW w:w="585" w:type="pct"/>
                  <w:tcBorders>
                    <w:top w:val="single" w:color="000000" w:sz="6" w:space="0"/>
                    <w:left w:val="single" w:color="000000" w:sz="6" w:space="0"/>
                    <w:bottom w:val="single" w:color="000000" w:sz="6" w:space="0"/>
                    <w:right w:val="single" w:color="000000" w:sz="6" w:space="0"/>
                  </w:tcBorders>
                  <w:vAlign w:val="center"/>
                </w:tcPr>
                <w:p>
                  <w:pPr>
                    <w:bidi w:val="0"/>
                    <w:jc w:val="center"/>
                  </w:pPr>
                  <w:r>
                    <w:rPr>
                      <w:rFonts w:hint="eastAsia"/>
                    </w:rPr>
                    <w:t>能够刺伤或者割伤人体的废弃的医用锐器</w:t>
                  </w:r>
                </w:p>
              </w:tc>
              <w:tc>
                <w:tcPr>
                  <w:tcW w:w="2068" w:type="pct"/>
                  <w:tcBorders>
                    <w:top w:val="single" w:color="000000" w:sz="6" w:space="0"/>
                    <w:left w:val="single" w:color="000000" w:sz="6" w:space="0"/>
                    <w:right w:val="single" w:color="000000" w:sz="12" w:space="0"/>
                  </w:tcBorders>
                  <w:vAlign w:val="center"/>
                </w:tcPr>
                <w:p>
                  <w:pPr>
                    <w:bidi w:val="0"/>
                    <w:jc w:val="both"/>
                  </w:pPr>
                  <w:r>
                    <w:rPr>
                      <w:rFonts w:hint="eastAsia"/>
                    </w:rPr>
                    <w:t>1.废弃的金属类锐器，如针头、缝合针、针灸针、探针、穿刺针、解剖刀、手术刀、手术锯、备皮刀、钢钉和导丝等；</w:t>
                  </w:r>
                </w:p>
                <w:p>
                  <w:pPr>
                    <w:bidi w:val="0"/>
                    <w:jc w:val="both"/>
                  </w:pPr>
                  <w:r>
                    <w:rPr>
                      <w:rFonts w:hint="eastAsia"/>
                    </w:rPr>
                    <w:t>2.废弃的玻璃类锐器，如盖玻片、载玻片、玻璃安瓿等；</w:t>
                  </w:r>
                </w:p>
                <w:p>
                  <w:pPr>
                    <w:bidi w:val="0"/>
                    <w:jc w:val="both"/>
                  </w:pPr>
                  <w:r>
                    <w:rPr>
                      <w:rFonts w:hint="eastAsia"/>
                    </w:rPr>
                    <w:t>3.废弃的其他材质类锐器。</w:t>
                  </w:r>
                </w:p>
              </w:tc>
              <w:tc>
                <w:tcPr>
                  <w:tcW w:w="2071" w:type="pct"/>
                  <w:tcBorders>
                    <w:top w:val="single" w:color="000000" w:sz="6" w:space="0"/>
                    <w:left w:val="single" w:color="000000" w:sz="6" w:space="0"/>
                    <w:bottom w:val="single" w:color="000000" w:sz="6" w:space="0"/>
                    <w:right w:val="single" w:color="000000" w:sz="12" w:space="0"/>
                  </w:tcBorders>
                  <w:vAlign w:val="center"/>
                </w:tcPr>
                <w:p>
                  <w:pPr>
                    <w:bidi w:val="0"/>
                    <w:jc w:val="both"/>
                  </w:pPr>
                  <w:r>
                    <w:rPr>
                      <w:rFonts w:hint="eastAsia"/>
                    </w:rPr>
                    <w:t>1.收集于符合《医疗废物专用包装袋、容器和警示标志标准》（HJ421）的利器盒中；</w:t>
                  </w:r>
                </w:p>
                <w:p>
                  <w:pPr>
                    <w:bidi w:val="0"/>
                    <w:jc w:val="both"/>
                  </w:pPr>
                  <w:r>
                    <w:rPr>
                      <w:rFonts w:hint="eastAsia"/>
                    </w:rPr>
                    <w:t>2.利器盒达到3/4满时，应当封闭严密，按流程运送、贮存。</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275" w:type="pct"/>
                  <w:tcBorders>
                    <w:top w:val="single" w:color="000000" w:sz="6" w:space="0"/>
                    <w:left w:val="single" w:color="000000" w:sz="12" w:space="0"/>
                    <w:bottom w:val="single" w:color="000000" w:sz="6" w:space="0"/>
                    <w:right w:val="single" w:color="000000" w:sz="6" w:space="0"/>
                  </w:tcBorders>
                  <w:vAlign w:val="center"/>
                </w:tcPr>
                <w:p>
                  <w:pPr>
                    <w:bidi w:val="0"/>
                    <w:jc w:val="center"/>
                  </w:pPr>
                  <w:r>
                    <w:rPr>
                      <w:rFonts w:hint="eastAsia"/>
                    </w:rPr>
                    <w:t>病理性废物</w:t>
                  </w:r>
                </w:p>
              </w:tc>
              <w:tc>
                <w:tcPr>
                  <w:tcW w:w="585" w:type="pct"/>
                  <w:tcBorders>
                    <w:top w:val="single" w:color="000000" w:sz="6" w:space="0"/>
                    <w:left w:val="single" w:color="000000" w:sz="6" w:space="0"/>
                    <w:bottom w:val="single" w:color="000000" w:sz="6" w:space="0"/>
                    <w:right w:val="single" w:color="000000" w:sz="6" w:space="0"/>
                  </w:tcBorders>
                  <w:vAlign w:val="center"/>
                </w:tcPr>
                <w:p>
                  <w:pPr>
                    <w:bidi w:val="0"/>
                    <w:jc w:val="center"/>
                  </w:pPr>
                  <w:r>
                    <w:rPr>
                      <w:rFonts w:hint="eastAsia"/>
                    </w:rPr>
                    <w:t>诊疗过程中产生的人体废弃物和医学实验动物尸体等</w:t>
                  </w:r>
                </w:p>
              </w:tc>
              <w:tc>
                <w:tcPr>
                  <w:tcW w:w="2068" w:type="pct"/>
                  <w:tcBorders>
                    <w:top w:val="single" w:color="000000" w:sz="6" w:space="0"/>
                    <w:left w:val="single" w:color="000000" w:sz="6" w:space="0"/>
                    <w:right w:val="single" w:color="000000" w:sz="12" w:space="0"/>
                  </w:tcBorders>
                  <w:vAlign w:val="center"/>
                </w:tcPr>
                <w:p>
                  <w:pPr>
                    <w:bidi w:val="0"/>
                    <w:jc w:val="both"/>
                  </w:pPr>
                  <w:bookmarkStart w:id="11" w:name="_Hlk54893226"/>
                  <w:r>
                    <w:rPr>
                      <w:rFonts w:hint="eastAsia"/>
                    </w:rPr>
                    <w:t>1.手术及其他医学服务过程中产生的废弃的人体组织、器官</w:t>
                  </w:r>
                  <w:bookmarkEnd w:id="11"/>
                  <w:r>
                    <w:rPr>
                      <w:rFonts w:hint="eastAsia"/>
                    </w:rPr>
                    <w:t>；</w:t>
                  </w:r>
                </w:p>
                <w:p>
                  <w:pPr>
                    <w:bidi w:val="0"/>
                    <w:jc w:val="both"/>
                  </w:pPr>
                  <w:r>
                    <w:rPr>
                      <w:rFonts w:hint="eastAsia"/>
                    </w:rPr>
                    <w:t>2.病理切片后废弃的人体组织、病理蜡块；</w:t>
                  </w:r>
                </w:p>
                <w:p>
                  <w:pPr>
                    <w:bidi w:val="0"/>
                    <w:jc w:val="both"/>
                  </w:pPr>
                  <w:r>
                    <w:rPr>
                      <w:rFonts w:hint="eastAsia"/>
                    </w:rPr>
                    <w:t>3.废弃的医学实验动物的组织和尸体；</w:t>
                  </w:r>
                </w:p>
                <w:p>
                  <w:pPr>
                    <w:bidi w:val="0"/>
                    <w:jc w:val="both"/>
                  </w:pPr>
                  <w:r>
                    <w:rPr>
                      <w:rFonts w:hint="eastAsia"/>
                    </w:rPr>
                    <w:t>4.16周胎龄以下或重量不足500克的胚胎组织等；</w:t>
                  </w:r>
                </w:p>
                <w:p>
                  <w:pPr>
                    <w:bidi w:val="0"/>
                    <w:jc w:val="both"/>
                  </w:pPr>
                  <w:r>
                    <w:rPr>
                      <w:rFonts w:hint="eastAsia"/>
                    </w:rPr>
                    <w:t>5. 确诊、疑似传染病或携带传染病病原体的产妇的胎盘。</w:t>
                  </w:r>
                </w:p>
              </w:tc>
              <w:tc>
                <w:tcPr>
                  <w:tcW w:w="2071" w:type="pct"/>
                  <w:tcBorders>
                    <w:top w:val="single" w:color="000000" w:sz="6" w:space="0"/>
                    <w:left w:val="single" w:color="000000" w:sz="6" w:space="0"/>
                    <w:bottom w:val="single" w:color="000000" w:sz="6" w:space="0"/>
                    <w:right w:val="single" w:color="000000" w:sz="12" w:space="0"/>
                  </w:tcBorders>
                  <w:vAlign w:val="center"/>
                </w:tcPr>
                <w:p>
                  <w:pPr>
                    <w:bidi w:val="0"/>
                    <w:jc w:val="both"/>
                  </w:pPr>
                  <w:r>
                    <w:rPr>
                      <w:rFonts w:hint="eastAsia"/>
                    </w:rPr>
                    <w:t>1.收集于符合《医疗废物专用包装袋、容器和警示标志标准》（HJ421）的医疗废物包装袋中；</w:t>
                  </w:r>
                </w:p>
                <w:p>
                  <w:pPr>
                    <w:bidi w:val="0"/>
                    <w:jc w:val="both"/>
                  </w:pPr>
                  <w:r>
                    <w:rPr>
                      <w:rFonts w:hint="eastAsia"/>
                    </w:rPr>
                    <w:t>2.确诊、疑似传染病产妇或携带传染病病原体的产妇的胎盘应使用双层医疗废物包装袋盛装；</w:t>
                  </w:r>
                </w:p>
                <w:p>
                  <w:pPr>
                    <w:bidi w:val="0"/>
                    <w:jc w:val="both"/>
                  </w:pPr>
                  <w:r>
                    <w:rPr>
                      <w:rFonts w:hint="eastAsia"/>
                    </w:rPr>
                    <w:t>3.可进行防腐或者低温保存。</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510" w:hRule="atLeast"/>
              </w:trPr>
              <w:tc>
                <w:tcPr>
                  <w:tcW w:w="275" w:type="pct"/>
                  <w:tcBorders>
                    <w:top w:val="single" w:color="000000" w:sz="6" w:space="0"/>
                    <w:left w:val="single" w:color="000000" w:sz="12" w:space="0"/>
                    <w:right w:val="single" w:color="000000" w:sz="6" w:space="0"/>
                  </w:tcBorders>
                  <w:vAlign w:val="center"/>
                </w:tcPr>
                <w:p>
                  <w:pPr>
                    <w:bidi w:val="0"/>
                    <w:jc w:val="center"/>
                  </w:pPr>
                  <w:r>
                    <w:rPr>
                      <w:rFonts w:hint="eastAsia"/>
                    </w:rPr>
                    <w:t>药物性废物</w:t>
                  </w:r>
                </w:p>
              </w:tc>
              <w:tc>
                <w:tcPr>
                  <w:tcW w:w="585" w:type="pct"/>
                  <w:tcBorders>
                    <w:top w:val="single" w:color="000000" w:sz="6" w:space="0"/>
                    <w:left w:val="single" w:color="000000" w:sz="6" w:space="0"/>
                    <w:right w:val="single" w:color="000000" w:sz="6" w:space="0"/>
                  </w:tcBorders>
                  <w:vAlign w:val="center"/>
                </w:tcPr>
                <w:p>
                  <w:pPr>
                    <w:bidi w:val="0"/>
                    <w:jc w:val="center"/>
                  </w:pPr>
                  <w:r>
                    <w:rPr>
                      <w:rFonts w:hint="eastAsia"/>
                    </w:rPr>
                    <w:t>过期、淘汰、变质或者被污染的废弃的药物</w:t>
                  </w:r>
                </w:p>
              </w:tc>
              <w:tc>
                <w:tcPr>
                  <w:tcW w:w="2068" w:type="pct"/>
                  <w:tcBorders>
                    <w:top w:val="single" w:color="000000" w:sz="6" w:space="0"/>
                    <w:left w:val="single" w:color="000000" w:sz="6" w:space="0"/>
                    <w:right w:val="single" w:color="000000" w:sz="12" w:space="0"/>
                  </w:tcBorders>
                  <w:vAlign w:val="center"/>
                </w:tcPr>
                <w:p>
                  <w:pPr>
                    <w:bidi w:val="0"/>
                    <w:jc w:val="both"/>
                  </w:pPr>
                  <w:r>
                    <w:rPr>
                      <w:rFonts w:hint="eastAsia"/>
                    </w:rPr>
                    <w:t>1.废弃的一般性药物；</w:t>
                  </w:r>
                </w:p>
                <w:p>
                  <w:pPr>
                    <w:bidi w:val="0"/>
                    <w:jc w:val="both"/>
                  </w:pPr>
                  <w:r>
                    <w:rPr>
                      <w:rFonts w:hint="eastAsia"/>
                    </w:rPr>
                    <w:t>2.废弃的细胞毒性药物和遗传毒性药物；</w:t>
                  </w:r>
                </w:p>
                <w:p>
                  <w:pPr>
                    <w:bidi w:val="0"/>
                    <w:jc w:val="both"/>
                  </w:pPr>
                  <w:r>
                    <w:rPr>
                      <w:rFonts w:hint="eastAsia"/>
                    </w:rPr>
                    <w:t>3.废弃的疫苗及血液制品。</w:t>
                  </w:r>
                </w:p>
              </w:tc>
              <w:tc>
                <w:tcPr>
                  <w:tcW w:w="2071" w:type="pct"/>
                  <w:tcBorders>
                    <w:top w:val="single" w:color="000000" w:sz="6" w:space="0"/>
                    <w:left w:val="single" w:color="000000" w:sz="6" w:space="0"/>
                    <w:bottom w:val="single" w:color="000000" w:sz="6" w:space="0"/>
                    <w:right w:val="single" w:color="000000" w:sz="12" w:space="0"/>
                  </w:tcBorders>
                  <w:vAlign w:val="center"/>
                </w:tcPr>
                <w:p>
                  <w:pPr>
                    <w:bidi w:val="0"/>
                    <w:jc w:val="both"/>
                  </w:pPr>
                  <w:r>
                    <w:rPr>
                      <w:rFonts w:hint="eastAsia"/>
                    </w:rPr>
                    <w:t>1.少量的药物性废物可以并入感染性废物中，但应在标签中注明；</w:t>
                  </w:r>
                </w:p>
                <w:p>
                  <w:pPr>
                    <w:bidi w:val="0"/>
                    <w:jc w:val="both"/>
                  </w:pPr>
                  <w:r>
                    <w:rPr>
                      <w:rFonts w:hint="eastAsia"/>
                    </w:rPr>
                    <w:t>2.批量废弃的药物性废物，收集后应交由具备相应资质的医疗废物处置单位或者危险废物处置单位等进行处置。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387" w:hRule="atLeast"/>
              </w:trPr>
              <w:tc>
                <w:tcPr>
                  <w:tcW w:w="275" w:type="pct"/>
                  <w:tcBorders>
                    <w:left w:val="single" w:color="000000" w:sz="12" w:space="0"/>
                    <w:right w:val="single" w:color="000000" w:sz="6" w:space="0"/>
                  </w:tcBorders>
                  <w:vAlign w:val="center"/>
                </w:tcPr>
                <w:p>
                  <w:pPr>
                    <w:bidi w:val="0"/>
                    <w:jc w:val="center"/>
                  </w:pPr>
                  <w:r>
                    <w:rPr>
                      <w:rFonts w:hint="eastAsia"/>
                    </w:rPr>
                    <w:t>化学性废物</w:t>
                  </w:r>
                </w:p>
              </w:tc>
              <w:tc>
                <w:tcPr>
                  <w:tcW w:w="585" w:type="pct"/>
                  <w:tcBorders>
                    <w:left w:val="single" w:color="000000" w:sz="6" w:space="0"/>
                    <w:right w:val="single" w:color="000000" w:sz="6" w:space="0"/>
                  </w:tcBorders>
                  <w:vAlign w:val="center"/>
                </w:tcPr>
                <w:p>
                  <w:pPr>
                    <w:bidi w:val="0"/>
                    <w:jc w:val="center"/>
                  </w:pPr>
                  <w:r>
                    <w:rPr>
                      <w:rFonts w:hint="eastAsia"/>
                    </w:rPr>
                    <w:t>具有毒性、腐蚀性、易燃性、反应性的废弃的化学物品</w:t>
                  </w:r>
                </w:p>
              </w:tc>
              <w:tc>
                <w:tcPr>
                  <w:tcW w:w="2068" w:type="pct"/>
                  <w:tcBorders>
                    <w:top w:val="single" w:color="000000" w:sz="6" w:space="0"/>
                    <w:left w:val="single" w:color="000000" w:sz="6" w:space="0"/>
                    <w:bottom w:val="single" w:color="000000" w:sz="6" w:space="0"/>
                    <w:right w:val="single" w:color="000000" w:sz="12" w:space="0"/>
                  </w:tcBorders>
                  <w:vAlign w:val="center"/>
                </w:tcPr>
                <w:p>
                  <w:pPr>
                    <w:bidi w:val="0"/>
                    <w:jc w:val="center"/>
                  </w:pPr>
                  <w:r>
                    <w:rPr>
                      <w:rFonts w:hint="eastAsia"/>
                    </w:rPr>
                    <w:t>列入《国家危险废物名录》中的废弃危险化学品，如甲醛、二甲苯等；非特定行业来源的危险废物，如含汞血压计、含汞体温计，废弃的牙科汞合金材料及其残余物等。</w:t>
                  </w:r>
                </w:p>
              </w:tc>
              <w:tc>
                <w:tcPr>
                  <w:tcW w:w="2071" w:type="pct"/>
                  <w:tcBorders>
                    <w:top w:val="single" w:color="000000" w:sz="6" w:space="0"/>
                    <w:left w:val="single" w:color="000000" w:sz="6" w:space="0"/>
                    <w:bottom w:val="single" w:color="000000" w:sz="6" w:space="0"/>
                    <w:right w:val="single" w:color="000000" w:sz="12" w:space="0"/>
                  </w:tcBorders>
                  <w:vAlign w:val="center"/>
                </w:tcPr>
                <w:p>
                  <w:pPr>
                    <w:bidi w:val="0"/>
                    <w:jc w:val="both"/>
                  </w:pPr>
                  <w:r>
                    <w:rPr>
                      <w:rFonts w:hint="eastAsia"/>
                    </w:rPr>
                    <w:t>1.收集于容器中，粘贴标签并注明主要成分；</w:t>
                  </w:r>
                </w:p>
                <w:p>
                  <w:pPr>
                    <w:bidi w:val="0"/>
                    <w:jc w:val="both"/>
                  </w:pPr>
                  <w:r>
                    <w:rPr>
                      <w:rFonts w:hint="eastAsia"/>
                    </w:rPr>
                    <w:t>2.收集后应交由具备相应资质的医疗废物处置单位或者危险废物处置单位等进行处置。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5000" w:type="pct"/>
                  <w:gridSpan w:val="4"/>
                  <w:tcBorders>
                    <w:left w:val="single" w:color="000000" w:sz="12" w:space="0"/>
                    <w:bottom w:val="single" w:color="000000" w:sz="12" w:space="0"/>
                    <w:right w:val="single" w:color="000000" w:sz="12" w:space="0"/>
                  </w:tcBorders>
                  <w:vAlign w:val="center"/>
                </w:tcPr>
                <w:p>
                  <w:pPr>
                    <w:bidi w:val="0"/>
                    <w:jc w:val="center"/>
                  </w:pPr>
                  <w:r>
                    <w:rPr>
                      <w:rFonts w:hint="eastAsia"/>
                    </w:rPr>
                    <w:t>说明：因以下废弃物不属于医疗废物，故未列入此表中。如：非传染病区使用或者未用于传染病患者、疑似传染病患者以及采取隔离措施的其他患者的输液瓶（袋），盛装消毒剂、透析液的空容器，一次性医用外包装物，废弃的中草药与中草药煎制后的残渣，盛装药物的药杯，尿杯，纸巾、湿巾、尿不湿、卫生巾、护理垫等一次性卫生用品，医用织物以及使用后的大、小便器等。居民日常生活中废弃的一次性口罩不属于医疗废物。</w:t>
                  </w:r>
                </w:p>
              </w:tc>
            </w:tr>
          </w:tbl>
          <w:p>
            <w:pPr>
              <w:ind w:firstLine="422" w:firstLineChars="200"/>
              <w:jc w:val="center"/>
              <w:rPr>
                <w:rFonts w:hint="default" w:ascii="Times New Roman" w:hAnsi="Times New Roman" w:cs="Times New Roman"/>
                <w:b/>
                <w:bCs/>
                <w:szCs w:val="21"/>
                <w:u w:val="single"/>
              </w:rPr>
            </w:pPr>
            <w:r>
              <w:rPr>
                <w:rFonts w:hint="default" w:ascii="Times New Roman" w:hAnsi="Times New Roman" w:cs="Times New Roman"/>
                <w:b/>
                <w:bCs/>
                <w:szCs w:val="21"/>
                <w:u w:val="none"/>
              </w:rPr>
              <w:t>表 4-1</w:t>
            </w:r>
            <w:r>
              <w:rPr>
                <w:rFonts w:hint="eastAsia" w:cs="Times New Roman"/>
                <w:b/>
                <w:bCs/>
                <w:szCs w:val="21"/>
                <w:u w:val="none"/>
                <w:lang w:val="en-US" w:eastAsia="zh-CN"/>
              </w:rPr>
              <w:t>7</w:t>
            </w:r>
            <w:bookmarkStart w:id="17" w:name="_GoBack"/>
            <w:bookmarkEnd w:id="17"/>
            <w:r>
              <w:rPr>
                <w:rFonts w:hint="default" w:ascii="Times New Roman" w:hAnsi="Times New Roman" w:cs="Times New Roman"/>
                <w:b/>
                <w:bCs/>
                <w:szCs w:val="21"/>
                <w:u w:val="none"/>
              </w:rPr>
              <w:t xml:space="preserve"> </w:t>
            </w:r>
            <w:r>
              <w:rPr>
                <w:rFonts w:hint="eastAsia" w:cs="Times New Roman"/>
                <w:b/>
                <w:bCs/>
                <w:szCs w:val="21"/>
                <w:u w:val="none"/>
                <w:lang w:val="en-US" w:eastAsia="zh-CN"/>
              </w:rPr>
              <w:t xml:space="preserve">  </w:t>
            </w:r>
            <w:r>
              <w:rPr>
                <w:rFonts w:hint="default" w:ascii="Times New Roman" w:hAnsi="Times New Roman" w:cs="Times New Roman"/>
                <w:b/>
                <w:bCs/>
                <w:szCs w:val="21"/>
                <w:u w:val="none"/>
              </w:rPr>
              <w:t>医疗废物豁免管理清单</w:t>
            </w:r>
          </w:p>
          <w:tbl>
            <w:tblPr>
              <w:tblStyle w:val="25"/>
              <w:tblW w:w="4998" w:type="pct"/>
              <w:tblInd w:w="-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78"/>
              <w:gridCol w:w="1162"/>
              <w:gridCol w:w="1467"/>
              <w:gridCol w:w="2758"/>
              <w:gridCol w:w="21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470" w:type="pct"/>
                  <w:tcBorders>
                    <w:tl2br w:val="nil"/>
                    <w:tr2bl w:val="nil"/>
                  </w:tcBorders>
                  <w:tcMar>
                    <w:top w:w="0" w:type="dxa"/>
                    <w:left w:w="108" w:type="dxa"/>
                    <w:bottom w:w="0" w:type="dxa"/>
                    <w:right w:w="108" w:type="dxa"/>
                  </w:tcMar>
                  <w:vAlign w:val="center"/>
                </w:tcPr>
                <w:p>
                  <w:pPr>
                    <w:widowControl/>
                    <w:spacing w:line="251" w:lineRule="atLeast"/>
                    <w:jc w:val="center"/>
                    <w:rPr>
                      <w:rFonts w:ascii="宋体" w:hAnsi="宋体" w:cs="宋体"/>
                      <w:kern w:val="0"/>
                      <w:szCs w:val="21"/>
                      <w:u w:val="none"/>
                    </w:rPr>
                  </w:pPr>
                  <w:r>
                    <w:rPr>
                      <w:rFonts w:hint="eastAsia" w:ascii="宋体" w:hAnsi="宋体" w:cs="宋体"/>
                      <w:b/>
                      <w:bCs/>
                      <w:kern w:val="0"/>
                      <w:szCs w:val="21"/>
                      <w:u w:val="none"/>
                    </w:rPr>
                    <w:t>序号</w:t>
                  </w:r>
                </w:p>
              </w:tc>
              <w:tc>
                <w:tcPr>
                  <w:tcW w:w="702" w:type="pct"/>
                  <w:tcBorders>
                    <w:tl2br w:val="nil"/>
                    <w:tr2bl w:val="nil"/>
                  </w:tcBorders>
                  <w:tcMar>
                    <w:top w:w="0" w:type="dxa"/>
                    <w:left w:w="108" w:type="dxa"/>
                    <w:bottom w:w="0" w:type="dxa"/>
                    <w:right w:w="108" w:type="dxa"/>
                  </w:tcMar>
                  <w:vAlign w:val="center"/>
                </w:tcPr>
                <w:p>
                  <w:pPr>
                    <w:widowControl/>
                    <w:spacing w:line="251" w:lineRule="atLeast"/>
                    <w:jc w:val="center"/>
                    <w:rPr>
                      <w:rFonts w:ascii="宋体" w:hAnsi="宋体" w:cs="宋体"/>
                      <w:kern w:val="0"/>
                      <w:szCs w:val="21"/>
                      <w:u w:val="none"/>
                    </w:rPr>
                  </w:pPr>
                  <w:r>
                    <w:rPr>
                      <w:rFonts w:hint="eastAsia" w:ascii="宋体" w:hAnsi="宋体" w:cs="宋体"/>
                      <w:b/>
                      <w:bCs/>
                      <w:kern w:val="0"/>
                      <w:szCs w:val="21"/>
                      <w:u w:val="none"/>
                    </w:rPr>
                    <w:t>名称</w:t>
                  </w:r>
                </w:p>
              </w:tc>
              <w:tc>
                <w:tcPr>
                  <w:tcW w:w="886" w:type="pct"/>
                  <w:tcBorders>
                    <w:tl2br w:val="nil"/>
                    <w:tr2bl w:val="nil"/>
                  </w:tcBorders>
                  <w:tcMar>
                    <w:top w:w="0" w:type="dxa"/>
                    <w:left w:w="108" w:type="dxa"/>
                    <w:bottom w:w="0" w:type="dxa"/>
                    <w:right w:w="108" w:type="dxa"/>
                  </w:tcMar>
                  <w:vAlign w:val="center"/>
                </w:tcPr>
                <w:p>
                  <w:pPr>
                    <w:widowControl/>
                    <w:spacing w:line="251" w:lineRule="atLeast"/>
                    <w:jc w:val="center"/>
                    <w:rPr>
                      <w:rFonts w:ascii="宋体" w:hAnsi="宋体" w:cs="宋体"/>
                      <w:kern w:val="0"/>
                      <w:szCs w:val="21"/>
                      <w:u w:val="none"/>
                    </w:rPr>
                  </w:pPr>
                  <w:r>
                    <w:rPr>
                      <w:rFonts w:hint="eastAsia" w:ascii="宋体" w:hAnsi="宋体" w:cs="宋体"/>
                      <w:b/>
                      <w:bCs/>
                      <w:kern w:val="0"/>
                      <w:szCs w:val="21"/>
                      <w:u w:val="none"/>
                    </w:rPr>
                    <w:t>豁免环节</w:t>
                  </w:r>
                </w:p>
              </w:tc>
              <w:tc>
                <w:tcPr>
                  <w:tcW w:w="1666" w:type="pct"/>
                  <w:tcBorders>
                    <w:tl2br w:val="nil"/>
                    <w:tr2bl w:val="nil"/>
                  </w:tcBorders>
                  <w:tcMar>
                    <w:top w:w="0" w:type="dxa"/>
                    <w:left w:w="108" w:type="dxa"/>
                    <w:bottom w:w="0" w:type="dxa"/>
                    <w:right w:w="108" w:type="dxa"/>
                  </w:tcMar>
                  <w:vAlign w:val="center"/>
                </w:tcPr>
                <w:p>
                  <w:pPr>
                    <w:widowControl/>
                    <w:spacing w:line="251" w:lineRule="atLeast"/>
                    <w:jc w:val="center"/>
                    <w:rPr>
                      <w:rFonts w:ascii="宋体" w:hAnsi="宋体" w:cs="宋体"/>
                      <w:kern w:val="0"/>
                      <w:szCs w:val="21"/>
                      <w:u w:val="none"/>
                    </w:rPr>
                  </w:pPr>
                  <w:r>
                    <w:rPr>
                      <w:rFonts w:hint="eastAsia" w:ascii="宋体" w:hAnsi="宋体" w:cs="宋体"/>
                      <w:b/>
                      <w:bCs/>
                      <w:kern w:val="0"/>
                      <w:szCs w:val="21"/>
                      <w:u w:val="none"/>
                    </w:rPr>
                    <w:t>豁免条件</w:t>
                  </w:r>
                </w:p>
              </w:tc>
              <w:tc>
                <w:tcPr>
                  <w:tcW w:w="1274" w:type="pct"/>
                  <w:tcBorders>
                    <w:tl2br w:val="nil"/>
                    <w:tr2bl w:val="nil"/>
                  </w:tcBorders>
                  <w:tcMar>
                    <w:top w:w="0" w:type="dxa"/>
                    <w:left w:w="108" w:type="dxa"/>
                    <w:bottom w:w="0" w:type="dxa"/>
                    <w:right w:w="108" w:type="dxa"/>
                  </w:tcMar>
                  <w:vAlign w:val="center"/>
                </w:tcPr>
                <w:p>
                  <w:pPr>
                    <w:widowControl/>
                    <w:spacing w:line="251" w:lineRule="atLeast"/>
                    <w:jc w:val="center"/>
                    <w:rPr>
                      <w:rFonts w:ascii="宋体" w:hAnsi="宋体" w:cs="宋体"/>
                      <w:kern w:val="0"/>
                      <w:szCs w:val="21"/>
                      <w:u w:val="none"/>
                    </w:rPr>
                  </w:pPr>
                  <w:r>
                    <w:rPr>
                      <w:rFonts w:hint="eastAsia" w:ascii="宋体" w:hAnsi="宋体" w:cs="宋体"/>
                      <w:b/>
                      <w:bCs/>
                      <w:kern w:val="0"/>
                      <w:szCs w:val="21"/>
                      <w:u w:val="none"/>
                    </w:rPr>
                    <w:t>豁免内容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625" w:hRule="atLeast"/>
              </w:trPr>
              <w:tc>
                <w:tcPr>
                  <w:tcW w:w="470" w:type="pct"/>
                  <w:tcBorders>
                    <w:tl2br w:val="nil"/>
                    <w:tr2bl w:val="nil"/>
                  </w:tcBorders>
                  <w:tcMar>
                    <w:top w:w="0" w:type="dxa"/>
                    <w:left w:w="108" w:type="dxa"/>
                    <w:bottom w:w="0" w:type="dxa"/>
                    <w:right w:w="108" w:type="dxa"/>
                  </w:tcMar>
                  <w:vAlign w:val="center"/>
                </w:tcPr>
                <w:p>
                  <w:pPr>
                    <w:widowControl/>
                    <w:spacing w:line="251" w:lineRule="atLeast"/>
                    <w:jc w:val="center"/>
                    <w:rPr>
                      <w:rFonts w:ascii="宋体" w:hAnsi="宋体" w:cs="宋体"/>
                      <w:kern w:val="0"/>
                      <w:szCs w:val="21"/>
                      <w:u w:val="none"/>
                    </w:rPr>
                  </w:pPr>
                  <w:r>
                    <w:rPr>
                      <w:rFonts w:hint="eastAsia" w:ascii="宋体" w:hAnsi="宋体" w:cs="宋体"/>
                      <w:kern w:val="0"/>
                      <w:szCs w:val="21"/>
                      <w:u w:val="none"/>
                    </w:rPr>
                    <w:t>1</w:t>
                  </w:r>
                </w:p>
              </w:tc>
              <w:tc>
                <w:tcPr>
                  <w:tcW w:w="702" w:type="pct"/>
                  <w:tcBorders>
                    <w:tl2br w:val="nil"/>
                    <w:tr2bl w:val="nil"/>
                  </w:tcBorders>
                  <w:tcMar>
                    <w:top w:w="0" w:type="dxa"/>
                    <w:left w:w="108" w:type="dxa"/>
                    <w:bottom w:w="0" w:type="dxa"/>
                    <w:right w:w="108" w:type="dxa"/>
                  </w:tcMar>
                  <w:vAlign w:val="center"/>
                </w:tcPr>
                <w:p>
                  <w:pPr>
                    <w:widowControl/>
                    <w:spacing w:line="251" w:lineRule="atLeast"/>
                    <w:jc w:val="center"/>
                    <w:rPr>
                      <w:rFonts w:ascii="宋体" w:hAnsi="宋体" w:cs="宋体"/>
                      <w:kern w:val="0"/>
                      <w:szCs w:val="21"/>
                      <w:u w:val="none"/>
                    </w:rPr>
                  </w:pPr>
                  <w:r>
                    <w:rPr>
                      <w:rFonts w:hint="eastAsia" w:ascii="宋体" w:hAnsi="宋体" w:cs="宋体"/>
                      <w:kern w:val="0"/>
                      <w:szCs w:val="21"/>
                      <w:u w:val="none"/>
                    </w:rPr>
                    <w:t>密封药瓶、安瓿瓶等玻璃药瓶</w:t>
                  </w:r>
                </w:p>
              </w:tc>
              <w:tc>
                <w:tcPr>
                  <w:tcW w:w="886" w:type="pct"/>
                  <w:tcBorders>
                    <w:tl2br w:val="nil"/>
                    <w:tr2bl w:val="nil"/>
                  </w:tcBorders>
                  <w:tcMar>
                    <w:top w:w="0" w:type="dxa"/>
                    <w:left w:w="108" w:type="dxa"/>
                    <w:bottom w:w="0" w:type="dxa"/>
                    <w:right w:w="108" w:type="dxa"/>
                  </w:tcMar>
                  <w:vAlign w:val="center"/>
                </w:tcPr>
                <w:p>
                  <w:pPr>
                    <w:widowControl/>
                    <w:spacing w:line="251" w:lineRule="atLeast"/>
                    <w:jc w:val="center"/>
                    <w:rPr>
                      <w:rFonts w:ascii="宋体" w:hAnsi="宋体" w:cs="宋体"/>
                      <w:kern w:val="0"/>
                      <w:szCs w:val="21"/>
                      <w:u w:val="none"/>
                    </w:rPr>
                  </w:pPr>
                  <w:r>
                    <w:rPr>
                      <w:rFonts w:hint="eastAsia" w:ascii="宋体" w:hAnsi="宋体" w:cs="宋体"/>
                      <w:kern w:val="0"/>
                      <w:szCs w:val="21"/>
                      <w:u w:val="none"/>
                    </w:rPr>
                    <w:t>收集</w:t>
                  </w:r>
                </w:p>
              </w:tc>
              <w:tc>
                <w:tcPr>
                  <w:tcW w:w="1666" w:type="pct"/>
                  <w:tcBorders>
                    <w:tl2br w:val="nil"/>
                    <w:tr2bl w:val="nil"/>
                  </w:tcBorders>
                  <w:tcMar>
                    <w:top w:w="0" w:type="dxa"/>
                    <w:left w:w="108" w:type="dxa"/>
                    <w:bottom w:w="0" w:type="dxa"/>
                    <w:right w:w="108" w:type="dxa"/>
                  </w:tcMar>
                  <w:vAlign w:val="center"/>
                </w:tcPr>
                <w:p>
                  <w:pPr>
                    <w:widowControl/>
                    <w:spacing w:line="251" w:lineRule="atLeast"/>
                    <w:jc w:val="center"/>
                    <w:rPr>
                      <w:rFonts w:ascii="宋体" w:hAnsi="宋体" w:cs="宋体"/>
                      <w:kern w:val="0"/>
                      <w:szCs w:val="21"/>
                      <w:u w:val="none"/>
                    </w:rPr>
                  </w:pPr>
                  <w:r>
                    <w:rPr>
                      <w:rFonts w:hint="eastAsia" w:ascii="宋体" w:hAnsi="宋体" w:cs="宋体"/>
                      <w:kern w:val="0"/>
                      <w:szCs w:val="21"/>
                      <w:u w:val="none"/>
                    </w:rPr>
                    <w:t>盛装容器应满足防渗漏、防刺破要求，并有医疗废物标识或者外加一层医疗废物包装袋。标签为损伤性废物，并注明：密封药瓶或者安瓿瓶。</w:t>
                  </w:r>
                </w:p>
              </w:tc>
              <w:tc>
                <w:tcPr>
                  <w:tcW w:w="1274" w:type="pct"/>
                  <w:tcBorders>
                    <w:tl2br w:val="nil"/>
                    <w:tr2bl w:val="nil"/>
                  </w:tcBorders>
                  <w:tcMar>
                    <w:top w:w="0" w:type="dxa"/>
                    <w:left w:w="108" w:type="dxa"/>
                    <w:bottom w:w="0" w:type="dxa"/>
                    <w:right w:w="108" w:type="dxa"/>
                  </w:tcMar>
                  <w:vAlign w:val="center"/>
                </w:tcPr>
                <w:p>
                  <w:pPr>
                    <w:widowControl/>
                    <w:spacing w:line="251" w:lineRule="atLeast"/>
                    <w:jc w:val="center"/>
                    <w:rPr>
                      <w:rFonts w:ascii="宋体" w:hAnsi="宋体" w:cs="宋体"/>
                      <w:kern w:val="0"/>
                      <w:szCs w:val="21"/>
                      <w:u w:val="none"/>
                    </w:rPr>
                  </w:pPr>
                  <w:r>
                    <w:rPr>
                      <w:rFonts w:hint="eastAsia" w:ascii="宋体" w:hAnsi="宋体" w:cs="宋体"/>
                      <w:kern w:val="0"/>
                      <w:szCs w:val="21"/>
                      <w:u w:val="none"/>
                    </w:rPr>
                    <w:t>可不使用利器盒收集。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470" w:type="pct"/>
                  <w:tcBorders>
                    <w:tl2br w:val="nil"/>
                    <w:tr2bl w:val="nil"/>
                  </w:tcBorders>
                  <w:tcMar>
                    <w:top w:w="0" w:type="dxa"/>
                    <w:left w:w="108" w:type="dxa"/>
                    <w:bottom w:w="0" w:type="dxa"/>
                    <w:right w:w="108" w:type="dxa"/>
                  </w:tcMar>
                  <w:vAlign w:val="center"/>
                </w:tcPr>
                <w:p>
                  <w:pPr>
                    <w:widowControl/>
                    <w:spacing w:line="251" w:lineRule="atLeast"/>
                    <w:jc w:val="center"/>
                    <w:rPr>
                      <w:rFonts w:ascii="宋体" w:hAnsi="宋体" w:cs="宋体"/>
                      <w:kern w:val="0"/>
                      <w:szCs w:val="21"/>
                      <w:u w:val="none"/>
                    </w:rPr>
                  </w:pPr>
                  <w:r>
                    <w:rPr>
                      <w:rFonts w:hint="eastAsia" w:ascii="宋体" w:hAnsi="宋体" w:cs="宋体"/>
                      <w:kern w:val="0"/>
                      <w:szCs w:val="21"/>
                      <w:u w:val="none"/>
                    </w:rPr>
                    <w:t>2</w:t>
                  </w:r>
                </w:p>
              </w:tc>
              <w:tc>
                <w:tcPr>
                  <w:tcW w:w="702" w:type="pct"/>
                  <w:tcBorders>
                    <w:tl2br w:val="nil"/>
                    <w:tr2bl w:val="nil"/>
                  </w:tcBorders>
                  <w:tcMar>
                    <w:top w:w="0" w:type="dxa"/>
                    <w:left w:w="108" w:type="dxa"/>
                    <w:bottom w:w="0" w:type="dxa"/>
                    <w:right w:w="108" w:type="dxa"/>
                  </w:tcMar>
                  <w:vAlign w:val="center"/>
                </w:tcPr>
                <w:p>
                  <w:pPr>
                    <w:widowControl/>
                    <w:spacing w:line="251" w:lineRule="atLeast"/>
                    <w:jc w:val="center"/>
                    <w:rPr>
                      <w:rFonts w:ascii="宋体" w:hAnsi="宋体" w:cs="宋体"/>
                      <w:kern w:val="0"/>
                      <w:szCs w:val="21"/>
                      <w:u w:val="none"/>
                    </w:rPr>
                  </w:pPr>
                  <w:r>
                    <w:rPr>
                      <w:rFonts w:hint="eastAsia" w:ascii="宋体" w:hAnsi="宋体" w:cs="宋体"/>
                      <w:kern w:val="0"/>
                      <w:szCs w:val="21"/>
                      <w:u w:val="none"/>
                    </w:rPr>
                    <w:t>导丝</w:t>
                  </w:r>
                </w:p>
              </w:tc>
              <w:tc>
                <w:tcPr>
                  <w:tcW w:w="886" w:type="pct"/>
                  <w:tcBorders>
                    <w:tl2br w:val="nil"/>
                    <w:tr2bl w:val="nil"/>
                  </w:tcBorders>
                  <w:tcMar>
                    <w:top w:w="0" w:type="dxa"/>
                    <w:left w:w="108" w:type="dxa"/>
                    <w:bottom w:w="0" w:type="dxa"/>
                    <w:right w:w="108" w:type="dxa"/>
                  </w:tcMar>
                  <w:vAlign w:val="center"/>
                </w:tcPr>
                <w:p>
                  <w:pPr>
                    <w:widowControl/>
                    <w:spacing w:line="251" w:lineRule="atLeast"/>
                    <w:jc w:val="center"/>
                    <w:rPr>
                      <w:rFonts w:ascii="宋体" w:hAnsi="宋体" w:cs="宋体"/>
                      <w:kern w:val="0"/>
                      <w:szCs w:val="21"/>
                      <w:u w:val="none"/>
                    </w:rPr>
                  </w:pPr>
                  <w:r>
                    <w:rPr>
                      <w:rFonts w:hint="eastAsia" w:ascii="宋体" w:hAnsi="宋体" w:cs="宋体"/>
                      <w:kern w:val="0"/>
                      <w:szCs w:val="21"/>
                      <w:u w:val="none"/>
                    </w:rPr>
                    <w:t>收集</w:t>
                  </w:r>
                </w:p>
              </w:tc>
              <w:tc>
                <w:tcPr>
                  <w:tcW w:w="1666" w:type="pct"/>
                  <w:tcBorders>
                    <w:tl2br w:val="nil"/>
                    <w:tr2bl w:val="nil"/>
                  </w:tcBorders>
                  <w:tcMar>
                    <w:top w:w="0" w:type="dxa"/>
                    <w:left w:w="108" w:type="dxa"/>
                    <w:bottom w:w="0" w:type="dxa"/>
                    <w:right w:w="108" w:type="dxa"/>
                  </w:tcMar>
                  <w:vAlign w:val="center"/>
                </w:tcPr>
                <w:p>
                  <w:pPr>
                    <w:widowControl/>
                    <w:spacing w:line="251" w:lineRule="atLeast"/>
                    <w:jc w:val="center"/>
                    <w:rPr>
                      <w:rFonts w:ascii="宋体" w:hAnsi="宋体" w:cs="宋体"/>
                      <w:kern w:val="0"/>
                      <w:szCs w:val="21"/>
                      <w:u w:val="none"/>
                    </w:rPr>
                  </w:pPr>
                  <w:r>
                    <w:rPr>
                      <w:rFonts w:hint="eastAsia" w:ascii="宋体" w:hAnsi="宋体" w:cs="宋体"/>
                      <w:kern w:val="0"/>
                      <w:szCs w:val="21"/>
                      <w:u w:val="none"/>
                    </w:rPr>
                    <w:t>盛装容器应满足防渗漏、防刺破要求，并有医疗废物标识或者外加一层医疗废物包装袋。标签为损伤性废物，并注明：导丝。</w:t>
                  </w:r>
                </w:p>
              </w:tc>
              <w:tc>
                <w:tcPr>
                  <w:tcW w:w="1274" w:type="pct"/>
                  <w:tcBorders>
                    <w:tl2br w:val="nil"/>
                    <w:tr2bl w:val="nil"/>
                  </w:tcBorders>
                  <w:tcMar>
                    <w:top w:w="0" w:type="dxa"/>
                    <w:left w:w="108" w:type="dxa"/>
                    <w:bottom w:w="0" w:type="dxa"/>
                    <w:right w:w="108" w:type="dxa"/>
                  </w:tcMar>
                  <w:vAlign w:val="center"/>
                </w:tcPr>
                <w:p>
                  <w:pPr>
                    <w:widowControl/>
                    <w:spacing w:line="251" w:lineRule="atLeast"/>
                    <w:jc w:val="center"/>
                    <w:rPr>
                      <w:rFonts w:ascii="宋体" w:hAnsi="宋体" w:cs="宋体"/>
                      <w:kern w:val="0"/>
                      <w:szCs w:val="21"/>
                      <w:u w:val="none"/>
                    </w:rPr>
                  </w:pPr>
                  <w:r>
                    <w:rPr>
                      <w:rFonts w:hint="eastAsia" w:ascii="宋体" w:hAnsi="宋体" w:cs="宋体"/>
                      <w:kern w:val="0"/>
                      <w:szCs w:val="21"/>
                      <w:u w:val="none"/>
                    </w:rPr>
                    <w:t>可不使用利器盒收集。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07" w:hRule="atLeast"/>
              </w:trPr>
              <w:tc>
                <w:tcPr>
                  <w:tcW w:w="470" w:type="pct"/>
                  <w:tcBorders>
                    <w:tl2br w:val="nil"/>
                    <w:tr2bl w:val="nil"/>
                  </w:tcBorders>
                  <w:tcMar>
                    <w:top w:w="0" w:type="dxa"/>
                    <w:left w:w="108" w:type="dxa"/>
                    <w:bottom w:w="0" w:type="dxa"/>
                    <w:right w:w="108" w:type="dxa"/>
                  </w:tcMar>
                  <w:vAlign w:val="center"/>
                </w:tcPr>
                <w:p>
                  <w:pPr>
                    <w:widowControl/>
                    <w:spacing w:line="251" w:lineRule="atLeast"/>
                    <w:jc w:val="center"/>
                    <w:rPr>
                      <w:rFonts w:ascii="宋体" w:hAnsi="宋体" w:cs="宋体"/>
                      <w:kern w:val="0"/>
                      <w:szCs w:val="21"/>
                      <w:u w:val="none"/>
                    </w:rPr>
                  </w:pPr>
                  <w:r>
                    <w:rPr>
                      <w:rFonts w:hint="eastAsia" w:ascii="宋体" w:hAnsi="宋体" w:cs="宋体"/>
                      <w:kern w:val="0"/>
                      <w:szCs w:val="21"/>
                      <w:u w:val="none"/>
                    </w:rPr>
                    <w:t>3</w:t>
                  </w:r>
                </w:p>
              </w:tc>
              <w:tc>
                <w:tcPr>
                  <w:tcW w:w="702" w:type="pct"/>
                  <w:tcBorders>
                    <w:tl2br w:val="nil"/>
                    <w:tr2bl w:val="nil"/>
                  </w:tcBorders>
                  <w:tcMar>
                    <w:top w:w="0" w:type="dxa"/>
                    <w:left w:w="108" w:type="dxa"/>
                    <w:bottom w:w="0" w:type="dxa"/>
                    <w:right w:w="108" w:type="dxa"/>
                  </w:tcMar>
                  <w:vAlign w:val="center"/>
                </w:tcPr>
                <w:p>
                  <w:pPr>
                    <w:widowControl/>
                    <w:spacing w:line="251" w:lineRule="atLeast"/>
                    <w:jc w:val="center"/>
                    <w:rPr>
                      <w:rFonts w:ascii="宋体" w:hAnsi="宋体" w:cs="宋体"/>
                      <w:kern w:val="0"/>
                      <w:szCs w:val="21"/>
                      <w:u w:val="none"/>
                    </w:rPr>
                  </w:pPr>
                  <w:r>
                    <w:rPr>
                      <w:rFonts w:hint="eastAsia" w:ascii="宋体" w:hAnsi="宋体" w:cs="宋体"/>
                      <w:kern w:val="0"/>
                      <w:szCs w:val="21"/>
                      <w:u w:val="none"/>
                    </w:rPr>
                    <w:t>棉签、棉球、输液贴</w:t>
                  </w:r>
                </w:p>
              </w:tc>
              <w:tc>
                <w:tcPr>
                  <w:tcW w:w="886" w:type="pct"/>
                  <w:tcBorders>
                    <w:tl2br w:val="nil"/>
                    <w:tr2bl w:val="nil"/>
                  </w:tcBorders>
                  <w:tcMar>
                    <w:top w:w="0" w:type="dxa"/>
                    <w:left w:w="108" w:type="dxa"/>
                    <w:bottom w:w="0" w:type="dxa"/>
                    <w:right w:w="108" w:type="dxa"/>
                  </w:tcMar>
                  <w:vAlign w:val="center"/>
                </w:tcPr>
                <w:p>
                  <w:pPr>
                    <w:widowControl/>
                    <w:spacing w:line="251" w:lineRule="atLeast"/>
                    <w:jc w:val="center"/>
                    <w:rPr>
                      <w:rFonts w:ascii="宋体" w:hAnsi="宋体" w:cs="宋体"/>
                      <w:kern w:val="0"/>
                      <w:szCs w:val="21"/>
                      <w:u w:val="none"/>
                    </w:rPr>
                  </w:pPr>
                  <w:r>
                    <w:rPr>
                      <w:rFonts w:hint="eastAsia" w:ascii="宋体" w:hAnsi="宋体" w:cs="宋体"/>
                      <w:kern w:val="0"/>
                      <w:szCs w:val="21"/>
                      <w:u w:val="none"/>
                    </w:rPr>
                    <w:t>全部环节</w:t>
                  </w:r>
                </w:p>
              </w:tc>
              <w:tc>
                <w:tcPr>
                  <w:tcW w:w="1666" w:type="pct"/>
                  <w:tcBorders>
                    <w:tl2br w:val="nil"/>
                    <w:tr2bl w:val="nil"/>
                  </w:tcBorders>
                  <w:tcMar>
                    <w:top w:w="0" w:type="dxa"/>
                    <w:left w:w="108" w:type="dxa"/>
                    <w:bottom w:w="0" w:type="dxa"/>
                    <w:right w:w="108" w:type="dxa"/>
                  </w:tcMar>
                  <w:vAlign w:val="center"/>
                </w:tcPr>
                <w:p>
                  <w:pPr>
                    <w:widowControl/>
                    <w:spacing w:line="251" w:lineRule="atLeast"/>
                    <w:jc w:val="center"/>
                    <w:rPr>
                      <w:rFonts w:ascii="宋体" w:hAnsi="宋体" w:cs="宋体"/>
                      <w:kern w:val="0"/>
                      <w:szCs w:val="21"/>
                      <w:u w:val="none"/>
                    </w:rPr>
                  </w:pPr>
                  <w:r>
                    <w:rPr>
                      <w:rFonts w:hint="eastAsia" w:ascii="宋体" w:hAnsi="宋体" w:cs="宋体"/>
                      <w:kern w:val="0"/>
                      <w:szCs w:val="21"/>
                      <w:u w:val="none"/>
                    </w:rPr>
                    <w:t>患者自行用于按压止血而未收集于医疗废物容器中的棉签、棉球、输液贴。</w:t>
                  </w:r>
                </w:p>
              </w:tc>
              <w:tc>
                <w:tcPr>
                  <w:tcW w:w="1274" w:type="pct"/>
                  <w:tcBorders>
                    <w:tl2br w:val="nil"/>
                    <w:tr2bl w:val="nil"/>
                  </w:tcBorders>
                  <w:tcMar>
                    <w:top w:w="0" w:type="dxa"/>
                    <w:left w:w="108" w:type="dxa"/>
                    <w:bottom w:w="0" w:type="dxa"/>
                    <w:right w:w="108" w:type="dxa"/>
                  </w:tcMar>
                  <w:vAlign w:val="center"/>
                </w:tcPr>
                <w:p>
                  <w:pPr>
                    <w:widowControl/>
                    <w:spacing w:line="251" w:lineRule="atLeast"/>
                    <w:jc w:val="center"/>
                    <w:rPr>
                      <w:rFonts w:ascii="宋体" w:hAnsi="宋体" w:cs="宋体"/>
                      <w:kern w:val="0"/>
                      <w:szCs w:val="21"/>
                      <w:u w:val="none"/>
                    </w:rPr>
                  </w:pPr>
                  <w:r>
                    <w:rPr>
                      <w:rFonts w:hint="eastAsia" w:ascii="宋体" w:hAnsi="宋体" w:cs="宋体"/>
                      <w:kern w:val="0"/>
                      <w:szCs w:val="21"/>
                      <w:u w:val="none"/>
                    </w:rPr>
                    <w:t>全过程不按照医疗废物管理。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470" w:type="pct"/>
                  <w:tcBorders>
                    <w:tl2br w:val="nil"/>
                    <w:tr2bl w:val="nil"/>
                  </w:tcBorders>
                  <w:tcMar>
                    <w:top w:w="0" w:type="dxa"/>
                    <w:left w:w="108" w:type="dxa"/>
                    <w:bottom w:w="0" w:type="dxa"/>
                    <w:right w:w="108" w:type="dxa"/>
                  </w:tcMar>
                  <w:vAlign w:val="center"/>
                </w:tcPr>
                <w:p>
                  <w:pPr>
                    <w:widowControl/>
                    <w:spacing w:line="251" w:lineRule="atLeast"/>
                    <w:jc w:val="center"/>
                    <w:rPr>
                      <w:rFonts w:ascii="宋体" w:hAnsi="宋体" w:cs="宋体"/>
                      <w:kern w:val="0"/>
                      <w:szCs w:val="21"/>
                      <w:u w:val="none"/>
                    </w:rPr>
                  </w:pPr>
                  <w:r>
                    <w:rPr>
                      <w:rFonts w:hint="eastAsia" w:ascii="宋体" w:hAnsi="宋体" w:cs="宋体"/>
                      <w:kern w:val="0"/>
                      <w:szCs w:val="21"/>
                      <w:u w:val="none"/>
                    </w:rPr>
                    <w:t>4</w:t>
                  </w:r>
                </w:p>
              </w:tc>
              <w:tc>
                <w:tcPr>
                  <w:tcW w:w="702" w:type="pct"/>
                  <w:tcBorders>
                    <w:tl2br w:val="nil"/>
                    <w:tr2bl w:val="nil"/>
                  </w:tcBorders>
                  <w:tcMar>
                    <w:top w:w="0" w:type="dxa"/>
                    <w:left w:w="108" w:type="dxa"/>
                    <w:bottom w:w="0" w:type="dxa"/>
                    <w:right w:w="108" w:type="dxa"/>
                  </w:tcMar>
                  <w:vAlign w:val="center"/>
                </w:tcPr>
                <w:p>
                  <w:pPr>
                    <w:widowControl/>
                    <w:spacing w:line="251" w:lineRule="atLeast"/>
                    <w:jc w:val="center"/>
                    <w:rPr>
                      <w:rFonts w:ascii="宋体" w:hAnsi="宋体" w:cs="宋体"/>
                      <w:kern w:val="0"/>
                      <w:szCs w:val="21"/>
                      <w:u w:val="none"/>
                    </w:rPr>
                  </w:pPr>
                  <w:r>
                    <w:rPr>
                      <w:rFonts w:hint="eastAsia" w:ascii="宋体" w:hAnsi="宋体" w:cs="宋体"/>
                      <w:kern w:val="0"/>
                      <w:szCs w:val="21"/>
                      <w:u w:val="none"/>
                    </w:rPr>
                    <w:t>感染性废物、损伤性废物以及相关技术可处理的病理性废物</w:t>
                  </w:r>
                </w:p>
              </w:tc>
              <w:tc>
                <w:tcPr>
                  <w:tcW w:w="886" w:type="pct"/>
                  <w:tcBorders>
                    <w:tl2br w:val="nil"/>
                    <w:tr2bl w:val="nil"/>
                  </w:tcBorders>
                  <w:tcMar>
                    <w:top w:w="0" w:type="dxa"/>
                    <w:left w:w="108" w:type="dxa"/>
                    <w:bottom w:w="0" w:type="dxa"/>
                    <w:right w:w="108" w:type="dxa"/>
                  </w:tcMar>
                  <w:vAlign w:val="center"/>
                </w:tcPr>
                <w:p>
                  <w:pPr>
                    <w:widowControl/>
                    <w:spacing w:line="251" w:lineRule="atLeast"/>
                    <w:jc w:val="center"/>
                    <w:rPr>
                      <w:rFonts w:ascii="宋体" w:hAnsi="宋体" w:cs="宋体"/>
                      <w:kern w:val="0"/>
                      <w:szCs w:val="21"/>
                      <w:u w:val="none"/>
                    </w:rPr>
                  </w:pPr>
                  <w:r>
                    <w:rPr>
                      <w:rFonts w:hint="eastAsia" w:ascii="宋体" w:hAnsi="宋体" w:cs="宋体"/>
                      <w:kern w:val="0"/>
                      <w:szCs w:val="21"/>
                      <w:u w:val="none"/>
                    </w:rPr>
                    <w:t>运输、贮存、处置</w:t>
                  </w:r>
                </w:p>
              </w:tc>
              <w:tc>
                <w:tcPr>
                  <w:tcW w:w="1666" w:type="pct"/>
                  <w:tcBorders>
                    <w:tl2br w:val="nil"/>
                    <w:tr2bl w:val="nil"/>
                  </w:tcBorders>
                  <w:tcMar>
                    <w:top w:w="0" w:type="dxa"/>
                    <w:left w:w="108" w:type="dxa"/>
                    <w:bottom w:w="0" w:type="dxa"/>
                    <w:right w:w="108" w:type="dxa"/>
                  </w:tcMar>
                  <w:vAlign w:val="center"/>
                </w:tcPr>
                <w:p>
                  <w:pPr>
                    <w:widowControl/>
                    <w:spacing w:line="251" w:lineRule="atLeast"/>
                    <w:jc w:val="center"/>
                    <w:rPr>
                      <w:rFonts w:ascii="宋体" w:hAnsi="宋体" w:cs="宋体"/>
                      <w:kern w:val="0"/>
                      <w:szCs w:val="21"/>
                      <w:u w:val="none"/>
                    </w:rPr>
                  </w:pPr>
                  <w:r>
                    <w:rPr>
                      <w:rFonts w:hint="eastAsia" w:ascii="宋体" w:hAnsi="宋体" w:cs="宋体"/>
                      <w:kern w:val="0"/>
                      <w:szCs w:val="21"/>
                      <w:u w:val="none"/>
                    </w:rPr>
                    <w:t>按照相关处理标准规范，采用高温蒸汽、微波、化学消毒、高温干热或者其他方式消毒处理后，在满足相关入厂（场）要求的前提下，运输至生活垃圾焚烧厂或生活垃圾填埋场等处置。</w:t>
                  </w:r>
                </w:p>
              </w:tc>
              <w:tc>
                <w:tcPr>
                  <w:tcW w:w="1274" w:type="pct"/>
                  <w:tcBorders>
                    <w:tl2br w:val="nil"/>
                    <w:tr2bl w:val="nil"/>
                  </w:tcBorders>
                  <w:tcMar>
                    <w:top w:w="0" w:type="dxa"/>
                    <w:left w:w="108" w:type="dxa"/>
                    <w:bottom w:w="0" w:type="dxa"/>
                    <w:right w:w="108" w:type="dxa"/>
                  </w:tcMar>
                  <w:vAlign w:val="center"/>
                </w:tcPr>
                <w:p>
                  <w:pPr>
                    <w:widowControl/>
                    <w:spacing w:line="251" w:lineRule="atLeast"/>
                    <w:jc w:val="center"/>
                    <w:rPr>
                      <w:rFonts w:ascii="宋体" w:hAnsi="宋体" w:cs="宋体"/>
                      <w:kern w:val="0"/>
                      <w:szCs w:val="21"/>
                      <w:u w:val="none"/>
                    </w:rPr>
                  </w:pPr>
                  <w:r>
                    <w:rPr>
                      <w:rFonts w:hint="eastAsia" w:ascii="宋体" w:hAnsi="宋体" w:cs="宋体"/>
                      <w:kern w:val="0"/>
                      <w:szCs w:val="21"/>
                      <w:u w:val="none"/>
                    </w:rPr>
                    <w:t>运输、贮存、处置过程不按照医疗废物管理。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61" w:hRule="atLeast"/>
              </w:trPr>
              <w:tc>
                <w:tcPr>
                  <w:tcW w:w="5000" w:type="pct"/>
                  <w:gridSpan w:val="5"/>
                  <w:tcBorders>
                    <w:tl2br w:val="nil"/>
                    <w:tr2bl w:val="nil"/>
                  </w:tcBorders>
                  <w:tcMar>
                    <w:top w:w="0" w:type="dxa"/>
                    <w:left w:w="108" w:type="dxa"/>
                    <w:bottom w:w="0" w:type="dxa"/>
                    <w:right w:w="108" w:type="dxa"/>
                  </w:tcMar>
                  <w:vAlign w:val="center"/>
                </w:tcPr>
                <w:p>
                  <w:pPr>
                    <w:widowControl/>
                    <w:spacing w:line="251" w:lineRule="atLeast"/>
                    <w:jc w:val="left"/>
                    <w:rPr>
                      <w:rFonts w:ascii="宋体" w:hAnsi="宋体" w:cs="宋体"/>
                      <w:kern w:val="0"/>
                      <w:szCs w:val="21"/>
                      <w:u w:val="none"/>
                    </w:rPr>
                  </w:pPr>
                  <w:r>
                    <w:rPr>
                      <w:rFonts w:hint="eastAsia" w:ascii="宋体" w:hAnsi="宋体" w:cs="宋体"/>
                      <w:kern w:val="0"/>
                      <w:szCs w:val="21"/>
                      <w:u w:val="none"/>
                    </w:rPr>
                    <w:t>说明：本附表收录的豁免清单为符合医疗废物定义、但无风险或者风险较低，在满足相关条件时，在部分环节或全部环节可不按医疗废物进行管理的废弃物。</w:t>
                  </w:r>
                </w:p>
              </w:tc>
            </w:tr>
          </w:tbl>
          <w:p>
            <w:pPr>
              <w:spacing w:line="240" w:lineRule="auto"/>
              <w:ind w:firstLine="480" w:firstLineChars="200"/>
              <w:rPr>
                <w:rFonts w:hint="eastAsia"/>
                <w:sz w:val="24"/>
                <w:u w:val="none"/>
              </w:rPr>
            </w:pPr>
          </w:p>
          <w:p>
            <w:pPr>
              <w:spacing w:line="360" w:lineRule="auto"/>
              <w:ind w:firstLine="480" w:firstLineChars="200"/>
              <w:rPr>
                <w:sz w:val="24"/>
                <w:u w:val="none"/>
              </w:rPr>
            </w:pPr>
            <w:r>
              <w:rPr>
                <w:rFonts w:hint="eastAsia"/>
                <w:sz w:val="24"/>
                <w:u w:val="none"/>
              </w:rPr>
              <w:t>根据《第一次全国污染源普查城镇生活源产排污系数手册》第四分册“医院污染物产生、排放系数”系数表单中“表2中医院医疗废物、用水量核算系数与校核系数”，本项目医疗废物核算系数为0.53kg/床.日，本项目病床数</w:t>
            </w:r>
            <w:r>
              <w:rPr>
                <w:rFonts w:hint="eastAsia"/>
                <w:sz w:val="24"/>
                <w:u w:val="none"/>
                <w:lang w:val="en-US" w:eastAsia="zh-CN"/>
              </w:rPr>
              <w:t>43</w:t>
            </w:r>
            <w:r>
              <w:rPr>
                <w:rFonts w:hint="eastAsia"/>
                <w:sz w:val="24"/>
                <w:u w:val="none"/>
              </w:rPr>
              <w:t>张，即医疗垃圾产生量为</w:t>
            </w:r>
            <w:r>
              <w:rPr>
                <w:rFonts w:hint="eastAsia"/>
                <w:sz w:val="24"/>
                <w:u w:val="none"/>
                <w:lang w:val="en-US" w:eastAsia="zh-CN"/>
              </w:rPr>
              <w:t>0.023t/d（8.40t/a）</w:t>
            </w:r>
            <w:r>
              <w:rPr>
                <w:rFonts w:hint="eastAsia"/>
                <w:sz w:val="24"/>
                <w:u w:val="none"/>
              </w:rPr>
              <w:t>，根据《国家危险废物名录》（2021年版）和《医疗废物分类目录》，本项目产生的医疗废物（HW01）主要有感染性废物（841-001-01），损伤性废物（841-002-01）、病理性废物（841-003-01）、化学性废物（841-004-01）、药物性废物（841-005-01）等，</w:t>
            </w:r>
            <w:r>
              <w:rPr>
                <w:sz w:val="24"/>
                <w:u w:val="none"/>
              </w:rPr>
              <w:t>建设单位需按照医疗废物分类名录，对医疗废物分类收集后由专用运输通道和工具运往地下室的医疗废物暂存间分类暂存。感染性废物、病理性废物用密封袋包装，检验废液采用防渗漏的废液桶盛装，损伤性废物采用专用的锐器收集筒分类单独存放；暂存于危险废物暂存间内</w:t>
            </w:r>
            <w:r>
              <w:rPr>
                <w:rFonts w:hint="eastAsia"/>
                <w:sz w:val="24"/>
                <w:u w:val="none"/>
              </w:rPr>
              <w:t>，再由有资质的单位收集处置。</w:t>
            </w:r>
          </w:p>
          <w:p>
            <w:pPr>
              <w:spacing w:line="360" w:lineRule="auto"/>
              <w:ind w:firstLine="480" w:firstLineChars="200"/>
              <w:rPr>
                <w:sz w:val="24"/>
                <w:u w:val="none"/>
              </w:rPr>
            </w:pPr>
            <w:r>
              <w:rPr>
                <w:sz w:val="24"/>
                <w:u w:val="none"/>
              </w:rPr>
              <w:t>b</w:t>
            </w:r>
            <w:r>
              <w:rPr>
                <w:rFonts w:hint="eastAsia"/>
                <w:sz w:val="24"/>
                <w:u w:val="none"/>
              </w:rPr>
              <w:t>、废包装材料</w:t>
            </w:r>
          </w:p>
          <w:p>
            <w:pPr>
              <w:spacing w:line="360" w:lineRule="auto"/>
              <w:ind w:firstLine="480" w:firstLineChars="200"/>
              <w:rPr>
                <w:sz w:val="24"/>
                <w:u w:val="none"/>
              </w:rPr>
            </w:pPr>
            <w:r>
              <w:rPr>
                <w:rFonts w:hint="eastAsia"/>
                <w:sz w:val="24"/>
                <w:u w:val="none"/>
              </w:rPr>
              <w:t>废包装材料来自药品等的外包装，属于一般固废，根据建设单位提供的资料，废包装材料产生量为1t/a，收集后交由环卫部门处置。</w:t>
            </w:r>
          </w:p>
          <w:p>
            <w:pPr>
              <w:spacing w:line="360" w:lineRule="auto"/>
              <w:ind w:firstLine="480" w:firstLineChars="200"/>
              <w:rPr>
                <w:sz w:val="24"/>
                <w:u w:val="none"/>
              </w:rPr>
            </w:pPr>
            <w:r>
              <w:rPr>
                <w:rFonts w:hint="eastAsia"/>
                <w:sz w:val="24"/>
                <w:u w:val="none"/>
              </w:rPr>
              <w:t>c、生活垃圾</w:t>
            </w:r>
          </w:p>
          <w:p>
            <w:pPr>
              <w:spacing w:line="360" w:lineRule="auto"/>
              <w:ind w:firstLine="480" w:firstLineChars="200"/>
              <w:rPr>
                <w:sz w:val="24"/>
                <w:u w:val="none"/>
              </w:rPr>
            </w:pPr>
            <w:r>
              <w:rPr>
                <w:rFonts w:hint="eastAsia"/>
                <w:sz w:val="24"/>
                <w:u w:val="none"/>
              </w:rPr>
              <w:t>根据查阅《第一次全国污染源普查城镇生活源产排污系数手册》中《第四分册、医院污染物产生、排放系数手册》，湖南地区生活垃圾产生系数</w:t>
            </w:r>
            <w:r>
              <w:rPr>
                <w:sz w:val="24"/>
                <w:u w:val="none"/>
              </w:rPr>
              <w:t>0.54kg/</w:t>
            </w:r>
            <w:r>
              <w:rPr>
                <w:rFonts w:hint="eastAsia"/>
                <w:sz w:val="24"/>
                <w:u w:val="none"/>
              </w:rPr>
              <w:t>人</w:t>
            </w:r>
            <w:r>
              <w:rPr>
                <w:sz w:val="24"/>
                <w:u w:val="none"/>
              </w:rPr>
              <w:t>·d</w:t>
            </w:r>
            <w:r>
              <w:rPr>
                <w:rFonts w:hint="eastAsia"/>
                <w:sz w:val="24"/>
                <w:u w:val="none"/>
              </w:rPr>
              <w:t>，本项目医护人员共计220人，住院部床位数</w:t>
            </w:r>
            <w:r>
              <w:rPr>
                <w:rFonts w:hint="eastAsia"/>
                <w:sz w:val="24"/>
                <w:u w:val="none"/>
                <w:lang w:val="en-US" w:eastAsia="zh-CN"/>
              </w:rPr>
              <w:t>43</w:t>
            </w:r>
            <w:r>
              <w:rPr>
                <w:rFonts w:hint="eastAsia"/>
                <w:sz w:val="24"/>
                <w:u w:val="none"/>
              </w:rPr>
              <w:t>张，陪护人员</w:t>
            </w:r>
            <w:r>
              <w:rPr>
                <w:rFonts w:hint="eastAsia"/>
                <w:sz w:val="24"/>
                <w:u w:val="none"/>
                <w:lang w:val="en-US" w:eastAsia="zh-CN"/>
              </w:rPr>
              <w:t>43</w:t>
            </w:r>
            <w:r>
              <w:rPr>
                <w:rFonts w:hint="eastAsia"/>
                <w:sz w:val="24"/>
                <w:u w:val="none"/>
              </w:rPr>
              <w:t>人，则本项目生活垃圾产生总量为</w:t>
            </w:r>
            <w:r>
              <w:rPr>
                <w:rFonts w:hint="eastAsia"/>
                <w:sz w:val="24"/>
                <w:highlight w:val="none"/>
                <w:u w:val="none"/>
                <w:lang w:val="en-US" w:eastAsia="zh-CN"/>
              </w:rPr>
              <w:t>0.167</w:t>
            </w:r>
            <w:r>
              <w:rPr>
                <w:sz w:val="24"/>
                <w:highlight w:val="none"/>
                <w:u w:val="none"/>
              </w:rPr>
              <w:t>t/</w:t>
            </w:r>
            <w:r>
              <w:rPr>
                <w:rFonts w:hint="eastAsia"/>
                <w:sz w:val="24"/>
                <w:highlight w:val="none"/>
                <w:u w:val="none"/>
                <w:lang w:val="en-US" w:eastAsia="zh-CN"/>
              </w:rPr>
              <w:t>d</w:t>
            </w:r>
            <w:r>
              <w:rPr>
                <w:rFonts w:hint="eastAsia"/>
                <w:sz w:val="24"/>
                <w:highlight w:val="none"/>
                <w:u w:val="none"/>
              </w:rPr>
              <w:t>（</w:t>
            </w:r>
            <w:r>
              <w:rPr>
                <w:rFonts w:hint="eastAsia"/>
                <w:sz w:val="24"/>
                <w:highlight w:val="none"/>
                <w:u w:val="none"/>
                <w:lang w:val="en-US" w:eastAsia="zh-CN"/>
              </w:rPr>
              <w:t>60.96</w:t>
            </w:r>
            <w:r>
              <w:rPr>
                <w:sz w:val="24"/>
                <w:highlight w:val="none"/>
                <w:u w:val="none"/>
              </w:rPr>
              <w:t>t/</w:t>
            </w:r>
            <w:r>
              <w:rPr>
                <w:rFonts w:hint="eastAsia"/>
                <w:sz w:val="24"/>
                <w:highlight w:val="none"/>
                <w:u w:val="none"/>
                <w:lang w:val="en-US" w:eastAsia="zh-CN"/>
              </w:rPr>
              <w:t>a</w:t>
            </w:r>
            <w:r>
              <w:rPr>
                <w:rFonts w:hint="eastAsia"/>
                <w:sz w:val="24"/>
                <w:highlight w:val="none"/>
                <w:u w:val="none"/>
              </w:rPr>
              <w:t>）</w:t>
            </w:r>
            <w:r>
              <w:rPr>
                <w:rFonts w:hint="eastAsia"/>
                <w:sz w:val="24"/>
                <w:u w:val="none"/>
              </w:rPr>
              <w:t>。生活垃圾经集中收集后，经专用的通道运送至生活垃圾暂存间，每日由环卫部门进行清运处理。</w:t>
            </w:r>
          </w:p>
          <w:p>
            <w:pPr>
              <w:spacing w:line="360" w:lineRule="auto"/>
              <w:ind w:firstLine="480" w:firstLineChars="200"/>
              <w:rPr>
                <w:sz w:val="24"/>
                <w:u w:val="none"/>
              </w:rPr>
            </w:pPr>
            <w:r>
              <w:rPr>
                <w:sz w:val="24"/>
                <w:u w:val="none"/>
              </w:rPr>
              <w:t>d</w:t>
            </w:r>
            <w:r>
              <w:rPr>
                <w:rFonts w:hint="eastAsia"/>
                <w:sz w:val="24"/>
                <w:u w:val="none"/>
              </w:rPr>
              <w:t>、一次性输液瓶（袋）</w:t>
            </w:r>
          </w:p>
          <w:p>
            <w:pPr>
              <w:spacing w:line="360" w:lineRule="auto"/>
              <w:ind w:firstLine="480" w:firstLineChars="200"/>
              <w:rPr>
                <w:color w:val="FF0000"/>
                <w:sz w:val="24"/>
                <w:u w:val="none"/>
              </w:rPr>
            </w:pPr>
            <w:r>
              <w:rPr>
                <w:rFonts w:hint="eastAsia"/>
                <w:sz w:val="24"/>
                <w:u w:val="none"/>
              </w:rPr>
              <w:t>根据《关于明确医疗废物分类的有关问题的通知》（卫办医发</w:t>
            </w:r>
            <w:r>
              <w:rPr>
                <w:sz w:val="24"/>
                <w:u w:val="none"/>
              </w:rPr>
              <w:t>[2005]292</w:t>
            </w:r>
            <w:r>
              <w:rPr>
                <w:rFonts w:hint="eastAsia"/>
                <w:sz w:val="24"/>
                <w:u w:val="none"/>
              </w:rPr>
              <w:t>号），本项目产生的各类玻璃（一次性塑料）输液瓶（袋），未被病人血液、体液、排泄物污染的，不属于医疗废物，不必按照医疗废物进行管理。根据建设单位提供的资料，此类固体废物产生量约为5</w:t>
            </w:r>
            <w:r>
              <w:rPr>
                <w:sz w:val="24"/>
                <w:u w:val="none"/>
              </w:rPr>
              <w:t>t/a</w:t>
            </w:r>
            <w:r>
              <w:rPr>
                <w:rFonts w:hint="eastAsia"/>
                <w:sz w:val="24"/>
                <w:u w:val="none"/>
              </w:rPr>
              <w:t>。一次性输液瓶（袋）经收集后，委托有此类废物处置资质单位处置。</w:t>
            </w:r>
          </w:p>
          <w:p>
            <w:pPr>
              <w:spacing w:line="360" w:lineRule="auto"/>
              <w:ind w:firstLine="480" w:firstLineChars="200"/>
              <w:rPr>
                <w:rFonts w:hint="default" w:ascii="Times New Roman" w:hAnsi="Times New Roman" w:eastAsia="宋体" w:cs="Times New Roman"/>
                <w:sz w:val="24"/>
                <w:u w:val="none"/>
                <w:lang w:val="en-US" w:eastAsia="zh-CN"/>
              </w:rPr>
            </w:pPr>
            <w:r>
              <w:rPr>
                <w:sz w:val="24"/>
                <w:u w:val="none"/>
              </w:rPr>
              <w:t>e</w:t>
            </w:r>
            <w:r>
              <w:rPr>
                <w:rFonts w:hint="eastAsia"/>
                <w:sz w:val="24"/>
                <w:u w:val="none"/>
              </w:rPr>
              <w:t>、</w:t>
            </w:r>
            <w:r>
              <w:rPr>
                <w:rFonts w:hint="eastAsia" w:ascii="Times New Roman" w:hAnsi="Times New Roman" w:eastAsia="宋体" w:cs="Times New Roman"/>
                <w:sz w:val="24"/>
                <w:u w:val="none"/>
                <w:lang w:val="en-US" w:eastAsia="zh-CN"/>
              </w:rPr>
              <w:t>化粪池污泥</w:t>
            </w:r>
          </w:p>
          <w:p>
            <w:pPr>
              <w:bidi w:val="0"/>
              <w:spacing w:line="360" w:lineRule="auto"/>
              <w:ind w:firstLine="480" w:firstLineChars="200"/>
              <w:rPr>
                <w:rFonts w:hint="eastAsia"/>
                <w:sz w:val="24"/>
                <w:szCs w:val="24"/>
                <w:u w:val="none"/>
                <w:lang w:val="en-US" w:eastAsia="zh-CN"/>
              </w:rPr>
            </w:pPr>
            <w:r>
              <w:rPr>
                <w:rFonts w:hint="eastAsia"/>
                <w:sz w:val="24"/>
                <w:szCs w:val="24"/>
                <w:u w:val="none"/>
                <w:lang w:val="en-US" w:eastAsia="zh-CN"/>
              </w:rPr>
              <w:t>化粪池污泥来自医院医务人员和患者的粪便，每人每天的粪便量约为150克，一般清掏周期为1年1次，产生量约为1.0t/a。化粪池污泥含</w:t>
            </w:r>
            <w:r>
              <w:rPr>
                <w:rFonts w:hint="eastAsia"/>
                <w:sz w:val="24"/>
                <w:szCs w:val="24"/>
                <w:u w:val="none"/>
              </w:rPr>
              <w:t>致病菌，根据《国家危险废物名录》（2021年版）和《医疗废物分类目录》，污泥</w:t>
            </w:r>
            <w:r>
              <w:rPr>
                <w:sz w:val="24"/>
                <w:szCs w:val="24"/>
                <w:u w:val="none"/>
              </w:rPr>
              <w:t>经</w:t>
            </w:r>
            <w:r>
              <w:rPr>
                <w:rFonts w:hint="eastAsia"/>
                <w:sz w:val="24"/>
                <w:szCs w:val="24"/>
                <w:u w:val="none"/>
              </w:rPr>
              <w:t>漂白粉</w:t>
            </w:r>
            <w:r>
              <w:rPr>
                <w:sz w:val="24"/>
                <w:szCs w:val="24"/>
                <w:u w:val="none"/>
              </w:rPr>
              <w:t>消毒和</w:t>
            </w:r>
            <w:r>
              <w:rPr>
                <w:rFonts w:hint="eastAsia"/>
                <w:sz w:val="24"/>
                <w:szCs w:val="24"/>
                <w:u w:val="none"/>
              </w:rPr>
              <w:t>机械</w:t>
            </w:r>
            <w:r>
              <w:rPr>
                <w:sz w:val="24"/>
                <w:szCs w:val="24"/>
                <w:u w:val="none"/>
              </w:rPr>
              <w:t>脱水，达到《医疗机构水污染物排放标准》（GB18466-2005）中的医疗机构污泥控制标准，采用防渗漏的危废收集桶密封储存在医疗废物暂存间，储存时间不超过15d，及时交由有资质单位处置</w:t>
            </w:r>
            <w:r>
              <w:rPr>
                <w:rFonts w:hint="eastAsia"/>
                <w:sz w:val="24"/>
                <w:szCs w:val="24"/>
                <w:u w:val="none"/>
                <w:lang w:eastAsia="zh-CN"/>
              </w:rPr>
              <w:t>。</w:t>
            </w:r>
          </w:p>
          <w:p>
            <w:pPr>
              <w:spacing w:line="360" w:lineRule="auto"/>
              <w:ind w:firstLine="480" w:firstLineChars="200"/>
              <w:rPr>
                <w:rFonts w:hint="eastAsia" w:ascii="Times New Roman" w:hAnsi="Times New Roman" w:eastAsia="宋体" w:cs="Times New Roman"/>
                <w:kern w:val="2"/>
                <w:sz w:val="24"/>
                <w:szCs w:val="24"/>
                <w:u w:val="none"/>
                <w:lang w:val="en-US" w:eastAsia="zh-CN" w:bidi="ar-SA"/>
              </w:rPr>
            </w:pPr>
            <w:r>
              <w:rPr>
                <w:rFonts w:hint="eastAsia" w:ascii="Times New Roman" w:hAnsi="Times New Roman" w:eastAsia="宋体" w:cs="Times New Roman"/>
                <w:kern w:val="2"/>
                <w:sz w:val="24"/>
                <w:szCs w:val="24"/>
                <w:u w:val="none"/>
                <w:lang w:val="en-US" w:eastAsia="zh-CN" w:bidi="ar-SA"/>
              </w:rPr>
              <w:t>本项目运营过程中固体废物产生情况见下表：</w:t>
            </w:r>
          </w:p>
          <w:p>
            <w:pPr>
              <w:jc w:val="center"/>
              <w:rPr>
                <w:b/>
                <w:bCs/>
                <w:szCs w:val="21"/>
                <w:u w:val="single"/>
              </w:rPr>
            </w:pPr>
            <w:r>
              <w:rPr>
                <w:b/>
                <w:bCs/>
                <w:szCs w:val="21"/>
                <w:u w:val="single"/>
              </w:rPr>
              <w:t>表</w:t>
            </w:r>
            <w:r>
              <w:rPr>
                <w:rFonts w:hint="eastAsia"/>
                <w:b/>
                <w:bCs/>
                <w:szCs w:val="21"/>
                <w:u w:val="single"/>
              </w:rPr>
              <w:t>4-1</w:t>
            </w:r>
            <w:r>
              <w:rPr>
                <w:rFonts w:hint="eastAsia"/>
                <w:b/>
                <w:bCs/>
                <w:szCs w:val="21"/>
                <w:u w:val="single"/>
                <w:lang w:val="en-US" w:eastAsia="zh-CN"/>
              </w:rPr>
              <w:t>8</w:t>
            </w:r>
            <w:r>
              <w:rPr>
                <w:b/>
                <w:bCs/>
                <w:szCs w:val="21"/>
                <w:u w:val="single"/>
              </w:rPr>
              <w:t xml:space="preserve">  本项目固废产生情况表</w:t>
            </w:r>
          </w:p>
          <w:tbl>
            <w:tblPr>
              <w:tblStyle w:val="25"/>
              <w:tblW w:w="493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83"/>
              <w:gridCol w:w="1290"/>
              <w:gridCol w:w="898"/>
              <w:gridCol w:w="1123"/>
              <w:gridCol w:w="34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exact"/>
                <w:jc w:val="center"/>
              </w:trPr>
              <w:tc>
                <w:tcPr>
                  <w:tcW w:w="846" w:type="pct"/>
                  <w:noWrap/>
                  <w:vAlign w:val="center"/>
                </w:tcPr>
                <w:p>
                  <w:pPr>
                    <w:jc w:val="center"/>
                    <w:rPr>
                      <w:szCs w:val="21"/>
                      <w:u w:val="single"/>
                    </w:rPr>
                  </w:pPr>
                  <w:r>
                    <w:rPr>
                      <w:szCs w:val="21"/>
                      <w:u w:val="single"/>
                    </w:rPr>
                    <w:t>类型</w:t>
                  </w:r>
                </w:p>
              </w:tc>
              <w:tc>
                <w:tcPr>
                  <w:tcW w:w="789" w:type="pct"/>
                  <w:noWrap/>
                  <w:vAlign w:val="center"/>
                </w:tcPr>
                <w:p>
                  <w:pPr>
                    <w:jc w:val="center"/>
                    <w:rPr>
                      <w:szCs w:val="21"/>
                      <w:u w:val="single"/>
                    </w:rPr>
                  </w:pPr>
                  <w:r>
                    <w:rPr>
                      <w:szCs w:val="21"/>
                      <w:u w:val="single"/>
                    </w:rPr>
                    <w:t>数量</w:t>
                  </w:r>
                </w:p>
              </w:tc>
              <w:tc>
                <w:tcPr>
                  <w:tcW w:w="549" w:type="pct"/>
                  <w:noWrap/>
                  <w:vAlign w:val="center"/>
                </w:tcPr>
                <w:p>
                  <w:pPr>
                    <w:jc w:val="center"/>
                    <w:rPr>
                      <w:szCs w:val="21"/>
                      <w:u w:val="single"/>
                    </w:rPr>
                  </w:pPr>
                  <w:r>
                    <w:rPr>
                      <w:szCs w:val="21"/>
                      <w:u w:val="single"/>
                    </w:rPr>
                    <w:t>分类编号</w:t>
                  </w:r>
                </w:p>
              </w:tc>
              <w:tc>
                <w:tcPr>
                  <w:tcW w:w="687" w:type="pct"/>
                  <w:noWrap/>
                  <w:vAlign w:val="center"/>
                </w:tcPr>
                <w:p>
                  <w:pPr>
                    <w:jc w:val="center"/>
                    <w:rPr>
                      <w:szCs w:val="21"/>
                      <w:u w:val="single"/>
                    </w:rPr>
                  </w:pPr>
                  <w:r>
                    <w:rPr>
                      <w:szCs w:val="21"/>
                      <w:u w:val="single"/>
                    </w:rPr>
                    <w:t>废物性质</w:t>
                  </w:r>
                </w:p>
              </w:tc>
              <w:tc>
                <w:tcPr>
                  <w:tcW w:w="2128" w:type="pct"/>
                  <w:noWrap/>
                  <w:vAlign w:val="center"/>
                </w:tcPr>
                <w:p>
                  <w:pPr>
                    <w:jc w:val="center"/>
                    <w:rPr>
                      <w:szCs w:val="21"/>
                      <w:u w:val="single"/>
                    </w:rPr>
                  </w:pPr>
                  <w:r>
                    <w:rPr>
                      <w:szCs w:val="21"/>
                      <w:u w:val="single"/>
                    </w:rPr>
                    <w:t>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7" w:hRule="exact"/>
                <w:jc w:val="center"/>
              </w:trPr>
              <w:tc>
                <w:tcPr>
                  <w:tcW w:w="846" w:type="pct"/>
                  <w:noWrap/>
                  <w:vAlign w:val="center"/>
                </w:tcPr>
                <w:p>
                  <w:pPr>
                    <w:jc w:val="center"/>
                    <w:rPr>
                      <w:szCs w:val="21"/>
                      <w:u w:val="single"/>
                    </w:rPr>
                  </w:pPr>
                  <w:r>
                    <w:rPr>
                      <w:rFonts w:hint="eastAsia"/>
                      <w:szCs w:val="21"/>
                      <w:u w:val="single"/>
                    </w:rPr>
                    <w:t>医疗废物</w:t>
                  </w:r>
                </w:p>
              </w:tc>
              <w:tc>
                <w:tcPr>
                  <w:tcW w:w="789" w:type="pct"/>
                  <w:noWrap/>
                  <w:vAlign w:val="center"/>
                </w:tcPr>
                <w:p>
                  <w:pPr>
                    <w:jc w:val="center"/>
                    <w:rPr>
                      <w:rFonts w:hint="default" w:eastAsia="宋体"/>
                      <w:szCs w:val="21"/>
                      <w:highlight w:val="yellow"/>
                      <w:u w:val="single"/>
                      <w:lang w:val="en-US" w:eastAsia="zh-CN"/>
                    </w:rPr>
                  </w:pPr>
                  <w:r>
                    <w:rPr>
                      <w:rFonts w:hint="eastAsia"/>
                      <w:szCs w:val="21"/>
                      <w:highlight w:val="none"/>
                      <w:u w:val="single"/>
                      <w:lang w:val="en-US" w:eastAsia="zh-CN"/>
                    </w:rPr>
                    <w:t>8.40t/a</w:t>
                  </w:r>
                </w:p>
              </w:tc>
              <w:tc>
                <w:tcPr>
                  <w:tcW w:w="549" w:type="pct"/>
                  <w:noWrap/>
                  <w:vAlign w:val="center"/>
                </w:tcPr>
                <w:p>
                  <w:pPr>
                    <w:jc w:val="center"/>
                    <w:rPr>
                      <w:szCs w:val="21"/>
                      <w:u w:val="single"/>
                    </w:rPr>
                  </w:pPr>
                  <w:r>
                    <w:rPr>
                      <w:rFonts w:hint="eastAsia"/>
                      <w:szCs w:val="21"/>
                      <w:u w:val="single"/>
                    </w:rPr>
                    <w:t>HW01</w:t>
                  </w:r>
                </w:p>
              </w:tc>
              <w:tc>
                <w:tcPr>
                  <w:tcW w:w="687" w:type="pct"/>
                  <w:noWrap/>
                  <w:vAlign w:val="center"/>
                </w:tcPr>
                <w:p>
                  <w:pPr>
                    <w:jc w:val="center"/>
                    <w:rPr>
                      <w:szCs w:val="21"/>
                      <w:u w:val="single"/>
                    </w:rPr>
                  </w:pPr>
                  <w:r>
                    <w:rPr>
                      <w:rFonts w:hint="eastAsia"/>
                      <w:szCs w:val="21"/>
                      <w:u w:val="single"/>
                    </w:rPr>
                    <w:t>危险固废</w:t>
                  </w:r>
                </w:p>
              </w:tc>
              <w:tc>
                <w:tcPr>
                  <w:tcW w:w="2128" w:type="pct"/>
                  <w:noWrap/>
                  <w:vAlign w:val="center"/>
                </w:tcPr>
                <w:p>
                  <w:pPr>
                    <w:jc w:val="center"/>
                    <w:rPr>
                      <w:szCs w:val="21"/>
                      <w:u w:val="single"/>
                    </w:rPr>
                  </w:pPr>
                  <w:r>
                    <w:rPr>
                      <w:rFonts w:hint="eastAsia"/>
                      <w:szCs w:val="21"/>
                      <w:u w:val="single"/>
                    </w:rPr>
                    <w:t>定期收集后交由有危废资质的单位处置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exact"/>
                <w:jc w:val="center"/>
              </w:trPr>
              <w:tc>
                <w:tcPr>
                  <w:tcW w:w="846" w:type="pct"/>
                  <w:noWrap/>
                  <w:vAlign w:val="center"/>
                </w:tcPr>
                <w:p>
                  <w:pPr>
                    <w:jc w:val="center"/>
                    <w:rPr>
                      <w:szCs w:val="21"/>
                      <w:u w:val="single"/>
                    </w:rPr>
                  </w:pPr>
                  <w:r>
                    <w:rPr>
                      <w:rFonts w:hint="eastAsia"/>
                      <w:szCs w:val="21"/>
                      <w:u w:val="single"/>
                    </w:rPr>
                    <w:t>废包装材料</w:t>
                  </w:r>
                </w:p>
              </w:tc>
              <w:tc>
                <w:tcPr>
                  <w:tcW w:w="789" w:type="pct"/>
                  <w:noWrap/>
                  <w:vAlign w:val="center"/>
                </w:tcPr>
                <w:p>
                  <w:pPr>
                    <w:jc w:val="center"/>
                    <w:rPr>
                      <w:szCs w:val="21"/>
                      <w:u w:val="single"/>
                    </w:rPr>
                  </w:pPr>
                  <w:r>
                    <w:rPr>
                      <w:rFonts w:hint="eastAsia"/>
                      <w:szCs w:val="21"/>
                      <w:u w:val="single"/>
                    </w:rPr>
                    <w:t>1t/a</w:t>
                  </w:r>
                </w:p>
              </w:tc>
              <w:tc>
                <w:tcPr>
                  <w:tcW w:w="549" w:type="pct"/>
                  <w:noWrap/>
                  <w:vAlign w:val="center"/>
                </w:tcPr>
                <w:p>
                  <w:pPr>
                    <w:jc w:val="center"/>
                    <w:rPr>
                      <w:szCs w:val="21"/>
                      <w:u w:val="single"/>
                    </w:rPr>
                  </w:pPr>
                  <w:r>
                    <w:rPr>
                      <w:rFonts w:hint="eastAsia"/>
                      <w:szCs w:val="21"/>
                      <w:u w:val="single"/>
                    </w:rPr>
                    <w:t>-</w:t>
                  </w:r>
                </w:p>
              </w:tc>
              <w:tc>
                <w:tcPr>
                  <w:tcW w:w="687" w:type="pct"/>
                  <w:noWrap/>
                  <w:vAlign w:val="center"/>
                </w:tcPr>
                <w:p>
                  <w:pPr>
                    <w:jc w:val="center"/>
                    <w:rPr>
                      <w:szCs w:val="21"/>
                      <w:u w:val="single"/>
                    </w:rPr>
                  </w:pPr>
                  <w:r>
                    <w:rPr>
                      <w:rFonts w:hint="eastAsia"/>
                      <w:szCs w:val="21"/>
                      <w:u w:val="single"/>
                    </w:rPr>
                    <w:t>一般固废</w:t>
                  </w:r>
                </w:p>
              </w:tc>
              <w:tc>
                <w:tcPr>
                  <w:tcW w:w="2128" w:type="pct"/>
                  <w:noWrap/>
                  <w:vAlign w:val="center"/>
                </w:tcPr>
                <w:p>
                  <w:pPr>
                    <w:jc w:val="center"/>
                    <w:rPr>
                      <w:szCs w:val="21"/>
                      <w:u w:val="single"/>
                    </w:rPr>
                  </w:pPr>
                  <w:r>
                    <w:rPr>
                      <w:rFonts w:hint="eastAsia"/>
                      <w:szCs w:val="21"/>
                      <w:u w:val="single"/>
                    </w:rPr>
                    <w:t>收集后交由环卫部门处置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exact"/>
                <w:jc w:val="center"/>
              </w:trPr>
              <w:tc>
                <w:tcPr>
                  <w:tcW w:w="846" w:type="pct"/>
                  <w:noWrap/>
                  <w:vAlign w:val="center"/>
                </w:tcPr>
                <w:p>
                  <w:pPr>
                    <w:jc w:val="center"/>
                    <w:rPr>
                      <w:rFonts w:hint="eastAsia"/>
                      <w:szCs w:val="21"/>
                      <w:u w:val="single"/>
                    </w:rPr>
                  </w:pPr>
                  <w:r>
                    <w:rPr>
                      <w:rFonts w:hint="eastAsia"/>
                      <w:szCs w:val="21"/>
                      <w:u w:val="single"/>
                    </w:rPr>
                    <w:t>生活垃圾</w:t>
                  </w:r>
                </w:p>
              </w:tc>
              <w:tc>
                <w:tcPr>
                  <w:tcW w:w="789" w:type="pct"/>
                  <w:noWrap/>
                  <w:vAlign w:val="center"/>
                </w:tcPr>
                <w:p>
                  <w:pPr>
                    <w:jc w:val="center"/>
                    <w:rPr>
                      <w:rFonts w:hint="eastAsia"/>
                      <w:szCs w:val="21"/>
                      <w:u w:val="single"/>
                    </w:rPr>
                  </w:pPr>
                  <w:r>
                    <w:rPr>
                      <w:rFonts w:hint="eastAsia"/>
                      <w:szCs w:val="21"/>
                      <w:u w:val="single"/>
                      <w:lang w:val="en-US" w:eastAsia="zh-CN"/>
                    </w:rPr>
                    <w:t>50.96</w:t>
                  </w:r>
                  <w:r>
                    <w:rPr>
                      <w:rFonts w:hint="eastAsia"/>
                      <w:szCs w:val="21"/>
                      <w:u w:val="single"/>
                    </w:rPr>
                    <w:t>t/a</w:t>
                  </w:r>
                </w:p>
              </w:tc>
              <w:tc>
                <w:tcPr>
                  <w:tcW w:w="549" w:type="pct"/>
                  <w:noWrap/>
                  <w:vAlign w:val="center"/>
                </w:tcPr>
                <w:p>
                  <w:pPr>
                    <w:jc w:val="center"/>
                    <w:rPr>
                      <w:szCs w:val="21"/>
                      <w:u w:val="single"/>
                    </w:rPr>
                  </w:pPr>
                  <w:r>
                    <w:rPr>
                      <w:rFonts w:hint="eastAsia"/>
                      <w:szCs w:val="21"/>
                      <w:u w:val="single"/>
                    </w:rPr>
                    <w:t>-</w:t>
                  </w:r>
                </w:p>
              </w:tc>
              <w:tc>
                <w:tcPr>
                  <w:tcW w:w="687" w:type="pct"/>
                  <w:noWrap/>
                  <w:vAlign w:val="center"/>
                </w:tcPr>
                <w:p>
                  <w:pPr>
                    <w:jc w:val="center"/>
                    <w:rPr>
                      <w:szCs w:val="21"/>
                      <w:u w:val="single"/>
                    </w:rPr>
                  </w:pPr>
                  <w:r>
                    <w:rPr>
                      <w:rFonts w:hint="eastAsia"/>
                      <w:szCs w:val="21"/>
                      <w:u w:val="single"/>
                    </w:rPr>
                    <w:t>一般固废</w:t>
                  </w:r>
                </w:p>
              </w:tc>
              <w:tc>
                <w:tcPr>
                  <w:tcW w:w="2128" w:type="pct"/>
                  <w:noWrap/>
                  <w:vAlign w:val="center"/>
                </w:tcPr>
                <w:p>
                  <w:pPr>
                    <w:jc w:val="center"/>
                    <w:rPr>
                      <w:szCs w:val="21"/>
                      <w:u w:val="single"/>
                    </w:rPr>
                  </w:pPr>
                  <w:r>
                    <w:rPr>
                      <w:rFonts w:hint="eastAsia"/>
                      <w:szCs w:val="21"/>
                      <w:u w:val="single"/>
                    </w:rPr>
                    <w:t>收集后交由环卫部门处置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exact"/>
                <w:jc w:val="center"/>
              </w:trPr>
              <w:tc>
                <w:tcPr>
                  <w:tcW w:w="846" w:type="pct"/>
                  <w:noWrap/>
                  <w:vAlign w:val="center"/>
                </w:tcPr>
                <w:p>
                  <w:pPr>
                    <w:jc w:val="center"/>
                    <w:rPr>
                      <w:szCs w:val="21"/>
                      <w:u w:val="single"/>
                    </w:rPr>
                  </w:pPr>
                  <w:r>
                    <w:rPr>
                      <w:rFonts w:hint="eastAsia"/>
                      <w:szCs w:val="21"/>
                      <w:u w:val="single"/>
                    </w:rPr>
                    <w:t>一次性输液瓶（袋）</w:t>
                  </w:r>
                </w:p>
              </w:tc>
              <w:tc>
                <w:tcPr>
                  <w:tcW w:w="789" w:type="pct"/>
                  <w:noWrap/>
                  <w:vAlign w:val="center"/>
                </w:tcPr>
                <w:p>
                  <w:pPr>
                    <w:jc w:val="center"/>
                    <w:rPr>
                      <w:rFonts w:hint="eastAsia"/>
                      <w:szCs w:val="21"/>
                      <w:u w:val="single"/>
                    </w:rPr>
                  </w:pPr>
                  <w:r>
                    <w:rPr>
                      <w:rFonts w:hint="eastAsia"/>
                      <w:szCs w:val="21"/>
                      <w:u w:val="single"/>
                    </w:rPr>
                    <w:t>5t/a</w:t>
                  </w:r>
                </w:p>
              </w:tc>
              <w:tc>
                <w:tcPr>
                  <w:tcW w:w="549" w:type="pct"/>
                  <w:noWrap/>
                  <w:vAlign w:val="center"/>
                </w:tcPr>
                <w:p>
                  <w:pPr>
                    <w:jc w:val="center"/>
                    <w:rPr>
                      <w:szCs w:val="21"/>
                      <w:u w:val="single"/>
                    </w:rPr>
                  </w:pPr>
                  <w:r>
                    <w:rPr>
                      <w:rFonts w:hint="eastAsia"/>
                      <w:szCs w:val="21"/>
                      <w:u w:val="single"/>
                    </w:rPr>
                    <w:t>-</w:t>
                  </w:r>
                </w:p>
              </w:tc>
              <w:tc>
                <w:tcPr>
                  <w:tcW w:w="687" w:type="pct"/>
                  <w:noWrap/>
                  <w:vAlign w:val="center"/>
                </w:tcPr>
                <w:p>
                  <w:pPr>
                    <w:jc w:val="center"/>
                    <w:rPr>
                      <w:szCs w:val="21"/>
                      <w:u w:val="single"/>
                    </w:rPr>
                  </w:pPr>
                  <w:r>
                    <w:rPr>
                      <w:rFonts w:hint="eastAsia"/>
                      <w:szCs w:val="21"/>
                      <w:u w:val="single"/>
                    </w:rPr>
                    <w:t>一般固废</w:t>
                  </w:r>
                </w:p>
              </w:tc>
              <w:tc>
                <w:tcPr>
                  <w:tcW w:w="2128" w:type="pct"/>
                  <w:noWrap/>
                  <w:vAlign w:val="center"/>
                </w:tcPr>
                <w:p>
                  <w:pPr>
                    <w:jc w:val="center"/>
                    <w:rPr>
                      <w:szCs w:val="21"/>
                      <w:u w:val="single"/>
                    </w:rPr>
                  </w:pPr>
                  <w:r>
                    <w:rPr>
                      <w:rFonts w:hint="eastAsia"/>
                      <w:szCs w:val="21"/>
                      <w:u w:val="single"/>
                    </w:rPr>
                    <w:t>委托有此类废物处置资质单位处置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3" w:hRule="exact"/>
                <w:jc w:val="center"/>
              </w:trPr>
              <w:tc>
                <w:tcPr>
                  <w:tcW w:w="846" w:type="pct"/>
                  <w:noWrap/>
                  <w:vAlign w:val="center"/>
                </w:tcPr>
                <w:p>
                  <w:pPr>
                    <w:jc w:val="center"/>
                    <w:rPr>
                      <w:rFonts w:hint="eastAsia" w:ascii="Times New Roman" w:hAnsi="Times New Roman" w:eastAsia="宋体" w:cs="Times New Roman"/>
                      <w:szCs w:val="21"/>
                      <w:u w:val="single"/>
                      <w:lang w:val="en-US" w:eastAsia="zh-CN"/>
                    </w:rPr>
                  </w:pPr>
                  <w:r>
                    <w:rPr>
                      <w:rFonts w:hint="eastAsia" w:ascii="Times New Roman" w:hAnsi="Times New Roman" w:eastAsia="宋体" w:cs="Times New Roman"/>
                      <w:szCs w:val="21"/>
                      <w:u w:val="single"/>
                      <w:lang w:val="en-US" w:eastAsia="zh-CN"/>
                    </w:rPr>
                    <w:t>化粪池污泥</w:t>
                  </w:r>
                </w:p>
              </w:tc>
              <w:tc>
                <w:tcPr>
                  <w:tcW w:w="789" w:type="pct"/>
                  <w:noWrap/>
                  <w:vAlign w:val="center"/>
                </w:tcPr>
                <w:p>
                  <w:pPr>
                    <w:jc w:val="center"/>
                    <w:rPr>
                      <w:rFonts w:hint="default" w:ascii="Times New Roman" w:hAnsi="Times New Roman" w:eastAsia="宋体" w:cs="Times New Roman"/>
                      <w:szCs w:val="21"/>
                      <w:u w:val="single"/>
                      <w:lang w:val="en-US" w:eastAsia="zh-CN"/>
                    </w:rPr>
                  </w:pPr>
                  <w:r>
                    <w:rPr>
                      <w:rFonts w:hint="eastAsia" w:cs="Times New Roman"/>
                      <w:szCs w:val="21"/>
                      <w:u w:val="single"/>
                      <w:lang w:val="en-US" w:eastAsia="zh-CN"/>
                    </w:rPr>
                    <w:t>1.0</w:t>
                  </w:r>
                  <w:r>
                    <w:rPr>
                      <w:rFonts w:hint="eastAsia" w:ascii="Times New Roman" w:hAnsi="Times New Roman" w:eastAsia="宋体" w:cs="Times New Roman"/>
                      <w:szCs w:val="21"/>
                      <w:u w:val="single"/>
                      <w:lang w:val="en-US" w:eastAsia="zh-CN"/>
                    </w:rPr>
                    <w:t>t/a</w:t>
                  </w:r>
                </w:p>
              </w:tc>
              <w:tc>
                <w:tcPr>
                  <w:tcW w:w="549" w:type="pct"/>
                  <w:noWrap/>
                  <w:vAlign w:val="center"/>
                </w:tcPr>
                <w:p>
                  <w:pPr>
                    <w:jc w:val="center"/>
                    <w:rPr>
                      <w:rFonts w:hint="eastAsia" w:eastAsia="宋体"/>
                      <w:szCs w:val="21"/>
                      <w:u w:val="single"/>
                      <w:lang w:val="en-US" w:eastAsia="zh-CN"/>
                    </w:rPr>
                  </w:pPr>
                  <w:r>
                    <w:rPr>
                      <w:rFonts w:hint="eastAsia"/>
                      <w:szCs w:val="21"/>
                      <w:u w:val="single"/>
                    </w:rPr>
                    <w:t>HW01</w:t>
                  </w:r>
                </w:p>
              </w:tc>
              <w:tc>
                <w:tcPr>
                  <w:tcW w:w="687" w:type="pct"/>
                  <w:noWrap/>
                  <w:vAlign w:val="center"/>
                </w:tcPr>
                <w:p>
                  <w:pPr>
                    <w:jc w:val="center"/>
                    <w:rPr>
                      <w:rFonts w:hint="eastAsia"/>
                      <w:szCs w:val="21"/>
                      <w:u w:val="single"/>
                    </w:rPr>
                  </w:pPr>
                  <w:r>
                    <w:rPr>
                      <w:rFonts w:hint="eastAsia"/>
                      <w:szCs w:val="21"/>
                      <w:u w:val="single"/>
                    </w:rPr>
                    <w:t>危险固废</w:t>
                  </w:r>
                </w:p>
              </w:tc>
              <w:tc>
                <w:tcPr>
                  <w:tcW w:w="2128" w:type="pct"/>
                  <w:noWrap/>
                  <w:vAlign w:val="center"/>
                </w:tcPr>
                <w:p>
                  <w:pPr>
                    <w:jc w:val="center"/>
                    <w:rPr>
                      <w:rFonts w:hint="eastAsia"/>
                      <w:szCs w:val="21"/>
                      <w:u w:val="single"/>
                    </w:rPr>
                  </w:pPr>
                  <w:r>
                    <w:rPr>
                      <w:rFonts w:hint="eastAsia"/>
                      <w:szCs w:val="21"/>
                      <w:u w:val="single"/>
                      <w:lang w:val="en-US" w:eastAsia="zh-CN"/>
                    </w:rPr>
                    <w:t>消毒后</w:t>
                  </w:r>
                  <w:r>
                    <w:rPr>
                      <w:rFonts w:hint="eastAsia"/>
                      <w:szCs w:val="21"/>
                      <w:u w:val="single"/>
                    </w:rPr>
                    <w:t>交由有资质单位处理</w:t>
                  </w:r>
                </w:p>
              </w:tc>
            </w:tr>
          </w:tbl>
          <w:p>
            <w:pPr>
              <w:jc w:val="center"/>
              <w:rPr>
                <w:b/>
                <w:bCs/>
                <w:u w:val="single"/>
              </w:rPr>
            </w:pPr>
            <w:r>
              <w:rPr>
                <w:b/>
                <w:bCs/>
                <w:u w:val="single"/>
              </w:rPr>
              <w:t>表</w:t>
            </w:r>
            <w:r>
              <w:rPr>
                <w:rFonts w:hint="eastAsia"/>
                <w:b/>
                <w:bCs/>
                <w:u w:val="single"/>
              </w:rPr>
              <w:t>4-1</w:t>
            </w:r>
            <w:r>
              <w:rPr>
                <w:rFonts w:hint="eastAsia"/>
                <w:b/>
                <w:bCs/>
                <w:u w:val="single"/>
                <w:lang w:val="en-US" w:eastAsia="zh-CN"/>
              </w:rPr>
              <w:t>9</w:t>
            </w:r>
            <w:r>
              <w:rPr>
                <w:b/>
                <w:bCs/>
                <w:u w:val="single"/>
              </w:rPr>
              <w:t xml:space="preserve"> </w:t>
            </w:r>
            <w:r>
              <w:rPr>
                <w:rFonts w:hint="eastAsia"/>
                <w:b/>
                <w:bCs/>
                <w:u w:val="single"/>
              </w:rPr>
              <w:t xml:space="preserve"> </w:t>
            </w:r>
            <w:r>
              <w:rPr>
                <w:b/>
                <w:bCs/>
                <w:u w:val="single"/>
              </w:rPr>
              <w:t>本项目危险废物统计表</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43"/>
              <w:gridCol w:w="628"/>
              <w:gridCol w:w="622"/>
              <w:gridCol w:w="1355"/>
              <w:gridCol w:w="705"/>
              <w:gridCol w:w="602"/>
              <w:gridCol w:w="393"/>
              <w:gridCol w:w="758"/>
              <w:gridCol w:w="614"/>
              <w:gridCol w:w="476"/>
              <w:gridCol w:w="497"/>
              <w:gridCol w:w="12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07" w:type="pct"/>
                  <w:noWrap/>
                  <w:vAlign w:val="center"/>
                </w:tcPr>
                <w:p>
                  <w:pPr>
                    <w:topLinePunct/>
                    <w:jc w:val="center"/>
                    <w:rPr>
                      <w:szCs w:val="21"/>
                      <w:u w:val="single"/>
                    </w:rPr>
                  </w:pPr>
                  <w:r>
                    <w:rPr>
                      <w:szCs w:val="21"/>
                      <w:u w:val="single"/>
                    </w:rPr>
                    <w:t>序号</w:t>
                  </w:r>
                </w:p>
              </w:tc>
              <w:tc>
                <w:tcPr>
                  <w:tcW w:w="379" w:type="pct"/>
                  <w:noWrap/>
                  <w:vAlign w:val="center"/>
                </w:tcPr>
                <w:p>
                  <w:pPr>
                    <w:topLinePunct/>
                    <w:jc w:val="center"/>
                    <w:rPr>
                      <w:szCs w:val="21"/>
                      <w:u w:val="single"/>
                    </w:rPr>
                  </w:pPr>
                  <w:r>
                    <w:rPr>
                      <w:szCs w:val="21"/>
                      <w:u w:val="single"/>
                    </w:rPr>
                    <w:t>危险废物名称</w:t>
                  </w:r>
                </w:p>
              </w:tc>
              <w:tc>
                <w:tcPr>
                  <w:tcW w:w="375" w:type="pct"/>
                  <w:noWrap/>
                  <w:vAlign w:val="center"/>
                </w:tcPr>
                <w:p>
                  <w:pPr>
                    <w:topLinePunct/>
                    <w:jc w:val="center"/>
                    <w:rPr>
                      <w:szCs w:val="21"/>
                      <w:u w:val="single"/>
                    </w:rPr>
                  </w:pPr>
                  <w:r>
                    <w:rPr>
                      <w:szCs w:val="21"/>
                      <w:u w:val="single"/>
                    </w:rPr>
                    <w:t>危险废物类别</w:t>
                  </w:r>
                </w:p>
              </w:tc>
              <w:tc>
                <w:tcPr>
                  <w:tcW w:w="817" w:type="pct"/>
                  <w:noWrap/>
                  <w:vAlign w:val="center"/>
                </w:tcPr>
                <w:p>
                  <w:pPr>
                    <w:topLinePunct/>
                    <w:jc w:val="center"/>
                    <w:rPr>
                      <w:szCs w:val="21"/>
                      <w:u w:val="single"/>
                    </w:rPr>
                  </w:pPr>
                  <w:r>
                    <w:rPr>
                      <w:szCs w:val="21"/>
                      <w:u w:val="single"/>
                    </w:rPr>
                    <w:t>危险废物代码</w:t>
                  </w:r>
                </w:p>
              </w:tc>
              <w:tc>
                <w:tcPr>
                  <w:tcW w:w="425" w:type="pct"/>
                  <w:noWrap/>
                  <w:vAlign w:val="center"/>
                </w:tcPr>
                <w:p>
                  <w:pPr>
                    <w:topLinePunct/>
                    <w:jc w:val="center"/>
                    <w:rPr>
                      <w:szCs w:val="21"/>
                      <w:u w:val="single"/>
                    </w:rPr>
                  </w:pPr>
                  <w:r>
                    <w:rPr>
                      <w:szCs w:val="21"/>
                      <w:u w:val="single"/>
                    </w:rPr>
                    <w:t>产生量</w:t>
                  </w:r>
                </w:p>
              </w:tc>
              <w:tc>
                <w:tcPr>
                  <w:tcW w:w="363" w:type="pct"/>
                  <w:noWrap/>
                  <w:vAlign w:val="center"/>
                </w:tcPr>
                <w:p>
                  <w:pPr>
                    <w:topLinePunct/>
                    <w:jc w:val="center"/>
                    <w:rPr>
                      <w:rFonts w:hint="eastAsia" w:eastAsia="宋体"/>
                      <w:szCs w:val="21"/>
                      <w:u w:val="single"/>
                      <w:lang w:val="en-US" w:eastAsia="zh-CN"/>
                    </w:rPr>
                  </w:pPr>
                  <w:r>
                    <w:rPr>
                      <w:szCs w:val="21"/>
                      <w:u w:val="single"/>
                    </w:rPr>
                    <w:t>产生工序及</w:t>
                  </w:r>
                  <w:r>
                    <w:rPr>
                      <w:rFonts w:hint="eastAsia"/>
                      <w:szCs w:val="21"/>
                      <w:u w:val="single"/>
                      <w:lang w:val="en-US" w:eastAsia="zh-CN"/>
                    </w:rPr>
                    <w:t>装置</w:t>
                  </w:r>
                </w:p>
              </w:tc>
              <w:tc>
                <w:tcPr>
                  <w:tcW w:w="237" w:type="pct"/>
                  <w:noWrap/>
                  <w:vAlign w:val="center"/>
                </w:tcPr>
                <w:p>
                  <w:pPr>
                    <w:topLinePunct/>
                    <w:jc w:val="center"/>
                    <w:rPr>
                      <w:szCs w:val="21"/>
                      <w:u w:val="single"/>
                    </w:rPr>
                  </w:pPr>
                  <w:r>
                    <w:rPr>
                      <w:szCs w:val="21"/>
                      <w:u w:val="single"/>
                    </w:rPr>
                    <w:t>形态</w:t>
                  </w:r>
                </w:p>
              </w:tc>
              <w:tc>
                <w:tcPr>
                  <w:tcW w:w="457" w:type="pct"/>
                  <w:noWrap/>
                  <w:vAlign w:val="center"/>
                </w:tcPr>
                <w:p>
                  <w:pPr>
                    <w:topLinePunct/>
                    <w:jc w:val="center"/>
                    <w:rPr>
                      <w:szCs w:val="21"/>
                      <w:u w:val="single"/>
                    </w:rPr>
                  </w:pPr>
                  <w:r>
                    <w:rPr>
                      <w:szCs w:val="21"/>
                      <w:u w:val="single"/>
                    </w:rPr>
                    <w:t>主要成分</w:t>
                  </w:r>
                </w:p>
              </w:tc>
              <w:tc>
                <w:tcPr>
                  <w:tcW w:w="370" w:type="pct"/>
                  <w:noWrap/>
                  <w:vAlign w:val="center"/>
                </w:tcPr>
                <w:p>
                  <w:pPr>
                    <w:topLinePunct/>
                    <w:jc w:val="center"/>
                    <w:rPr>
                      <w:szCs w:val="21"/>
                      <w:u w:val="single"/>
                    </w:rPr>
                  </w:pPr>
                  <w:r>
                    <w:rPr>
                      <w:szCs w:val="21"/>
                      <w:u w:val="single"/>
                    </w:rPr>
                    <w:t>有害成分</w:t>
                  </w:r>
                </w:p>
              </w:tc>
              <w:tc>
                <w:tcPr>
                  <w:tcW w:w="287" w:type="pct"/>
                  <w:noWrap/>
                  <w:vAlign w:val="center"/>
                </w:tcPr>
                <w:p>
                  <w:pPr>
                    <w:topLinePunct/>
                    <w:jc w:val="center"/>
                    <w:rPr>
                      <w:szCs w:val="21"/>
                      <w:u w:val="single"/>
                    </w:rPr>
                  </w:pPr>
                  <w:r>
                    <w:rPr>
                      <w:szCs w:val="21"/>
                      <w:u w:val="single"/>
                    </w:rPr>
                    <w:t>产废周期</w:t>
                  </w:r>
                </w:p>
              </w:tc>
              <w:tc>
                <w:tcPr>
                  <w:tcW w:w="300" w:type="pct"/>
                  <w:noWrap/>
                  <w:vAlign w:val="center"/>
                </w:tcPr>
                <w:p>
                  <w:pPr>
                    <w:topLinePunct/>
                    <w:jc w:val="center"/>
                    <w:rPr>
                      <w:szCs w:val="21"/>
                      <w:u w:val="single"/>
                    </w:rPr>
                  </w:pPr>
                  <w:r>
                    <w:rPr>
                      <w:szCs w:val="21"/>
                      <w:u w:val="single"/>
                    </w:rPr>
                    <w:t>危险</w:t>
                  </w:r>
                </w:p>
                <w:p>
                  <w:pPr>
                    <w:topLinePunct/>
                    <w:jc w:val="center"/>
                    <w:rPr>
                      <w:szCs w:val="21"/>
                      <w:u w:val="single"/>
                    </w:rPr>
                  </w:pPr>
                  <w:r>
                    <w:rPr>
                      <w:szCs w:val="21"/>
                      <w:u w:val="single"/>
                    </w:rPr>
                    <w:t>特性</w:t>
                  </w:r>
                </w:p>
              </w:tc>
              <w:tc>
                <w:tcPr>
                  <w:tcW w:w="777" w:type="pct"/>
                  <w:noWrap/>
                  <w:vAlign w:val="center"/>
                </w:tcPr>
                <w:p>
                  <w:pPr>
                    <w:topLinePunct/>
                    <w:jc w:val="center"/>
                    <w:rPr>
                      <w:szCs w:val="21"/>
                      <w:u w:val="single"/>
                    </w:rPr>
                  </w:pPr>
                  <w:r>
                    <w:rPr>
                      <w:szCs w:val="21"/>
                      <w:u w:val="single"/>
                    </w:rPr>
                    <w:t>污染防治措施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7" w:type="pct"/>
                  <w:noWrap/>
                  <w:vAlign w:val="center"/>
                </w:tcPr>
                <w:p>
                  <w:pPr>
                    <w:topLinePunct/>
                    <w:jc w:val="center"/>
                    <w:rPr>
                      <w:szCs w:val="21"/>
                      <w:u w:val="single"/>
                    </w:rPr>
                  </w:pPr>
                  <w:r>
                    <w:rPr>
                      <w:rFonts w:hint="eastAsia"/>
                      <w:szCs w:val="21"/>
                      <w:u w:val="single"/>
                    </w:rPr>
                    <w:t>1</w:t>
                  </w:r>
                </w:p>
              </w:tc>
              <w:tc>
                <w:tcPr>
                  <w:tcW w:w="379" w:type="pct"/>
                  <w:noWrap/>
                  <w:vAlign w:val="center"/>
                </w:tcPr>
                <w:p>
                  <w:pPr>
                    <w:jc w:val="center"/>
                    <w:rPr>
                      <w:szCs w:val="21"/>
                      <w:u w:val="single"/>
                    </w:rPr>
                  </w:pPr>
                  <w:r>
                    <w:rPr>
                      <w:rFonts w:hint="eastAsia"/>
                      <w:szCs w:val="21"/>
                      <w:u w:val="single"/>
                    </w:rPr>
                    <w:t>医疗废物</w:t>
                  </w:r>
                </w:p>
              </w:tc>
              <w:tc>
                <w:tcPr>
                  <w:tcW w:w="375" w:type="pct"/>
                  <w:noWrap/>
                  <w:vAlign w:val="center"/>
                </w:tcPr>
                <w:p>
                  <w:pPr>
                    <w:jc w:val="center"/>
                    <w:rPr>
                      <w:szCs w:val="21"/>
                      <w:u w:val="single"/>
                    </w:rPr>
                  </w:pPr>
                  <w:r>
                    <w:rPr>
                      <w:szCs w:val="21"/>
                      <w:u w:val="single"/>
                    </w:rPr>
                    <w:t>HW01</w:t>
                  </w:r>
                </w:p>
              </w:tc>
              <w:tc>
                <w:tcPr>
                  <w:tcW w:w="817" w:type="pct"/>
                  <w:noWrap/>
                  <w:vAlign w:val="center"/>
                </w:tcPr>
                <w:p>
                  <w:pPr>
                    <w:jc w:val="center"/>
                    <w:rPr>
                      <w:szCs w:val="21"/>
                      <w:u w:val="single"/>
                    </w:rPr>
                  </w:pPr>
                  <w:r>
                    <w:rPr>
                      <w:szCs w:val="21"/>
                      <w:u w:val="single"/>
                    </w:rPr>
                    <w:t>8</w:t>
                  </w:r>
                  <w:r>
                    <w:rPr>
                      <w:rFonts w:hint="eastAsia"/>
                      <w:szCs w:val="21"/>
                      <w:u w:val="single"/>
                    </w:rPr>
                    <w:t>4</w:t>
                  </w:r>
                  <w:r>
                    <w:rPr>
                      <w:szCs w:val="21"/>
                      <w:u w:val="single"/>
                    </w:rPr>
                    <w:t>1-001-01</w:t>
                  </w:r>
                  <w:r>
                    <w:rPr>
                      <w:rFonts w:hint="eastAsia"/>
                      <w:szCs w:val="21"/>
                      <w:u w:val="single"/>
                    </w:rPr>
                    <w:t>、</w:t>
                  </w:r>
                  <w:r>
                    <w:rPr>
                      <w:szCs w:val="21"/>
                      <w:u w:val="single"/>
                    </w:rPr>
                    <w:t>8</w:t>
                  </w:r>
                  <w:r>
                    <w:rPr>
                      <w:rFonts w:hint="eastAsia"/>
                      <w:szCs w:val="21"/>
                      <w:u w:val="single"/>
                    </w:rPr>
                    <w:t>4</w:t>
                  </w:r>
                  <w:r>
                    <w:rPr>
                      <w:szCs w:val="21"/>
                      <w:u w:val="single"/>
                    </w:rPr>
                    <w:t>1-002-01</w:t>
                  </w:r>
                  <w:r>
                    <w:rPr>
                      <w:rFonts w:hint="eastAsia"/>
                      <w:szCs w:val="21"/>
                      <w:u w:val="single"/>
                    </w:rPr>
                    <w:t>、</w:t>
                  </w:r>
                  <w:r>
                    <w:rPr>
                      <w:szCs w:val="21"/>
                      <w:u w:val="single"/>
                    </w:rPr>
                    <w:t>8</w:t>
                  </w:r>
                  <w:r>
                    <w:rPr>
                      <w:rFonts w:hint="eastAsia"/>
                      <w:szCs w:val="21"/>
                      <w:u w:val="single"/>
                    </w:rPr>
                    <w:t>4</w:t>
                  </w:r>
                  <w:r>
                    <w:rPr>
                      <w:szCs w:val="21"/>
                      <w:u w:val="single"/>
                    </w:rPr>
                    <w:t>1-003-01</w:t>
                  </w:r>
                  <w:r>
                    <w:rPr>
                      <w:rFonts w:hint="eastAsia"/>
                      <w:szCs w:val="21"/>
                      <w:u w:val="single"/>
                    </w:rPr>
                    <w:t>、</w:t>
                  </w:r>
                  <w:r>
                    <w:rPr>
                      <w:szCs w:val="21"/>
                      <w:u w:val="single"/>
                    </w:rPr>
                    <w:t>8</w:t>
                  </w:r>
                  <w:r>
                    <w:rPr>
                      <w:rFonts w:hint="eastAsia"/>
                      <w:szCs w:val="21"/>
                      <w:u w:val="single"/>
                    </w:rPr>
                    <w:t>4</w:t>
                  </w:r>
                  <w:r>
                    <w:rPr>
                      <w:szCs w:val="21"/>
                      <w:u w:val="single"/>
                    </w:rPr>
                    <w:t>1-004-01</w:t>
                  </w:r>
                  <w:r>
                    <w:rPr>
                      <w:rFonts w:hint="eastAsia"/>
                      <w:szCs w:val="21"/>
                      <w:u w:val="single"/>
                    </w:rPr>
                    <w:t>、</w:t>
                  </w:r>
                  <w:r>
                    <w:rPr>
                      <w:szCs w:val="21"/>
                      <w:u w:val="single"/>
                    </w:rPr>
                    <w:t>8</w:t>
                  </w:r>
                  <w:r>
                    <w:rPr>
                      <w:rFonts w:hint="eastAsia"/>
                      <w:szCs w:val="21"/>
                      <w:u w:val="single"/>
                    </w:rPr>
                    <w:t>4</w:t>
                  </w:r>
                  <w:r>
                    <w:rPr>
                      <w:szCs w:val="21"/>
                      <w:u w:val="single"/>
                    </w:rPr>
                    <w:t>1-005-01</w:t>
                  </w:r>
                </w:p>
              </w:tc>
              <w:tc>
                <w:tcPr>
                  <w:tcW w:w="425" w:type="pct"/>
                  <w:noWrap/>
                  <w:vAlign w:val="center"/>
                </w:tcPr>
                <w:p>
                  <w:pPr>
                    <w:jc w:val="center"/>
                    <w:rPr>
                      <w:szCs w:val="21"/>
                      <w:u w:val="single"/>
                    </w:rPr>
                  </w:pPr>
                  <w:r>
                    <w:rPr>
                      <w:rFonts w:hint="eastAsia"/>
                      <w:szCs w:val="21"/>
                      <w:u w:val="single"/>
                      <w:lang w:val="en-US" w:eastAsia="zh-CN"/>
                    </w:rPr>
                    <w:t>8.40</w:t>
                  </w:r>
                  <w:r>
                    <w:rPr>
                      <w:rFonts w:hint="eastAsia"/>
                      <w:szCs w:val="21"/>
                      <w:u w:val="single"/>
                    </w:rPr>
                    <w:t>t/a</w:t>
                  </w:r>
                </w:p>
              </w:tc>
              <w:tc>
                <w:tcPr>
                  <w:tcW w:w="363" w:type="pct"/>
                  <w:noWrap/>
                  <w:vAlign w:val="center"/>
                </w:tcPr>
                <w:p>
                  <w:pPr>
                    <w:jc w:val="center"/>
                    <w:rPr>
                      <w:szCs w:val="21"/>
                      <w:u w:val="single"/>
                    </w:rPr>
                  </w:pPr>
                  <w:r>
                    <w:rPr>
                      <w:rFonts w:hint="eastAsia"/>
                      <w:szCs w:val="21"/>
                      <w:u w:val="single"/>
                    </w:rPr>
                    <w:t>诊疗、手术、检验</w:t>
                  </w:r>
                </w:p>
              </w:tc>
              <w:tc>
                <w:tcPr>
                  <w:tcW w:w="237" w:type="pct"/>
                  <w:noWrap/>
                  <w:vAlign w:val="center"/>
                </w:tcPr>
                <w:p>
                  <w:pPr>
                    <w:jc w:val="center"/>
                    <w:rPr>
                      <w:szCs w:val="21"/>
                      <w:u w:val="single"/>
                    </w:rPr>
                  </w:pPr>
                  <w:r>
                    <w:rPr>
                      <w:rFonts w:hint="eastAsia"/>
                      <w:szCs w:val="21"/>
                      <w:u w:val="single"/>
                    </w:rPr>
                    <w:t>固态、液体</w:t>
                  </w:r>
                </w:p>
              </w:tc>
              <w:tc>
                <w:tcPr>
                  <w:tcW w:w="457" w:type="pct"/>
                  <w:noWrap/>
                  <w:vAlign w:val="center"/>
                </w:tcPr>
                <w:p>
                  <w:pPr>
                    <w:jc w:val="center"/>
                    <w:rPr>
                      <w:szCs w:val="21"/>
                      <w:u w:val="single"/>
                    </w:rPr>
                  </w:pPr>
                  <w:r>
                    <w:rPr>
                      <w:rFonts w:hint="eastAsia"/>
                      <w:szCs w:val="21"/>
                      <w:u w:val="single"/>
                    </w:rPr>
                    <w:t>塑料、玻璃、棉纱、组织、血液、体液等</w:t>
                  </w:r>
                </w:p>
              </w:tc>
              <w:tc>
                <w:tcPr>
                  <w:tcW w:w="370" w:type="pct"/>
                  <w:noWrap/>
                  <w:vAlign w:val="center"/>
                </w:tcPr>
                <w:p>
                  <w:pPr>
                    <w:jc w:val="center"/>
                    <w:rPr>
                      <w:szCs w:val="21"/>
                      <w:u w:val="single"/>
                    </w:rPr>
                  </w:pPr>
                  <w:r>
                    <w:rPr>
                      <w:rFonts w:hint="eastAsia"/>
                      <w:szCs w:val="21"/>
                      <w:u w:val="single"/>
                    </w:rPr>
                    <w:t>致病菌、化学试剂等</w:t>
                  </w:r>
                </w:p>
              </w:tc>
              <w:tc>
                <w:tcPr>
                  <w:tcW w:w="287" w:type="pct"/>
                  <w:noWrap/>
                  <w:vAlign w:val="center"/>
                </w:tcPr>
                <w:p>
                  <w:pPr>
                    <w:topLinePunct/>
                    <w:jc w:val="center"/>
                    <w:rPr>
                      <w:szCs w:val="21"/>
                      <w:u w:val="single"/>
                    </w:rPr>
                  </w:pPr>
                  <w:r>
                    <w:rPr>
                      <w:rFonts w:hint="eastAsia"/>
                      <w:szCs w:val="21"/>
                      <w:u w:val="single"/>
                    </w:rPr>
                    <w:t>每天</w:t>
                  </w:r>
                </w:p>
              </w:tc>
              <w:tc>
                <w:tcPr>
                  <w:tcW w:w="300" w:type="pct"/>
                  <w:noWrap/>
                  <w:vAlign w:val="center"/>
                </w:tcPr>
                <w:p>
                  <w:pPr>
                    <w:jc w:val="center"/>
                    <w:rPr>
                      <w:szCs w:val="21"/>
                      <w:u w:val="single"/>
                    </w:rPr>
                  </w:pPr>
                  <w:r>
                    <w:rPr>
                      <w:szCs w:val="21"/>
                      <w:u w:val="single"/>
                    </w:rPr>
                    <w:t>急性毒性</w:t>
                  </w:r>
                </w:p>
              </w:tc>
              <w:tc>
                <w:tcPr>
                  <w:tcW w:w="777" w:type="pct"/>
                  <w:noWrap/>
                  <w:vAlign w:val="center"/>
                </w:tcPr>
                <w:p>
                  <w:pPr>
                    <w:topLinePunct/>
                    <w:jc w:val="center"/>
                    <w:rPr>
                      <w:szCs w:val="21"/>
                      <w:u w:val="single"/>
                    </w:rPr>
                  </w:pPr>
                  <w:r>
                    <w:rPr>
                      <w:rFonts w:hint="eastAsia"/>
                      <w:szCs w:val="21"/>
                      <w:u w:val="single"/>
                    </w:rPr>
                    <w:t>分类暂存于医疗垃圾暂存间中，</w:t>
                  </w:r>
                  <w:r>
                    <w:rPr>
                      <w:rFonts w:hint="eastAsia"/>
                      <w:szCs w:val="21"/>
                      <w:u w:val="single"/>
                      <w:lang w:eastAsia="zh-CN"/>
                    </w:rPr>
                    <w:t>交由</w:t>
                  </w:r>
                  <w:r>
                    <w:rPr>
                      <w:szCs w:val="21"/>
                      <w:u w:val="single"/>
                    </w:rPr>
                    <w:t>相关危废处理资质单位回收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7" w:type="pct"/>
                  <w:noWrap/>
                  <w:vAlign w:val="center"/>
                </w:tcPr>
                <w:p>
                  <w:pPr>
                    <w:topLinePunct/>
                    <w:jc w:val="center"/>
                    <w:rPr>
                      <w:szCs w:val="21"/>
                      <w:u w:val="single"/>
                    </w:rPr>
                  </w:pPr>
                  <w:r>
                    <w:rPr>
                      <w:rFonts w:hint="eastAsia"/>
                      <w:szCs w:val="21"/>
                      <w:u w:val="single"/>
                    </w:rPr>
                    <w:t>2</w:t>
                  </w:r>
                </w:p>
              </w:tc>
              <w:tc>
                <w:tcPr>
                  <w:tcW w:w="379" w:type="pct"/>
                  <w:noWrap/>
                  <w:vAlign w:val="center"/>
                </w:tcPr>
                <w:p>
                  <w:pPr>
                    <w:jc w:val="center"/>
                    <w:rPr>
                      <w:szCs w:val="21"/>
                      <w:u w:val="single"/>
                    </w:rPr>
                  </w:pPr>
                  <w:r>
                    <w:rPr>
                      <w:rFonts w:hint="eastAsia" w:ascii="Times New Roman" w:hAnsi="Times New Roman" w:eastAsia="宋体" w:cs="Times New Roman"/>
                      <w:szCs w:val="21"/>
                      <w:u w:val="single"/>
                      <w:lang w:val="en-US" w:eastAsia="zh-CN"/>
                    </w:rPr>
                    <w:t>化粪池污泥</w:t>
                  </w:r>
                </w:p>
              </w:tc>
              <w:tc>
                <w:tcPr>
                  <w:tcW w:w="375" w:type="pct"/>
                  <w:noWrap/>
                  <w:vAlign w:val="center"/>
                </w:tcPr>
                <w:p>
                  <w:pPr>
                    <w:jc w:val="center"/>
                    <w:rPr>
                      <w:szCs w:val="21"/>
                      <w:u w:val="single"/>
                    </w:rPr>
                  </w:pPr>
                  <w:r>
                    <w:rPr>
                      <w:szCs w:val="21"/>
                      <w:u w:val="single"/>
                    </w:rPr>
                    <w:t>HW01</w:t>
                  </w:r>
                </w:p>
              </w:tc>
              <w:tc>
                <w:tcPr>
                  <w:tcW w:w="817" w:type="pct"/>
                  <w:noWrap/>
                  <w:vAlign w:val="center"/>
                </w:tcPr>
                <w:p>
                  <w:pPr>
                    <w:jc w:val="center"/>
                    <w:rPr>
                      <w:szCs w:val="21"/>
                      <w:u w:val="single"/>
                    </w:rPr>
                  </w:pPr>
                  <w:r>
                    <w:rPr>
                      <w:szCs w:val="21"/>
                      <w:u w:val="single"/>
                    </w:rPr>
                    <w:t>8</w:t>
                  </w:r>
                  <w:r>
                    <w:rPr>
                      <w:rFonts w:hint="eastAsia"/>
                      <w:szCs w:val="21"/>
                      <w:u w:val="single"/>
                    </w:rPr>
                    <w:t>4</w:t>
                  </w:r>
                  <w:r>
                    <w:rPr>
                      <w:szCs w:val="21"/>
                      <w:u w:val="single"/>
                    </w:rPr>
                    <w:t>1-001-01</w:t>
                  </w:r>
                </w:p>
              </w:tc>
              <w:tc>
                <w:tcPr>
                  <w:tcW w:w="425" w:type="pct"/>
                  <w:noWrap/>
                  <w:vAlign w:val="center"/>
                </w:tcPr>
                <w:p>
                  <w:pPr>
                    <w:jc w:val="center"/>
                    <w:rPr>
                      <w:szCs w:val="21"/>
                      <w:u w:val="single"/>
                    </w:rPr>
                  </w:pPr>
                  <w:r>
                    <w:rPr>
                      <w:rFonts w:hint="eastAsia"/>
                      <w:szCs w:val="21"/>
                      <w:u w:val="single"/>
                      <w:lang w:val="en-US" w:eastAsia="zh-CN"/>
                    </w:rPr>
                    <w:t>1.0</w:t>
                  </w:r>
                  <w:r>
                    <w:rPr>
                      <w:rFonts w:hint="eastAsia"/>
                      <w:szCs w:val="21"/>
                      <w:u w:val="single"/>
                    </w:rPr>
                    <w:t>t/a</w:t>
                  </w:r>
                </w:p>
              </w:tc>
              <w:tc>
                <w:tcPr>
                  <w:tcW w:w="363" w:type="pct"/>
                  <w:noWrap/>
                  <w:vAlign w:val="center"/>
                </w:tcPr>
                <w:p>
                  <w:pPr>
                    <w:jc w:val="center"/>
                    <w:rPr>
                      <w:szCs w:val="21"/>
                      <w:u w:val="single"/>
                    </w:rPr>
                  </w:pPr>
                  <w:r>
                    <w:rPr>
                      <w:rFonts w:hint="eastAsia"/>
                      <w:szCs w:val="21"/>
                      <w:u w:val="single"/>
                    </w:rPr>
                    <w:t>废水处理</w:t>
                  </w:r>
                </w:p>
              </w:tc>
              <w:tc>
                <w:tcPr>
                  <w:tcW w:w="237" w:type="pct"/>
                  <w:noWrap/>
                  <w:vAlign w:val="center"/>
                </w:tcPr>
                <w:p>
                  <w:pPr>
                    <w:jc w:val="center"/>
                    <w:rPr>
                      <w:szCs w:val="21"/>
                      <w:u w:val="single"/>
                    </w:rPr>
                  </w:pPr>
                  <w:r>
                    <w:rPr>
                      <w:rFonts w:hint="eastAsia"/>
                      <w:szCs w:val="21"/>
                      <w:u w:val="single"/>
                    </w:rPr>
                    <w:t>固态</w:t>
                  </w:r>
                </w:p>
              </w:tc>
              <w:tc>
                <w:tcPr>
                  <w:tcW w:w="457" w:type="pct"/>
                  <w:noWrap/>
                  <w:vAlign w:val="center"/>
                </w:tcPr>
                <w:p>
                  <w:pPr>
                    <w:jc w:val="center"/>
                    <w:rPr>
                      <w:szCs w:val="21"/>
                      <w:u w:val="single"/>
                    </w:rPr>
                  </w:pPr>
                  <w:r>
                    <w:rPr>
                      <w:rFonts w:hint="eastAsia"/>
                      <w:szCs w:val="21"/>
                      <w:u w:val="single"/>
                    </w:rPr>
                    <w:t>有机物质</w:t>
                  </w:r>
                </w:p>
              </w:tc>
              <w:tc>
                <w:tcPr>
                  <w:tcW w:w="370" w:type="pct"/>
                  <w:noWrap/>
                  <w:vAlign w:val="center"/>
                </w:tcPr>
                <w:p>
                  <w:pPr>
                    <w:jc w:val="center"/>
                    <w:rPr>
                      <w:szCs w:val="21"/>
                      <w:u w:val="single"/>
                    </w:rPr>
                  </w:pPr>
                  <w:r>
                    <w:rPr>
                      <w:rFonts w:hint="eastAsia"/>
                      <w:szCs w:val="21"/>
                      <w:u w:val="single"/>
                    </w:rPr>
                    <w:t>致病毒</w:t>
                  </w:r>
                </w:p>
              </w:tc>
              <w:tc>
                <w:tcPr>
                  <w:tcW w:w="287" w:type="pct"/>
                  <w:noWrap/>
                  <w:vAlign w:val="center"/>
                </w:tcPr>
                <w:p>
                  <w:pPr>
                    <w:topLinePunct/>
                    <w:jc w:val="center"/>
                    <w:rPr>
                      <w:szCs w:val="21"/>
                      <w:u w:val="single"/>
                    </w:rPr>
                  </w:pPr>
                  <w:r>
                    <w:rPr>
                      <w:rFonts w:hint="eastAsia"/>
                      <w:szCs w:val="21"/>
                      <w:u w:val="single"/>
                    </w:rPr>
                    <w:t>每7天</w:t>
                  </w:r>
                </w:p>
              </w:tc>
              <w:tc>
                <w:tcPr>
                  <w:tcW w:w="300" w:type="pct"/>
                  <w:noWrap/>
                  <w:vAlign w:val="center"/>
                </w:tcPr>
                <w:p>
                  <w:pPr>
                    <w:jc w:val="center"/>
                    <w:rPr>
                      <w:color w:val="auto"/>
                      <w:szCs w:val="21"/>
                      <w:u w:val="single"/>
                    </w:rPr>
                  </w:pPr>
                  <w:r>
                    <w:rPr>
                      <w:color w:val="auto"/>
                      <w:szCs w:val="21"/>
                      <w:u w:val="single"/>
                    </w:rPr>
                    <w:t>急性毒性</w:t>
                  </w:r>
                </w:p>
              </w:tc>
              <w:tc>
                <w:tcPr>
                  <w:tcW w:w="777" w:type="pct"/>
                  <w:noWrap/>
                  <w:vAlign w:val="center"/>
                </w:tcPr>
                <w:p>
                  <w:pPr>
                    <w:jc w:val="center"/>
                    <w:rPr>
                      <w:rFonts w:hint="eastAsia"/>
                      <w:color w:val="auto"/>
                      <w:szCs w:val="21"/>
                      <w:u w:val="single"/>
                    </w:rPr>
                  </w:pPr>
                  <w:r>
                    <w:rPr>
                      <w:rFonts w:hint="eastAsia"/>
                      <w:color w:val="auto"/>
                      <w:szCs w:val="21"/>
                      <w:u w:val="single"/>
                      <w:lang w:val="en-US" w:eastAsia="zh-CN"/>
                    </w:rPr>
                    <w:t>/</w:t>
                  </w:r>
                </w:p>
              </w:tc>
            </w:tr>
          </w:tbl>
          <w:p>
            <w:pPr>
              <w:spacing w:line="240" w:lineRule="auto"/>
              <w:ind w:firstLine="480" w:firstLineChars="200"/>
              <w:rPr>
                <w:rFonts w:hint="eastAsia"/>
                <w:sz w:val="24"/>
                <w:u w:val="none"/>
              </w:rPr>
            </w:pPr>
          </w:p>
          <w:p>
            <w:pPr>
              <w:snapToGrid w:val="0"/>
              <w:spacing w:line="360" w:lineRule="auto"/>
              <w:ind w:firstLine="480" w:firstLineChars="200"/>
              <w:rPr>
                <w:sz w:val="24"/>
                <w:u w:val="none"/>
              </w:rPr>
            </w:pPr>
            <w:r>
              <w:rPr>
                <w:sz w:val="24"/>
                <w:u w:val="none"/>
              </w:rPr>
              <w:t>医疗固废暂存间设计必须符合《医疗废物集中处置技术规范（试行）》中要求，医疗废物尽量一日一清，储存时间不得超过48h，同时建议医疗废物暂存间配备低温储存设备，确保特殊条件下医疗废物的安全储存。</w:t>
            </w:r>
            <w:r>
              <w:rPr>
                <w:rFonts w:hint="eastAsia"/>
                <w:sz w:val="24"/>
                <w:u w:val="none"/>
              </w:rPr>
              <w:t>对医疗废物</w:t>
            </w:r>
            <w:r>
              <w:rPr>
                <w:sz w:val="24"/>
                <w:u w:val="none"/>
              </w:rPr>
              <w:t>严格按照《危险废物贮存污染控制标准》（GB18597-2001）及标准修改单中相关要求，建设医疗废物暂存间，并定期交由有资质的处置单位外运并妥善处置，不会对外环境产生明显污染影响。</w:t>
            </w:r>
          </w:p>
          <w:p>
            <w:pPr>
              <w:spacing w:line="360" w:lineRule="auto"/>
              <w:ind w:firstLine="480" w:firstLineChars="200"/>
              <w:rPr>
                <w:sz w:val="24"/>
                <w:u w:val="none"/>
              </w:rPr>
            </w:pPr>
            <w:r>
              <w:rPr>
                <w:rFonts w:hint="eastAsia"/>
                <w:sz w:val="24"/>
                <w:u w:val="none"/>
              </w:rPr>
              <w:t>环评要求医疗废物暂存间必须按《医疗废物集中处置技术规范》（环发</w:t>
            </w:r>
            <w:r>
              <w:rPr>
                <w:sz w:val="24"/>
                <w:u w:val="none"/>
              </w:rPr>
              <w:t>[2003]206</w:t>
            </w:r>
            <w:r>
              <w:rPr>
                <w:rFonts w:hint="eastAsia"/>
                <w:sz w:val="24"/>
                <w:u w:val="none"/>
              </w:rPr>
              <w:t>号）相关要求进行设计、建设，医疗废物的处置必须采取以下措施：</w:t>
            </w:r>
          </w:p>
          <w:p>
            <w:pPr>
              <w:spacing w:line="360" w:lineRule="auto"/>
              <w:ind w:firstLine="480" w:firstLineChars="200"/>
              <w:rPr>
                <w:sz w:val="24"/>
                <w:u w:val="none"/>
              </w:rPr>
            </w:pPr>
            <w:r>
              <w:rPr>
                <w:rFonts w:hint="eastAsia"/>
                <w:sz w:val="24"/>
                <w:u w:val="none"/>
              </w:rPr>
              <w:t>①分类收集</w:t>
            </w:r>
          </w:p>
          <w:p>
            <w:pPr>
              <w:spacing w:line="360" w:lineRule="auto"/>
              <w:ind w:firstLine="480" w:firstLineChars="200"/>
              <w:rPr>
                <w:sz w:val="24"/>
                <w:u w:val="none"/>
              </w:rPr>
            </w:pPr>
            <w:r>
              <w:rPr>
                <w:rFonts w:hint="eastAsia"/>
                <w:sz w:val="24"/>
                <w:u w:val="none"/>
              </w:rPr>
              <w:t>分类收集是减少危害和安全处理的前提，收集废物所使用的容器主要是塑料袋、锐器容器和废物箱等。</w:t>
            </w:r>
          </w:p>
          <w:p>
            <w:pPr>
              <w:spacing w:line="360" w:lineRule="auto"/>
              <w:ind w:firstLine="480" w:firstLineChars="200"/>
              <w:rPr>
                <w:sz w:val="24"/>
                <w:u w:val="none"/>
              </w:rPr>
            </w:pPr>
            <w:r>
              <w:rPr>
                <w:rFonts w:hint="eastAsia"/>
                <w:sz w:val="24"/>
                <w:u w:val="none"/>
              </w:rPr>
              <w:t>医疗废物</w:t>
            </w:r>
            <w:r>
              <w:rPr>
                <w:sz w:val="24"/>
                <w:u w:val="none"/>
              </w:rPr>
              <w:t>收集容器应符合《医疗废物专用包装物、容器的标准和警示标识的规定》(环发[2003]188号)要求。</w:t>
            </w:r>
          </w:p>
          <w:p>
            <w:pPr>
              <w:spacing w:line="360" w:lineRule="auto"/>
              <w:ind w:firstLine="480" w:firstLineChars="200"/>
              <w:rPr>
                <w:sz w:val="24"/>
                <w:u w:val="none"/>
              </w:rPr>
            </w:pPr>
            <w:r>
              <w:rPr>
                <w:sz w:val="24"/>
                <w:u w:val="none"/>
              </w:rPr>
              <w:t>盛装医疗废物的每个包装物、容器外表面应当有警示标识，在每个包装物、容器上应当系中文标签，中文标签的内容应当包括：医疗废物产生单位、产生日期、类别及需要的特别说明等。</w:t>
            </w:r>
          </w:p>
          <w:p>
            <w:pPr>
              <w:spacing w:line="360" w:lineRule="auto"/>
              <w:ind w:firstLine="480" w:firstLineChars="200"/>
              <w:rPr>
                <w:sz w:val="24"/>
                <w:u w:val="none"/>
              </w:rPr>
            </w:pPr>
            <w:r>
              <w:rPr>
                <w:sz w:val="24"/>
                <w:u w:val="none"/>
              </w:rPr>
              <w:t>包装袋不得使用聚氯乙烯（PVC）塑料为制造原料，聚乙烯（PE）包装袋正常使用时不得渗漏、破裂、穿孔；最大容积为0.1m</w:t>
            </w:r>
            <w:r>
              <w:rPr>
                <w:sz w:val="24"/>
                <w:u w:val="none"/>
                <w:vertAlign w:val="superscript"/>
              </w:rPr>
              <w:t>3</w:t>
            </w:r>
            <w:r>
              <w:rPr>
                <w:sz w:val="24"/>
                <w:u w:val="none"/>
              </w:rPr>
              <w:t>,大小和形状适中，便于搬运和配合周转箱（桶）盛状；如果使用线型低密度聚乙烯（LLDPE）或低密度聚乙烯与线型低密度聚乙烯共混（LLDPE+LDPE）为原料，其最小公称厚度应为150μm；如果使用中密度或高密度聚乙烯（MDPE，HDPE），其最小公称厚度应为80μm；、包装袋的颜色为黄色，并有盛装医疗废物类型的文字说明，如盛装感染性废物，应在包装袋上加注“感染性废物”字样；包装袋上医疗废物警示标识。</w:t>
            </w:r>
          </w:p>
          <w:p>
            <w:pPr>
              <w:spacing w:line="360" w:lineRule="auto"/>
              <w:ind w:firstLine="480" w:firstLineChars="200"/>
              <w:rPr>
                <w:sz w:val="24"/>
                <w:u w:val="none"/>
              </w:rPr>
            </w:pPr>
            <w:r>
              <w:rPr>
                <w:sz w:val="24"/>
                <w:u w:val="none"/>
              </w:rPr>
              <w:t xml:space="preserve">利器盒整体为硬制材料制成，密封，以保证利器盒在正常使用的情况下，盒内盛装的锐利器具不撒漏，利器盒一旦被封口，则无法在不破坏的情况下被再次打开；利器盒能防刺穿，其盛装的注射器针头、破碎玻璃片等锐利器具不能刺穿利器盒；满盛装量的利器盒从1.5m高处垂直跌落至水泥地面，连续3次，利器盒不会出现破裂、被刺穿等情况；利器盒易于焚烧，不得使用聚氯乙烯（PVC）塑料作为制造原材料；利器盒整体颜色为黄色，在盒体侧面注明“损伤性废物”；利器盒上应印制本规定第五条确定的医疗废物警示标识。 </w:t>
            </w:r>
          </w:p>
          <w:p>
            <w:pPr>
              <w:spacing w:line="360" w:lineRule="auto"/>
              <w:ind w:firstLine="480" w:firstLineChars="200"/>
              <w:rPr>
                <w:sz w:val="24"/>
                <w:u w:val="none"/>
              </w:rPr>
            </w:pPr>
            <w:r>
              <w:rPr>
                <w:sz w:val="24"/>
                <w:u w:val="none"/>
              </w:rPr>
              <w:t>周转箱整体为硬制材料，防液体渗漏，可一次性或多次重复使用；多次重复使用的周转箱（桶）应能被快速消毒或清洗； 周转箱（桶）整体为黄色，外表面应印（喷）制医疗废物警示标识和文字说明。应选用高密度聚乙烯（HDPE）为原料采用注射工艺生产；箱体盖选用高密度聚乙烯与聚丙烯（PP）共混或专用料采用注射工艺生产。箱体箱盖设密封槽，整体装配密闭。箱体与箱盖能牢固扣紧，扣紧后不分离。表面光滑平整，无裂损，不允许明显凹陷，边缘及端手无毛刺。浇口处不影响箱子平置。不允许≥2mm杂质存在；箱底、顶部有配合牙槽，具有防滑功能。</w:t>
            </w:r>
          </w:p>
          <w:p>
            <w:pPr>
              <w:spacing w:line="360" w:lineRule="auto"/>
              <w:ind w:firstLine="480" w:firstLineChars="200"/>
              <w:rPr>
                <w:sz w:val="24"/>
                <w:u w:val="none"/>
              </w:rPr>
            </w:pPr>
            <w:r>
              <w:rPr>
                <w:rFonts w:hint="eastAsia"/>
                <w:sz w:val="24"/>
                <w:u w:val="none"/>
              </w:rPr>
              <w:t>②分类管理</w:t>
            </w:r>
          </w:p>
          <w:p>
            <w:pPr>
              <w:spacing w:line="360" w:lineRule="auto"/>
              <w:ind w:firstLine="480" w:firstLineChars="200"/>
              <w:rPr>
                <w:sz w:val="24"/>
                <w:u w:val="none"/>
              </w:rPr>
            </w:pPr>
            <w:r>
              <w:rPr>
                <w:rFonts w:hint="eastAsia"/>
                <w:sz w:val="24"/>
                <w:u w:val="none"/>
              </w:rPr>
              <w:t>按照</w:t>
            </w:r>
            <w:r>
              <w:rPr>
                <w:sz w:val="24"/>
                <w:u w:val="none"/>
              </w:rPr>
              <w:t>《医疗废物专用包装物、容器的标准和警示标识的规定》</w:t>
            </w:r>
            <w:r>
              <w:rPr>
                <w:rFonts w:hint="eastAsia"/>
                <w:sz w:val="24"/>
                <w:u w:val="none"/>
              </w:rPr>
              <w:t>，</w:t>
            </w:r>
            <w:r>
              <w:rPr>
                <w:sz w:val="24"/>
                <w:u w:val="none"/>
              </w:rPr>
              <w:t>根据医疗废物的类别，将医疗废物分置于符合的包装物或者容器内；在盛装医疗废物前，应当对医疗废物包装物或者容器进行认真检查，确保无破损、渗漏</w:t>
            </w:r>
            <w:r>
              <w:rPr>
                <w:rFonts w:hint="eastAsia"/>
                <w:sz w:val="24"/>
                <w:u w:val="none"/>
                <w:lang w:eastAsia="zh-CN"/>
              </w:rPr>
              <w:t>和其他</w:t>
            </w:r>
            <w:r>
              <w:rPr>
                <w:sz w:val="24"/>
                <w:u w:val="none"/>
              </w:rPr>
              <w:t>缺陷。</w:t>
            </w:r>
          </w:p>
          <w:p>
            <w:pPr>
              <w:spacing w:line="360" w:lineRule="auto"/>
              <w:ind w:firstLine="480" w:firstLineChars="200"/>
              <w:rPr>
                <w:sz w:val="24"/>
                <w:u w:val="none"/>
              </w:rPr>
            </w:pPr>
            <w:r>
              <w:rPr>
                <w:sz w:val="24"/>
                <w:u w:val="none"/>
              </w:rPr>
              <w:t>感染性废物、病理性废物、损伤性废物、药物性废物及化学性废物不能混合收集。</w:t>
            </w:r>
          </w:p>
          <w:p>
            <w:pPr>
              <w:spacing w:line="360" w:lineRule="auto"/>
              <w:ind w:firstLine="480" w:firstLineChars="200"/>
              <w:rPr>
                <w:sz w:val="24"/>
                <w:u w:val="none"/>
              </w:rPr>
            </w:pPr>
            <w:r>
              <w:rPr>
                <w:rFonts w:hint="eastAsia"/>
                <w:sz w:val="24"/>
                <w:u w:val="none"/>
              </w:rPr>
              <w:t>对于手术室等</w:t>
            </w:r>
            <w:r>
              <w:rPr>
                <w:sz w:val="24"/>
                <w:u w:val="none"/>
              </w:rPr>
              <w:t>临床废物，必须当日消毒，消毒后装入容器。常温下贮存期不得超过一天，于摄氏5度以下冷藏的，不得超过7天</w:t>
            </w:r>
            <w:r>
              <w:rPr>
                <w:rFonts w:hint="eastAsia"/>
                <w:sz w:val="24"/>
                <w:u w:val="none"/>
              </w:rPr>
              <w:t>，委托有危废处置资质的单位处置。</w:t>
            </w:r>
          </w:p>
          <w:p>
            <w:pPr>
              <w:spacing w:line="360" w:lineRule="auto"/>
              <w:ind w:firstLine="480" w:firstLineChars="200"/>
              <w:rPr>
                <w:sz w:val="24"/>
                <w:u w:val="none"/>
              </w:rPr>
            </w:pPr>
            <w:r>
              <w:rPr>
                <w:sz w:val="24"/>
                <w:u w:val="none"/>
              </w:rPr>
              <w:t>放入包装物或者容器内的感染性废物、病理性废物、损伤性废物不得取出</w:t>
            </w:r>
            <w:r>
              <w:rPr>
                <w:rFonts w:hint="eastAsia"/>
                <w:sz w:val="24"/>
                <w:u w:val="none"/>
              </w:rPr>
              <w:t>。</w:t>
            </w:r>
          </w:p>
          <w:p>
            <w:pPr>
              <w:spacing w:line="360" w:lineRule="auto"/>
              <w:ind w:firstLine="480" w:firstLineChars="200"/>
              <w:rPr>
                <w:sz w:val="24"/>
                <w:u w:val="none"/>
              </w:rPr>
            </w:pPr>
            <w:r>
              <w:rPr>
                <w:sz w:val="24"/>
                <w:u w:val="none"/>
              </w:rPr>
              <w:t>盛装的医疗废物达到包装物或者容器的3/4时，应当使用有效的封口方式，使包装物或者容器的封口紧实、严密。包装物或者容器的外表面被感染性废物污染时，应当对被污染处进行消毒处理或者增加一层包装。</w:t>
            </w:r>
          </w:p>
          <w:p>
            <w:pPr>
              <w:spacing w:line="360" w:lineRule="auto"/>
              <w:ind w:firstLine="480" w:firstLineChars="200"/>
              <w:rPr>
                <w:sz w:val="24"/>
                <w:u w:val="none"/>
              </w:rPr>
            </w:pPr>
            <w:r>
              <w:rPr>
                <w:rFonts w:hint="eastAsia"/>
                <w:sz w:val="24"/>
                <w:u w:val="none"/>
              </w:rPr>
              <w:t>③暂时贮存要求</w:t>
            </w:r>
          </w:p>
          <w:p>
            <w:pPr>
              <w:spacing w:line="360" w:lineRule="auto"/>
              <w:ind w:firstLine="480" w:firstLineChars="200"/>
              <w:rPr>
                <w:sz w:val="24"/>
                <w:u w:val="none"/>
              </w:rPr>
            </w:pPr>
            <w:r>
              <w:rPr>
                <w:rFonts w:hint="eastAsia"/>
                <w:sz w:val="24"/>
                <w:u w:val="none"/>
              </w:rPr>
              <w:t>医院内废物袋（箱）在就地处理或异地处理之前，均需集中存放在医疗固废暂存间内。医疗固废暂存间一定要和普通垃圾分开存放，并有醒目的标牌，易于识别。</w:t>
            </w:r>
          </w:p>
          <w:p>
            <w:pPr>
              <w:spacing w:line="360" w:lineRule="auto"/>
              <w:ind w:firstLine="480" w:firstLineChars="200"/>
              <w:rPr>
                <w:sz w:val="24"/>
                <w:u w:val="none"/>
              </w:rPr>
            </w:pPr>
            <w:r>
              <w:rPr>
                <w:rFonts w:hint="eastAsia"/>
                <w:sz w:val="24"/>
                <w:u w:val="none"/>
              </w:rPr>
              <w:t>尽量减少各废物产生地向医疗固废暂存间的开放式转运。存放地点应便于内部转运与外运，尽量远离食品加工和人员活动场所。医疗固废暂存间采取措施，防止动物进出和昆虫的侵扰。</w:t>
            </w:r>
          </w:p>
          <w:p>
            <w:pPr>
              <w:spacing w:line="360" w:lineRule="auto"/>
              <w:ind w:firstLine="480" w:firstLineChars="200"/>
              <w:rPr>
                <w:sz w:val="24"/>
                <w:u w:val="none"/>
              </w:rPr>
            </w:pPr>
            <w:r>
              <w:rPr>
                <w:rFonts w:hint="eastAsia"/>
                <w:sz w:val="24"/>
                <w:u w:val="none"/>
              </w:rPr>
              <w:t>医疗固废暂存间内应设有冲洗及消毒设施，应有防止泄漏的保护设施，冲洗水应排入医院污水处理站。</w:t>
            </w:r>
          </w:p>
          <w:p>
            <w:pPr>
              <w:spacing w:line="360" w:lineRule="auto"/>
              <w:ind w:firstLine="480" w:firstLineChars="200"/>
              <w:rPr>
                <w:sz w:val="24"/>
                <w:u w:val="none"/>
              </w:rPr>
            </w:pPr>
            <w:r>
              <w:rPr>
                <w:rFonts w:hint="eastAsia"/>
                <w:sz w:val="24"/>
                <w:u w:val="none"/>
              </w:rPr>
              <w:t>④</w:t>
            </w:r>
            <w:r>
              <w:rPr>
                <w:sz w:val="24"/>
                <w:u w:val="none"/>
              </w:rPr>
              <w:t>医疗废物的交接</w:t>
            </w:r>
          </w:p>
          <w:p>
            <w:pPr>
              <w:spacing w:line="360" w:lineRule="auto"/>
              <w:ind w:firstLine="480" w:firstLineChars="200"/>
              <w:rPr>
                <w:sz w:val="24"/>
                <w:u w:val="none"/>
              </w:rPr>
            </w:pPr>
            <w:r>
              <w:rPr>
                <w:rFonts w:hint="eastAsia"/>
                <w:sz w:val="24"/>
                <w:u w:val="none"/>
              </w:rPr>
              <w:t>本项目医疗废物交由有危废处置资质的单位集中处理。按照《医疗废物转运车技术要求（试行）》，医疗废物运送人员在接收医疗废物时，</w:t>
            </w:r>
            <w:r>
              <w:rPr>
                <w:sz w:val="24"/>
                <w:u w:val="none"/>
              </w:rPr>
              <w:t>应外观检查医疗卫生机构是否按规定进行包装、标识，并盛装于周转箱内，不得打开包装袋取出医疗废物。对包装破损、包装外表污染或未盛装于周转箱内的医疗废物，医疗废物运送人员应当要求医疗卫生机构重新包装、标识，并盛装于周转箱内。拒不按规定对医疗废物进行包装的，运送人员有权拒绝运送，并向当地环保部门报告。</w:t>
            </w:r>
          </w:p>
          <w:p>
            <w:pPr>
              <w:spacing w:line="360" w:lineRule="auto"/>
              <w:ind w:firstLine="480" w:firstLineChars="200"/>
              <w:rPr>
                <w:sz w:val="24"/>
                <w:u w:val="none"/>
              </w:rPr>
            </w:pPr>
            <w:r>
              <w:rPr>
                <w:rFonts w:hint="eastAsia"/>
                <w:sz w:val="24"/>
                <w:u w:val="none"/>
              </w:rPr>
              <w:t>⑤</w:t>
            </w:r>
            <w:r>
              <w:rPr>
                <w:sz w:val="24"/>
                <w:u w:val="none"/>
              </w:rPr>
              <w:t>医疗废物的运输</w:t>
            </w:r>
          </w:p>
          <w:p>
            <w:pPr>
              <w:spacing w:line="360" w:lineRule="auto"/>
              <w:ind w:firstLine="480" w:firstLineChars="200"/>
              <w:rPr>
                <w:sz w:val="24"/>
                <w:u w:val="none"/>
              </w:rPr>
            </w:pPr>
            <w:r>
              <w:rPr>
                <w:rFonts w:hint="eastAsia"/>
                <w:sz w:val="24"/>
                <w:u w:val="none"/>
              </w:rPr>
              <w:t>医疗固废交由有危废处置资质的单位按《医疗废物转运车技术要求（试行）》规范转运处理。</w:t>
            </w:r>
          </w:p>
          <w:p>
            <w:pPr>
              <w:spacing w:line="360" w:lineRule="auto"/>
              <w:ind w:firstLine="480" w:firstLineChars="200"/>
              <w:rPr>
                <w:sz w:val="24"/>
                <w:u w:val="none"/>
              </w:rPr>
            </w:pPr>
            <w:r>
              <w:rPr>
                <w:rFonts w:hint="eastAsia"/>
                <w:sz w:val="24"/>
                <w:u w:val="none"/>
              </w:rPr>
              <w:t>⑥</w:t>
            </w:r>
            <w:r>
              <w:rPr>
                <w:sz w:val="24"/>
                <w:u w:val="none"/>
              </w:rPr>
              <w:t>事故应急措施</w:t>
            </w:r>
          </w:p>
          <w:p>
            <w:pPr>
              <w:spacing w:line="360" w:lineRule="auto"/>
              <w:ind w:firstLine="480" w:firstLineChars="200"/>
              <w:rPr>
                <w:sz w:val="24"/>
                <w:u w:val="none"/>
              </w:rPr>
            </w:pPr>
            <w:r>
              <w:rPr>
                <w:sz w:val="24"/>
                <w:u w:val="none"/>
              </w:rPr>
              <w:t>发生医疗废物流失、泄漏、扩散和意外事故时，应当按照以下要求及时采取紧急处理措施：</w:t>
            </w:r>
            <w:r>
              <w:rPr>
                <w:rFonts w:hint="eastAsia"/>
                <w:sz w:val="24"/>
                <w:u w:val="none"/>
              </w:rPr>
              <w:t>1）</w:t>
            </w:r>
            <w:r>
              <w:rPr>
                <w:sz w:val="24"/>
                <w:u w:val="none"/>
              </w:rPr>
              <w:t>确定流失、泄漏、扩散的医疗废物的类别、数量、发生时间、影响范围及严重程度；</w:t>
            </w:r>
            <w:r>
              <w:rPr>
                <w:rFonts w:hint="eastAsia"/>
                <w:sz w:val="24"/>
                <w:u w:val="none"/>
              </w:rPr>
              <w:t>2）</w:t>
            </w:r>
            <w:r>
              <w:rPr>
                <w:sz w:val="24"/>
                <w:u w:val="none"/>
              </w:rPr>
              <w:t>组织有关人员尽快按照应急方案，对发生医疗废物泄漏、扩散的现场进行处理；</w:t>
            </w:r>
            <w:r>
              <w:rPr>
                <w:rFonts w:hint="eastAsia"/>
                <w:sz w:val="24"/>
                <w:u w:val="none"/>
              </w:rPr>
              <w:t>3）</w:t>
            </w:r>
            <w:r>
              <w:rPr>
                <w:sz w:val="24"/>
                <w:u w:val="none"/>
              </w:rPr>
              <w:t>对被医疗废物污染的区域进行处理时，应当尽可能减少对病人、医务人员、其它现场人员及环境的影响；</w:t>
            </w:r>
            <w:r>
              <w:rPr>
                <w:rFonts w:hint="eastAsia"/>
                <w:sz w:val="24"/>
                <w:u w:val="none"/>
              </w:rPr>
              <w:t>4）</w:t>
            </w:r>
            <w:r>
              <w:rPr>
                <w:sz w:val="24"/>
                <w:u w:val="none"/>
              </w:rPr>
              <w:t>采取适当的安全处置措施，对泄漏物及受污染的区域、物品进行消毒或者其他无害化处置，必要时封锁污染区域，以防扩大污染；</w:t>
            </w:r>
            <w:r>
              <w:rPr>
                <w:rFonts w:hint="eastAsia"/>
                <w:sz w:val="24"/>
                <w:u w:val="none"/>
              </w:rPr>
              <w:t>5）</w:t>
            </w:r>
            <w:r>
              <w:rPr>
                <w:sz w:val="24"/>
                <w:u w:val="none"/>
              </w:rPr>
              <w:t>对感染性废物污染区域进行消毒时，消毒工作从污染最轻区域向污染最严重区域进行，对可能被污染的所有使用过的工具也应当进行消毒；工作人员应当做好卫生安全防护后进行工作。</w:t>
            </w:r>
            <w:r>
              <w:rPr>
                <w:rFonts w:hint="eastAsia"/>
                <w:sz w:val="24"/>
                <w:u w:val="none"/>
              </w:rPr>
              <w:t>6）</w:t>
            </w:r>
            <w:r>
              <w:rPr>
                <w:sz w:val="24"/>
                <w:u w:val="none"/>
              </w:rPr>
              <w:t>处理工作结束后，应当对事件的起因进行调查，并采取有效的防范措施预防类似事件的发生。</w:t>
            </w:r>
          </w:p>
          <w:p>
            <w:pPr>
              <w:spacing w:line="360" w:lineRule="auto"/>
              <w:ind w:firstLine="480" w:firstLineChars="200"/>
              <w:rPr>
                <w:sz w:val="24"/>
                <w:u w:val="none"/>
              </w:rPr>
            </w:pPr>
            <w:r>
              <w:rPr>
                <w:rFonts w:hint="eastAsia"/>
                <w:sz w:val="24"/>
                <w:u w:val="none"/>
              </w:rPr>
              <w:t>医疗废物暂存间建设要求：</w:t>
            </w:r>
          </w:p>
          <w:p>
            <w:pPr>
              <w:spacing w:line="360" w:lineRule="auto"/>
              <w:ind w:firstLine="480" w:firstLineChars="200"/>
              <w:jc w:val="both"/>
              <w:rPr>
                <w:sz w:val="24"/>
                <w:u w:val="none"/>
              </w:rPr>
            </w:pPr>
            <w:r>
              <w:rPr>
                <w:rFonts w:hint="eastAsia"/>
                <w:sz w:val="24"/>
                <w:u w:val="none"/>
              </w:rPr>
              <w:t>根据《医疗废物管理条例》、《危险废物贮存污染控制标准》（</w:t>
            </w:r>
            <w:r>
              <w:rPr>
                <w:sz w:val="24"/>
                <w:u w:val="none"/>
              </w:rPr>
              <w:t>GB18597-2001</w:t>
            </w:r>
            <w:r>
              <w:rPr>
                <w:rFonts w:hint="eastAsia"/>
                <w:sz w:val="24"/>
                <w:u w:val="none"/>
              </w:rPr>
              <w:t>）</w:t>
            </w:r>
            <w:r>
              <w:rPr>
                <w:rFonts w:hint="eastAsia"/>
                <w:sz w:val="24"/>
                <w:u w:val="none"/>
                <w:lang w:val="en-US" w:eastAsia="zh-CN"/>
              </w:rPr>
              <w:t>及2013年修订</w:t>
            </w:r>
            <w:r>
              <w:rPr>
                <w:rFonts w:hint="eastAsia"/>
                <w:sz w:val="24"/>
                <w:u w:val="none"/>
              </w:rPr>
              <w:t>、《医疗废物专用包装袋、容器和警示标志标准》（</w:t>
            </w:r>
            <w:r>
              <w:rPr>
                <w:sz w:val="24"/>
                <w:u w:val="none"/>
              </w:rPr>
              <w:t>HJ/T421-2008</w:t>
            </w:r>
            <w:r>
              <w:rPr>
                <w:rFonts w:hint="eastAsia"/>
                <w:sz w:val="24"/>
                <w:u w:val="none"/>
              </w:rPr>
              <w:t>）、《医疗废物集中处置技术规范（试行）》（环发</w:t>
            </w:r>
            <w:r>
              <w:rPr>
                <w:sz w:val="24"/>
                <w:u w:val="none"/>
              </w:rPr>
              <w:t>[2003]206</w:t>
            </w:r>
            <w:r>
              <w:rPr>
                <w:rFonts w:hint="eastAsia"/>
                <w:sz w:val="24"/>
                <w:u w:val="none"/>
              </w:rPr>
              <w:t>号）等相关规定。</w:t>
            </w:r>
          </w:p>
          <w:p>
            <w:pPr>
              <w:spacing w:line="360" w:lineRule="auto"/>
              <w:ind w:firstLine="480" w:firstLineChars="200"/>
              <w:rPr>
                <w:sz w:val="24"/>
                <w:u w:val="none"/>
              </w:rPr>
            </w:pPr>
            <w:r>
              <w:rPr>
                <w:rFonts w:hint="eastAsia"/>
                <w:sz w:val="24"/>
                <w:u w:val="none"/>
              </w:rPr>
              <w:t>卫生机构建立的医疗废物暂时贮存设施、设备应当达到以下要求：</w:t>
            </w:r>
          </w:p>
          <w:p>
            <w:pPr>
              <w:spacing w:line="360" w:lineRule="auto"/>
              <w:ind w:firstLine="480" w:firstLineChars="200"/>
              <w:rPr>
                <w:sz w:val="24"/>
                <w:u w:val="none"/>
              </w:rPr>
            </w:pPr>
            <w:r>
              <w:rPr>
                <w:rFonts w:hint="eastAsia"/>
                <w:sz w:val="24"/>
                <w:u w:val="none"/>
              </w:rPr>
              <w:t>（</w:t>
            </w:r>
            <w:r>
              <w:rPr>
                <w:sz w:val="24"/>
                <w:u w:val="none"/>
              </w:rPr>
              <w:t>1</w:t>
            </w:r>
            <w:r>
              <w:rPr>
                <w:rFonts w:hint="eastAsia"/>
                <w:sz w:val="24"/>
                <w:u w:val="none"/>
              </w:rPr>
              <w:t>）必须与生活垃圾存放地分开，有防雨淋的装置，地基高度应确保设施内不受雨洪冲击或浸泡；</w:t>
            </w:r>
          </w:p>
          <w:p>
            <w:pPr>
              <w:spacing w:line="360" w:lineRule="auto"/>
              <w:ind w:firstLine="480" w:firstLineChars="200"/>
              <w:rPr>
                <w:sz w:val="24"/>
                <w:u w:val="none"/>
              </w:rPr>
            </w:pPr>
            <w:r>
              <w:rPr>
                <w:rFonts w:hint="eastAsia"/>
                <w:sz w:val="24"/>
                <w:u w:val="none"/>
              </w:rPr>
              <w:t>（</w:t>
            </w:r>
            <w:r>
              <w:rPr>
                <w:sz w:val="24"/>
                <w:u w:val="none"/>
              </w:rPr>
              <w:t>2</w:t>
            </w:r>
            <w:r>
              <w:rPr>
                <w:rFonts w:hint="eastAsia"/>
                <w:sz w:val="24"/>
                <w:u w:val="none"/>
              </w:rPr>
              <w:t>）医疗废物暂时贮存设施内应分区，将感染性废物、病理性废物、损伤性废物、药物性废物、化学性废物、污水处理站污泥、试剂调配废气处理产生的废活性炭分开暂存。</w:t>
            </w:r>
          </w:p>
          <w:p>
            <w:pPr>
              <w:spacing w:line="360" w:lineRule="auto"/>
              <w:ind w:firstLine="480" w:firstLineChars="200"/>
              <w:rPr>
                <w:sz w:val="24"/>
                <w:u w:val="none"/>
              </w:rPr>
            </w:pPr>
            <w:r>
              <w:rPr>
                <w:rFonts w:hint="eastAsia"/>
                <w:sz w:val="24"/>
                <w:u w:val="none"/>
              </w:rPr>
              <w:t>（</w:t>
            </w:r>
            <w:r>
              <w:rPr>
                <w:sz w:val="24"/>
                <w:u w:val="none"/>
              </w:rPr>
              <w:t>3</w:t>
            </w:r>
            <w:r>
              <w:rPr>
                <w:rFonts w:hint="eastAsia"/>
                <w:sz w:val="24"/>
                <w:u w:val="none"/>
              </w:rPr>
              <w:t>）必须与医疗区、食品加工区和人员活动密集区隔开，方便医疗废物的装卸、装卸人员及运送车辆的出入；</w:t>
            </w:r>
          </w:p>
          <w:p>
            <w:pPr>
              <w:spacing w:line="360" w:lineRule="auto"/>
              <w:ind w:firstLine="480" w:firstLineChars="200"/>
              <w:rPr>
                <w:sz w:val="24"/>
                <w:u w:val="none"/>
              </w:rPr>
            </w:pPr>
            <w:r>
              <w:rPr>
                <w:rFonts w:hint="eastAsia"/>
                <w:sz w:val="24"/>
                <w:u w:val="none"/>
              </w:rPr>
              <w:t>（</w:t>
            </w:r>
            <w:r>
              <w:rPr>
                <w:sz w:val="24"/>
                <w:u w:val="none"/>
              </w:rPr>
              <w:t>4</w:t>
            </w:r>
            <w:r>
              <w:rPr>
                <w:rFonts w:hint="eastAsia"/>
                <w:sz w:val="24"/>
                <w:u w:val="none"/>
              </w:rPr>
              <w:t>）应有严密的封闭措施，设专人管理，避免非工作人员进出，以及防鼠、防蚊蝇、防蟑螂、防盗以及预防儿童接触等安全措施；</w:t>
            </w:r>
          </w:p>
          <w:p>
            <w:pPr>
              <w:spacing w:line="360" w:lineRule="auto"/>
              <w:ind w:firstLine="480" w:firstLineChars="200"/>
              <w:rPr>
                <w:sz w:val="24"/>
                <w:u w:val="none"/>
              </w:rPr>
            </w:pPr>
            <w:r>
              <w:rPr>
                <w:rFonts w:hint="eastAsia"/>
                <w:sz w:val="24"/>
                <w:u w:val="none"/>
              </w:rPr>
              <w:t>（</w:t>
            </w:r>
            <w:r>
              <w:rPr>
                <w:sz w:val="24"/>
                <w:u w:val="none"/>
              </w:rPr>
              <w:t>5</w:t>
            </w:r>
            <w:r>
              <w:rPr>
                <w:rFonts w:hint="eastAsia"/>
                <w:sz w:val="24"/>
                <w:u w:val="none"/>
              </w:rPr>
              <w:t>）地面和</w:t>
            </w:r>
            <w:r>
              <w:rPr>
                <w:sz w:val="24"/>
                <w:u w:val="none"/>
              </w:rPr>
              <w:t>1.0</w:t>
            </w:r>
            <w:r>
              <w:rPr>
                <w:rFonts w:hint="eastAsia"/>
                <w:sz w:val="24"/>
                <w:u w:val="none"/>
              </w:rPr>
              <w:t>米高的墙裙须进行防渗处理，地面有良好的排水性能，易于清洁和消毒，产生的废水应采用管道直接排入医疗卫生机构内的医疗废水消毒、处理系统，禁止将产生的废水直接排入外环境；</w:t>
            </w:r>
          </w:p>
          <w:p>
            <w:pPr>
              <w:spacing w:line="360" w:lineRule="auto"/>
              <w:ind w:firstLine="480" w:firstLineChars="200"/>
              <w:rPr>
                <w:sz w:val="24"/>
                <w:u w:val="none"/>
              </w:rPr>
            </w:pPr>
            <w:r>
              <w:rPr>
                <w:rFonts w:hint="eastAsia"/>
                <w:sz w:val="24"/>
                <w:u w:val="none"/>
              </w:rPr>
              <w:t>（</w:t>
            </w:r>
            <w:r>
              <w:rPr>
                <w:sz w:val="24"/>
                <w:u w:val="none"/>
              </w:rPr>
              <w:t>6</w:t>
            </w:r>
            <w:r>
              <w:rPr>
                <w:rFonts w:hint="eastAsia"/>
                <w:sz w:val="24"/>
                <w:u w:val="none"/>
              </w:rPr>
              <w:t>）库房外宜设有供水龙头，以供暂时贮存库房的清洗用；</w:t>
            </w:r>
          </w:p>
          <w:p>
            <w:pPr>
              <w:spacing w:line="360" w:lineRule="auto"/>
              <w:ind w:firstLine="480" w:firstLineChars="200"/>
              <w:rPr>
                <w:sz w:val="24"/>
                <w:u w:val="none"/>
              </w:rPr>
            </w:pPr>
            <w:r>
              <w:rPr>
                <w:rFonts w:hint="eastAsia"/>
                <w:sz w:val="24"/>
                <w:u w:val="none"/>
              </w:rPr>
              <w:t>（</w:t>
            </w:r>
            <w:r>
              <w:rPr>
                <w:sz w:val="24"/>
                <w:u w:val="none"/>
              </w:rPr>
              <w:t>7</w:t>
            </w:r>
            <w:r>
              <w:rPr>
                <w:rFonts w:hint="eastAsia"/>
                <w:sz w:val="24"/>
                <w:u w:val="none"/>
              </w:rPr>
              <w:t>）避免阳光直射库内，应有良好的照明设备和通风条件；</w:t>
            </w:r>
          </w:p>
          <w:p>
            <w:pPr>
              <w:spacing w:line="360" w:lineRule="auto"/>
              <w:ind w:firstLine="480" w:firstLineChars="200"/>
              <w:rPr>
                <w:sz w:val="24"/>
                <w:u w:val="none"/>
              </w:rPr>
            </w:pPr>
            <w:r>
              <w:rPr>
                <w:rFonts w:hint="eastAsia"/>
                <w:sz w:val="24"/>
                <w:u w:val="none"/>
              </w:rPr>
              <w:t>（</w:t>
            </w:r>
            <w:r>
              <w:rPr>
                <w:sz w:val="24"/>
                <w:u w:val="none"/>
              </w:rPr>
              <w:t>8</w:t>
            </w:r>
            <w:r>
              <w:rPr>
                <w:rFonts w:hint="eastAsia"/>
                <w:sz w:val="24"/>
                <w:u w:val="none"/>
              </w:rPr>
              <w:t>）库房内应张贴</w:t>
            </w:r>
            <w:r>
              <w:rPr>
                <w:sz w:val="24"/>
                <w:u w:val="none"/>
              </w:rPr>
              <w:t>“</w:t>
            </w:r>
            <w:r>
              <w:rPr>
                <w:rFonts w:hint="eastAsia"/>
                <w:sz w:val="24"/>
                <w:u w:val="none"/>
              </w:rPr>
              <w:t>禁止吸烟、饮食</w:t>
            </w:r>
            <w:r>
              <w:rPr>
                <w:sz w:val="24"/>
                <w:u w:val="none"/>
              </w:rPr>
              <w:t>”</w:t>
            </w:r>
            <w:r>
              <w:rPr>
                <w:rFonts w:hint="eastAsia"/>
                <w:sz w:val="24"/>
                <w:u w:val="none"/>
              </w:rPr>
              <w:t>的警示标识；</w:t>
            </w:r>
          </w:p>
          <w:p>
            <w:pPr>
              <w:spacing w:line="360" w:lineRule="auto"/>
              <w:ind w:firstLine="480" w:firstLineChars="200"/>
              <w:rPr>
                <w:sz w:val="24"/>
                <w:u w:val="none"/>
              </w:rPr>
            </w:pPr>
            <w:r>
              <w:rPr>
                <w:rFonts w:hint="eastAsia"/>
                <w:sz w:val="24"/>
                <w:u w:val="none"/>
              </w:rPr>
              <w:t>（</w:t>
            </w:r>
            <w:r>
              <w:rPr>
                <w:sz w:val="24"/>
                <w:u w:val="none"/>
              </w:rPr>
              <w:t>9</w:t>
            </w:r>
            <w:r>
              <w:rPr>
                <w:rFonts w:hint="eastAsia"/>
                <w:sz w:val="24"/>
                <w:u w:val="none"/>
              </w:rPr>
              <w:t>）医疗废物暂存间应配备制冷装置，确保当地最高气温高于</w:t>
            </w:r>
            <w:r>
              <w:rPr>
                <w:sz w:val="24"/>
                <w:u w:val="none"/>
              </w:rPr>
              <w:t>25</w:t>
            </w:r>
            <w:r>
              <w:rPr>
                <w:rFonts w:hint="eastAsia"/>
                <w:sz w:val="24"/>
                <w:u w:val="none"/>
              </w:rPr>
              <w:t>℃时，医疗废物暂时贮存温度低于</w:t>
            </w:r>
            <w:r>
              <w:rPr>
                <w:sz w:val="24"/>
                <w:u w:val="none"/>
              </w:rPr>
              <w:t>20</w:t>
            </w:r>
            <w:r>
              <w:rPr>
                <w:rFonts w:hint="eastAsia"/>
                <w:sz w:val="24"/>
                <w:u w:val="none"/>
              </w:rPr>
              <w:t>℃。</w:t>
            </w:r>
          </w:p>
          <w:p>
            <w:pPr>
              <w:spacing w:line="360" w:lineRule="auto"/>
              <w:ind w:firstLine="480" w:firstLineChars="200"/>
              <w:rPr>
                <w:sz w:val="24"/>
                <w:u w:val="none"/>
              </w:rPr>
            </w:pPr>
            <w:r>
              <w:rPr>
                <w:rFonts w:hint="eastAsia"/>
                <w:sz w:val="24"/>
                <w:u w:val="none"/>
              </w:rPr>
              <w:t>（</w:t>
            </w:r>
            <w:r>
              <w:rPr>
                <w:sz w:val="24"/>
                <w:u w:val="none"/>
              </w:rPr>
              <w:t>10</w:t>
            </w:r>
            <w:r>
              <w:rPr>
                <w:rFonts w:hint="eastAsia"/>
                <w:sz w:val="24"/>
                <w:u w:val="none"/>
              </w:rPr>
              <w:t>）应按</w:t>
            </w:r>
            <w:r>
              <w:rPr>
                <w:sz w:val="24"/>
                <w:u w:val="none"/>
              </w:rPr>
              <w:t>GB15562.2</w:t>
            </w:r>
            <w:r>
              <w:rPr>
                <w:rFonts w:hint="eastAsia"/>
                <w:sz w:val="24"/>
                <w:u w:val="none"/>
              </w:rPr>
              <w:t>和卫生、环保部门制定的专用医疗废物警示标识要求，在库房外的明显处同时设置危险废物和医疗废物的警示标识；</w:t>
            </w:r>
          </w:p>
          <w:p>
            <w:pPr>
              <w:spacing w:line="360" w:lineRule="auto"/>
              <w:ind w:firstLine="480" w:firstLineChars="200"/>
              <w:rPr>
                <w:sz w:val="24"/>
                <w:u w:val="none"/>
              </w:rPr>
            </w:pPr>
            <w:r>
              <w:rPr>
                <w:rFonts w:hint="eastAsia"/>
                <w:sz w:val="24"/>
                <w:u w:val="none"/>
              </w:rPr>
              <w:t>对于感染性废料和锐利废物，其贮存地应有</w:t>
            </w:r>
            <w:r>
              <w:rPr>
                <w:sz w:val="24"/>
                <w:u w:val="none"/>
              </w:rPr>
              <w:t>“</w:t>
            </w:r>
            <w:r>
              <w:rPr>
                <w:rFonts w:hint="eastAsia"/>
                <w:sz w:val="24"/>
                <w:u w:val="none"/>
              </w:rPr>
              <w:t>生物危险</w:t>
            </w:r>
            <w:r>
              <w:rPr>
                <w:sz w:val="24"/>
                <w:u w:val="none"/>
              </w:rPr>
              <w:t>”</w:t>
            </w:r>
            <w:r>
              <w:rPr>
                <w:rFonts w:hint="eastAsia"/>
                <w:sz w:val="24"/>
                <w:u w:val="none"/>
              </w:rPr>
              <w:t>标志和进入管理限制，且应位于产生废物地点附近。同时感染性废物和锐利废物的贮存应满足以下要求：</w:t>
            </w:r>
          </w:p>
          <w:p>
            <w:pPr>
              <w:spacing w:line="360" w:lineRule="auto"/>
              <w:ind w:firstLine="480" w:firstLineChars="200"/>
              <w:rPr>
                <w:sz w:val="24"/>
                <w:u w:val="none"/>
              </w:rPr>
            </w:pPr>
            <w:r>
              <w:rPr>
                <w:rFonts w:hint="eastAsia"/>
                <w:sz w:val="24"/>
                <w:u w:val="none"/>
              </w:rPr>
              <w:t>①保证包装内容物不暴露于空气和受潮。</w:t>
            </w:r>
          </w:p>
          <w:p>
            <w:pPr>
              <w:spacing w:line="360" w:lineRule="auto"/>
              <w:ind w:firstLine="480" w:firstLineChars="200"/>
              <w:rPr>
                <w:sz w:val="24"/>
                <w:u w:val="none"/>
              </w:rPr>
            </w:pPr>
            <w:r>
              <w:rPr>
                <w:rFonts w:hint="eastAsia"/>
                <w:sz w:val="24"/>
                <w:u w:val="none"/>
              </w:rPr>
              <w:t>②保存温度及时间应使保存物无腐败发生，必要时，可用低温保存，以防微生物生长和产生异味。</w:t>
            </w:r>
          </w:p>
          <w:p>
            <w:pPr>
              <w:spacing w:line="360" w:lineRule="auto"/>
              <w:ind w:firstLine="480" w:firstLineChars="200"/>
              <w:rPr>
                <w:sz w:val="24"/>
                <w:u w:val="none"/>
              </w:rPr>
            </w:pPr>
            <w:r>
              <w:rPr>
                <w:rFonts w:hint="eastAsia"/>
                <w:sz w:val="24"/>
                <w:u w:val="none"/>
              </w:rPr>
              <w:t>③贮存地及包装应确保内容物不成为鼠类或其他生物的食物来源。</w:t>
            </w:r>
          </w:p>
          <w:p>
            <w:pPr>
              <w:spacing w:line="360" w:lineRule="auto"/>
              <w:ind w:firstLine="480" w:firstLineChars="200"/>
              <w:rPr>
                <w:sz w:val="24"/>
                <w:u w:val="none"/>
              </w:rPr>
            </w:pPr>
            <w:r>
              <w:rPr>
                <w:rFonts w:hint="eastAsia"/>
                <w:sz w:val="24"/>
                <w:u w:val="none"/>
              </w:rPr>
              <w:t>④贮存地不得对公众开放，远离敏感点。</w:t>
            </w:r>
          </w:p>
          <w:p>
            <w:pPr>
              <w:spacing w:line="360" w:lineRule="auto"/>
              <w:ind w:firstLine="480" w:firstLineChars="200"/>
              <w:rPr>
                <w:sz w:val="24"/>
                <w:u w:val="none"/>
              </w:rPr>
            </w:pPr>
            <w:r>
              <w:rPr>
                <w:rFonts w:hint="eastAsia"/>
                <w:sz w:val="24"/>
                <w:u w:val="none"/>
              </w:rPr>
              <w:t>综上所述，在采取上述措施处理后，项目产生的固体废物对周围环境影响较小，措施可行。</w:t>
            </w:r>
          </w:p>
          <w:p>
            <w:pPr>
              <w:numPr>
                <w:ilvl w:val="0"/>
                <w:numId w:val="11"/>
              </w:numPr>
              <w:bidi w:val="0"/>
              <w:spacing w:line="360" w:lineRule="auto"/>
              <w:rPr>
                <w:rFonts w:hint="eastAsia"/>
                <w:b/>
                <w:bCs/>
                <w:sz w:val="24"/>
                <w:lang w:val="en-US" w:eastAsia="zh-CN"/>
              </w:rPr>
            </w:pPr>
            <w:r>
              <w:rPr>
                <w:rFonts w:hint="eastAsia"/>
                <w:b/>
                <w:bCs/>
                <w:sz w:val="24"/>
                <w:lang w:val="en-US" w:eastAsia="zh-CN"/>
              </w:rPr>
              <w:t>土壤</w:t>
            </w:r>
          </w:p>
          <w:p>
            <w:pPr>
              <w:bidi w:val="0"/>
              <w:spacing w:line="360" w:lineRule="auto"/>
              <w:ind w:firstLine="480" w:firstLineChars="200"/>
              <w:rPr>
                <w:rFonts w:hint="eastAsia"/>
                <w:sz w:val="24"/>
                <w:szCs w:val="24"/>
                <w:u w:val="single"/>
              </w:rPr>
            </w:pPr>
            <w:r>
              <w:rPr>
                <w:rFonts w:hint="eastAsia"/>
                <w:sz w:val="24"/>
                <w:szCs w:val="24"/>
                <w:u w:val="single"/>
              </w:rPr>
              <w:t>土壤：本项目属于国民经济行业类别</w:t>
            </w:r>
            <w:r>
              <w:rPr>
                <w:rFonts w:hint="eastAsia" w:ascii="Times New Roman" w:hAnsi="Times New Roman" w:eastAsia="宋体"/>
                <w:sz w:val="24"/>
                <w:szCs w:val="24"/>
                <w:u w:val="single"/>
              </w:rPr>
              <w:t>里面的</w:t>
            </w:r>
            <w:r>
              <w:rPr>
                <w:rFonts w:hint="eastAsia" w:ascii="Times New Roman" w:hAnsi="Times New Roman" w:eastAsia="宋体"/>
                <w:sz w:val="24"/>
                <w:szCs w:val="24"/>
                <w:u w:val="single"/>
                <w:lang w:val="en-US" w:eastAsia="zh-CN"/>
              </w:rPr>
              <w:t>4430热力生产和供应</w:t>
            </w:r>
            <w:r>
              <w:rPr>
                <w:rFonts w:hint="eastAsia"/>
                <w:sz w:val="24"/>
                <w:szCs w:val="24"/>
                <w:u w:val="single"/>
              </w:rPr>
              <w:t>，根据《环境影响评价技术导则土壤环境（试行）》（HJ964-2018）中的附录A的相关内容可知，本项目属于“</w:t>
            </w:r>
            <w:r>
              <w:rPr>
                <w:rFonts w:hint="eastAsia"/>
                <w:sz w:val="24"/>
                <w:szCs w:val="24"/>
                <w:u w:val="single"/>
                <w:lang w:val="en-US" w:eastAsia="zh-CN"/>
              </w:rPr>
              <w:t>电力热力燃气及水生产和供应业</w:t>
            </w:r>
            <w:r>
              <w:rPr>
                <w:rFonts w:hint="eastAsia"/>
                <w:sz w:val="24"/>
                <w:szCs w:val="24"/>
                <w:u w:val="single"/>
              </w:rPr>
              <w:t>”—“其他”，属于IV类建设项目。无需开展土壤环境影响评价。</w:t>
            </w:r>
          </w:p>
          <w:p>
            <w:pPr>
              <w:bidi w:val="0"/>
              <w:spacing w:line="360" w:lineRule="auto"/>
              <w:ind w:firstLine="480" w:firstLineChars="200"/>
              <w:rPr>
                <w:rFonts w:hint="eastAsia"/>
                <w:sz w:val="24"/>
                <w:szCs w:val="24"/>
                <w:u w:val="single"/>
              </w:rPr>
            </w:pPr>
            <w:r>
              <w:rPr>
                <w:sz w:val="24"/>
                <w:szCs w:val="24"/>
                <w:u w:val="single"/>
              </w:rPr>
              <w:t>为避免有毒有害物质下渗对土壤造成影响，贮存场所必须按《危险废物贮存污染控制标准》(GB18597-2001)</w:t>
            </w:r>
            <w:r>
              <w:rPr>
                <w:rFonts w:hint="eastAsia"/>
                <w:sz w:val="24"/>
                <w:szCs w:val="24"/>
                <w:u w:val="single"/>
              </w:rPr>
              <w:t>、《医疗废物集中处置技术规范》（环发〔2003〕206号）、</w:t>
            </w:r>
            <w:r>
              <w:rPr>
                <w:sz w:val="24"/>
                <w:szCs w:val="24"/>
                <w:u w:val="single"/>
              </w:rPr>
              <w:t>《一般工业固体废物贮存</w:t>
            </w:r>
            <w:r>
              <w:rPr>
                <w:rFonts w:hint="eastAsia"/>
                <w:sz w:val="24"/>
                <w:szCs w:val="24"/>
                <w:u w:val="single"/>
              </w:rPr>
              <w:t>和填埋污染控制标准</w:t>
            </w:r>
            <w:r>
              <w:rPr>
                <w:sz w:val="24"/>
                <w:szCs w:val="24"/>
                <w:u w:val="single"/>
              </w:rPr>
              <w:t>》（GB18599-</w:t>
            </w:r>
            <w:r>
              <w:rPr>
                <w:rFonts w:hint="eastAsia"/>
                <w:sz w:val="24"/>
                <w:szCs w:val="24"/>
                <w:u w:val="single"/>
              </w:rPr>
              <w:t>2020</w:t>
            </w:r>
            <w:r>
              <w:rPr>
                <w:sz w:val="24"/>
                <w:szCs w:val="24"/>
                <w:u w:val="single"/>
              </w:rPr>
              <w:t>）</w:t>
            </w:r>
            <w:r>
              <w:rPr>
                <w:rFonts w:hint="eastAsia"/>
                <w:sz w:val="24"/>
                <w:szCs w:val="24"/>
                <w:u w:val="single"/>
              </w:rPr>
              <w:t>中相关要求</w:t>
            </w:r>
            <w:r>
              <w:rPr>
                <w:sz w:val="24"/>
                <w:szCs w:val="24"/>
                <w:u w:val="single"/>
              </w:rPr>
              <w:t>建设</w:t>
            </w:r>
            <w:r>
              <w:rPr>
                <w:rFonts w:hint="eastAsia"/>
                <w:sz w:val="24"/>
                <w:szCs w:val="24"/>
                <w:u w:val="single"/>
              </w:rPr>
              <w:t>，</w:t>
            </w:r>
            <w:r>
              <w:rPr>
                <w:sz w:val="24"/>
                <w:szCs w:val="24"/>
                <w:u w:val="single"/>
              </w:rPr>
              <w:t>采取防渗、防漏、防逸散措施，阻止其渗入</w:t>
            </w:r>
            <w:r>
              <w:rPr>
                <w:rFonts w:hint="eastAsia"/>
                <w:sz w:val="24"/>
                <w:szCs w:val="24"/>
                <w:u w:val="single"/>
              </w:rPr>
              <w:t>土壤</w:t>
            </w:r>
            <w:r>
              <w:rPr>
                <w:sz w:val="24"/>
                <w:szCs w:val="24"/>
                <w:u w:val="single"/>
              </w:rPr>
              <w:t>。</w:t>
            </w:r>
          </w:p>
          <w:p>
            <w:pPr>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0" w:firstLineChars="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地下水</w:t>
            </w:r>
          </w:p>
          <w:p>
            <w:pPr>
              <w:spacing w:line="360" w:lineRule="auto"/>
              <w:ind w:firstLine="480" w:firstLineChars="200"/>
              <w:rPr>
                <w:rFonts w:hint="eastAsia"/>
                <w:sz w:val="24"/>
                <w:u w:val="single"/>
              </w:rPr>
            </w:pPr>
            <w:r>
              <w:rPr>
                <w:rFonts w:hint="eastAsia"/>
                <w:sz w:val="24"/>
                <w:u w:val="single"/>
              </w:rPr>
              <w:t>根据《环境影响评价技术导则  地下水环境》（HJ610-2016）附录A，本项目属于“</w:t>
            </w:r>
            <w:r>
              <w:rPr>
                <w:rFonts w:hint="eastAsia"/>
                <w:sz w:val="24"/>
                <w:u w:val="single"/>
                <w:lang w:val="en-US" w:eastAsia="zh-CN"/>
              </w:rPr>
              <w:t>U</w:t>
            </w:r>
            <w:r>
              <w:rPr>
                <w:rFonts w:hint="eastAsia"/>
                <w:sz w:val="24"/>
                <w:u w:val="single"/>
              </w:rPr>
              <w:t xml:space="preserve"> </w:t>
            </w:r>
            <w:r>
              <w:rPr>
                <w:rFonts w:hint="eastAsia"/>
                <w:sz w:val="24"/>
                <w:u w:val="single"/>
                <w:lang w:val="en-US" w:eastAsia="zh-CN"/>
              </w:rPr>
              <w:t>城镇基础设施及房地产</w:t>
            </w:r>
            <w:r>
              <w:rPr>
                <w:rFonts w:hint="eastAsia"/>
                <w:sz w:val="24"/>
                <w:u w:val="single"/>
              </w:rPr>
              <w:t>”“1</w:t>
            </w:r>
            <w:r>
              <w:rPr>
                <w:rFonts w:hint="eastAsia"/>
                <w:sz w:val="24"/>
                <w:u w:val="single"/>
                <w:lang w:val="en-US" w:eastAsia="zh-CN"/>
              </w:rPr>
              <w:t>42</w:t>
            </w:r>
            <w:r>
              <w:rPr>
                <w:rFonts w:hint="eastAsia"/>
                <w:sz w:val="24"/>
                <w:u w:val="single"/>
              </w:rPr>
              <w:t>、</w:t>
            </w:r>
            <w:r>
              <w:rPr>
                <w:rFonts w:hint="eastAsia"/>
                <w:sz w:val="24"/>
                <w:u w:val="single"/>
                <w:lang w:val="en-US" w:eastAsia="zh-CN"/>
              </w:rPr>
              <w:t>热力生产和供应工程</w:t>
            </w:r>
            <w:r>
              <w:rPr>
                <w:rFonts w:hint="eastAsia"/>
                <w:sz w:val="24"/>
                <w:u w:val="single"/>
              </w:rPr>
              <w:t>”。根据《环境影响评价技术导则地下水环境》（HJ610-2016）分级判断，评价类别属于IV类建设项目，不开展地下水评价。</w:t>
            </w:r>
          </w:p>
          <w:p>
            <w:pPr>
              <w:snapToGrid w:val="0"/>
              <w:spacing w:line="360" w:lineRule="auto"/>
              <w:ind w:firstLine="480" w:firstLineChars="200"/>
              <w:rPr>
                <w:sz w:val="24"/>
              </w:rPr>
            </w:pPr>
            <w:r>
              <w:rPr>
                <w:sz w:val="24"/>
              </w:rPr>
              <w:t>地下水污染防治措施按照“源头控制、分区防控、污染监控、应急响应”相结合的原则，从污染物的产生、入渗、扩散、应急响应全方位进行控制。为防止医疗废水泄/渗漏对地下水造成污染，对废水收集池采取防渗措施，阻止其渗入地下水。</w:t>
            </w:r>
          </w:p>
          <w:p>
            <w:pPr>
              <w:snapToGrid w:val="0"/>
              <w:spacing w:line="360" w:lineRule="auto"/>
              <w:ind w:firstLine="480" w:firstLineChars="200"/>
              <w:rPr>
                <w:sz w:val="24"/>
              </w:rPr>
            </w:pPr>
            <w:r>
              <w:rPr>
                <w:sz w:val="24"/>
              </w:rPr>
              <w:t>本项目场地以一般防渗为主，医疗废物暂存间防控措施应满足《危险废物贮存污染控制标准》（GB18597-2001）的要求。场地划为重点防渗区和一般防渗区。</w:t>
            </w:r>
          </w:p>
          <w:p>
            <w:pPr>
              <w:snapToGrid w:val="0"/>
              <w:spacing w:line="360" w:lineRule="auto"/>
              <w:ind w:firstLine="480" w:firstLineChars="200"/>
              <w:rPr>
                <w:sz w:val="24"/>
              </w:rPr>
            </w:pPr>
            <w:r>
              <w:rPr>
                <w:sz w:val="24"/>
              </w:rPr>
              <w:t>1）重点防渗区</w:t>
            </w:r>
          </w:p>
          <w:p>
            <w:pPr>
              <w:snapToGrid w:val="0"/>
              <w:spacing w:line="360" w:lineRule="auto"/>
              <w:ind w:firstLine="480" w:firstLineChars="200"/>
              <w:rPr>
                <w:sz w:val="24"/>
              </w:rPr>
            </w:pPr>
            <w:r>
              <w:rPr>
                <w:sz w:val="24"/>
              </w:rPr>
              <w:t>重点防渗区指位于地下或者半地下的单元，污染地下水环境的污染物泄漏后不容易被及时发现和处理的区域或部位。重点防渗区主要为医疗废物暂存间、生活垃圾暂存间等，应达到如下防渗技术要求：等效黏土防渗层Mb≥6.0m，渗透系数K≤1.0×10</w:t>
            </w:r>
            <w:r>
              <w:rPr>
                <w:sz w:val="24"/>
                <w:vertAlign w:val="superscript"/>
              </w:rPr>
              <w:t>-7</w:t>
            </w:r>
            <w:r>
              <w:rPr>
                <w:sz w:val="24"/>
              </w:rPr>
              <w:t>cm/s，或参照《危险废物填埋污染控制标准》（GB18598-2001）。采用2毫米厚高密度聚乙烯，或至少2毫米厚的其它人工材料，渗透系数≤10</w:t>
            </w:r>
            <w:r>
              <w:rPr>
                <w:sz w:val="24"/>
                <w:vertAlign w:val="superscript"/>
              </w:rPr>
              <w:t>-10</w:t>
            </w:r>
            <w:r>
              <w:rPr>
                <w:sz w:val="24"/>
              </w:rPr>
              <w:t>cm/s。</w:t>
            </w:r>
          </w:p>
          <w:p>
            <w:pPr>
              <w:snapToGrid w:val="0"/>
              <w:spacing w:line="360" w:lineRule="auto"/>
              <w:ind w:firstLine="480" w:firstLineChars="200"/>
              <w:rPr>
                <w:sz w:val="24"/>
              </w:rPr>
            </w:pPr>
            <w:r>
              <w:rPr>
                <w:sz w:val="24"/>
              </w:rPr>
              <w:t>2）一般防渗区</w:t>
            </w:r>
          </w:p>
          <w:p>
            <w:pPr>
              <w:snapToGrid w:val="0"/>
              <w:spacing w:line="360" w:lineRule="auto"/>
              <w:ind w:firstLine="480" w:firstLineChars="200"/>
              <w:rPr>
                <w:sz w:val="24"/>
              </w:rPr>
            </w:pPr>
            <w:r>
              <w:rPr>
                <w:sz w:val="24"/>
              </w:rPr>
              <w:t>项目其他硬化场地应达到如下防渗技术要求：等效黏土防渗层Mb≥1.5m，渗透系数K≤1.0×10</w:t>
            </w:r>
            <w:r>
              <w:rPr>
                <w:sz w:val="24"/>
                <w:vertAlign w:val="superscript"/>
              </w:rPr>
              <w:t>-7</w:t>
            </w:r>
            <w:r>
              <w:rPr>
                <w:sz w:val="24"/>
              </w:rPr>
              <w:t>cm/s，或参照《生活垃圾填埋场污染控制标准》（GB16889-2008）。场地采用抗渗钢纤维混凝土面层中掺水泥基渗透结晶型防水剂，其下铺砌砂石基层，原土夯实，可达到防渗的目的。对于混凝土中间的伸缩缝和与实体基础的缝隙，通过填充柔性材料达到防渗的目的（渗透系数不大于1.0×10</w:t>
            </w:r>
            <w:r>
              <w:rPr>
                <w:sz w:val="24"/>
                <w:vertAlign w:val="superscript"/>
              </w:rPr>
              <w:t>-7</w:t>
            </w:r>
            <w:r>
              <w:rPr>
                <w:sz w:val="24"/>
              </w:rPr>
              <w:t>cm/s）。</w:t>
            </w:r>
          </w:p>
          <w:p>
            <w:pPr>
              <w:snapToGrid w:val="0"/>
              <w:spacing w:line="360" w:lineRule="auto"/>
              <w:ind w:firstLine="480" w:firstLineChars="200"/>
              <w:rPr>
                <w:sz w:val="24"/>
              </w:rPr>
            </w:pPr>
            <w:r>
              <w:rPr>
                <w:sz w:val="24"/>
              </w:rPr>
              <w:t>本项目在采取以上防渗措施的前提下，可有效缓解本项目废水收集池和污水管线对地下水的影响。</w:t>
            </w:r>
          </w:p>
          <w:p>
            <w:pPr>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0" w:firstLineChars="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环境风险</w:t>
            </w:r>
          </w:p>
          <w:p>
            <w:pPr>
              <w:adjustRightInd w:val="0"/>
              <w:snapToGrid w:val="0"/>
              <w:spacing w:line="360" w:lineRule="auto"/>
              <w:ind w:firstLine="480" w:firstLineChars="200"/>
              <w:rPr>
                <w:rFonts w:hint="eastAsia"/>
                <w:color w:val="auto"/>
                <w:sz w:val="24"/>
              </w:rPr>
            </w:pPr>
            <w:r>
              <w:rPr>
                <w:sz w:val="24"/>
              </w:rPr>
              <w:t>根据</w:t>
            </w:r>
            <w:r>
              <w:rPr>
                <w:rFonts w:hint="eastAsia"/>
                <w:sz w:val="24"/>
              </w:rPr>
              <w:t>《建设项目环境风险评价技术导则》（HJ 168-2018），本项目涉及的危险物质主要是消毒使</w:t>
            </w:r>
            <w:r>
              <w:rPr>
                <w:rFonts w:hint="eastAsia"/>
                <w:color w:val="000000"/>
                <w:sz w:val="24"/>
              </w:rPr>
              <w:t>用</w:t>
            </w:r>
            <w:r>
              <w:rPr>
                <w:rFonts w:hint="eastAsia"/>
                <w:color w:val="auto"/>
                <w:sz w:val="24"/>
              </w:rPr>
              <w:t>的次氯酸钠和酒精（主要成分为乙醇）、医疗废物。经计算，Q值为</w:t>
            </w:r>
            <w:r>
              <w:rPr>
                <w:rFonts w:hint="eastAsia" w:ascii="Times New Roman" w:hAnsi="Times New Roman" w:eastAsia="宋体"/>
                <w:color w:val="auto"/>
                <w:sz w:val="24"/>
                <w:lang w:val="en-US" w:eastAsia="zh-CN"/>
              </w:rPr>
              <w:t>0.0111</w:t>
            </w:r>
            <w:r>
              <w:rPr>
                <w:rFonts w:hint="eastAsia"/>
                <w:color w:val="auto"/>
                <w:sz w:val="24"/>
                <w:lang w:val="en-US" w:eastAsia="zh-CN"/>
              </w:rPr>
              <w:t>2</w:t>
            </w:r>
            <w:r>
              <w:rPr>
                <w:rFonts w:hint="eastAsia"/>
                <w:color w:val="auto"/>
                <w:sz w:val="24"/>
              </w:rPr>
              <w:t>＜1。项目环境风险潜势为I。最终判定本项目环境风险评价等级为简单分析。</w:t>
            </w:r>
          </w:p>
          <w:p>
            <w:pPr>
              <w:adjustRightInd w:val="0"/>
              <w:snapToGrid w:val="0"/>
              <w:spacing w:line="360" w:lineRule="auto"/>
              <w:ind w:firstLine="480" w:firstLineChars="200"/>
              <w:rPr>
                <w:rFonts w:hint="eastAsia"/>
                <w:color w:val="auto"/>
                <w:sz w:val="24"/>
              </w:rPr>
            </w:pPr>
            <w:r>
              <w:rPr>
                <w:rFonts w:hint="eastAsia"/>
                <w:color w:val="auto"/>
                <w:sz w:val="24"/>
              </w:rPr>
              <w:t>根据该建设项目的工程性质、作业方式及当地环境特征，确定项目风险类型，提出合理可行的防范、应急与减缓措施，以使建设项目事故率、损失和环境影响达到可接受水平。</w:t>
            </w:r>
          </w:p>
          <w:p>
            <w:pPr>
              <w:adjustRightInd w:val="0"/>
              <w:snapToGrid w:val="0"/>
              <w:spacing w:line="360" w:lineRule="auto"/>
              <w:ind w:firstLine="480" w:firstLineChars="200"/>
              <w:rPr>
                <w:rFonts w:hint="eastAsia"/>
                <w:color w:val="auto"/>
                <w:sz w:val="24"/>
              </w:rPr>
            </w:pPr>
            <w:r>
              <w:rPr>
                <w:rFonts w:hint="eastAsia"/>
                <w:color w:val="auto"/>
                <w:sz w:val="24"/>
              </w:rPr>
              <w:t>根据按照《建设项目环境风险评价技术导则》（HJ169-2018）附录B及《重大危险源辨识》（GB18218-2018），本项目涉及有毒有害和易燃易爆等危险化学品主要为乙醇、次氯酸钠、医疗废物等。</w:t>
            </w:r>
          </w:p>
          <w:p>
            <w:pPr>
              <w:spacing w:line="240" w:lineRule="auto"/>
              <w:jc w:val="center"/>
              <w:rPr>
                <w:b/>
                <w:bCs/>
                <w:szCs w:val="21"/>
              </w:rPr>
            </w:pPr>
            <w:r>
              <w:rPr>
                <w:b/>
                <w:bCs/>
                <w:szCs w:val="21"/>
              </w:rPr>
              <w:t>表</w:t>
            </w:r>
            <w:r>
              <w:rPr>
                <w:rFonts w:hint="eastAsia"/>
                <w:b/>
                <w:bCs/>
                <w:szCs w:val="21"/>
              </w:rPr>
              <w:t>4-</w:t>
            </w:r>
            <w:r>
              <w:rPr>
                <w:rFonts w:hint="eastAsia"/>
                <w:b/>
                <w:bCs/>
                <w:szCs w:val="21"/>
                <w:lang w:val="en-US" w:eastAsia="zh-CN"/>
              </w:rPr>
              <w:t>20</w:t>
            </w:r>
            <w:r>
              <w:rPr>
                <w:b/>
                <w:bCs/>
                <w:szCs w:val="21"/>
              </w:rPr>
              <w:t xml:space="preserve">  评价工作等级划分</w:t>
            </w:r>
          </w:p>
          <w:tbl>
            <w:tblPr>
              <w:tblStyle w:val="25"/>
              <w:tblW w:w="499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54"/>
              <w:gridCol w:w="1654"/>
              <w:gridCol w:w="1654"/>
              <w:gridCol w:w="1654"/>
              <w:gridCol w:w="16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00" w:type="pct"/>
                  <w:tcBorders>
                    <w:top w:val="single" w:color="auto" w:sz="12" w:space="0"/>
                    <w:left w:val="single" w:color="auto" w:sz="12" w:space="0"/>
                    <w:bottom w:val="single" w:color="auto" w:sz="6" w:space="0"/>
                    <w:right w:val="single" w:color="auto" w:sz="6" w:space="0"/>
                  </w:tcBorders>
                  <w:noWrap/>
                  <w:vAlign w:val="center"/>
                </w:tcPr>
                <w:p>
                  <w:pPr>
                    <w:autoSpaceDE w:val="0"/>
                    <w:autoSpaceDN w:val="0"/>
                    <w:jc w:val="center"/>
                    <w:textAlignment w:val="baseline"/>
                    <w:rPr>
                      <w:szCs w:val="21"/>
                    </w:rPr>
                  </w:pPr>
                  <w:r>
                    <w:rPr>
                      <w:szCs w:val="21"/>
                    </w:rPr>
                    <w:t>环境风险潜势</w:t>
                  </w:r>
                </w:p>
              </w:tc>
              <w:tc>
                <w:tcPr>
                  <w:tcW w:w="999" w:type="pct"/>
                  <w:tcBorders>
                    <w:top w:val="single" w:color="auto" w:sz="12" w:space="0"/>
                    <w:left w:val="single" w:color="auto" w:sz="6" w:space="0"/>
                    <w:bottom w:val="single" w:color="auto" w:sz="6" w:space="0"/>
                    <w:right w:val="single" w:color="auto" w:sz="6" w:space="0"/>
                  </w:tcBorders>
                  <w:noWrap/>
                  <w:vAlign w:val="center"/>
                </w:tcPr>
                <w:p>
                  <w:pPr>
                    <w:autoSpaceDE w:val="0"/>
                    <w:autoSpaceDN w:val="0"/>
                    <w:jc w:val="center"/>
                    <w:textAlignment w:val="baseline"/>
                    <w:rPr>
                      <w:szCs w:val="21"/>
                    </w:rPr>
                  </w:pPr>
                  <w:r>
                    <w:rPr>
                      <w:szCs w:val="21"/>
                    </w:rPr>
                    <w:t>Ⅳ、Ⅳ+</w:t>
                  </w:r>
                </w:p>
              </w:tc>
              <w:tc>
                <w:tcPr>
                  <w:tcW w:w="999" w:type="pct"/>
                  <w:tcBorders>
                    <w:top w:val="single" w:color="auto" w:sz="12" w:space="0"/>
                    <w:left w:val="single" w:color="auto" w:sz="6" w:space="0"/>
                    <w:bottom w:val="single" w:color="auto" w:sz="6" w:space="0"/>
                    <w:right w:val="single" w:color="auto" w:sz="6" w:space="0"/>
                  </w:tcBorders>
                  <w:noWrap/>
                  <w:vAlign w:val="center"/>
                </w:tcPr>
                <w:p>
                  <w:pPr>
                    <w:autoSpaceDE w:val="0"/>
                    <w:autoSpaceDN w:val="0"/>
                    <w:jc w:val="center"/>
                    <w:textAlignment w:val="baseline"/>
                    <w:rPr>
                      <w:szCs w:val="21"/>
                    </w:rPr>
                  </w:pPr>
                  <w:r>
                    <w:rPr>
                      <w:szCs w:val="21"/>
                    </w:rPr>
                    <w:t>Ⅲ</w:t>
                  </w:r>
                </w:p>
              </w:tc>
              <w:tc>
                <w:tcPr>
                  <w:tcW w:w="999" w:type="pct"/>
                  <w:tcBorders>
                    <w:top w:val="single" w:color="auto" w:sz="12" w:space="0"/>
                    <w:left w:val="single" w:color="auto" w:sz="6" w:space="0"/>
                    <w:bottom w:val="single" w:color="auto" w:sz="6" w:space="0"/>
                    <w:right w:val="single" w:color="auto" w:sz="6" w:space="0"/>
                  </w:tcBorders>
                  <w:noWrap/>
                  <w:vAlign w:val="center"/>
                </w:tcPr>
                <w:p>
                  <w:pPr>
                    <w:autoSpaceDE w:val="0"/>
                    <w:autoSpaceDN w:val="0"/>
                    <w:jc w:val="center"/>
                    <w:textAlignment w:val="baseline"/>
                    <w:rPr>
                      <w:szCs w:val="21"/>
                    </w:rPr>
                  </w:pPr>
                  <w:r>
                    <w:rPr>
                      <w:szCs w:val="21"/>
                    </w:rPr>
                    <w:t>Ⅱ</w:t>
                  </w:r>
                </w:p>
              </w:tc>
              <w:tc>
                <w:tcPr>
                  <w:tcW w:w="999" w:type="pct"/>
                  <w:tcBorders>
                    <w:top w:val="single" w:color="auto" w:sz="12" w:space="0"/>
                    <w:left w:val="single" w:color="auto" w:sz="6" w:space="0"/>
                    <w:bottom w:val="single" w:color="auto" w:sz="6" w:space="0"/>
                    <w:right w:val="single" w:color="auto" w:sz="12" w:space="0"/>
                  </w:tcBorders>
                  <w:noWrap/>
                  <w:vAlign w:val="center"/>
                </w:tcPr>
                <w:p>
                  <w:pPr>
                    <w:autoSpaceDE w:val="0"/>
                    <w:autoSpaceDN w:val="0"/>
                    <w:jc w:val="center"/>
                    <w:textAlignment w:val="baseline"/>
                    <w:rPr>
                      <w:szCs w:val="21"/>
                    </w:rPr>
                  </w:pPr>
                  <w:r>
                    <w:rPr>
                      <w:szCs w:val="21"/>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00" w:type="pct"/>
                  <w:tcBorders>
                    <w:top w:val="single" w:color="auto" w:sz="6" w:space="0"/>
                    <w:left w:val="single" w:color="auto" w:sz="12" w:space="0"/>
                    <w:bottom w:val="single" w:color="auto" w:sz="6" w:space="0"/>
                    <w:right w:val="single" w:color="auto" w:sz="6" w:space="0"/>
                  </w:tcBorders>
                  <w:noWrap/>
                  <w:vAlign w:val="center"/>
                </w:tcPr>
                <w:p>
                  <w:pPr>
                    <w:autoSpaceDE w:val="0"/>
                    <w:autoSpaceDN w:val="0"/>
                    <w:jc w:val="center"/>
                    <w:textAlignment w:val="baseline"/>
                    <w:rPr>
                      <w:szCs w:val="21"/>
                    </w:rPr>
                  </w:pPr>
                  <w:r>
                    <w:rPr>
                      <w:szCs w:val="21"/>
                    </w:rPr>
                    <w:t>评价工作等级</w:t>
                  </w:r>
                </w:p>
              </w:tc>
              <w:tc>
                <w:tcPr>
                  <w:tcW w:w="999" w:type="pct"/>
                  <w:tcBorders>
                    <w:top w:val="single" w:color="auto" w:sz="6" w:space="0"/>
                    <w:left w:val="single" w:color="auto" w:sz="6" w:space="0"/>
                    <w:bottom w:val="single" w:color="auto" w:sz="6" w:space="0"/>
                    <w:right w:val="single" w:color="auto" w:sz="6" w:space="0"/>
                  </w:tcBorders>
                  <w:noWrap/>
                  <w:vAlign w:val="center"/>
                </w:tcPr>
                <w:p>
                  <w:pPr>
                    <w:autoSpaceDE w:val="0"/>
                    <w:autoSpaceDN w:val="0"/>
                    <w:jc w:val="center"/>
                    <w:textAlignment w:val="baseline"/>
                    <w:rPr>
                      <w:szCs w:val="21"/>
                    </w:rPr>
                  </w:pPr>
                  <w:r>
                    <w:rPr>
                      <w:szCs w:val="21"/>
                    </w:rPr>
                    <w:t>一</w:t>
                  </w:r>
                </w:p>
              </w:tc>
              <w:tc>
                <w:tcPr>
                  <w:tcW w:w="999" w:type="pct"/>
                  <w:tcBorders>
                    <w:top w:val="single" w:color="auto" w:sz="6" w:space="0"/>
                    <w:left w:val="single" w:color="auto" w:sz="6" w:space="0"/>
                    <w:bottom w:val="single" w:color="auto" w:sz="6" w:space="0"/>
                    <w:right w:val="single" w:color="auto" w:sz="6" w:space="0"/>
                  </w:tcBorders>
                  <w:noWrap/>
                  <w:vAlign w:val="center"/>
                </w:tcPr>
                <w:p>
                  <w:pPr>
                    <w:autoSpaceDE w:val="0"/>
                    <w:autoSpaceDN w:val="0"/>
                    <w:jc w:val="center"/>
                    <w:textAlignment w:val="baseline"/>
                    <w:rPr>
                      <w:szCs w:val="21"/>
                    </w:rPr>
                  </w:pPr>
                  <w:r>
                    <w:rPr>
                      <w:szCs w:val="21"/>
                    </w:rPr>
                    <w:t>二</w:t>
                  </w:r>
                </w:p>
              </w:tc>
              <w:tc>
                <w:tcPr>
                  <w:tcW w:w="999" w:type="pct"/>
                  <w:tcBorders>
                    <w:top w:val="single" w:color="auto" w:sz="6" w:space="0"/>
                    <w:left w:val="single" w:color="auto" w:sz="6" w:space="0"/>
                    <w:bottom w:val="single" w:color="auto" w:sz="6" w:space="0"/>
                    <w:right w:val="single" w:color="auto" w:sz="6" w:space="0"/>
                  </w:tcBorders>
                  <w:noWrap/>
                  <w:vAlign w:val="center"/>
                </w:tcPr>
                <w:p>
                  <w:pPr>
                    <w:autoSpaceDE w:val="0"/>
                    <w:autoSpaceDN w:val="0"/>
                    <w:jc w:val="center"/>
                    <w:textAlignment w:val="baseline"/>
                    <w:rPr>
                      <w:szCs w:val="21"/>
                    </w:rPr>
                  </w:pPr>
                  <w:r>
                    <w:rPr>
                      <w:szCs w:val="21"/>
                    </w:rPr>
                    <w:t>三</w:t>
                  </w:r>
                </w:p>
              </w:tc>
              <w:tc>
                <w:tcPr>
                  <w:tcW w:w="999" w:type="pct"/>
                  <w:tcBorders>
                    <w:top w:val="single" w:color="auto" w:sz="6" w:space="0"/>
                    <w:left w:val="single" w:color="auto" w:sz="6" w:space="0"/>
                    <w:bottom w:val="single" w:color="auto" w:sz="6" w:space="0"/>
                    <w:right w:val="single" w:color="auto" w:sz="12" w:space="0"/>
                  </w:tcBorders>
                  <w:noWrap/>
                  <w:vAlign w:val="center"/>
                </w:tcPr>
                <w:p>
                  <w:pPr>
                    <w:autoSpaceDE w:val="0"/>
                    <w:autoSpaceDN w:val="0"/>
                    <w:jc w:val="center"/>
                    <w:textAlignment w:val="baseline"/>
                    <w:rPr>
                      <w:szCs w:val="21"/>
                    </w:rPr>
                  </w:pPr>
                  <w:r>
                    <w:rPr>
                      <w:szCs w:val="21"/>
                    </w:rPr>
                    <w:t>简单分析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0" w:type="pct"/>
                  <w:gridSpan w:val="5"/>
                  <w:tcBorders>
                    <w:top w:val="single" w:color="auto" w:sz="6" w:space="0"/>
                    <w:left w:val="single" w:color="auto" w:sz="12" w:space="0"/>
                    <w:bottom w:val="single" w:color="auto" w:sz="12" w:space="0"/>
                    <w:right w:val="single" w:color="auto" w:sz="12" w:space="0"/>
                  </w:tcBorders>
                  <w:noWrap/>
                  <w:vAlign w:val="center"/>
                </w:tcPr>
                <w:p>
                  <w:pPr>
                    <w:autoSpaceDE w:val="0"/>
                    <w:autoSpaceDN w:val="0"/>
                    <w:jc w:val="left"/>
                    <w:textAlignment w:val="baseline"/>
                    <w:rPr>
                      <w:szCs w:val="21"/>
                    </w:rPr>
                  </w:pPr>
                  <w:r>
                    <w:rPr>
                      <w:szCs w:val="21"/>
                    </w:rPr>
                    <w:t>备注：“简单分析”是相对于详细评价工作内容而言，在描述危险物质、环境影响途径、环境危害后果、风险防范措施等方面给出定性的说明。</w:t>
                  </w:r>
                </w:p>
              </w:tc>
            </w:tr>
          </w:tbl>
          <w:p>
            <w:pPr>
              <w:spacing w:line="240" w:lineRule="auto"/>
              <w:ind w:firstLine="420" w:firstLineChars="200"/>
              <w:rPr>
                <w:szCs w:val="21"/>
              </w:rPr>
            </w:pPr>
          </w:p>
          <w:p>
            <w:pPr>
              <w:spacing w:line="360" w:lineRule="auto"/>
              <w:ind w:firstLine="480" w:firstLineChars="200"/>
              <w:rPr>
                <w:sz w:val="24"/>
                <w:szCs w:val="24"/>
              </w:rPr>
            </w:pPr>
            <w:r>
              <w:rPr>
                <w:sz w:val="24"/>
                <w:szCs w:val="24"/>
              </w:rPr>
              <w:t>按下式计算物质总量与其临界量比值（Q）。</w:t>
            </w:r>
          </w:p>
          <w:p>
            <w:pPr>
              <w:spacing w:line="360" w:lineRule="auto"/>
              <w:jc w:val="center"/>
              <w:rPr>
                <w:sz w:val="24"/>
                <w:szCs w:val="24"/>
              </w:rPr>
            </w:pPr>
            <w:r>
              <w:rPr>
                <w:sz w:val="24"/>
                <w:szCs w:val="24"/>
              </w:rPr>
              <w:t>Q=q1/Q1+q2/Q2+···+qn/Qn</w:t>
            </w:r>
          </w:p>
          <w:p>
            <w:pPr>
              <w:spacing w:line="360" w:lineRule="auto"/>
              <w:ind w:firstLine="480" w:firstLineChars="200"/>
              <w:rPr>
                <w:sz w:val="24"/>
                <w:szCs w:val="24"/>
              </w:rPr>
            </w:pPr>
            <w:r>
              <w:rPr>
                <w:sz w:val="24"/>
                <w:szCs w:val="24"/>
              </w:rPr>
              <w:t>式中：q1，q2，…，qn——每种危险物质的最大存在总量，t；</w:t>
            </w:r>
          </w:p>
          <w:p>
            <w:pPr>
              <w:spacing w:line="360" w:lineRule="auto"/>
              <w:ind w:firstLine="1200" w:firstLineChars="500"/>
              <w:rPr>
                <w:sz w:val="24"/>
                <w:szCs w:val="24"/>
              </w:rPr>
            </w:pPr>
            <w:r>
              <w:rPr>
                <w:sz w:val="24"/>
                <w:szCs w:val="24"/>
              </w:rPr>
              <w:t>Q1，Q2，…，Qn——每种危险物质的临界量，t。</w:t>
            </w:r>
          </w:p>
          <w:p>
            <w:pPr>
              <w:spacing w:line="360" w:lineRule="auto"/>
              <w:ind w:firstLine="480" w:firstLineChars="200"/>
              <w:rPr>
                <w:sz w:val="24"/>
                <w:szCs w:val="24"/>
              </w:rPr>
            </w:pPr>
            <w:r>
              <w:rPr>
                <w:sz w:val="24"/>
                <w:szCs w:val="24"/>
              </w:rPr>
              <w:t>本项目危险物质数量与临界量比值（Q）计算过程见下表。</w:t>
            </w:r>
          </w:p>
          <w:p>
            <w:pPr>
              <w:spacing w:line="240" w:lineRule="auto"/>
              <w:jc w:val="center"/>
              <w:rPr>
                <w:b/>
                <w:bCs/>
                <w:szCs w:val="21"/>
              </w:rPr>
            </w:pPr>
            <w:r>
              <w:rPr>
                <w:b/>
                <w:bCs/>
                <w:szCs w:val="21"/>
              </w:rPr>
              <w:t>表</w:t>
            </w:r>
            <w:r>
              <w:rPr>
                <w:rFonts w:hint="eastAsia"/>
                <w:b/>
                <w:bCs/>
                <w:szCs w:val="21"/>
              </w:rPr>
              <w:t>4-</w:t>
            </w:r>
            <w:r>
              <w:rPr>
                <w:rFonts w:hint="eastAsia"/>
                <w:b/>
                <w:bCs/>
                <w:szCs w:val="21"/>
                <w:lang w:val="en-US" w:eastAsia="zh-CN"/>
              </w:rPr>
              <w:t>20</w:t>
            </w:r>
            <w:r>
              <w:rPr>
                <w:rFonts w:hint="eastAsia"/>
                <w:b/>
                <w:bCs/>
                <w:szCs w:val="21"/>
              </w:rPr>
              <w:t xml:space="preserve">  </w:t>
            </w:r>
            <w:r>
              <w:rPr>
                <w:b/>
                <w:bCs/>
                <w:szCs w:val="21"/>
              </w:rPr>
              <w:t>危险物质数量与临界量比值（Q）计算过程</w:t>
            </w:r>
          </w:p>
          <w:tbl>
            <w:tblPr>
              <w:tblStyle w:val="25"/>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33"/>
              <w:gridCol w:w="1651"/>
              <w:gridCol w:w="1688"/>
              <w:gridCol w:w="1618"/>
              <w:gridCol w:w="17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925" w:type="pct"/>
                  <w:tcBorders>
                    <w:tl2br w:val="nil"/>
                    <w:tr2bl w:val="nil"/>
                  </w:tcBorders>
                  <w:noWrap/>
                  <w:vAlign w:val="center"/>
                </w:tcPr>
                <w:p>
                  <w:pPr>
                    <w:jc w:val="center"/>
                    <w:rPr>
                      <w:b/>
                      <w:bCs/>
                      <w:color w:val="000000"/>
                      <w:szCs w:val="21"/>
                    </w:rPr>
                  </w:pPr>
                  <w:r>
                    <w:rPr>
                      <w:b/>
                      <w:bCs/>
                      <w:color w:val="000000"/>
                      <w:szCs w:val="21"/>
                    </w:rPr>
                    <w:t>物质名称</w:t>
                  </w:r>
                </w:p>
              </w:tc>
              <w:tc>
                <w:tcPr>
                  <w:tcW w:w="997" w:type="pct"/>
                  <w:tcBorders>
                    <w:tl2br w:val="nil"/>
                    <w:tr2bl w:val="nil"/>
                  </w:tcBorders>
                  <w:noWrap/>
                  <w:vAlign w:val="center"/>
                </w:tcPr>
                <w:p>
                  <w:pPr>
                    <w:jc w:val="center"/>
                    <w:rPr>
                      <w:b/>
                      <w:bCs/>
                      <w:color w:val="000000"/>
                      <w:szCs w:val="21"/>
                    </w:rPr>
                  </w:pPr>
                  <w:r>
                    <w:rPr>
                      <w:b/>
                      <w:bCs/>
                      <w:color w:val="000000"/>
                      <w:szCs w:val="21"/>
                    </w:rPr>
                    <w:t>qn（t）</w:t>
                  </w:r>
                </w:p>
              </w:tc>
              <w:tc>
                <w:tcPr>
                  <w:tcW w:w="1019" w:type="pct"/>
                  <w:tcBorders>
                    <w:tl2br w:val="nil"/>
                    <w:tr2bl w:val="nil"/>
                  </w:tcBorders>
                  <w:noWrap/>
                  <w:vAlign w:val="center"/>
                </w:tcPr>
                <w:p>
                  <w:pPr>
                    <w:jc w:val="center"/>
                    <w:rPr>
                      <w:b/>
                      <w:bCs/>
                      <w:color w:val="000000"/>
                      <w:szCs w:val="21"/>
                    </w:rPr>
                  </w:pPr>
                  <w:r>
                    <w:rPr>
                      <w:b/>
                      <w:bCs/>
                      <w:color w:val="000000"/>
                      <w:szCs w:val="21"/>
                    </w:rPr>
                    <w:t>Qn（t）</w:t>
                  </w:r>
                </w:p>
              </w:tc>
              <w:tc>
                <w:tcPr>
                  <w:tcW w:w="977" w:type="pct"/>
                  <w:tcBorders>
                    <w:tl2br w:val="nil"/>
                    <w:tr2bl w:val="nil"/>
                  </w:tcBorders>
                  <w:noWrap/>
                  <w:vAlign w:val="center"/>
                </w:tcPr>
                <w:p>
                  <w:pPr>
                    <w:jc w:val="center"/>
                    <w:rPr>
                      <w:b/>
                      <w:bCs/>
                      <w:color w:val="000000"/>
                      <w:szCs w:val="21"/>
                    </w:rPr>
                  </w:pPr>
                  <w:r>
                    <w:rPr>
                      <w:b/>
                      <w:bCs/>
                      <w:color w:val="000000"/>
                      <w:szCs w:val="21"/>
                    </w:rPr>
                    <w:t>qn/Qn</w:t>
                  </w:r>
                </w:p>
              </w:tc>
              <w:tc>
                <w:tcPr>
                  <w:tcW w:w="1080" w:type="pct"/>
                  <w:tcBorders>
                    <w:tl2br w:val="nil"/>
                    <w:tr2bl w:val="nil"/>
                  </w:tcBorders>
                  <w:noWrap/>
                  <w:vAlign w:val="center"/>
                </w:tcPr>
                <w:p>
                  <w:pPr>
                    <w:jc w:val="center"/>
                    <w:rPr>
                      <w:b/>
                      <w:bCs/>
                      <w:color w:val="000000"/>
                      <w:szCs w:val="21"/>
                    </w:rPr>
                  </w:pPr>
                  <w:r>
                    <w:rPr>
                      <w:rFonts w:hint="eastAsia"/>
                      <w:b/>
                      <w:bCs/>
                      <w:color w:val="000000"/>
                      <w:szCs w:val="21"/>
                    </w:rPr>
                    <w:t>Q</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pct"/>
                  <w:tcBorders>
                    <w:tl2br w:val="nil"/>
                    <w:tr2bl w:val="nil"/>
                  </w:tcBorders>
                  <w:noWrap/>
                  <w:vAlign w:val="center"/>
                </w:tcPr>
                <w:p>
                  <w:pPr>
                    <w:jc w:val="center"/>
                    <w:rPr>
                      <w:rFonts w:hint="eastAsia"/>
                      <w:color w:val="auto"/>
                      <w:szCs w:val="21"/>
                    </w:rPr>
                  </w:pPr>
                  <w:r>
                    <w:rPr>
                      <w:rFonts w:hint="eastAsia"/>
                      <w:color w:val="auto"/>
                      <w:szCs w:val="21"/>
                    </w:rPr>
                    <w:t>次氯酸钠</w:t>
                  </w:r>
                </w:p>
              </w:tc>
              <w:tc>
                <w:tcPr>
                  <w:tcW w:w="997" w:type="pct"/>
                  <w:tcBorders>
                    <w:tl2br w:val="nil"/>
                    <w:tr2bl w:val="nil"/>
                  </w:tcBorders>
                  <w:noWrap/>
                  <w:vAlign w:val="center"/>
                </w:tcPr>
                <w:p>
                  <w:pPr>
                    <w:jc w:val="center"/>
                    <w:rPr>
                      <w:rFonts w:hint="default" w:eastAsia="宋体"/>
                      <w:color w:val="auto"/>
                      <w:szCs w:val="21"/>
                      <w:lang w:val="en-US" w:eastAsia="zh-CN"/>
                    </w:rPr>
                  </w:pPr>
                  <w:r>
                    <w:rPr>
                      <w:rFonts w:hint="eastAsia"/>
                      <w:color w:val="auto"/>
                      <w:szCs w:val="21"/>
                      <w:lang w:val="en-US" w:eastAsia="zh-CN"/>
                    </w:rPr>
                    <w:t>0.5</w:t>
                  </w:r>
                </w:p>
              </w:tc>
              <w:tc>
                <w:tcPr>
                  <w:tcW w:w="1019" w:type="pct"/>
                  <w:tcBorders>
                    <w:tl2br w:val="nil"/>
                    <w:tr2bl w:val="nil"/>
                  </w:tcBorders>
                  <w:noWrap/>
                  <w:vAlign w:val="center"/>
                </w:tcPr>
                <w:p>
                  <w:pPr>
                    <w:jc w:val="center"/>
                    <w:rPr>
                      <w:rFonts w:hint="eastAsia"/>
                      <w:color w:val="auto"/>
                      <w:szCs w:val="21"/>
                    </w:rPr>
                  </w:pPr>
                  <w:r>
                    <w:rPr>
                      <w:rFonts w:hint="eastAsia"/>
                      <w:color w:val="auto"/>
                      <w:szCs w:val="21"/>
                    </w:rPr>
                    <w:t>50</w:t>
                  </w:r>
                </w:p>
              </w:tc>
              <w:tc>
                <w:tcPr>
                  <w:tcW w:w="977" w:type="pct"/>
                  <w:tcBorders>
                    <w:tl2br w:val="nil"/>
                    <w:tr2bl w:val="nil"/>
                  </w:tcBorders>
                  <w:noWrap/>
                  <w:vAlign w:val="center"/>
                </w:tcPr>
                <w:p>
                  <w:pPr>
                    <w:widowControl/>
                    <w:jc w:val="center"/>
                    <w:rPr>
                      <w:rFonts w:hint="eastAsia" w:eastAsia="宋体"/>
                      <w:color w:val="auto"/>
                      <w:szCs w:val="21"/>
                      <w:lang w:eastAsia="zh-CN"/>
                    </w:rPr>
                  </w:pPr>
                  <w:r>
                    <w:rPr>
                      <w:rFonts w:hint="eastAsia"/>
                      <w:color w:val="auto"/>
                      <w:szCs w:val="21"/>
                      <w:lang w:bidi="ar"/>
                    </w:rPr>
                    <w:t>0.0</w:t>
                  </w:r>
                  <w:r>
                    <w:rPr>
                      <w:rFonts w:hint="eastAsia"/>
                      <w:color w:val="auto"/>
                      <w:szCs w:val="21"/>
                      <w:lang w:val="en-US" w:eastAsia="zh-CN" w:bidi="ar"/>
                    </w:rPr>
                    <w:t>1</w:t>
                  </w:r>
                </w:p>
              </w:tc>
              <w:tc>
                <w:tcPr>
                  <w:tcW w:w="1080" w:type="pct"/>
                  <w:vMerge w:val="restart"/>
                  <w:tcBorders>
                    <w:tl2br w:val="nil"/>
                    <w:tr2bl w:val="nil"/>
                  </w:tcBorders>
                  <w:noWrap/>
                  <w:vAlign w:val="center"/>
                </w:tcPr>
                <w:p>
                  <w:pPr>
                    <w:widowControl/>
                    <w:jc w:val="center"/>
                    <w:rPr>
                      <w:rFonts w:hint="default" w:eastAsia="宋体"/>
                      <w:color w:val="FF0000"/>
                      <w:szCs w:val="21"/>
                      <w:lang w:val="en-US" w:eastAsia="zh-CN"/>
                    </w:rPr>
                  </w:pPr>
                  <w:r>
                    <w:rPr>
                      <w:rFonts w:hint="eastAsia"/>
                      <w:color w:val="auto"/>
                      <w:szCs w:val="21"/>
                      <w:lang w:val="en-US" w:eastAsia="zh-CN" w:bidi="ar"/>
                    </w:rPr>
                    <w:t>0.01112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925" w:type="pct"/>
                  <w:tcBorders>
                    <w:tl2br w:val="nil"/>
                    <w:tr2bl w:val="nil"/>
                  </w:tcBorders>
                  <w:noWrap/>
                  <w:vAlign w:val="center"/>
                </w:tcPr>
                <w:p>
                  <w:pPr>
                    <w:jc w:val="center"/>
                    <w:rPr>
                      <w:rFonts w:hint="eastAsia"/>
                      <w:color w:val="auto"/>
                      <w:szCs w:val="21"/>
                    </w:rPr>
                  </w:pPr>
                  <w:r>
                    <w:rPr>
                      <w:rFonts w:hint="eastAsia"/>
                      <w:color w:val="auto"/>
                      <w:szCs w:val="21"/>
                    </w:rPr>
                    <w:t>酒精（乙醇）</w:t>
                  </w:r>
                </w:p>
              </w:tc>
              <w:tc>
                <w:tcPr>
                  <w:tcW w:w="997" w:type="pct"/>
                  <w:tcBorders>
                    <w:tl2br w:val="nil"/>
                    <w:tr2bl w:val="nil"/>
                  </w:tcBorders>
                  <w:noWrap/>
                  <w:vAlign w:val="center"/>
                </w:tcPr>
                <w:p>
                  <w:pPr>
                    <w:jc w:val="center"/>
                    <w:rPr>
                      <w:rFonts w:hint="eastAsia"/>
                      <w:color w:val="auto"/>
                      <w:szCs w:val="21"/>
                    </w:rPr>
                  </w:pPr>
                  <w:r>
                    <w:rPr>
                      <w:rFonts w:hint="eastAsia"/>
                      <w:color w:val="auto"/>
                      <w:szCs w:val="21"/>
                    </w:rPr>
                    <w:t>0.5</w:t>
                  </w:r>
                </w:p>
              </w:tc>
              <w:tc>
                <w:tcPr>
                  <w:tcW w:w="1019" w:type="pct"/>
                  <w:tcBorders>
                    <w:tl2br w:val="nil"/>
                    <w:tr2bl w:val="nil"/>
                  </w:tcBorders>
                  <w:noWrap/>
                  <w:vAlign w:val="center"/>
                </w:tcPr>
                <w:p>
                  <w:pPr>
                    <w:jc w:val="center"/>
                    <w:rPr>
                      <w:rFonts w:hint="eastAsia"/>
                      <w:color w:val="auto"/>
                      <w:szCs w:val="21"/>
                    </w:rPr>
                  </w:pPr>
                  <w:r>
                    <w:rPr>
                      <w:rFonts w:hint="eastAsia"/>
                      <w:color w:val="auto"/>
                      <w:szCs w:val="21"/>
                    </w:rPr>
                    <w:t>500</w:t>
                  </w:r>
                </w:p>
              </w:tc>
              <w:tc>
                <w:tcPr>
                  <w:tcW w:w="977" w:type="pct"/>
                  <w:tcBorders>
                    <w:tl2br w:val="nil"/>
                    <w:tr2bl w:val="nil"/>
                  </w:tcBorders>
                  <w:noWrap/>
                  <w:vAlign w:val="center"/>
                </w:tcPr>
                <w:p>
                  <w:pPr>
                    <w:widowControl/>
                    <w:jc w:val="center"/>
                    <w:rPr>
                      <w:rFonts w:hint="eastAsia"/>
                      <w:color w:val="auto"/>
                      <w:szCs w:val="21"/>
                    </w:rPr>
                  </w:pPr>
                  <w:r>
                    <w:rPr>
                      <w:rFonts w:hint="eastAsia"/>
                      <w:color w:val="auto"/>
                      <w:szCs w:val="21"/>
                      <w:lang w:bidi="ar"/>
                    </w:rPr>
                    <w:t>0.001</w:t>
                  </w:r>
                </w:p>
              </w:tc>
              <w:tc>
                <w:tcPr>
                  <w:tcW w:w="1080" w:type="pct"/>
                  <w:vMerge w:val="continue"/>
                  <w:tcBorders>
                    <w:tl2br w:val="nil"/>
                    <w:tr2bl w:val="nil"/>
                  </w:tcBorders>
                  <w:noWrap/>
                  <w:vAlign w:val="center"/>
                </w:tcPr>
                <w:p>
                  <w:pPr>
                    <w:jc w:val="center"/>
                    <w:rPr>
                      <w:rFonts w:hint="eastAsia"/>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925" w:type="pct"/>
                  <w:tcBorders>
                    <w:tl2br w:val="nil"/>
                    <w:tr2bl w:val="nil"/>
                  </w:tcBorders>
                  <w:noWrap/>
                  <w:vAlign w:val="center"/>
                </w:tcPr>
                <w:p>
                  <w:pPr>
                    <w:jc w:val="center"/>
                    <w:rPr>
                      <w:rFonts w:hint="eastAsia"/>
                      <w:color w:val="auto"/>
                      <w:szCs w:val="21"/>
                    </w:rPr>
                  </w:pPr>
                  <w:r>
                    <w:rPr>
                      <w:rFonts w:hint="eastAsia"/>
                      <w:color w:val="auto"/>
                      <w:szCs w:val="21"/>
                    </w:rPr>
                    <w:t>医疗废物</w:t>
                  </w:r>
                </w:p>
              </w:tc>
              <w:tc>
                <w:tcPr>
                  <w:tcW w:w="997" w:type="pct"/>
                  <w:tcBorders>
                    <w:tl2br w:val="nil"/>
                    <w:tr2bl w:val="nil"/>
                  </w:tcBorders>
                  <w:noWrap/>
                  <w:vAlign w:val="center"/>
                </w:tcPr>
                <w:p>
                  <w:pPr>
                    <w:jc w:val="center"/>
                    <w:rPr>
                      <w:rFonts w:hint="default" w:eastAsia="宋体"/>
                      <w:color w:val="auto"/>
                      <w:szCs w:val="21"/>
                      <w:lang w:val="en-US" w:eastAsia="zh-CN"/>
                    </w:rPr>
                  </w:pPr>
                  <w:r>
                    <w:rPr>
                      <w:rFonts w:hint="eastAsia"/>
                      <w:color w:val="auto"/>
                      <w:szCs w:val="21"/>
                    </w:rPr>
                    <w:t>0.</w:t>
                  </w:r>
                  <w:r>
                    <w:rPr>
                      <w:rFonts w:hint="eastAsia"/>
                      <w:color w:val="auto"/>
                      <w:szCs w:val="21"/>
                      <w:lang w:val="en-US" w:eastAsia="zh-CN"/>
                    </w:rPr>
                    <w:t>06</w:t>
                  </w:r>
                </w:p>
              </w:tc>
              <w:tc>
                <w:tcPr>
                  <w:tcW w:w="1019" w:type="pct"/>
                  <w:tcBorders>
                    <w:tl2br w:val="nil"/>
                    <w:tr2bl w:val="nil"/>
                  </w:tcBorders>
                  <w:noWrap/>
                  <w:vAlign w:val="center"/>
                </w:tcPr>
                <w:p>
                  <w:pPr>
                    <w:jc w:val="center"/>
                    <w:rPr>
                      <w:rFonts w:hint="eastAsia"/>
                      <w:color w:val="auto"/>
                      <w:szCs w:val="21"/>
                    </w:rPr>
                  </w:pPr>
                  <w:r>
                    <w:rPr>
                      <w:rFonts w:hint="eastAsia"/>
                      <w:color w:val="auto"/>
                      <w:szCs w:val="21"/>
                    </w:rPr>
                    <w:t>500</w:t>
                  </w:r>
                </w:p>
              </w:tc>
              <w:tc>
                <w:tcPr>
                  <w:tcW w:w="977" w:type="pct"/>
                  <w:tcBorders>
                    <w:tl2br w:val="nil"/>
                    <w:tr2bl w:val="nil"/>
                  </w:tcBorders>
                  <w:noWrap/>
                  <w:vAlign w:val="center"/>
                </w:tcPr>
                <w:p>
                  <w:pPr>
                    <w:widowControl/>
                    <w:jc w:val="center"/>
                    <w:rPr>
                      <w:rFonts w:hint="eastAsia" w:eastAsia="宋体"/>
                      <w:color w:val="auto"/>
                      <w:szCs w:val="21"/>
                      <w:lang w:val="en-US" w:eastAsia="zh-CN"/>
                    </w:rPr>
                  </w:pPr>
                  <w:r>
                    <w:rPr>
                      <w:rFonts w:hint="eastAsia"/>
                      <w:color w:val="auto"/>
                      <w:szCs w:val="21"/>
                      <w:lang w:bidi="ar"/>
                    </w:rPr>
                    <w:t>0.00</w:t>
                  </w:r>
                  <w:r>
                    <w:rPr>
                      <w:rFonts w:hint="eastAsia"/>
                      <w:color w:val="auto"/>
                      <w:szCs w:val="21"/>
                      <w:lang w:val="en-US" w:eastAsia="zh-CN" w:bidi="ar"/>
                    </w:rPr>
                    <w:t>0</w:t>
                  </w:r>
                  <w:r>
                    <w:rPr>
                      <w:rFonts w:hint="eastAsia"/>
                      <w:color w:val="auto"/>
                      <w:szCs w:val="21"/>
                      <w:lang w:bidi="ar"/>
                    </w:rPr>
                    <w:t>1</w:t>
                  </w:r>
                  <w:r>
                    <w:rPr>
                      <w:rFonts w:hint="eastAsia"/>
                      <w:color w:val="auto"/>
                      <w:szCs w:val="21"/>
                      <w:lang w:val="en-US" w:eastAsia="zh-CN" w:bidi="ar"/>
                    </w:rPr>
                    <w:t>2</w:t>
                  </w:r>
                </w:p>
              </w:tc>
              <w:tc>
                <w:tcPr>
                  <w:tcW w:w="1080" w:type="pct"/>
                  <w:vMerge w:val="continue"/>
                  <w:tcBorders>
                    <w:tl2br w:val="nil"/>
                    <w:tr2bl w:val="nil"/>
                  </w:tcBorders>
                  <w:noWrap/>
                  <w:vAlign w:val="center"/>
                </w:tcPr>
                <w:p>
                  <w:pPr>
                    <w:jc w:val="center"/>
                    <w:rPr>
                      <w:rFonts w:hint="eastAsia"/>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3919" w:type="pct"/>
                  <w:gridSpan w:val="4"/>
                  <w:tcBorders>
                    <w:tl2br w:val="nil"/>
                    <w:tr2bl w:val="nil"/>
                  </w:tcBorders>
                  <w:noWrap/>
                  <w:vAlign w:val="center"/>
                </w:tcPr>
                <w:p>
                  <w:pPr>
                    <w:jc w:val="center"/>
                    <w:rPr>
                      <w:rFonts w:hint="eastAsia"/>
                      <w:color w:val="000000"/>
                      <w:szCs w:val="21"/>
                    </w:rPr>
                  </w:pPr>
                  <w:r>
                    <w:rPr>
                      <w:rFonts w:hint="eastAsia"/>
                      <w:color w:val="000000"/>
                      <w:szCs w:val="21"/>
                    </w:rPr>
                    <w:t>合计</w:t>
                  </w:r>
                </w:p>
              </w:tc>
              <w:tc>
                <w:tcPr>
                  <w:tcW w:w="1080" w:type="pct"/>
                  <w:tcBorders>
                    <w:tl2br w:val="nil"/>
                    <w:tr2bl w:val="nil"/>
                  </w:tcBorders>
                  <w:noWrap/>
                  <w:vAlign w:val="center"/>
                </w:tcPr>
                <w:p>
                  <w:pPr>
                    <w:widowControl/>
                    <w:jc w:val="center"/>
                    <w:rPr>
                      <w:rFonts w:hint="eastAsia"/>
                      <w:color w:val="FF0000"/>
                      <w:szCs w:val="21"/>
                    </w:rPr>
                  </w:pPr>
                  <w:r>
                    <w:rPr>
                      <w:rFonts w:hint="eastAsia"/>
                      <w:color w:val="auto"/>
                      <w:szCs w:val="21"/>
                      <w:lang w:val="en-US" w:eastAsia="zh-CN" w:bidi="ar"/>
                    </w:rPr>
                    <w:t>0.01112</w:t>
                  </w:r>
                </w:p>
              </w:tc>
            </w:tr>
          </w:tbl>
          <w:p>
            <w:pPr>
              <w:spacing w:line="240" w:lineRule="auto"/>
              <w:ind w:firstLine="480" w:firstLineChars="200"/>
              <w:rPr>
                <w:color w:val="000000"/>
                <w:sz w:val="24"/>
                <w:szCs w:val="24"/>
              </w:rPr>
            </w:pPr>
          </w:p>
          <w:p>
            <w:pPr>
              <w:spacing w:line="360" w:lineRule="auto"/>
              <w:ind w:firstLine="480" w:firstLineChars="200"/>
              <w:rPr>
                <w:color w:val="000000"/>
                <w:sz w:val="24"/>
                <w:szCs w:val="24"/>
              </w:rPr>
            </w:pPr>
            <w:r>
              <w:rPr>
                <w:color w:val="000000"/>
                <w:sz w:val="24"/>
                <w:szCs w:val="24"/>
              </w:rPr>
              <w:t>经计算得，Q=</w:t>
            </w:r>
            <w:r>
              <w:rPr>
                <w:rFonts w:hint="eastAsia" w:ascii="Times New Roman" w:hAnsi="Times New Roman" w:eastAsia="宋体" w:cs="Times New Roman"/>
                <w:color w:val="000000"/>
                <w:sz w:val="24"/>
                <w:szCs w:val="24"/>
                <w:lang w:val="en-US" w:eastAsia="zh-CN"/>
              </w:rPr>
              <w:t>0.0111</w:t>
            </w:r>
            <w:r>
              <w:rPr>
                <w:rFonts w:hint="eastAsia" w:cs="Times New Roman"/>
                <w:color w:val="000000"/>
                <w:sz w:val="24"/>
                <w:szCs w:val="24"/>
                <w:lang w:val="en-US" w:eastAsia="zh-CN"/>
              </w:rPr>
              <w:t>2</w:t>
            </w:r>
            <w:r>
              <w:rPr>
                <w:color w:val="000000"/>
                <w:sz w:val="24"/>
                <w:szCs w:val="24"/>
              </w:rPr>
              <w:t>＜1。本项目环境风险潜势为Ⅰ，可开展简单分析。</w:t>
            </w:r>
          </w:p>
          <w:p>
            <w:pPr>
              <w:spacing w:line="240" w:lineRule="auto"/>
              <w:jc w:val="center"/>
              <w:rPr>
                <w:b/>
                <w:bCs/>
                <w:i w:val="0"/>
                <w:iCs w:val="0"/>
              </w:rPr>
            </w:pPr>
            <w:r>
              <w:rPr>
                <w:b/>
                <w:bCs/>
                <w:i w:val="0"/>
                <w:iCs w:val="0"/>
              </w:rPr>
              <w:t>表</w:t>
            </w:r>
            <w:r>
              <w:rPr>
                <w:rFonts w:hint="eastAsia"/>
                <w:b/>
                <w:bCs/>
                <w:i w:val="0"/>
                <w:iCs w:val="0"/>
              </w:rPr>
              <w:t>4-</w:t>
            </w:r>
            <w:r>
              <w:rPr>
                <w:rFonts w:hint="eastAsia"/>
                <w:b/>
                <w:bCs/>
                <w:i w:val="0"/>
                <w:iCs w:val="0"/>
                <w:lang w:val="en-US" w:eastAsia="zh-CN"/>
              </w:rPr>
              <w:t>21</w:t>
            </w:r>
            <w:r>
              <w:rPr>
                <w:rFonts w:hint="eastAsia"/>
                <w:b/>
                <w:bCs/>
                <w:i w:val="0"/>
                <w:iCs w:val="0"/>
              </w:rPr>
              <w:t xml:space="preserve"> </w:t>
            </w:r>
            <w:r>
              <w:rPr>
                <w:b/>
                <w:bCs/>
                <w:i w:val="0"/>
                <w:iCs w:val="0"/>
              </w:rPr>
              <w:t xml:space="preserve"> 建设项目环境风险简单分析内容表</w:t>
            </w:r>
          </w:p>
          <w:tbl>
            <w:tblPr>
              <w:tblStyle w:val="25"/>
              <w:tblW w:w="4999"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85"/>
              <w:gridCol w:w="944"/>
              <w:gridCol w:w="2480"/>
              <w:gridCol w:w="906"/>
              <w:gridCol w:w="246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8" w:hRule="atLeast"/>
              </w:trPr>
              <w:tc>
                <w:tcPr>
                  <w:tcW w:w="897" w:type="pct"/>
                  <w:tcBorders>
                    <w:top w:val="single" w:color="auto" w:sz="12" w:space="0"/>
                    <w:left w:val="single" w:color="auto" w:sz="12" w:space="0"/>
                    <w:bottom w:val="single" w:color="auto" w:sz="6" w:space="0"/>
                    <w:right w:val="single" w:color="auto" w:sz="6" w:space="0"/>
                  </w:tcBorders>
                  <w:noWrap/>
                  <w:vAlign w:val="center"/>
                </w:tcPr>
                <w:p>
                  <w:pPr>
                    <w:jc w:val="center"/>
                    <w:rPr>
                      <w:szCs w:val="21"/>
                    </w:rPr>
                  </w:pPr>
                  <w:r>
                    <w:rPr>
                      <w:szCs w:val="21"/>
                    </w:rPr>
                    <w:t>项目名称</w:t>
                  </w:r>
                </w:p>
              </w:tc>
              <w:tc>
                <w:tcPr>
                  <w:tcW w:w="4102" w:type="pct"/>
                  <w:gridSpan w:val="4"/>
                  <w:tcBorders>
                    <w:top w:val="single" w:color="auto" w:sz="12" w:space="0"/>
                    <w:left w:val="single" w:color="auto" w:sz="6" w:space="0"/>
                    <w:bottom w:val="single" w:color="auto" w:sz="6" w:space="0"/>
                    <w:right w:val="single" w:color="auto" w:sz="12" w:space="0"/>
                  </w:tcBorders>
                  <w:noWrap/>
                  <w:vAlign w:val="center"/>
                </w:tcPr>
                <w:p>
                  <w:pPr>
                    <w:jc w:val="center"/>
                    <w:rPr>
                      <w:rFonts w:hint="eastAsia"/>
                      <w:szCs w:val="21"/>
                    </w:rPr>
                  </w:pPr>
                  <w:r>
                    <w:rPr>
                      <w:rFonts w:hint="eastAsia"/>
                      <w:szCs w:val="21"/>
                      <w:lang w:val="en-US" w:eastAsia="zh-CN"/>
                    </w:rPr>
                    <w:t>城发月子中心建设</w:t>
                  </w:r>
                  <w:r>
                    <w:rPr>
                      <w:rFonts w:hint="eastAsia"/>
                      <w:szCs w:val="21"/>
                    </w:rPr>
                    <w:t>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3" w:hRule="atLeast"/>
              </w:trPr>
              <w:tc>
                <w:tcPr>
                  <w:tcW w:w="897" w:type="pct"/>
                  <w:tcBorders>
                    <w:top w:val="single" w:color="auto" w:sz="6" w:space="0"/>
                    <w:left w:val="single" w:color="auto" w:sz="12" w:space="0"/>
                    <w:bottom w:val="single" w:color="auto" w:sz="6" w:space="0"/>
                    <w:right w:val="single" w:color="auto" w:sz="6" w:space="0"/>
                  </w:tcBorders>
                  <w:noWrap/>
                  <w:vAlign w:val="center"/>
                </w:tcPr>
                <w:p>
                  <w:pPr>
                    <w:jc w:val="center"/>
                    <w:rPr>
                      <w:szCs w:val="21"/>
                    </w:rPr>
                  </w:pPr>
                  <w:r>
                    <w:rPr>
                      <w:szCs w:val="21"/>
                    </w:rPr>
                    <w:t>建设地点</w:t>
                  </w:r>
                </w:p>
              </w:tc>
              <w:tc>
                <w:tcPr>
                  <w:tcW w:w="4102" w:type="pct"/>
                  <w:gridSpan w:val="4"/>
                  <w:tcBorders>
                    <w:top w:val="single" w:color="auto" w:sz="6" w:space="0"/>
                    <w:left w:val="single" w:color="auto" w:sz="6" w:space="0"/>
                    <w:bottom w:val="single" w:color="auto" w:sz="6" w:space="0"/>
                    <w:right w:val="single" w:color="auto" w:sz="12" w:space="0"/>
                  </w:tcBorders>
                  <w:noWrap/>
                  <w:vAlign w:val="center"/>
                </w:tcPr>
                <w:p>
                  <w:pPr>
                    <w:jc w:val="center"/>
                    <w:rPr>
                      <w:szCs w:val="21"/>
                    </w:rPr>
                  </w:pPr>
                  <w:r>
                    <w:rPr>
                      <w:szCs w:val="21"/>
                    </w:rPr>
                    <w:t>湘阴县洋沙</w:t>
                  </w:r>
                  <w:r>
                    <w:rPr>
                      <w:rFonts w:hint="eastAsia"/>
                      <w:szCs w:val="21"/>
                    </w:rPr>
                    <w:t>湖镇（原袁家铺镇）洋沙湖村（原友爱村）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897" w:type="pct"/>
                  <w:tcBorders>
                    <w:top w:val="single" w:color="auto" w:sz="6" w:space="0"/>
                    <w:left w:val="single" w:color="auto" w:sz="12" w:space="0"/>
                    <w:bottom w:val="single" w:color="auto" w:sz="6" w:space="0"/>
                    <w:right w:val="single" w:color="auto" w:sz="6" w:space="0"/>
                  </w:tcBorders>
                  <w:noWrap/>
                  <w:vAlign w:val="center"/>
                </w:tcPr>
                <w:p>
                  <w:pPr>
                    <w:jc w:val="center"/>
                    <w:rPr>
                      <w:szCs w:val="21"/>
                    </w:rPr>
                  </w:pPr>
                  <w:r>
                    <w:rPr>
                      <w:szCs w:val="21"/>
                    </w:rPr>
                    <w:t>地理坐标</w:t>
                  </w:r>
                </w:p>
              </w:tc>
              <w:tc>
                <w:tcPr>
                  <w:tcW w:w="570" w:type="pct"/>
                  <w:tcBorders>
                    <w:top w:val="single" w:color="auto" w:sz="6" w:space="0"/>
                    <w:left w:val="single" w:color="auto" w:sz="6" w:space="0"/>
                    <w:bottom w:val="single" w:color="auto" w:sz="6" w:space="0"/>
                    <w:right w:val="single" w:color="auto" w:sz="6" w:space="0"/>
                  </w:tcBorders>
                  <w:noWrap/>
                  <w:vAlign w:val="center"/>
                </w:tcPr>
                <w:p>
                  <w:pPr>
                    <w:jc w:val="center"/>
                    <w:rPr>
                      <w:szCs w:val="21"/>
                    </w:rPr>
                  </w:pPr>
                  <w:r>
                    <w:rPr>
                      <w:szCs w:val="21"/>
                    </w:rPr>
                    <w:t>经度</w:t>
                  </w:r>
                </w:p>
              </w:tc>
              <w:tc>
                <w:tcPr>
                  <w:tcW w:w="1498" w:type="pct"/>
                  <w:tcBorders>
                    <w:top w:val="single" w:color="auto" w:sz="6" w:space="0"/>
                    <w:left w:val="single" w:color="auto" w:sz="6" w:space="0"/>
                    <w:bottom w:val="single" w:color="auto" w:sz="6" w:space="0"/>
                    <w:right w:val="single" w:color="auto" w:sz="6" w:space="0"/>
                  </w:tcBorders>
                  <w:noWrap/>
                  <w:vAlign w:val="center"/>
                </w:tcPr>
                <w:p>
                  <w:pPr>
                    <w:bidi w:val="0"/>
                    <w:spacing w:line="240" w:lineRule="auto"/>
                    <w:jc w:val="center"/>
                  </w:pPr>
                  <w:r>
                    <w:t>东经</w:t>
                  </w:r>
                  <w:r>
                    <w:rPr>
                      <w:rFonts w:hint="eastAsia"/>
                    </w:rPr>
                    <w:t>112°54′51.38″</w:t>
                  </w:r>
                </w:p>
              </w:tc>
              <w:tc>
                <w:tcPr>
                  <w:tcW w:w="547" w:type="pct"/>
                  <w:tcBorders>
                    <w:top w:val="single" w:color="auto" w:sz="6" w:space="0"/>
                    <w:left w:val="single" w:color="auto" w:sz="6" w:space="0"/>
                    <w:bottom w:val="single" w:color="auto" w:sz="6" w:space="0"/>
                    <w:right w:val="single" w:color="auto" w:sz="6" w:space="0"/>
                  </w:tcBorders>
                  <w:noWrap/>
                  <w:vAlign w:val="center"/>
                </w:tcPr>
                <w:p>
                  <w:pPr>
                    <w:bidi w:val="0"/>
                    <w:spacing w:line="240" w:lineRule="auto"/>
                    <w:jc w:val="center"/>
                  </w:pPr>
                  <w:r>
                    <w:t>纬度</w:t>
                  </w:r>
                </w:p>
              </w:tc>
              <w:tc>
                <w:tcPr>
                  <w:tcW w:w="1485" w:type="pct"/>
                  <w:tcBorders>
                    <w:top w:val="single" w:color="auto" w:sz="6" w:space="0"/>
                    <w:left w:val="single" w:color="auto" w:sz="6" w:space="0"/>
                    <w:bottom w:val="single" w:color="auto" w:sz="6" w:space="0"/>
                    <w:right w:val="single" w:color="auto" w:sz="12" w:space="0"/>
                  </w:tcBorders>
                  <w:noWrap/>
                  <w:vAlign w:val="center"/>
                </w:tcPr>
                <w:p>
                  <w:pPr>
                    <w:bidi w:val="0"/>
                    <w:spacing w:line="240" w:lineRule="auto"/>
                    <w:jc w:val="center"/>
                  </w:pPr>
                  <w:r>
                    <w:t>北纬</w:t>
                  </w:r>
                  <w:r>
                    <w:rPr>
                      <w:rFonts w:hint="eastAsia"/>
                    </w:rPr>
                    <w:t>28°39′37.09″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6" w:hRule="atLeast"/>
              </w:trPr>
              <w:tc>
                <w:tcPr>
                  <w:tcW w:w="897" w:type="pct"/>
                  <w:tcBorders>
                    <w:top w:val="single" w:color="auto" w:sz="6" w:space="0"/>
                    <w:left w:val="single" w:color="auto" w:sz="12" w:space="0"/>
                    <w:bottom w:val="single" w:color="auto" w:sz="6" w:space="0"/>
                    <w:right w:val="single" w:color="auto" w:sz="6" w:space="0"/>
                  </w:tcBorders>
                  <w:noWrap/>
                  <w:vAlign w:val="center"/>
                </w:tcPr>
                <w:p>
                  <w:pPr>
                    <w:jc w:val="center"/>
                    <w:rPr>
                      <w:color w:val="000000"/>
                      <w:szCs w:val="21"/>
                    </w:rPr>
                  </w:pPr>
                  <w:r>
                    <w:rPr>
                      <w:color w:val="000000"/>
                      <w:szCs w:val="21"/>
                    </w:rPr>
                    <w:t>主要危险物质及分布</w:t>
                  </w:r>
                </w:p>
              </w:tc>
              <w:tc>
                <w:tcPr>
                  <w:tcW w:w="4102" w:type="pct"/>
                  <w:gridSpan w:val="4"/>
                  <w:tcBorders>
                    <w:top w:val="single" w:color="auto" w:sz="6" w:space="0"/>
                    <w:left w:val="single" w:color="auto" w:sz="6" w:space="0"/>
                    <w:bottom w:val="single" w:color="auto" w:sz="6" w:space="0"/>
                    <w:right w:val="single" w:color="auto" w:sz="12" w:space="0"/>
                  </w:tcBorders>
                  <w:noWrap/>
                  <w:vAlign w:val="center"/>
                </w:tcPr>
                <w:p>
                  <w:pPr>
                    <w:jc w:val="left"/>
                    <w:rPr>
                      <w:color w:val="000000"/>
                      <w:szCs w:val="21"/>
                    </w:rPr>
                  </w:pPr>
                  <w:r>
                    <w:rPr>
                      <w:rFonts w:hint="eastAsia"/>
                      <w:color w:val="000000"/>
                      <w:szCs w:val="21"/>
                    </w:rPr>
                    <w:t>次氯酸钠储存在污水处理站设备间内，酒精储存在药品库房内。</w:t>
                  </w:r>
                </w:p>
                <w:p>
                  <w:pPr>
                    <w:jc w:val="left"/>
                    <w:rPr>
                      <w:color w:val="000000"/>
                      <w:szCs w:val="21"/>
                    </w:rPr>
                  </w:pPr>
                  <w:r>
                    <w:rPr>
                      <w:color w:val="000000"/>
                      <w:szCs w:val="21"/>
                    </w:rPr>
                    <w:t>其他危险废物：危险废物暂存间</w:t>
                  </w:r>
                  <w:r>
                    <w:rPr>
                      <w:rFonts w:hint="eastAsia"/>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43" w:hRule="atLeast"/>
              </w:trPr>
              <w:tc>
                <w:tcPr>
                  <w:tcW w:w="897" w:type="pct"/>
                  <w:tcBorders>
                    <w:top w:val="single" w:color="auto" w:sz="6" w:space="0"/>
                    <w:left w:val="single" w:color="auto" w:sz="12" w:space="0"/>
                    <w:bottom w:val="single" w:color="auto" w:sz="6" w:space="0"/>
                    <w:right w:val="single" w:color="auto" w:sz="6" w:space="0"/>
                  </w:tcBorders>
                  <w:noWrap/>
                  <w:vAlign w:val="center"/>
                </w:tcPr>
                <w:p>
                  <w:pPr>
                    <w:jc w:val="center"/>
                    <w:rPr>
                      <w:szCs w:val="21"/>
                    </w:rPr>
                  </w:pPr>
                  <w:r>
                    <w:rPr>
                      <w:szCs w:val="21"/>
                    </w:rPr>
                    <w:t>环境影响途径及危害后果</w:t>
                  </w:r>
                </w:p>
              </w:tc>
              <w:tc>
                <w:tcPr>
                  <w:tcW w:w="4102" w:type="pct"/>
                  <w:gridSpan w:val="4"/>
                  <w:tcBorders>
                    <w:top w:val="single" w:color="auto" w:sz="6" w:space="0"/>
                    <w:left w:val="single" w:color="auto" w:sz="6" w:space="0"/>
                    <w:bottom w:val="single" w:color="auto" w:sz="6" w:space="0"/>
                    <w:right w:val="single" w:color="auto" w:sz="12" w:space="0"/>
                  </w:tcBorders>
                  <w:noWrap/>
                  <w:vAlign w:val="center"/>
                </w:tcPr>
                <w:p>
                  <w:pPr>
                    <w:jc w:val="left"/>
                    <w:rPr>
                      <w:rFonts w:hint="eastAsia"/>
                      <w:szCs w:val="21"/>
                    </w:rPr>
                  </w:pPr>
                  <w:r>
                    <w:rPr>
                      <w:rFonts w:hint="eastAsia"/>
                      <w:szCs w:val="21"/>
                    </w:rPr>
                    <w:t>①地表水、地下水：医疗废水中的病原微生物主要有病原性细菌，肠道病毒、蠕虫卵和原虫四类。如不及时处理或处理不达标，直排入水体后造成水体的质量下降，影响人民身体健康。</w:t>
                  </w:r>
                </w:p>
                <w:p>
                  <w:pPr>
                    <w:jc w:val="left"/>
                    <w:rPr>
                      <w:rFonts w:hint="eastAsia"/>
                      <w:szCs w:val="21"/>
                    </w:rPr>
                  </w:pPr>
                  <w:r>
                    <w:rPr>
                      <w:rFonts w:hint="eastAsia"/>
                      <w:szCs w:val="21"/>
                    </w:rPr>
                    <w:t>②危化品泄露：次氯酸钠属于“第 8.3 类其它腐蚀品”，受高热分解产生有毒的腐蚀性烟气，具有腐蚀性，可致人体灼伤，具有致敏性。经常用手接触本品的工人，手掌大量出汗，指甲变薄，毛发脱落，放出的氯气有可能引起中毒。</w:t>
                  </w:r>
                </w:p>
                <w:p>
                  <w:pPr>
                    <w:jc w:val="left"/>
                    <w:rPr>
                      <w:rFonts w:hint="eastAsia"/>
                      <w:szCs w:val="21"/>
                    </w:rPr>
                  </w:pPr>
                  <w:r>
                    <w:rPr>
                      <w:rFonts w:hint="eastAsia"/>
                      <w:szCs w:val="21"/>
                    </w:rPr>
                    <w:t>酒精中含有乙醇，乙醇属于易燃易爆物质，高温下可燃烧。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66" w:hRule="atLeast"/>
              </w:trPr>
              <w:tc>
                <w:tcPr>
                  <w:tcW w:w="897" w:type="pct"/>
                  <w:tcBorders>
                    <w:top w:val="single" w:color="auto" w:sz="6" w:space="0"/>
                    <w:left w:val="single" w:color="auto" w:sz="12" w:space="0"/>
                    <w:bottom w:val="single" w:color="auto" w:sz="6" w:space="0"/>
                    <w:right w:val="single" w:color="auto" w:sz="6" w:space="0"/>
                  </w:tcBorders>
                  <w:noWrap/>
                  <w:vAlign w:val="center"/>
                </w:tcPr>
                <w:p>
                  <w:pPr>
                    <w:jc w:val="center"/>
                    <w:rPr>
                      <w:szCs w:val="21"/>
                    </w:rPr>
                  </w:pPr>
                  <w:r>
                    <w:rPr>
                      <w:szCs w:val="21"/>
                    </w:rPr>
                    <w:t>风险防范措施要求</w:t>
                  </w:r>
                </w:p>
              </w:tc>
              <w:tc>
                <w:tcPr>
                  <w:tcW w:w="4102" w:type="pct"/>
                  <w:gridSpan w:val="4"/>
                  <w:tcBorders>
                    <w:top w:val="single" w:color="auto" w:sz="6" w:space="0"/>
                    <w:left w:val="single" w:color="auto" w:sz="6" w:space="0"/>
                    <w:bottom w:val="single" w:color="auto" w:sz="6" w:space="0"/>
                    <w:right w:val="single" w:color="auto" w:sz="12" w:space="0"/>
                  </w:tcBorders>
                  <w:noWrap/>
                  <w:vAlign w:val="center"/>
                </w:tcPr>
                <w:p>
                  <w:pPr>
                    <w:jc w:val="left"/>
                    <w:rPr>
                      <w:rFonts w:hint="eastAsia"/>
                      <w:szCs w:val="21"/>
                    </w:rPr>
                  </w:pPr>
                  <w:r>
                    <w:rPr>
                      <w:rFonts w:hint="eastAsia"/>
                      <w:szCs w:val="21"/>
                    </w:rPr>
                    <w:t>①医疗废物贮存风险防范措施</w:t>
                  </w:r>
                </w:p>
                <w:p>
                  <w:pPr>
                    <w:jc w:val="left"/>
                    <w:rPr>
                      <w:rFonts w:hint="eastAsia"/>
                      <w:szCs w:val="21"/>
                    </w:rPr>
                  </w:pPr>
                  <w:r>
                    <w:rPr>
                      <w:rFonts w:hint="eastAsia"/>
                      <w:szCs w:val="21"/>
                    </w:rPr>
                    <w:t>a.项目应当根据《医疗废物分类目录》，对医疗废物实施分类管理。</w:t>
                  </w:r>
                </w:p>
                <w:p>
                  <w:pPr>
                    <w:jc w:val="left"/>
                    <w:rPr>
                      <w:rFonts w:hint="eastAsia"/>
                      <w:szCs w:val="21"/>
                    </w:rPr>
                  </w:pPr>
                  <w:r>
                    <w:rPr>
                      <w:rFonts w:hint="eastAsia"/>
                      <w:szCs w:val="21"/>
                    </w:rPr>
                    <w:t>b.根据医疗废物的类别，将医疗废物分置于符合《医疗废物专用包装物、容器的标准和警示标识的规定》的包装物或者容器内。</w:t>
                  </w:r>
                </w:p>
                <w:p>
                  <w:pPr>
                    <w:jc w:val="left"/>
                    <w:rPr>
                      <w:rFonts w:hint="eastAsia"/>
                      <w:szCs w:val="21"/>
                    </w:rPr>
                  </w:pPr>
                  <w:r>
                    <w:rPr>
                      <w:rFonts w:hint="eastAsia"/>
                      <w:szCs w:val="21"/>
                    </w:rPr>
                    <w:t>c.医疗废物产生地点应当有医疗废物分类收集方法的示意图或者文字说明。</w:t>
                  </w:r>
                </w:p>
                <w:p>
                  <w:pPr>
                    <w:jc w:val="left"/>
                    <w:rPr>
                      <w:rFonts w:hint="eastAsia"/>
                      <w:szCs w:val="21"/>
                    </w:rPr>
                  </w:pPr>
                  <w:r>
                    <w:rPr>
                      <w:rFonts w:hint="eastAsia"/>
                      <w:szCs w:val="21"/>
                    </w:rPr>
                    <w:t>d.盛装的医疗废物达到包装物或者容器的3/4时，应当使用有效的封口方式，使包装物或者容器的封口紧实、严密。</w:t>
                  </w:r>
                </w:p>
                <w:p>
                  <w:pPr>
                    <w:jc w:val="left"/>
                    <w:rPr>
                      <w:rFonts w:hint="eastAsia"/>
                      <w:szCs w:val="21"/>
                    </w:rPr>
                  </w:pPr>
                  <w:r>
                    <w:rPr>
                      <w:rFonts w:hint="eastAsia"/>
                      <w:szCs w:val="21"/>
                    </w:rPr>
                    <w:t>e.项目应当建立医疗废物暂时贮存设施、设备，不得露天存放医疗废物；医疗废物暂时贮存的时间不得超过2 天。</w:t>
                  </w:r>
                </w:p>
                <w:p>
                  <w:pPr>
                    <w:jc w:val="left"/>
                    <w:rPr>
                      <w:rFonts w:hint="eastAsia"/>
                      <w:szCs w:val="21"/>
                    </w:rPr>
                  </w:pPr>
                  <w:r>
                    <w:rPr>
                      <w:rFonts w:hint="eastAsia"/>
                      <w:szCs w:val="21"/>
                    </w:rPr>
                    <w:t>②废水非正常风险防范措施</w:t>
                  </w:r>
                </w:p>
                <w:p>
                  <w:pPr>
                    <w:jc w:val="left"/>
                    <w:rPr>
                      <w:rFonts w:hint="eastAsia"/>
                      <w:szCs w:val="21"/>
                    </w:rPr>
                  </w:pPr>
                  <w:r>
                    <w:rPr>
                      <w:rFonts w:hint="eastAsia"/>
                      <w:szCs w:val="21"/>
                    </w:rPr>
                    <w:t>a.提高废水处理设施自动化程度，提高投药准确率和废水处理站处理效果。</w:t>
                  </w:r>
                </w:p>
                <w:p>
                  <w:pPr>
                    <w:jc w:val="left"/>
                    <w:rPr>
                      <w:rFonts w:hint="eastAsia"/>
                      <w:szCs w:val="21"/>
                    </w:rPr>
                  </w:pPr>
                  <w:r>
                    <w:rPr>
                      <w:rFonts w:hint="eastAsia"/>
                      <w:szCs w:val="21"/>
                    </w:rPr>
                    <w:t>b.加强环保设备的保养和维护，保证设备的正常运转率。</w:t>
                  </w:r>
                </w:p>
                <w:p>
                  <w:pPr>
                    <w:jc w:val="left"/>
                    <w:rPr>
                      <w:rFonts w:hint="eastAsia"/>
                      <w:szCs w:val="21"/>
                    </w:rPr>
                  </w:pPr>
                  <w:r>
                    <w:rPr>
                      <w:rFonts w:hint="eastAsia"/>
                      <w:szCs w:val="21"/>
                    </w:rPr>
                    <w:t>c.加强对废水处理站技术人员和操作人员的培训，熟练掌握废水处理站工艺技术原理和运行经验及设备的操作说明，加强工作人员的岗位责任管理，减少人员因素产生的故障。</w:t>
                  </w:r>
                </w:p>
                <w:p>
                  <w:pPr>
                    <w:jc w:val="left"/>
                    <w:rPr>
                      <w:rFonts w:hint="eastAsia"/>
                      <w:szCs w:val="21"/>
                    </w:rPr>
                  </w:pPr>
                  <w:r>
                    <w:rPr>
                      <w:rFonts w:hint="eastAsia"/>
                      <w:szCs w:val="21"/>
                    </w:rPr>
                    <w:t>③次氯酸钠泄露风险防范措施</w:t>
                  </w:r>
                </w:p>
                <w:p>
                  <w:pPr>
                    <w:jc w:val="left"/>
                    <w:rPr>
                      <w:rFonts w:hint="eastAsia"/>
                      <w:szCs w:val="21"/>
                    </w:rPr>
                  </w:pPr>
                  <w:r>
                    <w:rPr>
                      <w:rFonts w:hint="eastAsia"/>
                      <w:szCs w:val="21"/>
                    </w:rPr>
                    <w:t xml:space="preserve">a.储存于阴凉、干燥、通风良好的库房。远离火种、热源。包装密封。应与还原剂、有机物和酸类等分开存放，切忌混储。储区应备有合适的材料收容泄漏物。密闭操作，加强通风。操作人员必须经过专门培训，严格遵守操作规程。建议操作人员佩戴头罩型电动送风过滤式防尘呼吸器，穿聚乙烯防毒服戴橡胶手套。远离火种、热源，工作场所严禁吸烟。避免产生粉尘。搬运时要轻装轻卸，防止包装及容器损坏。禁止震动、撞击和摩擦。配备相应品种和数量的消防器材及泄漏应急处理设备。工作现场禁止进食和饮水。工作完毕后淋浴更衣，保持良好的卫生习惯。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3" w:hRule="atLeast"/>
              </w:trPr>
              <w:tc>
                <w:tcPr>
                  <w:tcW w:w="5000" w:type="pct"/>
                  <w:gridSpan w:val="5"/>
                  <w:tcBorders>
                    <w:top w:val="single" w:color="auto" w:sz="6" w:space="0"/>
                    <w:left w:val="single" w:color="auto" w:sz="12" w:space="0"/>
                    <w:bottom w:val="single" w:color="auto" w:sz="12" w:space="0"/>
                    <w:right w:val="single" w:color="auto" w:sz="12" w:space="0"/>
                  </w:tcBorders>
                  <w:noWrap/>
                  <w:vAlign w:val="center"/>
                </w:tcPr>
                <w:p>
                  <w:pPr>
                    <w:jc w:val="left"/>
                    <w:rPr>
                      <w:szCs w:val="21"/>
                    </w:rPr>
                  </w:pPr>
                  <w:r>
                    <w:rPr>
                      <w:szCs w:val="21"/>
                    </w:rPr>
                    <w:t>通过落实以上风险防范措施要求，本项目环境风险可防控。</w:t>
                  </w:r>
                </w:p>
              </w:tc>
            </w:tr>
          </w:tbl>
          <w:p>
            <w:pPr>
              <w:adjustRightInd w:val="0"/>
              <w:snapToGrid w:val="0"/>
              <w:spacing w:line="240" w:lineRule="auto"/>
              <w:ind w:firstLine="480" w:firstLineChars="200"/>
              <w:rPr>
                <w:rFonts w:hint="eastAsia"/>
                <w:sz w:val="24"/>
              </w:rPr>
            </w:pPr>
          </w:p>
          <w:p>
            <w:pPr>
              <w:adjustRightInd w:val="0"/>
              <w:snapToGrid w:val="0"/>
              <w:spacing w:line="360" w:lineRule="auto"/>
              <w:ind w:firstLine="480" w:firstLineChars="200"/>
              <w:rPr>
                <w:rFonts w:hint="eastAsia"/>
                <w:sz w:val="24"/>
              </w:rPr>
            </w:pPr>
            <w:r>
              <w:rPr>
                <w:rFonts w:hint="eastAsia"/>
                <w:sz w:val="24"/>
              </w:rPr>
              <w:t>分析结论：本项目不存在重大危险源，在各环境风险防范措施落实到位的情况下，将可大大降低建设项目的环境风险，最大程度减少对环境可能造成的危害。在企业落实本评价提出的各项风险防范措施后，项目对环境的风险影响可接受。</w:t>
            </w:r>
          </w:p>
          <w:p>
            <w:pPr>
              <w:adjustRightInd w:val="0"/>
              <w:snapToGrid w:val="0"/>
              <w:spacing w:line="360" w:lineRule="auto"/>
              <w:rPr>
                <w:rFonts w:hint="eastAsia"/>
                <w:b/>
                <w:bCs/>
                <w:sz w:val="24"/>
              </w:rPr>
            </w:pPr>
            <w:r>
              <w:rPr>
                <w:rFonts w:hint="eastAsia"/>
                <w:b/>
                <w:bCs/>
                <w:sz w:val="24"/>
                <w:lang w:val="en-US" w:eastAsia="zh-CN"/>
              </w:rPr>
              <w:t>八、</w:t>
            </w:r>
            <w:r>
              <w:rPr>
                <w:rFonts w:hint="eastAsia"/>
                <w:b/>
                <w:bCs/>
                <w:sz w:val="24"/>
              </w:rPr>
              <w:t>外环境对本项目的影响</w:t>
            </w:r>
          </w:p>
          <w:p>
            <w:pPr>
              <w:adjustRightInd w:val="0"/>
              <w:snapToGrid w:val="0"/>
              <w:spacing w:line="360" w:lineRule="auto"/>
              <w:ind w:firstLine="480" w:firstLineChars="200"/>
              <w:rPr>
                <w:rFonts w:hint="eastAsia"/>
                <w:sz w:val="24"/>
              </w:rPr>
            </w:pPr>
            <w:r>
              <w:rPr>
                <w:rFonts w:hint="eastAsia"/>
                <w:sz w:val="24"/>
              </w:rPr>
              <w:t>(1)噪声对本项目的影响</w:t>
            </w:r>
          </w:p>
          <w:p>
            <w:pPr>
              <w:adjustRightInd w:val="0"/>
              <w:snapToGrid w:val="0"/>
              <w:spacing w:line="360" w:lineRule="auto"/>
              <w:ind w:firstLine="480" w:firstLineChars="200"/>
              <w:rPr>
                <w:rFonts w:hint="eastAsia"/>
                <w:sz w:val="24"/>
              </w:rPr>
            </w:pPr>
            <w:r>
              <w:rPr>
                <w:rFonts w:hint="eastAsia"/>
                <w:sz w:val="24"/>
              </w:rPr>
              <w:t>外环境对本项目的噪声影响主要来源于西侧芙蓉北路行驶的车辆，芙蓉北路（本项目所在区域段）目前交通流量较大。要求本项目所在路段设施限速标志、禁止鸣笛的要求，同时在临道路一侧种植高大乔木</w:t>
            </w:r>
            <w:r>
              <w:rPr>
                <w:rFonts w:hint="eastAsia"/>
                <w:sz w:val="24"/>
                <w:u w:val="none"/>
                <w:lang w:val="en-US" w:eastAsia="zh-CN"/>
              </w:rPr>
              <w:t>以及项目建设过程中采用双层中空玻璃</w:t>
            </w:r>
            <w:r>
              <w:rPr>
                <w:rFonts w:hint="eastAsia"/>
                <w:sz w:val="24"/>
              </w:rPr>
              <w:t>，起到一定的噪声阻隔作用，采取上述措施后，交通噪声对本项目的影响在环境接受范围内，满足环保要求。</w:t>
            </w:r>
          </w:p>
          <w:p>
            <w:pPr>
              <w:adjustRightInd w:val="0"/>
              <w:snapToGrid w:val="0"/>
              <w:spacing w:line="360" w:lineRule="auto"/>
              <w:ind w:firstLine="480" w:firstLineChars="200"/>
              <w:rPr>
                <w:rFonts w:hint="eastAsia"/>
                <w:sz w:val="24"/>
              </w:rPr>
            </w:pPr>
            <w:r>
              <w:rPr>
                <w:rFonts w:hint="eastAsia"/>
                <w:sz w:val="24"/>
              </w:rPr>
              <w:t>(2)废气对本项目的影响</w:t>
            </w:r>
          </w:p>
          <w:p>
            <w:pPr>
              <w:adjustRightInd w:val="0"/>
              <w:snapToGrid w:val="0"/>
              <w:spacing w:line="360" w:lineRule="auto"/>
              <w:ind w:firstLine="480" w:firstLineChars="200"/>
              <w:rPr>
                <w:bCs/>
                <w:kern w:val="28"/>
                <w:sz w:val="24"/>
              </w:rPr>
            </w:pPr>
            <w:r>
              <w:rPr>
                <w:rFonts w:hint="eastAsia"/>
                <w:sz w:val="24"/>
              </w:rPr>
              <w:t>根据现场踏勘，本项目周边主要为学校及居民楼，附近没有对本项目影响的工业企业，项目地属于居住区，综上所述，本项目所在区域企业现状和将来对本项目造成的废气影响，在环境可接受范围内，满足环保要求。</w:t>
            </w:r>
          </w:p>
          <w:p>
            <w:pPr>
              <w:spacing w:line="360" w:lineRule="auto"/>
              <w:ind w:firstLine="480" w:firstLineChars="200"/>
              <w:rPr>
                <w:bCs/>
                <w:kern w:val="28"/>
                <w:sz w:val="24"/>
              </w:rPr>
            </w:pPr>
            <w:r>
              <w:rPr>
                <w:rFonts w:hint="eastAsia"/>
                <w:bCs/>
                <w:kern w:val="28"/>
                <w:sz w:val="24"/>
              </w:rPr>
              <w:t>本项目周围不可进行对病人康复不利，污染物产生量大的项目。</w:t>
            </w:r>
          </w:p>
          <w:p>
            <w:pPr>
              <w:spacing w:line="360" w:lineRule="auto"/>
              <w:rPr>
                <w:b/>
                <w:bCs w:val="0"/>
                <w:kern w:val="0"/>
                <w:sz w:val="24"/>
              </w:rPr>
            </w:pPr>
            <w:r>
              <w:rPr>
                <w:rFonts w:hint="eastAsia"/>
                <w:b/>
                <w:bCs w:val="0"/>
                <w:kern w:val="28"/>
                <w:sz w:val="24"/>
                <w:lang w:val="en-US" w:eastAsia="zh-CN"/>
              </w:rPr>
              <w:t>九、</w:t>
            </w:r>
            <w:r>
              <w:rPr>
                <w:b/>
                <w:bCs w:val="0"/>
                <w:kern w:val="28"/>
                <w:sz w:val="24"/>
              </w:rPr>
              <w:t>环境经济损益分析</w:t>
            </w:r>
            <w:r>
              <w:rPr>
                <w:b/>
                <w:bCs w:val="0"/>
                <w:kern w:val="0"/>
                <w:sz w:val="24"/>
              </w:rPr>
              <w:t>与“三同时”竣工验收</w:t>
            </w:r>
          </w:p>
          <w:p>
            <w:pPr>
              <w:adjustRightInd w:val="0"/>
              <w:spacing w:line="360" w:lineRule="auto"/>
              <w:ind w:firstLine="480" w:firstLineChars="200"/>
              <w:rPr>
                <w:b/>
                <w:kern w:val="0"/>
                <w:sz w:val="24"/>
              </w:rPr>
            </w:pPr>
            <w:r>
              <w:rPr>
                <w:kern w:val="28"/>
                <w:sz w:val="24"/>
              </w:rPr>
              <w:t>（1）环保投资及“三同时”竣工验收</w:t>
            </w:r>
          </w:p>
          <w:p>
            <w:pPr>
              <w:spacing w:line="360" w:lineRule="auto"/>
              <w:ind w:firstLine="480" w:firstLineChars="200"/>
              <w:rPr>
                <w:sz w:val="24"/>
              </w:rPr>
            </w:pPr>
            <w:r>
              <w:rPr>
                <w:rFonts w:hint="eastAsia"/>
                <w:sz w:val="24"/>
                <w:lang w:val="en-US" w:eastAsia="zh-CN"/>
              </w:rPr>
              <w:t>城发月子中心建设</w:t>
            </w:r>
            <w:r>
              <w:rPr>
                <w:rFonts w:hint="eastAsia"/>
                <w:sz w:val="24"/>
              </w:rPr>
              <w:t>项目</w:t>
            </w:r>
            <w:r>
              <w:rPr>
                <w:sz w:val="24"/>
              </w:rPr>
              <w:t>总投资</w:t>
            </w:r>
            <w:r>
              <w:rPr>
                <w:rFonts w:hint="eastAsia"/>
                <w:spacing w:val="-7"/>
                <w:sz w:val="24"/>
                <w:lang w:val="en-US" w:eastAsia="zh-CN"/>
              </w:rPr>
              <w:t>4959.73</w:t>
            </w:r>
            <w:r>
              <w:rPr>
                <w:sz w:val="24"/>
              </w:rPr>
              <w:t>万元，其中环保投资为</w:t>
            </w:r>
            <w:r>
              <w:rPr>
                <w:rFonts w:hint="eastAsia"/>
                <w:sz w:val="24"/>
                <w:lang w:val="en-US" w:eastAsia="zh-CN"/>
              </w:rPr>
              <w:t>217.49</w:t>
            </w:r>
            <w:r>
              <w:rPr>
                <w:sz w:val="24"/>
              </w:rPr>
              <w:t>万元，所占比例为</w:t>
            </w:r>
            <w:r>
              <w:rPr>
                <w:rFonts w:hint="eastAsia"/>
                <w:sz w:val="24"/>
                <w:lang w:val="en-US" w:eastAsia="zh-CN"/>
              </w:rPr>
              <w:t>4.38</w:t>
            </w:r>
            <w:r>
              <w:rPr>
                <w:sz w:val="24"/>
              </w:rPr>
              <w:t>％。</w:t>
            </w:r>
          </w:p>
          <w:p>
            <w:pPr>
              <w:spacing w:line="360" w:lineRule="auto"/>
              <w:ind w:firstLine="480" w:firstLineChars="200"/>
              <w:rPr>
                <w:sz w:val="24"/>
              </w:rPr>
            </w:pPr>
            <w:r>
              <w:rPr>
                <w:sz w:val="24"/>
              </w:rPr>
              <w:t>环保投资估算情况见下表</w:t>
            </w:r>
            <w:r>
              <w:rPr>
                <w:rFonts w:hint="eastAsia"/>
                <w:sz w:val="24"/>
              </w:rPr>
              <w:t>4-</w:t>
            </w:r>
            <w:r>
              <w:rPr>
                <w:rFonts w:hint="eastAsia"/>
                <w:sz w:val="24"/>
                <w:lang w:val="en-US" w:eastAsia="zh-CN"/>
              </w:rPr>
              <w:t>22</w:t>
            </w:r>
            <w:r>
              <w:rPr>
                <w:sz w:val="24"/>
              </w:rPr>
              <w:t>。</w:t>
            </w:r>
          </w:p>
          <w:p>
            <w:pPr>
              <w:tabs>
                <w:tab w:val="left" w:pos="360"/>
              </w:tabs>
              <w:jc w:val="center"/>
              <w:rPr>
                <w:b/>
                <w:bCs/>
                <w:snapToGrid w:val="0"/>
                <w:szCs w:val="21"/>
                <w:lang w:val="zh-CN"/>
              </w:rPr>
            </w:pPr>
            <w:r>
              <w:rPr>
                <w:b/>
                <w:szCs w:val="21"/>
              </w:rPr>
              <w:t>表</w:t>
            </w:r>
            <w:r>
              <w:rPr>
                <w:rFonts w:hint="eastAsia"/>
                <w:b/>
                <w:szCs w:val="21"/>
              </w:rPr>
              <w:t>4-</w:t>
            </w:r>
            <w:r>
              <w:rPr>
                <w:rFonts w:hint="eastAsia"/>
                <w:b/>
                <w:szCs w:val="21"/>
                <w:lang w:val="en-US" w:eastAsia="zh-CN"/>
              </w:rPr>
              <w:t>22</w:t>
            </w:r>
            <w:r>
              <w:rPr>
                <w:rFonts w:hint="eastAsia"/>
                <w:b/>
                <w:szCs w:val="21"/>
              </w:rPr>
              <w:t xml:space="preserve">  </w:t>
            </w:r>
            <w:r>
              <w:rPr>
                <w:b/>
                <w:bCs/>
                <w:snapToGrid w:val="0"/>
                <w:szCs w:val="21"/>
                <w:lang w:val="zh-CN"/>
              </w:rPr>
              <w:t>环保投资一览表</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88"/>
              <w:gridCol w:w="1380"/>
              <w:gridCol w:w="4824"/>
              <w:gridCol w:w="128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475" w:type="pct"/>
                  <w:tcBorders>
                    <w:top w:val="single" w:color="auto" w:sz="12" w:space="0"/>
                    <w:left w:val="single" w:color="auto" w:sz="12" w:space="0"/>
                    <w:bottom w:val="single" w:color="auto" w:sz="6" w:space="0"/>
                    <w:right w:val="single" w:color="auto" w:sz="6" w:space="0"/>
                  </w:tcBorders>
                  <w:noWrap w:val="0"/>
                  <w:vAlign w:val="center"/>
                </w:tcPr>
                <w:p>
                  <w:pPr>
                    <w:adjustRightInd w:val="0"/>
                    <w:snapToGrid w:val="0"/>
                    <w:jc w:val="center"/>
                    <w:rPr>
                      <w:b/>
                      <w:szCs w:val="21"/>
                      <w:u w:val="single"/>
                    </w:rPr>
                  </w:pPr>
                  <w:r>
                    <w:rPr>
                      <w:rFonts w:hint="eastAsia"/>
                      <w:b/>
                      <w:szCs w:val="21"/>
                      <w:u w:val="single"/>
                    </w:rPr>
                    <w:t>序号</w:t>
                  </w:r>
                </w:p>
              </w:tc>
              <w:tc>
                <w:tcPr>
                  <w:tcW w:w="833" w:type="pct"/>
                  <w:tcBorders>
                    <w:top w:val="single" w:color="auto" w:sz="12" w:space="0"/>
                    <w:left w:val="single" w:color="auto" w:sz="6" w:space="0"/>
                    <w:bottom w:val="single" w:color="auto" w:sz="6" w:space="0"/>
                    <w:right w:val="single" w:color="auto" w:sz="6" w:space="0"/>
                  </w:tcBorders>
                  <w:noWrap w:val="0"/>
                  <w:vAlign w:val="center"/>
                </w:tcPr>
                <w:p>
                  <w:pPr>
                    <w:adjustRightInd w:val="0"/>
                    <w:snapToGrid w:val="0"/>
                    <w:jc w:val="center"/>
                    <w:rPr>
                      <w:b/>
                      <w:szCs w:val="21"/>
                      <w:u w:val="single"/>
                    </w:rPr>
                  </w:pPr>
                  <w:r>
                    <w:rPr>
                      <w:rFonts w:hint="eastAsia"/>
                      <w:b/>
                      <w:szCs w:val="21"/>
                      <w:u w:val="single"/>
                    </w:rPr>
                    <w:t>污染类型</w:t>
                  </w:r>
                </w:p>
              </w:tc>
              <w:tc>
                <w:tcPr>
                  <w:tcW w:w="2912" w:type="pct"/>
                  <w:tcBorders>
                    <w:top w:val="single" w:color="auto" w:sz="12" w:space="0"/>
                    <w:left w:val="single" w:color="auto" w:sz="6" w:space="0"/>
                    <w:bottom w:val="single" w:color="auto" w:sz="6" w:space="0"/>
                    <w:right w:val="single" w:color="auto" w:sz="6" w:space="0"/>
                  </w:tcBorders>
                  <w:noWrap w:val="0"/>
                  <w:vAlign w:val="center"/>
                </w:tcPr>
                <w:p>
                  <w:pPr>
                    <w:adjustRightInd w:val="0"/>
                    <w:snapToGrid w:val="0"/>
                    <w:jc w:val="center"/>
                    <w:rPr>
                      <w:b/>
                      <w:szCs w:val="21"/>
                      <w:u w:val="single"/>
                    </w:rPr>
                  </w:pPr>
                  <w:r>
                    <w:rPr>
                      <w:rFonts w:hint="eastAsia"/>
                      <w:b/>
                      <w:szCs w:val="21"/>
                      <w:u w:val="single"/>
                    </w:rPr>
                    <w:t>构筑物、设备名称</w:t>
                  </w:r>
                </w:p>
              </w:tc>
              <w:tc>
                <w:tcPr>
                  <w:tcW w:w="778" w:type="pct"/>
                  <w:tcBorders>
                    <w:top w:val="single" w:color="auto" w:sz="12" w:space="0"/>
                    <w:left w:val="single" w:color="auto" w:sz="6" w:space="0"/>
                    <w:bottom w:val="single" w:color="auto" w:sz="6" w:space="0"/>
                    <w:right w:val="single" w:color="auto" w:sz="12" w:space="0"/>
                  </w:tcBorders>
                  <w:noWrap w:val="0"/>
                  <w:vAlign w:val="center"/>
                </w:tcPr>
                <w:p>
                  <w:pPr>
                    <w:adjustRightInd w:val="0"/>
                    <w:snapToGrid w:val="0"/>
                    <w:jc w:val="center"/>
                    <w:rPr>
                      <w:b/>
                      <w:szCs w:val="21"/>
                      <w:u w:val="single"/>
                    </w:rPr>
                  </w:pPr>
                  <w:r>
                    <w:rPr>
                      <w:rFonts w:hint="eastAsia"/>
                      <w:b/>
                      <w:szCs w:val="21"/>
                      <w:u w:val="single"/>
                    </w:rPr>
                    <w:t>投资估算（万元）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5" w:type="pct"/>
                  <w:tcBorders>
                    <w:top w:val="single" w:color="auto" w:sz="6" w:space="0"/>
                    <w:left w:val="single" w:color="auto" w:sz="12" w:space="0"/>
                    <w:bottom w:val="single" w:color="auto" w:sz="6" w:space="0"/>
                    <w:right w:val="single" w:color="auto" w:sz="6" w:space="0"/>
                  </w:tcBorders>
                  <w:noWrap w:val="0"/>
                  <w:vAlign w:val="center"/>
                </w:tcPr>
                <w:p>
                  <w:pPr>
                    <w:adjustRightInd w:val="0"/>
                    <w:snapToGrid w:val="0"/>
                    <w:jc w:val="center"/>
                    <w:rPr>
                      <w:rFonts w:hint="eastAsia" w:eastAsia="宋体"/>
                      <w:szCs w:val="21"/>
                      <w:u w:val="single"/>
                      <w:lang w:val="en-US" w:eastAsia="zh-CN"/>
                    </w:rPr>
                  </w:pPr>
                  <w:r>
                    <w:rPr>
                      <w:rFonts w:hint="eastAsia"/>
                      <w:szCs w:val="21"/>
                      <w:u w:val="single"/>
                      <w:lang w:val="en-US" w:eastAsia="zh-CN"/>
                    </w:rPr>
                    <w:t>1</w:t>
                  </w:r>
                </w:p>
              </w:tc>
              <w:tc>
                <w:tcPr>
                  <w:tcW w:w="833" w:type="pct"/>
                  <w:vMerge w:val="restart"/>
                  <w:tcBorders>
                    <w:left w:val="single" w:color="auto" w:sz="6" w:space="0"/>
                    <w:right w:val="single" w:color="auto" w:sz="6" w:space="0"/>
                  </w:tcBorders>
                  <w:noWrap w:val="0"/>
                  <w:vAlign w:val="center"/>
                </w:tcPr>
                <w:p>
                  <w:pPr>
                    <w:widowControl/>
                    <w:jc w:val="center"/>
                    <w:rPr>
                      <w:rFonts w:hint="eastAsia" w:eastAsia="宋体"/>
                      <w:szCs w:val="21"/>
                      <w:u w:val="single"/>
                      <w:lang w:val="en-US" w:eastAsia="zh-CN"/>
                    </w:rPr>
                  </w:pPr>
                  <w:r>
                    <w:rPr>
                      <w:rFonts w:hint="eastAsia"/>
                      <w:szCs w:val="21"/>
                      <w:u w:val="single"/>
                      <w:lang w:val="en-US" w:eastAsia="zh-CN"/>
                    </w:rPr>
                    <w:t>废水</w:t>
                  </w:r>
                </w:p>
              </w:tc>
              <w:tc>
                <w:tcPr>
                  <w:tcW w:w="2912"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szCs w:val="21"/>
                      <w:u w:val="single"/>
                    </w:rPr>
                  </w:pPr>
                  <w:r>
                    <w:rPr>
                      <w:rFonts w:hint="eastAsia"/>
                      <w:szCs w:val="21"/>
                      <w:u w:val="single"/>
                    </w:rPr>
                    <w:t>医院内部按照施工图要求雨污分流管网建设</w:t>
                  </w:r>
                </w:p>
              </w:tc>
              <w:tc>
                <w:tcPr>
                  <w:tcW w:w="778" w:type="pct"/>
                  <w:tcBorders>
                    <w:top w:val="single" w:color="auto" w:sz="6" w:space="0"/>
                    <w:left w:val="single" w:color="auto" w:sz="6" w:space="0"/>
                    <w:bottom w:val="single" w:color="auto" w:sz="6" w:space="0"/>
                    <w:right w:val="single" w:color="auto" w:sz="12" w:space="0"/>
                  </w:tcBorders>
                  <w:noWrap w:val="0"/>
                  <w:vAlign w:val="center"/>
                </w:tcPr>
                <w:p>
                  <w:pPr>
                    <w:adjustRightInd w:val="0"/>
                    <w:snapToGrid w:val="0"/>
                    <w:jc w:val="center"/>
                    <w:rPr>
                      <w:rFonts w:hint="eastAsia"/>
                      <w:szCs w:val="21"/>
                      <w:u w:val="single"/>
                    </w:rPr>
                  </w:pPr>
                  <w:r>
                    <w:rPr>
                      <w:rFonts w:eastAsia="Times New Roman"/>
                      <w:spacing w:val="2"/>
                      <w:szCs w:val="21"/>
                      <w:u w:val="single"/>
                    </w:rPr>
                    <w:t>1</w:t>
                  </w:r>
                  <w:r>
                    <w:rPr>
                      <w:rFonts w:hint="eastAsia"/>
                      <w:spacing w:val="1"/>
                      <w:szCs w:val="21"/>
                      <w:u w:val="single"/>
                      <w:lang w:val="en-US" w:eastAsia="zh-CN"/>
                    </w:rPr>
                    <w:t>3</w:t>
                  </w:r>
                  <w:r>
                    <w:rPr>
                      <w:rFonts w:eastAsia="Times New Roman"/>
                      <w:spacing w:val="1"/>
                      <w:szCs w:val="21"/>
                      <w:u w:val="single"/>
                    </w:rPr>
                    <w:t>0.29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5" w:type="pct"/>
                  <w:tcBorders>
                    <w:top w:val="single" w:color="auto" w:sz="6" w:space="0"/>
                    <w:left w:val="single" w:color="auto" w:sz="12" w:space="0"/>
                    <w:bottom w:val="single" w:color="auto" w:sz="6" w:space="0"/>
                    <w:right w:val="single" w:color="auto" w:sz="6" w:space="0"/>
                  </w:tcBorders>
                  <w:noWrap w:val="0"/>
                  <w:vAlign w:val="center"/>
                </w:tcPr>
                <w:p>
                  <w:pPr>
                    <w:adjustRightInd w:val="0"/>
                    <w:snapToGrid w:val="0"/>
                    <w:jc w:val="center"/>
                    <w:rPr>
                      <w:rFonts w:hint="eastAsia" w:eastAsia="宋体"/>
                      <w:szCs w:val="21"/>
                      <w:u w:val="single"/>
                      <w:lang w:val="en-US" w:eastAsia="zh-CN"/>
                    </w:rPr>
                  </w:pPr>
                  <w:r>
                    <w:rPr>
                      <w:rFonts w:hint="eastAsia"/>
                      <w:szCs w:val="21"/>
                      <w:u w:val="single"/>
                      <w:lang w:val="en-US" w:eastAsia="zh-CN"/>
                    </w:rPr>
                    <w:t>2</w:t>
                  </w:r>
                </w:p>
              </w:tc>
              <w:tc>
                <w:tcPr>
                  <w:tcW w:w="833" w:type="pct"/>
                  <w:vMerge w:val="continue"/>
                  <w:tcBorders>
                    <w:left w:val="single" w:color="auto" w:sz="6" w:space="0"/>
                    <w:bottom w:val="single" w:color="auto" w:sz="4" w:space="0"/>
                    <w:right w:val="single" w:color="auto" w:sz="6" w:space="0"/>
                  </w:tcBorders>
                  <w:noWrap w:val="0"/>
                  <w:vAlign w:val="center"/>
                </w:tcPr>
                <w:p>
                  <w:pPr>
                    <w:widowControl/>
                    <w:jc w:val="left"/>
                    <w:rPr>
                      <w:szCs w:val="21"/>
                      <w:u w:val="single"/>
                    </w:rPr>
                  </w:pPr>
                </w:p>
              </w:tc>
              <w:tc>
                <w:tcPr>
                  <w:tcW w:w="2912"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eastAsia"/>
                      <w:szCs w:val="21"/>
                      <w:u w:val="single"/>
                    </w:rPr>
                  </w:pPr>
                  <w:r>
                    <w:rPr>
                      <w:rFonts w:hint="eastAsia"/>
                      <w:szCs w:val="21"/>
                      <w:u w:val="single"/>
                    </w:rPr>
                    <w:t>化粪池</w:t>
                  </w:r>
                </w:p>
              </w:tc>
              <w:tc>
                <w:tcPr>
                  <w:tcW w:w="778" w:type="pct"/>
                  <w:tcBorders>
                    <w:top w:val="single" w:color="auto" w:sz="6" w:space="0"/>
                    <w:left w:val="single" w:color="auto" w:sz="6" w:space="0"/>
                    <w:bottom w:val="single" w:color="auto" w:sz="6" w:space="0"/>
                    <w:right w:val="single" w:color="auto" w:sz="12" w:space="0"/>
                  </w:tcBorders>
                  <w:noWrap w:val="0"/>
                  <w:vAlign w:val="center"/>
                </w:tcPr>
                <w:p>
                  <w:pPr>
                    <w:adjustRightInd w:val="0"/>
                    <w:snapToGrid w:val="0"/>
                    <w:jc w:val="center"/>
                    <w:rPr>
                      <w:rFonts w:hint="default" w:eastAsia="宋体"/>
                      <w:szCs w:val="21"/>
                      <w:u w:val="single"/>
                      <w:lang w:val="en-US" w:eastAsia="zh-CN"/>
                    </w:rPr>
                  </w:pPr>
                  <w:r>
                    <w:rPr>
                      <w:rFonts w:hint="eastAsia"/>
                      <w:szCs w:val="21"/>
                      <w:u w:val="single"/>
                    </w:rPr>
                    <w:t>3</w:t>
                  </w:r>
                  <w:r>
                    <w:rPr>
                      <w:rFonts w:hint="eastAsia"/>
                      <w:szCs w:val="21"/>
                      <w:u w:val="singl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5" w:type="pct"/>
                  <w:tcBorders>
                    <w:top w:val="single" w:color="auto" w:sz="6" w:space="0"/>
                    <w:left w:val="single" w:color="auto" w:sz="12" w:space="0"/>
                    <w:bottom w:val="single" w:color="auto" w:sz="6" w:space="0"/>
                    <w:right w:val="single" w:color="auto" w:sz="6" w:space="0"/>
                  </w:tcBorders>
                  <w:noWrap w:val="0"/>
                  <w:vAlign w:val="center"/>
                </w:tcPr>
                <w:p>
                  <w:pPr>
                    <w:adjustRightInd w:val="0"/>
                    <w:snapToGrid w:val="0"/>
                    <w:jc w:val="center"/>
                    <w:rPr>
                      <w:rFonts w:hint="eastAsia" w:eastAsia="宋体"/>
                      <w:color w:val="auto"/>
                      <w:szCs w:val="21"/>
                      <w:u w:val="single"/>
                      <w:lang w:val="en-US" w:eastAsia="zh-CN"/>
                    </w:rPr>
                  </w:pPr>
                  <w:r>
                    <w:rPr>
                      <w:rFonts w:hint="eastAsia"/>
                      <w:color w:val="auto"/>
                      <w:szCs w:val="21"/>
                      <w:u w:val="single"/>
                      <w:lang w:val="en-US" w:eastAsia="zh-CN"/>
                    </w:rPr>
                    <w:t>3</w:t>
                  </w:r>
                </w:p>
              </w:tc>
              <w:tc>
                <w:tcPr>
                  <w:tcW w:w="833" w:type="pct"/>
                  <w:tcBorders>
                    <w:top w:val="single" w:color="auto" w:sz="4" w:space="0"/>
                    <w:left w:val="single" w:color="auto" w:sz="6" w:space="0"/>
                    <w:bottom w:val="single" w:color="auto" w:sz="4" w:space="0"/>
                    <w:right w:val="single" w:color="auto" w:sz="6" w:space="0"/>
                  </w:tcBorders>
                  <w:noWrap w:val="0"/>
                  <w:vAlign w:val="center"/>
                </w:tcPr>
                <w:p>
                  <w:pPr>
                    <w:widowControl/>
                    <w:jc w:val="center"/>
                    <w:rPr>
                      <w:rFonts w:hint="eastAsia"/>
                      <w:color w:val="auto"/>
                      <w:szCs w:val="21"/>
                      <w:u w:val="single"/>
                    </w:rPr>
                  </w:pPr>
                  <w:r>
                    <w:rPr>
                      <w:rFonts w:hint="eastAsia"/>
                      <w:color w:val="auto"/>
                      <w:szCs w:val="21"/>
                      <w:u w:val="single"/>
                    </w:rPr>
                    <w:t>废气</w:t>
                  </w:r>
                </w:p>
              </w:tc>
              <w:tc>
                <w:tcPr>
                  <w:tcW w:w="2912"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eastAsia="宋体"/>
                      <w:color w:val="auto"/>
                      <w:szCs w:val="21"/>
                      <w:u w:val="single"/>
                      <w:lang w:val="en-US" w:eastAsia="zh-CN"/>
                    </w:rPr>
                  </w:pPr>
                  <w:r>
                    <w:rPr>
                      <w:rFonts w:hint="eastAsia"/>
                      <w:color w:val="auto"/>
                      <w:szCs w:val="21"/>
                      <w:u w:val="single"/>
                      <w:lang w:val="en-US" w:eastAsia="zh-CN"/>
                    </w:rPr>
                    <w:t>食堂油烟净化器</w:t>
                  </w:r>
                </w:p>
              </w:tc>
              <w:tc>
                <w:tcPr>
                  <w:tcW w:w="778" w:type="pct"/>
                  <w:tcBorders>
                    <w:top w:val="single" w:color="auto" w:sz="6" w:space="0"/>
                    <w:left w:val="single" w:color="auto" w:sz="6" w:space="0"/>
                    <w:bottom w:val="single" w:color="auto" w:sz="6" w:space="0"/>
                    <w:right w:val="single" w:color="auto" w:sz="12" w:space="0"/>
                  </w:tcBorders>
                  <w:noWrap w:val="0"/>
                  <w:vAlign w:val="center"/>
                </w:tcPr>
                <w:p>
                  <w:pPr>
                    <w:adjustRightInd w:val="0"/>
                    <w:snapToGrid w:val="0"/>
                    <w:jc w:val="center"/>
                    <w:rPr>
                      <w:rFonts w:hint="default" w:eastAsia="宋体"/>
                      <w:color w:val="auto"/>
                      <w:szCs w:val="21"/>
                      <w:u w:val="single"/>
                      <w:lang w:val="en-US" w:eastAsia="zh-CN"/>
                    </w:rPr>
                  </w:pPr>
                  <w:r>
                    <w:rPr>
                      <w:rFonts w:hint="eastAsia"/>
                      <w:color w:val="auto"/>
                      <w:szCs w:val="21"/>
                      <w:u w:val="single"/>
                      <w:lang w:val="en-US" w:eastAsia="zh-CN"/>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5" w:type="pct"/>
                  <w:tcBorders>
                    <w:top w:val="single" w:color="auto" w:sz="6" w:space="0"/>
                    <w:left w:val="single" w:color="auto" w:sz="12" w:space="0"/>
                    <w:bottom w:val="single" w:color="auto" w:sz="6" w:space="0"/>
                    <w:right w:val="single" w:color="auto" w:sz="6" w:space="0"/>
                  </w:tcBorders>
                  <w:noWrap w:val="0"/>
                  <w:vAlign w:val="center"/>
                </w:tcPr>
                <w:p>
                  <w:pPr>
                    <w:adjustRightInd w:val="0"/>
                    <w:snapToGrid w:val="0"/>
                    <w:jc w:val="center"/>
                    <w:rPr>
                      <w:rFonts w:hint="eastAsia" w:eastAsia="宋体"/>
                      <w:szCs w:val="21"/>
                      <w:u w:val="single"/>
                      <w:lang w:val="en-US" w:eastAsia="zh-CN"/>
                    </w:rPr>
                  </w:pPr>
                  <w:r>
                    <w:rPr>
                      <w:rFonts w:hint="eastAsia"/>
                      <w:szCs w:val="21"/>
                      <w:u w:val="single"/>
                      <w:lang w:val="en-US" w:eastAsia="zh-CN"/>
                    </w:rPr>
                    <w:t>4</w:t>
                  </w:r>
                </w:p>
              </w:tc>
              <w:tc>
                <w:tcPr>
                  <w:tcW w:w="833" w:type="pct"/>
                  <w:tcBorders>
                    <w:top w:val="single" w:color="auto" w:sz="4" w:space="0"/>
                    <w:left w:val="single" w:color="auto" w:sz="6" w:space="0"/>
                    <w:bottom w:val="single" w:color="auto" w:sz="6" w:space="0"/>
                    <w:right w:val="single" w:color="auto" w:sz="6" w:space="0"/>
                  </w:tcBorders>
                  <w:noWrap w:val="0"/>
                  <w:vAlign w:val="center"/>
                </w:tcPr>
                <w:p>
                  <w:pPr>
                    <w:adjustRightInd w:val="0"/>
                    <w:snapToGrid w:val="0"/>
                    <w:jc w:val="center"/>
                    <w:rPr>
                      <w:szCs w:val="21"/>
                      <w:u w:val="single"/>
                    </w:rPr>
                  </w:pPr>
                  <w:r>
                    <w:rPr>
                      <w:rFonts w:hint="eastAsia"/>
                      <w:szCs w:val="21"/>
                      <w:u w:val="single"/>
                    </w:rPr>
                    <w:t>噪声</w:t>
                  </w:r>
                </w:p>
              </w:tc>
              <w:tc>
                <w:tcPr>
                  <w:tcW w:w="2912"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szCs w:val="21"/>
                      <w:u w:val="single"/>
                    </w:rPr>
                  </w:pPr>
                  <w:r>
                    <w:rPr>
                      <w:rFonts w:hint="eastAsia"/>
                      <w:szCs w:val="21"/>
                      <w:u w:val="single"/>
                    </w:rPr>
                    <w:t>水泵等动力设备噪声控制；风机设备噪声隔声、减振、降噪措施，临路房间真空隔声玻璃等。</w:t>
                  </w:r>
                </w:p>
              </w:tc>
              <w:tc>
                <w:tcPr>
                  <w:tcW w:w="778" w:type="pct"/>
                  <w:tcBorders>
                    <w:top w:val="single" w:color="auto" w:sz="6" w:space="0"/>
                    <w:left w:val="single" w:color="auto" w:sz="6" w:space="0"/>
                    <w:bottom w:val="single" w:color="auto" w:sz="6" w:space="0"/>
                    <w:right w:val="single" w:color="auto" w:sz="12" w:space="0"/>
                  </w:tcBorders>
                  <w:noWrap w:val="0"/>
                  <w:vAlign w:val="center"/>
                </w:tcPr>
                <w:p>
                  <w:pPr>
                    <w:adjustRightInd w:val="0"/>
                    <w:snapToGrid w:val="0"/>
                    <w:jc w:val="center"/>
                    <w:rPr>
                      <w:szCs w:val="21"/>
                      <w:u w:val="single"/>
                    </w:rPr>
                  </w:pPr>
                  <w:r>
                    <w:rPr>
                      <w:rFonts w:hint="eastAsia"/>
                      <w:szCs w:val="21"/>
                      <w:u w:val="single"/>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5" w:type="pct"/>
                  <w:tcBorders>
                    <w:top w:val="single" w:color="auto" w:sz="6" w:space="0"/>
                    <w:left w:val="single" w:color="auto" w:sz="12" w:space="0"/>
                    <w:bottom w:val="single" w:color="auto" w:sz="6" w:space="0"/>
                    <w:right w:val="single" w:color="auto" w:sz="6" w:space="0"/>
                  </w:tcBorders>
                  <w:noWrap w:val="0"/>
                  <w:vAlign w:val="center"/>
                </w:tcPr>
                <w:p>
                  <w:pPr>
                    <w:adjustRightInd w:val="0"/>
                    <w:snapToGrid w:val="0"/>
                    <w:jc w:val="center"/>
                    <w:rPr>
                      <w:rFonts w:hint="eastAsia" w:eastAsia="宋体"/>
                      <w:szCs w:val="21"/>
                      <w:u w:val="single"/>
                      <w:lang w:val="en-US" w:eastAsia="zh-CN"/>
                    </w:rPr>
                  </w:pPr>
                  <w:r>
                    <w:rPr>
                      <w:rFonts w:hint="eastAsia"/>
                      <w:szCs w:val="21"/>
                      <w:u w:val="single"/>
                      <w:lang w:val="en-US" w:eastAsia="zh-CN"/>
                    </w:rPr>
                    <w:t>5</w:t>
                  </w:r>
                </w:p>
              </w:tc>
              <w:tc>
                <w:tcPr>
                  <w:tcW w:w="833" w:type="pct"/>
                  <w:vMerge w:val="restart"/>
                  <w:tcBorders>
                    <w:top w:val="single" w:color="auto" w:sz="6" w:space="0"/>
                    <w:left w:val="single" w:color="auto" w:sz="6" w:space="0"/>
                    <w:right w:val="single" w:color="auto" w:sz="6" w:space="0"/>
                  </w:tcBorders>
                  <w:noWrap w:val="0"/>
                  <w:vAlign w:val="center"/>
                </w:tcPr>
                <w:p>
                  <w:pPr>
                    <w:adjustRightInd w:val="0"/>
                    <w:snapToGrid w:val="0"/>
                    <w:jc w:val="center"/>
                    <w:rPr>
                      <w:szCs w:val="21"/>
                      <w:u w:val="single"/>
                    </w:rPr>
                  </w:pPr>
                  <w:r>
                    <w:rPr>
                      <w:rFonts w:hint="eastAsia"/>
                      <w:szCs w:val="21"/>
                      <w:u w:val="single"/>
                    </w:rPr>
                    <w:t>固废</w:t>
                  </w:r>
                </w:p>
              </w:tc>
              <w:tc>
                <w:tcPr>
                  <w:tcW w:w="2912"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szCs w:val="21"/>
                      <w:u w:val="single"/>
                    </w:rPr>
                  </w:pPr>
                  <w:r>
                    <w:rPr>
                      <w:rFonts w:hint="eastAsia"/>
                      <w:szCs w:val="21"/>
                      <w:u w:val="single"/>
                    </w:rPr>
                    <w:t>医疗废物暂存间</w:t>
                  </w:r>
                </w:p>
              </w:tc>
              <w:tc>
                <w:tcPr>
                  <w:tcW w:w="778" w:type="pct"/>
                  <w:vMerge w:val="restart"/>
                  <w:tcBorders>
                    <w:top w:val="single" w:color="auto" w:sz="6" w:space="0"/>
                    <w:left w:val="single" w:color="auto" w:sz="6" w:space="0"/>
                    <w:right w:val="single" w:color="auto" w:sz="12" w:space="0"/>
                  </w:tcBorders>
                  <w:noWrap w:val="0"/>
                  <w:vAlign w:val="center"/>
                </w:tcPr>
                <w:p>
                  <w:pPr>
                    <w:adjustRightInd w:val="0"/>
                    <w:snapToGrid w:val="0"/>
                    <w:jc w:val="center"/>
                    <w:rPr>
                      <w:rFonts w:hint="default" w:eastAsia="宋体"/>
                      <w:szCs w:val="21"/>
                      <w:u w:val="single"/>
                      <w:lang w:val="en-US" w:eastAsia="zh-CN"/>
                    </w:rPr>
                  </w:pPr>
                  <w:r>
                    <w:rPr>
                      <w:rFonts w:hint="eastAsia"/>
                      <w:szCs w:val="21"/>
                      <w:u w:val="single"/>
                      <w:lang w:val="en-US" w:eastAsia="zh-CN"/>
                    </w:rPr>
                    <w:t>64.20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475" w:type="pct"/>
                  <w:tcBorders>
                    <w:top w:val="single" w:color="auto" w:sz="6" w:space="0"/>
                    <w:left w:val="single" w:color="auto" w:sz="12" w:space="0"/>
                    <w:bottom w:val="single" w:color="auto" w:sz="6" w:space="0"/>
                    <w:right w:val="single" w:color="auto" w:sz="6" w:space="0"/>
                  </w:tcBorders>
                  <w:noWrap w:val="0"/>
                  <w:vAlign w:val="center"/>
                </w:tcPr>
                <w:p>
                  <w:pPr>
                    <w:adjustRightInd w:val="0"/>
                    <w:snapToGrid w:val="0"/>
                    <w:jc w:val="center"/>
                    <w:rPr>
                      <w:rFonts w:hint="eastAsia" w:eastAsia="宋体"/>
                      <w:szCs w:val="21"/>
                      <w:u w:val="single"/>
                      <w:lang w:val="en-US" w:eastAsia="zh-CN"/>
                    </w:rPr>
                  </w:pPr>
                  <w:r>
                    <w:rPr>
                      <w:rFonts w:hint="eastAsia"/>
                      <w:szCs w:val="21"/>
                      <w:u w:val="single"/>
                      <w:lang w:val="en-US" w:eastAsia="zh-CN"/>
                    </w:rPr>
                    <w:t>6</w:t>
                  </w:r>
                </w:p>
              </w:tc>
              <w:tc>
                <w:tcPr>
                  <w:tcW w:w="833" w:type="pct"/>
                  <w:vMerge w:val="continue"/>
                  <w:tcBorders>
                    <w:left w:val="single" w:color="auto" w:sz="6" w:space="0"/>
                    <w:right w:val="single" w:color="auto" w:sz="6" w:space="0"/>
                  </w:tcBorders>
                  <w:noWrap w:val="0"/>
                  <w:vAlign w:val="center"/>
                </w:tcPr>
                <w:p>
                  <w:pPr>
                    <w:widowControl/>
                    <w:jc w:val="left"/>
                    <w:rPr>
                      <w:szCs w:val="21"/>
                      <w:u w:val="single"/>
                    </w:rPr>
                  </w:pPr>
                </w:p>
              </w:tc>
              <w:tc>
                <w:tcPr>
                  <w:tcW w:w="2912"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szCs w:val="21"/>
                      <w:u w:val="single"/>
                    </w:rPr>
                  </w:pPr>
                  <w:r>
                    <w:rPr>
                      <w:rFonts w:hint="eastAsia"/>
                      <w:szCs w:val="21"/>
                      <w:u w:val="single"/>
                    </w:rPr>
                    <w:t>生活垃圾暂存间</w:t>
                  </w:r>
                </w:p>
              </w:tc>
              <w:tc>
                <w:tcPr>
                  <w:tcW w:w="778" w:type="pct"/>
                  <w:vMerge w:val="continue"/>
                  <w:tcBorders>
                    <w:left w:val="single" w:color="auto" w:sz="6" w:space="0"/>
                    <w:right w:val="single" w:color="auto" w:sz="12" w:space="0"/>
                  </w:tcBorders>
                  <w:noWrap w:val="0"/>
                  <w:vAlign w:val="center"/>
                </w:tcPr>
                <w:p>
                  <w:pPr>
                    <w:adjustRightInd w:val="0"/>
                    <w:snapToGrid w:val="0"/>
                    <w:jc w:val="center"/>
                    <w:rPr>
                      <w:rFonts w:hint="default" w:eastAsia="宋体"/>
                      <w:szCs w:val="21"/>
                      <w:u w:val="singl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475" w:type="pct"/>
                  <w:tcBorders>
                    <w:top w:val="single" w:color="auto" w:sz="6" w:space="0"/>
                    <w:left w:val="single" w:color="auto" w:sz="12" w:space="0"/>
                    <w:bottom w:val="single" w:color="auto" w:sz="6" w:space="0"/>
                    <w:right w:val="single" w:color="auto" w:sz="6" w:space="0"/>
                  </w:tcBorders>
                  <w:noWrap w:val="0"/>
                  <w:vAlign w:val="center"/>
                </w:tcPr>
                <w:p>
                  <w:pPr>
                    <w:adjustRightInd w:val="0"/>
                    <w:snapToGrid w:val="0"/>
                    <w:jc w:val="center"/>
                    <w:rPr>
                      <w:rFonts w:hint="default"/>
                      <w:szCs w:val="21"/>
                      <w:u w:val="single"/>
                      <w:lang w:val="en-US" w:eastAsia="zh-CN"/>
                    </w:rPr>
                  </w:pPr>
                  <w:r>
                    <w:rPr>
                      <w:rFonts w:hint="eastAsia"/>
                      <w:szCs w:val="21"/>
                      <w:u w:val="single"/>
                      <w:lang w:val="en-US" w:eastAsia="zh-CN"/>
                    </w:rPr>
                    <w:t>7</w:t>
                  </w:r>
                </w:p>
              </w:tc>
              <w:tc>
                <w:tcPr>
                  <w:tcW w:w="833" w:type="pct"/>
                  <w:vMerge w:val="continue"/>
                  <w:tcBorders>
                    <w:left w:val="single" w:color="auto" w:sz="6" w:space="0"/>
                    <w:bottom w:val="single" w:color="auto" w:sz="6" w:space="0"/>
                    <w:right w:val="single" w:color="auto" w:sz="6" w:space="0"/>
                  </w:tcBorders>
                  <w:noWrap w:val="0"/>
                  <w:vAlign w:val="center"/>
                </w:tcPr>
                <w:p>
                  <w:pPr>
                    <w:widowControl/>
                    <w:jc w:val="left"/>
                    <w:rPr>
                      <w:szCs w:val="21"/>
                      <w:u w:val="single"/>
                    </w:rPr>
                  </w:pPr>
                </w:p>
              </w:tc>
              <w:tc>
                <w:tcPr>
                  <w:tcW w:w="2912"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eastAsia"/>
                      <w:szCs w:val="21"/>
                      <w:u w:val="single"/>
                    </w:rPr>
                  </w:pPr>
                  <w:r>
                    <w:rPr>
                      <w:rFonts w:hint="eastAsia"/>
                      <w:sz w:val="21"/>
                      <w:szCs w:val="21"/>
                      <w:u w:val="single"/>
                      <w:lang w:val="en-US" w:eastAsia="zh-CN"/>
                    </w:rPr>
                    <w:t>一般固废</w:t>
                  </w:r>
                  <w:r>
                    <w:rPr>
                      <w:rFonts w:hint="eastAsia"/>
                      <w:sz w:val="21"/>
                      <w:szCs w:val="21"/>
                      <w:u w:val="single"/>
                    </w:rPr>
                    <w:t>暂存间</w:t>
                  </w:r>
                </w:p>
              </w:tc>
              <w:tc>
                <w:tcPr>
                  <w:tcW w:w="778" w:type="pct"/>
                  <w:vMerge w:val="continue"/>
                  <w:tcBorders>
                    <w:left w:val="single" w:color="auto" w:sz="6" w:space="0"/>
                    <w:bottom w:val="single" w:color="auto" w:sz="6" w:space="0"/>
                    <w:right w:val="single" w:color="auto" w:sz="12" w:space="0"/>
                  </w:tcBorders>
                  <w:noWrap w:val="0"/>
                  <w:vAlign w:val="center"/>
                </w:tcPr>
                <w:p>
                  <w:pPr>
                    <w:adjustRightInd w:val="0"/>
                    <w:snapToGrid w:val="0"/>
                    <w:jc w:val="center"/>
                    <w:rPr>
                      <w:rFonts w:hint="eastAsia"/>
                      <w:szCs w:val="21"/>
                      <w:u w:val="singl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5" w:type="pct"/>
                  <w:tcBorders>
                    <w:top w:val="single" w:color="auto" w:sz="6" w:space="0"/>
                    <w:left w:val="single" w:color="auto" w:sz="12" w:space="0"/>
                    <w:bottom w:val="single" w:color="auto" w:sz="6" w:space="0"/>
                    <w:right w:val="single" w:color="auto" w:sz="6" w:space="0"/>
                  </w:tcBorders>
                  <w:noWrap w:val="0"/>
                  <w:vAlign w:val="center"/>
                </w:tcPr>
                <w:p>
                  <w:pPr>
                    <w:adjustRightInd w:val="0"/>
                    <w:snapToGrid w:val="0"/>
                    <w:jc w:val="center"/>
                    <w:rPr>
                      <w:rFonts w:hint="eastAsia" w:eastAsia="宋体"/>
                      <w:szCs w:val="21"/>
                      <w:u w:val="single"/>
                      <w:lang w:val="en-US" w:eastAsia="zh-CN"/>
                    </w:rPr>
                  </w:pPr>
                  <w:r>
                    <w:rPr>
                      <w:rFonts w:hint="eastAsia"/>
                      <w:szCs w:val="21"/>
                      <w:u w:val="single"/>
                      <w:lang w:val="en-US" w:eastAsia="zh-CN"/>
                    </w:rPr>
                    <w:t>8</w:t>
                  </w:r>
                </w:p>
              </w:tc>
              <w:tc>
                <w:tcPr>
                  <w:tcW w:w="833"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szCs w:val="21"/>
                      <w:u w:val="single"/>
                    </w:rPr>
                  </w:pPr>
                  <w:r>
                    <w:rPr>
                      <w:rFonts w:hint="eastAsia"/>
                      <w:szCs w:val="21"/>
                      <w:u w:val="single"/>
                    </w:rPr>
                    <w:t>环境风险</w:t>
                  </w:r>
                </w:p>
              </w:tc>
              <w:tc>
                <w:tcPr>
                  <w:tcW w:w="2912"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szCs w:val="21"/>
                      <w:u w:val="single"/>
                    </w:rPr>
                  </w:pPr>
                  <w:r>
                    <w:rPr>
                      <w:rFonts w:hint="eastAsia"/>
                      <w:szCs w:val="21"/>
                      <w:u w:val="single"/>
                    </w:rPr>
                    <w:t>应急物资的配备</w:t>
                  </w:r>
                </w:p>
              </w:tc>
              <w:tc>
                <w:tcPr>
                  <w:tcW w:w="778" w:type="pct"/>
                  <w:tcBorders>
                    <w:top w:val="single" w:color="auto" w:sz="6" w:space="0"/>
                    <w:left w:val="single" w:color="auto" w:sz="6" w:space="0"/>
                    <w:bottom w:val="single" w:color="auto" w:sz="6" w:space="0"/>
                    <w:right w:val="single" w:color="auto" w:sz="12" w:space="0"/>
                  </w:tcBorders>
                  <w:noWrap w:val="0"/>
                  <w:vAlign w:val="center"/>
                </w:tcPr>
                <w:p>
                  <w:pPr>
                    <w:adjustRightInd w:val="0"/>
                    <w:snapToGrid w:val="0"/>
                    <w:jc w:val="center"/>
                    <w:rPr>
                      <w:szCs w:val="21"/>
                      <w:u w:val="single"/>
                    </w:rPr>
                  </w:pPr>
                  <w:r>
                    <w:rPr>
                      <w:rFonts w:hint="eastAsia"/>
                      <w:szCs w:val="21"/>
                      <w:u w:val="single"/>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1" w:type="pct"/>
                  <w:gridSpan w:val="3"/>
                  <w:tcBorders>
                    <w:top w:val="single" w:color="auto" w:sz="6" w:space="0"/>
                    <w:left w:val="single" w:color="auto" w:sz="12" w:space="0"/>
                    <w:bottom w:val="single" w:color="auto" w:sz="12" w:space="0"/>
                    <w:right w:val="single" w:color="auto" w:sz="6" w:space="0"/>
                  </w:tcBorders>
                  <w:noWrap w:val="0"/>
                  <w:vAlign w:val="center"/>
                </w:tcPr>
                <w:p>
                  <w:pPr>
                    <w:adjustRightInd w:val="0"/>
                    <w:snapToGrid w:val="0"/>
                    <w:jc w:val="center"/>
                    <w:rPr>
                      <w:szCs w:val="21"/>
                      <w:u w:val="single"/>
                    </w:rPr>
                  </w:pPr>
                  <w:r>
                    <w:rPr>
                      <w:rFonts w:hint="eastAsia"/>
                      <w:szCs w:val="21"/>
                      <w:u w:val="single"/>
                    </w:rPr>
                    <w:t>合计</w:t>
                  </w:r>
                </w:p>
              </w:tc>
              <w:tc>
                <w:tcPr>
                  <w:tcW w:w="778" w:type="pct"/>
                  <w:tcBorders>
                    <w:top w:val="single" w:color="auto" w:sz="6" w:space="0"/>
                    <w:left w:val="single" w:color="auto" w:sz="6" w:space="0"/>
                    <w:bottom w:val="single" w:color="auto" w:sz="12" w:space="0"/>
                    <w:right w:val="single" w:color="auto" w:sz="12" w:space="0"/>
                  </w:tcBorders>
                  <w:noWrap w:val="0"/>
                  <w:vAlign w:val="center"/>
                </w:tcPr>
                <w:p>
                  <w:pPr>
                    <w:adjustRightInd w:val="0"/>
                    <w:snapToGrid w:val="0"/>
                    <w:jc w:val="center"/>
                    <w:rPr>
                      <w:rFonts w:hint="default" w:eastAsia="宋体"/>
                      <w:szCs w:val="21"/>
                      <w:u w:val="single"/>
                      <w:lang w:val="en-US" w:eastAsia="zh-CN"/>
                    </w:rPr>
                  </w:pPr>
                  <w:r>
                    <w:rPr>
                      <w:rFonts w:hint="eastAsia"/>
                      <w:szCs w:val="21"/>
                      <w:u w:val="single"/>
                      <w:lang w:val="en-US" w:eastAsia="zh-CN"/>
                    </w:rPr>
                    <w:t>217.49</w:t>
                  </w:r>
                </w:p>
              </w:tc>
            </w:tr>
          </w:tbl>
          <w:p>
            <w:pPr>
              <w:adjustRightInd w:val="0"/>
              <w:spacing w:line="240" w:lineRule="auto"/>
              <w:ind w:firstLine="480" w:firstLineChars="200"/>
              <w:rPr>
                <w:rFonts w:hint="eastAsia"/>
                <w:kern w:val="28"/>
                <w:sz w:val="24"/>
              </w:rPr>
            </w:pPr>
          </w:p>
          <w:p>
            <w:pPr>
              <w:adjustRightInd w:val="0"/>
              <w:spacing w:line="360" w:lineRule="auto"/>
              <w:ind w:firstLine="480" w:firstLineChars="200"/>
              <w:rPr>
                <w:kern w:val="28"/>
                <w:sz w:val="24"/>
              </w:rPr>
            </w:pPr>
            <w:r>
              <w:rPr>
                <w:rFonts w:hint="eastAsia"/>
                <w:kern w:val="28"/>
                <w:sz w:val="24"/>
              </w:rPr>
              <w:t>（2）</w:t>
            </w:r>
            <w:r>
              <w:rPr>
                <w:kern w:val="28"/>
                <w:sz w:val="24"/>
              </w:rPr>
              <w:t>项目验收监测</w:t>
            </w:r>
          </w:p>
          <w:p>
            <w:pPr>
              <w:widowControl/>
              <w:snapToGrid w:val="0"/>
              <w:ind w:firstLine="480" w:firstLineChars="200"/>
              <w:rPr>
                <w:b/>
                <w:bCs/>
                <w:sz w:val="24"/>
              </w:rPr>
            </w:pPr>
            <w:r>
              <w:rPr>
                <w:sz w:val="24"/>
              </w:rPr>
              <w:t>项目验收监测内容见下表</w:t>
            </w:r>
            <w:r>
              <w:rPr>
                <w:rFonts w:hint="eastAsia"/>
                <w:sz w:val="24"/>
              </w:rPr>
              <w:t>4-</w:t>
            </w:r>
            <w:r>
              <w:rPr>
                <w:rFonts w:hint="eastAsia"/>
                <w:sz w:val="24"/>
                <w:lang w:val="en-US" w:eastAsia="zh-CN"/>
              </w:rPr>
              <w:t>23</w:t>
            </w:r>
            <w:r>
              <w:rPr>
                <w:sz w:val="24"/>
              </w:rPr>
              <w:t>。</w:t>
            </w:r>
          </w:p>
          <w:p>
            <w:pPr>
              <w:widowControl/>
              <w:snapToGrid w:val="0"/>
              <w:jc w:val="center"/>
              <w:rPr>
                <w:b/>
                <w:bCs/>
                <w:szCs w:val="21"/>
              </w:rPr>
            </w:pPr>
            <w:r>
              <w:rPr>
                <w:b/>
                <w:bCs/>
                <w:szCs w:val="21"/>
              </w:rPr>
              <w:t>表</w:t>
            </w:r>
            <w:r>
              <w:rPr>
                <w:rFonts w:hint="eastAsia"/>
                <w:b/>
                <w:bCs/>
                <w:szCs w:val="21"/>
              </w:rPr>
              <w:t>4-</w:t>
            </w:r>
            <w:r>
              <w:rPr>
                <w:rFonts w:hint="eastAsia"/>
                <w:b/>
                <w:bCs/>
                <w:szCs w:val="21"/>
                <w:lang w:val="en-US" w:eastAsia="zh-CN"/>
              </w:rPr>
              <w:t>23</w:t>
            </w:r>
            <w:r>
              <w:rPr>
                <w:b/>
                <w:bCs/>
                <w:szCs w:val="21"/>
              </w:rPr>
              <w:t>环保竣工验收内容一览表</w:t>
            </w:r>
          </w:p>
          <w:tbl>
            <w:tblPr>
              <w:tblStyle w:val="25"/>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fixed"/>
              <w:tblCellMar>
                <w:top w:w="0" w:type="dxa"/>
                <w:left w:w="108" w:type="dxa"/>
                <w:bottom w:w="0" w:type="dxa"/>
                <w:right w:w="108" w:type="dxa"/>
              </w:tblCellMar>
            </w:tblPr>
            <w:tblGrid>
              <w:gridCol w:w="515"/>
              <w:gridCol w:w="1037"/>
              <w:gridCol w:w="3053"/>
              <w:gridCol w:w="1420"/>
              <w:gridCol w:w="22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blHeader/>
              </w:trPr>
              <w:tc>
                <w:tcPr>
                  <w:tcW w:w="311" w:type="pct"/>
                  <w:noWrap w:val="0"/>
                  <w:vAlign w:val="center"/>
                </w:tcPr>
                <w:p>
                  <w:pPr>
                    <w:jc w:val="center"/>
                    <w:rPr>
                      <w:b/>
                      <w:sz w:val="21"/>
                      <w:szCs w:val="21"/>
                      <w:u w:val="single"/>
                    </w:rPr>
                  </w:pPr>
                  <w:r>
                    <w:rPr>
                      <w:rFonts w:hint="eastAsia"/>
                      <w:b/>
                      <w:sz w:val="21"/>
                      <w:szCs w:val="21"/>
                      <w:u w:val="single"/>
                    </w:rPr>
                    <w:t>项目</w:t>
                  </w:r>
                </w:p>
              </w:tc>
              <w:tc>
                <w:tcPr>
                  <w:tcW w:w="626" w:type="pct"/>
                  <w:noWrap w:val="0"/>
                  <w:vAlign w:val="center"/>
                </w:tcPr>
                <w:p>
                  <w:pPr>
                    <w:jc w:val="center"/>
                    <w:rPr>
                      <w:b/>
                      <w:sz w:val="21"/>
                      <w:szCs w:val="21"/>
                      <w:u w:val="single"/>
                    </w:rPr>
                  </w:pPr>
                  <w:r>
                    <w:rPr>
                      <w:rFonts w:hint="eastAsia"/>
                      <w:b/>
                      <w:sz w:val="21"/>
                      <w:szCs w:val="21"/>
                      <w:u w:val="single"/>
                    </w:rPr>
                    <w:t>污染源</w:t>
                  </w:r>
                </w:p>
              </w:tc>
              <w:tc>
                <w:tcPr>
                  <w:tcW w:w="1844" w:type="pct"/>
                  <w:noWrap w:val="0"/>
                  <w:vAlign w:val="center"/>
                </w:tcPr>
                <w:p>
                  <w:pPr>
                    <w:jc w:val="center"/>
                    <w:rPr>
                      <w:b/>
                      <w:sz w:val="21"/>
                      <w:szCs w:val="21"/>
                      <w:u w:val="single"/>
                    </w:rPr>
                  </w:pPr>
                  <w:r>
                    <w:rPr>
                      <w:rFonts w:hint="eastAsia"/>
                      <w:b/>
                      <w:sz w:val="21"/>
                      <w:szCs w:val="21"/>
                      <w:u w:val="single"/>
                    </w:rPr>
                    <w:t>处理设施</w:t>
                  </w:r>
                </w:p>
              </w:tc>
              <w:tc>
                <w:tcPr>
                  <w:tcW w:w="857" w:type="pct"/>
                  <w:noWrap w:val="0"/>
                  <w:vAlign w:val="center"/>
                </w:tcPr>
                <w:p>
                  <w:pPr>
                    <w:jc w:val="center"/>
                    <w:rPr>
                      <w:b/>
                      <w:sz w:val="21"/>
                      <w:szCs w:val="21"/>
                      <w:u w:val="single"/>
                    </w:rPr>
                  </w:pPr>
                  <w:r>
                    <w:rPr>
                      <w:rFonts w:hint="eastAsia"/>
                      <w:b/>
                      <w:sz w:val="21"/>
                      <w:szCs w:val="21"/>
                      <w:u w:val="single"/>
                    </w:rPr>
                    <w:t>检测项目</w:t>
                  </w:r>
                </w:p>
              </w:tc>
              <w:tc>
                <w:tcPr>
                  <w:tcW w:w="1360" w:type="pct"/>
                  <w:noWrap w:val="0"/>
                  <w:vAlign w:val="center"/>
                </w:tcPr>
                <w:p>
                  <w:pPr>
                    <w:jc w:val="center"/>
                    <w:rPr>
                      <w:b/>
                      <w:sz w:val="21"/>
                      <w:szCs w:val="21"/>
                      <w:u w:val="single"/>
                    </w:rPr>
                  </w:pPr>
                  <w:r>
                    <w:rPr>
                      <w:rFonts w:hint="eastAsia"/>
                      <w:b/>
                      <w:sz w:val="21"/>
                      <w:szCs w:val="21"/>
                      <w:u w:val="single"/>
                    </w:rPr>
                    <w:t>治理效果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c>
                <w:tcPr>
                  <w:tcW w:w="311" w:type="pct"/>
                  <w:noWrap w:val="0"/>
                  <w:vAlign w:val="center"/>
                </w:tcPr>
                <w:p>
                  <w:pPr>
                    <w:adjustRightInd w:val="0"/>
                    <w:snapToGrid w:val="0"/>
                    <w:jc w:val="center"/>
                    <w:rPr>
                      <w:sz w:val="21"/>
                      <w:szCs w:val="21"/>
                      <w:u w:val="single"/>
                    </w:rPr>
                  </w:pPr>
                  <w:r>
                    <w:rPr>
                      <w:rFonts w:hint="eastAsia"/>
                      <w:sz w:val="21"/>
                      <w:szCs w:val="21"/>
                      <w:u w:val="single"/>
                    </w:rPr>
                    <w:t>废水</w:t>
                  </w:r>
                </w:p>
              </w:tc>
              <w:tc>
                <w:tcPr>
                  <w:tcW w:w="626" w:type="pct"/>
                  <w:noWrap w:val="0"/>
                  <w:vAlign w:val="center"/>
                </w:tcPr>
                <w:p>
                  <w:pPr>
                    <w:adjustRightInd w:val="0"/>
                    <w:snapToGrid w:val="0"/>
                    <w:jc w:val="center"/>
                    <w:rPr>
                      <w:sz w:val="21"/>
                      <w:szCs w:val="21"/>
                      <w:u w:val="single"/>
                    </w:rPr>
                  </w:pPr>
                  <w:r>
                    <w:rPr>
                      <w:rFonts w:hint="eastAsia"/>
                      <w:sz w:val="21"/>
                      <w:szCs w:val="21"/>
                      <w:u w:val="single"/>
                    </w:rPr>
                    <w:t>生活、医疗废水</w:t>
                  </w:r>
                </w:p>
              </w:tc>
              <w:tc>
                <w:tcPr>
                  <w:tcW w:w="1844" w:type="pct"/>
                  <w:noWrap w:val="0"/>
                  <w:vAlign w:val="center"/>
                </w:tcPr>
                <w:p>
                  <w:pPr>
                    <w:adjustRightInd w:val="0"/>
                    <w:snapToGrid w:val="0"/>
                    <w:jc w:val="center"/>
                    <w:rPr>
                      <w:color w:val="FF0000"/>
                      <w:sz w:val="21"/>
                      <w:szCs w:val="21"/>
                      <w:u w:val="single"/>
                    </w:rPr>
                  </w:pPr>
                  <w:r>
                    <w:rPr>
                      <w:rFonts w:hint="eastAsia" w:ascii="Times New Roman" w:hAnsi="Times New Roman" w:eastAsia="宋体" w:cs="Times New Roman"/>
                      <w:sz w:val="21"/>
                      <w:szCs w:val="21"/>
                      <w:u w:val="single"/>
                      <w:lang w:val="en-US" w:eastAsia="zh-CN"/>
                    </w:rPr>
                    <w:t>依托湘阴县妇女儿童医院（二期）建设项目</w:t>
                  </w:r>
                  <w:r>
                    <w:rPr>
                      <w:rFonts w:hint="eastAsia"/>
                      <w:sz w:val="21"/>
                      <w:szCs w:val="21"/>
                      <w:u w:val="single"/>
                    </w:rPr>
                    <w:t>医疗废水处理设施（位于项目西侧），处理规模不低于</w:t>
                  </w:r>
                  <w:r>
                    <w:rPr>
                      <w:rFonts w:hint="eastAsia"/>
                      <w:sz w:val="21"/>
                      <w:szCs w:val="21"/>
                      <w:u w:val="single"/>
                      <w:lang w:val="en-US" w:eastAsia="zh-CN"/>
                    </w:rPr>
                    <w:t>20</w:t>
                  </w:r>
                  <w:r>
                    <w:rPr>
                      <w:rFonts w:hint="eastAsia"/>
                      <w:sz w:val="21"/>
                      <w:szCs w:val="21"/>
                      <w:u w:val="single"/>
                    </w:rPr>
                    <w:t>0m</w:t>
                  </w:r>
                  <w:r>
                    <w:rPr>
                      <w:rFonts w:hint="eastAsia"/>
                      <w:sz w:val="21"/>
                      <w:szCs w:val="21"/>
                      <w:u w:val="single"/>
                      <w:vertAlign w:val="superscript"/>
                    </w:rPr>
                    <w:t>3</w:t>
                  </w:r>
                  <w:r>
                    <w:rPr>
                      <w:rFonts w:hint="eastAsia"/>
                      <w:sz w:val="21"/>
                      <w:szCs w:val="21"/>
                      <w:u w:val="single"/>
                    </w:rPr>
                    <w:t>/d，处理工艺为电絮凝+沉淀+消毒工艺，配备污泥脱水机。废水排污口规范建设。</w:t>
                  </w:r>
                </w:p>
              </w:tc>
              <w:tc>
                <w:tcPr>
                  <w:tcW w:w="857" w:type="pct"/>
                  <w:noWrap w:val="0"/>
                  <w:vAlign w:val="center"/>
                </w:tcPr>
                <w:p>
                  <w:pPr>
                    <w:jc w:val="center"/>
                    <w:rPr>
                      <w:sz w:val="21"/>
                      <w:szCs w:val="21"/>
                      <w:u w:val="single"/>
                    </w:rPr>
                  </w:pPr>
                  <w:r>
                    <w:rPr>
                      <w:sz w:val="21"/>
                      <w:szCs w:val="21"/>
                      <w:u w:val="single"/>
                    </w:rPr>
                    <w:t>pH</w:t>
                  </w:r>
                  <w:r>
                    <w:rPr>
                      <w:rFonts w:hint="eastAsia"/>
                      <w:sz w:val="21"/>
                      <w:szCs w:val="21"/>
                      <w:u w:val="single"/>
                    </w:rPr>
                    <w:t>、</w:t>
                  </w:r>
                  <w:r>
                    <w:rPr>
                      <w:sz w:val="21"/>
                      <w:szCs w:val="21"/>
                      <w:u w:val="single"/>
                    </w:rPr>
                    <w:t>COD</w:t>
                  </w:r>
                  <w:r>
                    <w:rPr>
                      <w:sz w:val="21"/>
                      <w:szCs w:val="21"/>
                      <w:u w:val="single"/>
                      <w:vertAlign w:val="subscript"/>
                    </w:rPr>
                    <w:t>Cr</w:t>
                  </w:r>
                  <w:r>
                    <w:rPr>
                      <w:rFonts w:hint="eastAsia"/>
                      <w:sz w:val="21"/>
                      <w:szCs w:val="21"/>
                      <w:u w:val="single"/>
                    </w:rPr>
                    <w:t>、</w:t>
                  </w:r>
                  <w:r>
                    <w:rPr>
                      <w:sz w:val="21"/>
                      <w:szCs w:val="21"/>
                      <w:u w:val="single"/>
                    </w:rPr>
                    <w:t>SS</w:t>
                  </w:r>
                  <w:r>
                    <w:rPr>
                      <w:rFonts w:hint="eastAsia"/>
                      <w:sz w:val="21"/>
                      <w:szCs w:val="21"/>
                      <w:u w:val="single"/>
                    </w:rPr>
                    <w:t>、</w:t>
                  </w:r>
                  <w:r>
                    <w:rPr>
                      <w:sz w:val="21"/>
                      <w:szCs w:val="21"/>
                      <w:u w:val="single"/>
                    </w:rPr>
                    <w:t>BOD</w:t>
                  </w:r>
                  <w:r>
                    <w:rPr>
                      <w:sz w:val="21"/>
                      <w:szCs w:val="21"/>
                      <w:u w:val="single"/>
                      <w:vertAlign w:val="subscript"/>
                    </w:rPr>
                    <w:t>5</w:t>
                  </w:r>
                  <w:r>
                    <w:rPr>
                      <w:rFonts w:hint="eastAsia"/>
                      <w:sz w:val="21"/>
                      <w:szCs w:val="21"/>
                      <w:u w:val="single"/>
                    </w:rPr>
                    <w:t>、氨氮、总氮、总磷、动植物油、粪大肠菌群、总余氯</w:t>
                  </w:r>
                </w:p>
              </w:tc>
              <w:tc>
                <w:tcPr>
                  <w:tcW w:w="1360" w:type="pct"/>
                  <w:noWrap w:val="0"/>
                  <w:vAlign w:val="center"/>
                </w:tcPr>
                <w:p>
                  <w:pPr>
                    <w:widowControl/>
                    <w:jc w:val="left"/>
                    <w:rPr>
                      <w:sz w:val="21"/>
                      <w:szCs w:val="21"/>
                      <w:u w:val="single"/>
                    </w:rPr>
                  </w:pPr>
                  <w:r>
                    <w:rPr>
                      <w:rFonts w:hint="eastAsia"/>
                      <w:sz w:val="21"/>
                      <w:szCs w:val="21"/>
                      <w:u w:val="single"/>
                    </w:rPr>
                    <w:t>《医疗机构水污染物排放标准》（</w:t>
                  </w:r>
                  <w:r>
                    <w:rPr>
                      <w:sz w:val="21"/>
                      <w:szCs w:val="21"/>
                      <w:u w:val="single"/>
                    </w:rPr>
                    <w:t>GB18466-2005</w:t>
                  </w:r>
                  <w:r>
                    <w:rPr>
                      <w:rFonts w:hint="eastAsia"/>
                      <w:sz w:val="21"/>
                      <w:szCs w:val="21"/>
                      <w:u w:val="single"/>
                    </w:rPr>
                    <w:t>）表</w:t>
                  </w:r>
                  <w:r>
                    <w:rPr>
                      <w:sz w:val="21"/>
                      <w:szCs w:val="21"/>
                      <w:u w:val="single"/>
                    </w:rPr>
                    <w:t>2</w:t>
                  </w:r>
                  <w:r>
                    <w:rPr>
                      <w:rFonts w:hint="eastAsia"/>
                      <w:sz w:val="21"/>
                      <w:szCs w:val="21"/>
                      <w:u w:val="single"/>
                    </w:rPr>
                    <w:t>预处理标准限值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c>
                <w:tcPr>
                  <w:tcW w:w="311" w:type="pct"/>
                  <w:vMerge w:val="restart"/>
                  <w:noWrap w:val="0"/>
                  <w:vAlign w:val="center"/>
                </w:tcPr>
                <w:p>
                  <w:pPr>
                    <w:widowControl/>
                    <w:jc w:val="left"/>
                    <w:rPr>
                      <w:rFonts w:hint="eastAsia" w:eastAsia="宋体"/>
                      <w:sz w:val="21"/>
                      <w:szCs w:val="21"/>
                      <w:u w:val="single"/>
                      <w:lang w:val="en-US" w:eastAsia="zh-CN"/>
                    </w:rPr>
                  </w:pPr>
                  <w:r>
                    <w:rPr>
                      <w:rFonts w:hint="eastAsia"/>
                      <w:sz w:val="21"/>
                      <w:szCs w:val="21"/>
                      <w:u w:val="single"/>
                      <w:lang w:val="en-US" w:eastAsia="zh-CN"/>
                    </w:rPr>
                    <w:t>废气</w:t>
                  </w:r>
                </w:p>
              </w:tc>
              <w:tc>
                <w:tcPr>
                  <w:tcW w:w="626" w:type="pct"/>
                  <w:noWrap w:val="0"/>
                  <w:vAlign w:val="center"/>
                </w:tcPr>
                <w:p>
                  <w:pPr>
                    <w:adjustRightInd w:val="0"/>
                    <w:snapToGrid w:val="0"/>
                    <w:jc w:val="center"/>
                    <w:rPr>
                      <w:rFonts w:hint="default" w:eastAsia="宋体"/>
                      <w:sz w:val="21"/>
                      <w:szCs w:val="21"/>
                      <w:u w:val="single"/>
                      <w:lang w:val="en-US" w:eastAsia="zh-CN"/>
                    </w:rPr>
                  </w:pPr>
                  <w:r>
                    <w:rPr>
                      <w:rFonts w:hint="eastAsia"/>
                      <w:sz w:val="21"/>
                      <w:szCs w:val="21"/>
                      <w:u w:val="single"/>
                      <w:lang w:val="en-US" w:eastAsia="zh-CN"/>
                    </w:rPr>
                    <w:t>锅炉废气</w:t>
                  </w:r>
                </w:p>
              </w:tc>
              <w:tc>
                <w:tcPr>
                  <w:tcW w:w="1844" w:type="pct"/>
                  <w:noWrap w:val="0"/>
                  <w:vAlign w:val="center"/>
                </w:tcPr>
                <w:p>
                  <w:pPr>
                    <w:adjustRightInd w:val="0"/>
                    <w:snapToGrid w:val="0"/>
                    <w:jc w:val="center"/>
                    <w:rPr>
                      <w:rFonts w:hint="default" w:eastAsia="宋体"/>
                      <w:color w:val="000000"/>
                      <w:kern w:val="0"/>
                      <w:sz w:val="21"/>
                      <w:szCs w:val="21"/>
                      <w:u w:val="single"/>
                      <w:lang w:val="en-US" w:eastAsia="zh-CN"/>
                    </w:rPr>
                  </w:pPr>
                  <w:r>
                    <w:rPr>
                      <w:rFonts w:hint="eastAsia"/>
                      <w:color w:val="000000"/>
                      <w:kern w:val="0"/>
                      <w:sz w:val="21"/>
                      <w:szCs w:val="21"/>
                      <w:u w:val="single"/>
                      <w:lang w:val="en-US" w:eastAsia="zh-CN"/>
                    </w:rPr>
                    <w:t>20.0m高排气筒（DA001）</w:t>
                  </w:r>
                </w:p>
              </w:tc>
              <w:tc>
                <w:tcPr>
                  <w:tcW w:w="857" w:type="pct"/>
                  <w:noWrap w:val="0"/>
                  <w:vAlign w:val="center"/>
                </w:tcPr>
                <w:p>
                  <w:pPr>
                    <w:jc w:val="center"/>
                    <w:rPr>
                      <w:rFonts w:hint="eastAsia"/>
                      <w:sz w:val="21"/>
                      <w:szCs w:val="21"/>
                      <w:u w:val="single"/>
                    </w:rPr>
                  </w:pPr>
                  <w:r>
                    <w:rPr>
                      <w:rFonts w:hint="eastAsia"/>
                      <w:szCs w:val="21"/>
                      <w:u w:val="single"/>
                      <w:lang w:val="en-US" w:eastAsia="zh-CN"/>
                    </w:rPr>
                    <w:t>二氧化硫、氮氧化物、颗粒物、烟气黑度（林格曼黑度，级）</w:t>
                  </w:r>
                </w:p>
              </w:tc>
              <w:tc>
                <w:tcPr>
                  <w:tcW w:w="1360" w:type="pct"/>
                  <w:noWrap w:val="0"/>
                  <w:vAlign w:val="center"/>
                </w:tcPr>
                <w:p>
                  <w:pPr>
                    <w:jc w:val="center"/>
                    <w:rPr>
                      <w:rFonts w:hint="eastAsia"/>
                      <w:sz w:val="21"/>
                      <w:szCs w:val="21"/>
                      <w:u w:val="single"/>
                    </w:rPr>
                  </w:pPr>
                  <w:r>
                    <w:rPr>
                      <w:rFonts w:hint="eastAsia" w:ascii="Times New Roman" w:hAnsi="Times New Roman" w:eastAsia="宋体" w:cs="Times New Roman"/>
                      <w:u w:val="single"/>
                      <w:lang w:val="en-US" w:eastAsia="zh-CN"/>
                    </w:rPr>
                    <w:t>《锅炉大气污染物排放标准》（GB13271-2014）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c>
                <w:tcPr>
                  <w:tcW w:w="311" w:type="pct"/>
                  <w:vMerge w:val="continue"/>
                  <w:noWrap w:val="0"/>
                  <w:vAlign w:val="center"/>
                </w:tcPr>
                <w:p>
                  <w:pPr>
                    <w:widowControl/>
                    <w:jc w:val="left"/>
                    <w:rPr>
                      <w:rFonts w:hint="eastAsia"/>
                      <w:sz w:val="21"/>
                      <w:szCs w:val="21"/>
                      <w:u w:val="single"/>
                    </w:rPr>
                  </w:pPr>
                </w:p>
              </w:tc>
              <w:tc>
                <w:tcPr>
                  <w:tcW w:w="626" w:type="pct"/>
                  <w:noWrap w:val="0"/>
                  <w:vAlign w:val="center"/>
                </w:tcPr>
                <w:p>
                  <w:pPr>
                    <w:adjustRightInd w:val="0"/>
                    <w:snapToGrid w:val="0"/>
                    <w:jc w:val="center"/>
                    <w:rPr>
                      <w:rFonts w:hint="default" w:eastAsia="宋体"/>
                      <w:sz w:val="21"/>
                      <w:szCs w:val="21"/>
                      <w:u w:val="single"/>
                      <w:lang w:val="en-US" w:eastAsia="zh-CN"/>
                    </w:rPr>
                  </w:pPr>
                  <w:r>
                    <w:rPr>
                      <w:rFonts w:hint="eastAsia"/>
                      <w:sz w:val="21"/>
                      <w:szCs w:val="21"/>
                      <w:u w:val="single"/>
                      <w:lang w:val="en-US" w:eastAsia="zh-CN"/>
                    </w:rPr>
                    <w:t>食堂油烟</w:t>
                  </w:r>
                </w:p>
              </w:tc>
              <w:tc>
                <w:tcPr>
                  <w:tcW w:w="1844" w:type="pct"/>
                  <w:noWrap w:val="0"/>
                  <w:vAlign w:val="center"/>
                </w:tcPr>
                <w:p>
                  <w:pPr>
                    <w:adjustRightInd w:val="0"/>
                    <w:snapToGrid w:val="0"/>
                    <w:jc w:val="center"/>
                    <w:rPr>
                      <w:rFonts w:hint="default" w:eastAsia="宋体"/>
                      <w:color w:val="000000"/>
                      <w:kern w:val="0"/>
                      <w:sz w:val="21"/>
                      <w:szCs w:val="21"/>
                      <w:u w:val="single"/>
                      <w:lang w:val="en-US" w:eastAsia="zh-CN"/>
                    </w:rPr>
                  </w:pPr>
                  <w:r>
                    <w:rPr>
                      <w:rFonts w:hint="eastAsia"/>
                      <w:color w:val="000000"/>
                      <w:kern w:val="0"/>
                      <w:sz w:val="21"/>
                      <w:szCs w:val="21"/>
                      <w:u w:val="single"/>
                      <w:lang w:val="en-US" w:eastAsia="zh-CN"/>
                    </w:rPr>
                    <w:t>油烟净化器</w:t>
                  </w:r>
                </w:p>
              </w:tc>
              <w:tc>
                <w:tcPr>
                  <w:tcW w:w="857" w:type="pct"/>
                  <w:noWrap w:val="0"/>
                  <w:vAlign w:val="center"/>
                </w:tcPr>
                <w:p>
                  <w:pPr>
                    <w:jc w:val="center"/>
                    <w:rPr>
                      <w:rFonts w:hint="eastAsia"/>
                      <w:sz w:val="21"/>
                      <w:szCs w:val="21"/>
                      <w:u w:val="single"/>
                    </w:rPr>
                  </w:pPr>
                  <w:r>
                    <w:rPr>
                      <w:rFonts w:hint="eastAsia"/>
                      <w:szCs w:val="21"/>
                      <w:u w:val="single"/>
                      <w:lang w:val="en-US" w:eastAsia="zh-CN"/>
                    </w:rPr>
                    <w:t>油烟</w:t>
                  </w:r>
                </w:p>
              </w:tc>
              <w:tc>
                <w:tcPr>
                  <w:tcW w:w="1360" w:type="pct"/>
                  <w:noWrap w:val="0"/>
                  <w:vAlign w:val="center"/>
                </w:tcPr>
                <w:p>
                  <w:pPr>
                    <w:jc w:val="center"/>
                    <w:rPr>
                      <w:rFonts w:hint="eastAsia"/>
                      <w:sz w:val="21"/>
                      <w:szCs w:val="21"/>
                      <w:u w:val="single"/>
                    </w:rPr>
                  </w:pPr>
                  <w:r>
                    <w:rPr>
                      <w:rFonts w:hint="eastAsia" w:ascii="Times New Roman" w:hAnsi="Times New Roman" w:eastAsia="宋体" w:cs="Times New Roman"/>
                      <w:u w:val="single"/>
                      <w:lang w:val="en-US" w:eastAsia="zh-CN"/>
                    </w:rPr>
                    <w:t>《饮食业油烟排放标准（试行）》（GB18483-2001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1246" w:hRule="atLeast"/>
              </w:trPr>
              <w:tc>
                <w:tcPr>
                  <w:tcW w:w="311" w:type="pct"/>
                  <w:noWrap w:val="0"/>
                  <w:vAlign w:val="center"/>
                </w:tcPr>
                <w:p>
                  <w:pPr>
                    <w:adjustRightInd w:val="0"/>
                    <w:snapToGrid w:val="0"/>
                    <w:jc w:val="center"/>
                    <w:rPr>
                      <w:sz w:val="21"/>
                      <w:szCs w:val="21"/>
                      <w:u w:val="single"/>
                    </w:rPr>
                  </w:pPr>
                  <w:r>
                    <w:rPr>
                      <w:rFonts w:hint="eastAsia"/>
                      <w:sz w:val="21"/>
                      <w:szCs w:val="21"/>
                      <w:u w:val="single"/>
                    </w:rPr>
                    <w:t>噪声</w:t>
                  </w:r>
                </w:p>
              </w:tc>
              <w:tc>
                <w:tcPr>
                  <w:tcW w:w="626" w:type="pct"/>
                  <w:noWrap w:val="0"/>
                  <w:vAlign w:val="center"/>
                </w:tcPr>
                <w:p>
                  <w:pPr>
                    <w:adjustRightInd w:val="0"/>
                    <w:snapToGrid w:val="0"/>
                    <w:jc w:val="center"/>
                    <w:rPr>
                      <w:sz w:val="21"/>
                      <w:szCs w:val="21"/>
                      <w:u w:val="single"/>
                    </w:rPr>
                  </w:pPr>
                  <w:r>
                    <w:rPr>
                      <w:rFonts w:hint="eastAsia"/>
                      <w:sz w:val="21"/>
                      <w:szCs w:val="21"/>
                      <w:u w:val="single"/>
                    </w:rPr>
                    <w:t>设备噪声</w:t>
                  </w:r>
                </w:p>
              </w:tc>
              <w:tc>
                <w:tcPr>
                  <w:tcW w:w="1844" w:type="pct"/>
                  <w:noWrap w:val="0"/>
                  <w:vAlign w:val="center"/>
                </w:tcPr>
                <w:p>
                  <w:pPr>
                    <w:adjustRightInd w:val="0"/>
                    <w:snapToGrid w:val="0"/>
                    <w:jc w:val="center"/>
                    <w:rPr>
                      <w:sz w:val="21"/>
                      <w:szCs w:val="21"/>
                      <w:u w:val="single"/>
                    </w:rPr>
                  </w:pPr>
                  <w:r>
                    <w:rPr>
                      <w:rFonts w:hint="eastAsia"/>
                      <w:sz w:val="21"/>
                      <w:szCs w:val="21"/>
                      <w:u w:val="single"/>
                    </w:rPr>
                    <w:t>水泵等动力设备噪声控制；风机设备噪声隔声、减振、降噪措施，临路房间真空隔声玻璃等。</w:t>
                  </w:r>
                </w:p>
              </w:tc>
              <w:tc>
                <w:tcPr>
                  <w:tcW w:w="857" w:type="pct"/>
                  <w:noWrap w:val="0"/>
                  <w:vAlign w:val="center"/>
                </w:tcPr>
                <w:p>
                  <w:pPr>
                    <w:jc w:val="center"/>
                    <w:rPr>
                      <w:sz w:val="21"/>
                      <w:szCs w:val="21"/>
                      <w:u w:val="single"/>
                    </w:rPr>
                  </w:pPr>
                  <w:r>
                    <w:rPr>
                      <w:rFonts w:hint="eastAsia"/>
                      <w:sz w:val="21"/>
                      <w:szCs w:val="21"/>
                      <w:u w:val="single"/>
                    </w:rPr>
                    <w:t>噪声</w:t>
                  </w:r>
                </w:p>
              </w:tc>
              <w:tc>
                <w:tcPr>
                  <w:tcW w:w="1360" w:type="pct"/>
                  <w:noWrap w:val="0"/>
                  <w:vAlign w:val="center"/>
                </w:tcPr>
                <w:p>
                  <w:pPr>
                    <w:bidi w:val="0"/>
                    <w:rPr>
                      <w:rFonts w:hint="eastAsia" w:eastAsia="宋体"/>
                      <w:szCs w:val="21"/>
                      <w:u w:val="single"/>
                      <w:lang w:eastAsia="zh-CN"/>
                    </w:rPr>
                  </w:pPr>
                  <w:r>
                    <w:rPr>
                      <w:rFonts w:hint="eastAsia"/>
                      <w:u w:val="single"/>
                    </w:rPr>
                    <w:t>《工业企业厂界环境噪声排放标准》（</w:t>
                  </w:r>
                  <w:r>
                    <w:rPr>
                      <w:u w:val="single"/>
                    </w:rPr>
                    <w:t>GB12348-2008</w:t>
                  </w:r>
                  <w:r>
                    <w:rPr>
                      <w:rFonts w:hint="eastAsia"/>
                      <w:u w:val="single"/>
                    </w:rPr>
                    <w:t>）中</w:t>
                  </w:r>
                  <w:r>
                    <w:rPr>
                      <w:u w:val="single"/>
                    </w:rPr>
                    <w:t>2</w:t>
                  </w:r>
                  <w:r>
                    <w:rPr>
                      <w:rFonts w:hint="eastAsia"/>
                      <w:u w:val="single"/>
                    </w:rPr>
                    <w:t>类，临芙蓉北路一侧执行4类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c>
                <w:tcPr>
                  <w:tcW w:w="311" w:type="pct"/>
                  <w:vMerge w:val="restart"/>
                  <w:noWrap w:val="0"/>
                  <w:vAlign w:val="center"/>
                </w:tcPr>
                <w:p>
                  <w:pPr>
                    <w:adjustRightInd w:val="0"/>
                    <w:snapToGrid w:val="0"/>
                    <w:jc w:val="center"/>
                    <w:rPr>
                      <w:sz w:val="21"/>
                      <w:szCs w:val="21"/>
                      <w:u w:val="single"/>
                    </w:rPr>
                  </w:pPr>
                  <w:r>
                    <w:rPr>
                      <w:rFonts w:hint="eastAsia"/>
                      <w:sz w:val="21"/>
                      <w:szCs w:val="21"/>
                      <w:u w:val="single"/>
                    </w:rPr>
                    <w:t>固废</w:t>
                  </w:r>
                </w:p>
              </w:tc>
              <w:tc>
                <w:tcPr>
                  <w:tcW w:w="626" w:type="pct"/>
                  <w:noWrap w:val="0"/>
                  <w:vAlign w:val="center"/>
                </w:tcPr>
                <w:p>
                  <w:pPr>
                    <w:adjustRightInd w:val="0"/>
                    <w:snapToGrid w:val="0"/>
                    <w:jc w:val="center"/>
                    <w:rPr>
                      <w:sz w:val="21"/>
                      <w:szCs w:val="21"/>
                      <w:u w:val="single"/>
                    </w:rPr>
                  </w:pPr>
                  <w:r>
                    <w:rPr>
                      <w:rFonts w:hint="eastAsia"/>
                      <w:sz w:val="21"/>
                      <w:szCs w:val="21"/>
                      <w:u w:val="single"/>
                    </w:rPr>
                    <w:t>医疗废物</w:t>
                  </w:r>
                </w:p>
              </w:tc>
              <w:tc>
                <w:tcPr>
                  <w:tcW w:w="1844" w:type="pct"/>
                  <w:noWrap w:val="0"/>
                  <w:vAlign w:val="center"/>
                </w:tcPr>
                <w:p>
                  <w:pPr>
                    <w:adjustRightInd w:val="0"/>
                    <w:snapToGrid w:val="0"/>
                    <w:jc w:val="center"/>
                    <w:rPr>
                      <w:sz w:val="21"/>
                      <w:szCs w:val="21"/>
                      <w:u w:val="single"/>
                    </w:rPr>
                  </w:pPr>
                  <w:r>
                    <w:rPr>
                      <w:rFonts w:hint="eastAsia"/>
                      <w:color w:val="auto"/>
                      <w:sz w:val="21"/>
                      <w:szCs w:val="21"/>
                      <w:u w:val="single"/>
                    </w:rPr>
                    <w:t>医疗</w:t>
                  </w:r>
                  <w:r>
                    <w:rPr>
                      <w:rFonts w:hint="eastAsia"/>
                      <w:color w:val="000000"/>
                      <w:sz w:val="21"/>
                      <w:szCs w:val="21"/>
                      <w:u w:val="single"/>
                    </w:rPr>
                    <w:t>废物暂存间建设</w:t>
                  </w:r>
                </w:p>
              </w:tc>
              <w:tc>
                <w:tcPr>
                  <w:tcW w:w="857" w:type="pct"/>
                  <w:noWrap w:val="0"/>
                  <w:vAlign w:val="center"/>
                </w:tcPr>
                <w:p>
                  <w:pPr>
                    <w:jc w:val="center"/>
                    <w:rPr>
                      <w:rFonts w:hint="eastAsia"/>
                      <w:sz w:val="21"/>
                      <w:szCs w:val="21"/>
                      <w:u w:val="single"/>
                    </w:rPr>
                  </w:pPr>
                  <w:r>
                    <w:rPr>
                      <w:rFonts w:hint="eastAsia"/>
                      <w:sz w:val="21"/>
                      <w:szCs w:val="21"/>
                      <w:u w:val="single"/>
                    </w:rPr>
                    <w:t>处置协议、新建医疗废物暂存间，暂存时间不超过 2天</w:t>
                  </w:r>
                </w:p>
              </w:tc>
              <w:tc>
                <w:tcPr>
                  <w:tcW w:w="1360" w:type="pct"/>
                  <w:noWrap w:val="0"/>
                  <w:vAlign w:val="center"/>
                </w:tcPr>
                <w:p>
                  <w:pPr>
                    <w:jc w:val="center"/>
                    <w:rPr>
                      <w:rFonts w:hint="eastAsia"/>
                      <w:sz w:val="21"/>
                      <w:szCs w:val="21"/>
                      <w:u w:val="single"/>
                    </w:rPr>
                  </w:pPr>
                  <w:r>
                    <w:rPr>
                      <w:rFonts w:hint="eastAsia"/>
                      <w:sz w:val="21"/>
                      <w:szCs w:val="21"/>
                      <w:u w:val="single"/>
                    </w:rPr>
                    <w:t>《危险废物贮存污染控制标准》（GB18597-2001）、《危险废物转移联单管理办法》、《医疗废物转运车技术要求》（试行）废水处理污泥同时执行《医疗机构水污染物排放标准》（GB18466-2005）中的医疗机构污泥控制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97" w:hRule="atLeast"/>
              </w:trPr>
              <w:tc>
                <w:tcPr>
                  <w:tcW w:w="311" w:type="pct"/>
                  <w:vMerge w:val="continue"/>
                  <w:noWrap w:val="0"/>
                  <w:vAlign w:val="center"/>
                </w:tcPr>
                <w:p>
                  <w:pPr>
                    <w:widowControl/>
                    <w:jc w:val="left"/>
                    <w:rPr>
                      <w:color w:val="FF0000"/>
                      <w:sz w:val="21"/>
                      <w:szCs w:val="21"/>
                      <w:u w:val="single"/>
                    </w:rPr>
                  </w:pPr>
                </w:p>
              </w:tc>
              <w:tc>
                <w:tcPr>
                  <w:tcW w:w="626" w:type="pct"/>
                  <w:noWrap w:val="0"/>
                  <w:vAlign w:val="center"/>
                </w:tcPr>
                <w:p>
                  <w:pPr>
                    <w:adjustRightInd w:val="0"/>
                    <w:snapToGrid w:val="0"/>
                    <w:jc w:val="center"/>
                    <w:rPr>
                      <w:sz w:val="21"/>
                      <w:szCs w:val="21"/>
                      <w:u w:val="single"/>
                    </w:rPr>
                  </w:pPr>
                  <w:r>
                    <w:rPr>
                      <w:rFonts w:hint="eastAsia"/>
                      <w:sz w:val="21"/>
                      <w:szCs w:val="21"/>
                      <w:u w:val="single"/>
                    </w:rPr>
                    <w:t>生活垃圾</w:t>
                  </w:r>
                </w:p>
              </w:tc>
              <w:tc>
                <w:tcPr>
                  <w:tcW w:w="1844" w:type="pct"/>
                  <w:noWrap w:val="0"/>
                  <w:vAlign w:val="center"/>
                </w:tcPr>
                <w:p>
                  <w:pPr>
                    <w:adjustRightInd w:val="0"/>
                    <w:snapToGrid w:val="0"/>
                    <w:jc w:val="center"/>
                    <w:rPr>
                      <w:sz w:val="21"/>
                      <w:szCs w:val="21"/>
                      <w:u w:val="single"/>
                    </w:rPr>
                  </w:pPr>
                  <w:r>
                    <w:rPr>
                      <w:rFonts w:hint="eastAsia"/>
                      <w:sz w:val="21"/>
                      <w:szCs w:val="21"/>
                      <w:u w:val="single"/>
                    </w:rPr>
                    <w:t>生活垃圾暂存间</w:t>
                  </w:r>
                </w:p>
              </w:tc>
              <w:tc>
                <w:tcPr>
                  <w:tcW w:w="857" w:type="pct"/>
                  <w:noWrap w:val="0"/>
                  <w:vAlign w:val="center"/>
                </w:tcPr>
                <w:p>
                  <w:pPr>
                    <w:jc w:val="center"/>
                    <w:rPr>
                      <w:sz w:val="21"/>
                      <w:szCs w:val="21"/>
                      <w:u w:val="single"/>
                    </w:rPr>
                  </w:pPr>
                  <w:r>
                    <w:rPr>
                      <w:rFonts w:hint="eastAsia"/>
                      <w:sz w:val="21"/>
                      <w:szCs w:val="21"/>
                      <w:u w:val="single"/>
                    </w:rPr>
                    <w:t>日产日清</w:t>
                  </w:r>
                </w:p>
              </w:tc>
              <w:tc>
                <w:tcPr>
                  <w:tcW w:w="1360" w:type="pct"/>
                  <w:noWrap w:val="0"/>
                  <w:vAlign w:val="center"/>
                </w:tcPr>
                <w:p>
                  <w:pPr>
                    <w:jc w:val="center"/>
                    <w:rPr>
                      <w:sz w:val="21"/>
                      <w:szCs w:val="21"/>
                      <w:u w:val="single"/>
                    </w:rPr>
                  </w:pPr>
                  <w:r>
                    <w:rPr>
                      <w:rFonts w:hint="eastAsia"/>
                      <w:sz w:val="21"/>
                      <w:szCs w:val="21"/>
                      <w:u w:val="single"/>
                    </w:rPr>
                    <w:t>《生活垃圾填埋场污染控制标准》（</w:t>
                  </w:r>
                  <w:r>
                    <w:rPr>
                      <w:sz w:val="21"/>
                      <w:szCs w:val="21"/>
                      <w:u w:val="single"/>
                    </w:rPr>
                    <w:t>GB16889-2008</w:t>
                  </w:r>
                  <w:r>
                    <w:rPr>
                      <w:rFonts w:hint="eastAsia"/>
                      <w:sz w:val="21"/>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719" w:hRule="atLeast"/>
              </w:trPr>
              <w:tc>
                <w:tcPr>
                  <w:tcW w:w="311" w:type="pct"/>
                  <w:vMerge w:val="continue"/>
                  <w:noWrap w:val="0"/>
                  <w:vAlign w:val="center"/>
                </w:tcPr>
                <w:p>
                  <w:pPr>
                    <w:widowControl/>
                    <w:jc w:val="left"/>
                    <w:rPr>
                      <w:color w:val="FF0000"/>
                      <w:sz w:val="21"/>
                      <w:szCs w:val="21"/>
                      <w:u w:val="single"/>
                    </w:rPr>
                  </w:pPr>
                </w:p>
              </w:tc>
              <w:tc>
                <w:tcPr>
                  <w:tcW w:w="626" w:type="pct"/>
                  <w:noWrap w:val="0"/>
                  <w:vAlign w:val="center"/>
                </w:tcPr>
                <w:p>
                  <w:pPr>
                    <w:adjustRightInd w:val="0"/>
                    <w:snapToGrid w:val="0"/>
                    <w:jc w:val="center"/>
                    <w:rPr>
                      <w:sz w:val="21"/>
                      <w:szCs w:val="21"/>
                      <w:u w:val="single"/>
                    </w:rPr>
                  </w:pPr>
                  <w:r>
                    <w:rPr>
                      <w:rFonts w:hint="eastAsia"/>
                      <w:sz w:val="21"/>
                      <w:szCs w:val="21"/>
                      <w:u w:val="single"/>
                      <w:lang w:val="en-US" w:eastAsia="zh-CN"/>
                    </w:rPr>
                    <w:t>一般固废</w:t>
                  </w:r>
                </w:p>
              </w:tc>
              <w:tc>
                <w:tcPr>
                  <w:tcW w:w="1844" w:type="pct"/>
                  <w:noWrap w:val="0"/>
                  <w:vAlign w:val="center"/>
                </w:tcPr>
                <w:p>
                  <w:pPr>
                    <w:adjustRightInd w:val="0"/>
                    <w:snapToGrid w:val="0"/>
                    <w:jc w:val="center"/>
                    <w:rPr>
                      <w:sz w:val="21"/>
                      <w:szCs w:val="21"/>
                      <w:u w:val="single"/>
                    </w:rPr>
                  </w:pPr>
                  <w:r>
                    <w:rPr>
                      <w:rFonts w:hint="eastAsia"/>
                      <w:sz w:val="21"/>
                      <w:szCs w:val="21"/>
                      <w:u w:val="single"/>
                      <w:lang w:val="en-US" w:eastAsia="zh-CN"/>
                    </w:rPr>
                    <w:t>一般固废</w:t>
                  </w:r>
                  <w:r>
                    <w:rPr>
                      <w:rFonts w:hint="eastAsia"/>
                      <w:sz w:val="21"/>
                      <w:szCs w:val="21"/>
                      <w:u w:val="single"/>
                    </w:rPr>
                    <w:t>暂存间</w:t>
                  </w:r>
                </w:p>
              </w:tc>
              <w:tc>
                <w:tcPr>
                  <w:tcW w:w="857" w:type="pct"/>
                  <w:noWrap w:val="0"/>
                  <w:vAlign w:val="center"/>
                </w:tcPr>
                <w:p>
                  <w:pPr>
                    <w:jc w:val="center"/>
                    <w:rPr>
                      <w:sz w:val="21"/>
                      <w:szCs w:val="21"/>
                      <w:u w:val="single"/>
                    </w:rPr>
                  </w:pPr>
                  <w:r>
                    <w:rPr>
                      <w:rFonts w:hint="eastAsia"/>
                      <w:sz w:val="21"/>
                      <w:szCs w:val="21"/>
                      <w:u w:val="single"/>
                    </w:rPr>
                    <w:t>处置协议</w:t>
                  </w:r>
                </w:p>
              </w:tc>
              <w:tc>
                <w:tcPr>
                  <w:tcW w:w="1360" w:type="pct"/>
                  <w:noWrap w:val="0"/>
                  <w:vAlign w:val="center"/>
                </w:tcPr>
                <w:p>
                  <w:pPr>
                    <w:widowControl/>
                    <w:jc w:val="left"/>
                    <w:rPr>
                      <w:sz w:val="21"/>
                      <w:szCs w:val="21"/>
                      <w:u w:val="single"/>
                    </w:rPr>
                  </w:pPr>
                  <w:r>
                    <w:rPr>
                      <w:rFonts w:hint="default"/>
                      <w:sz w:val="21"/>
                      <w:szCs w:val="21"/>
                      <w:u w:val="single"/>
                    </w:rPr>
                    <w:t>《</w:t>
                  </w:r>
                  <w:r>
                    <w:rPr>
                      <w:rFonts w:hint="default"/>
                      <w:sz w:val="21"/>
                      <w:szCs w:val="21"/>
                      <w:u w:val="single"/>
                    </w:rPr>
                    <w:fldChar w:fldCharType="begin"/>
                  </w:r>
                  <w:r>
                    <w:rPr>
                      <w:rFonts w:hint="default"/>
                      <w:sz w:val="21"/>
                      <w:szCs w:val="21"/>
                      <w:u w:val="single"/>
                    </w:rPr>
                    <w:instrText xml:space="preserve"> HYPERLINK "https://www.mee.gov.cn/ywgz/fgbz/bz/bzwb/gthw/gtfwwrkzbz/202012/W020201218695845325455.pdf" </w:instrText>
                  </w:r>
                  <w:r>
                    <w:rPr>
                      <w:rFonts w:hint="default"/>
                      <w:sz w:val="21"/>
                      <w:szCs w:val="21"/>
                      <w:u w:val="single"/>
                    </w:rPr>
                    <w:fldChar w:fldCharType="separate"/>
                  </w:r>
                  <w:r>
                    <w:rPr>
                      <w:rFonts w:hint="default"/>
                      <w:sz w:val="21"/>
                      <w:szCs w:val="21"/>
                      <w:u w:val="single"/>
                    </w:rPr>
                    <w:t>一般工业固体废物贮存和填埋污染控制标准》（GB18599-2020）</w:t>
                  </w:r>
                  <w:r>
                    <w:rPr>
                      <w:rFonts w:hint="default"/>
                      <w:sz w:val="21"/>
                      <w:szCs w:val="21"/>
                      <w:u w:val="singl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c>
                <w:tcPr>
                  <w:tcW w:w="311" w:type="pct"/>
                  <w:noWrap w:val="0"/>
                  <w:vAlign w:val="center"/>
                </w:tcPr>
                <w:p>
                  <w:pPr>
                    <w:adjustRightInd w:val="0"/>
                    <w:snapToGrid w:val="0"/>
                    <w:jc w:val="center"/>
                    <w:rPr>
                      <w:sz w:val="21"/>
                      <w:szCs w:val="21"/>
                      <w:u w:val="single"/>
                    </w:rPr>
                  </w:pPr>
                  <w:r>
                    <w:rPr>
                      <w:rFonts w:hint="eastAsia"/>
                      <w:sz w:val="21"/>
                      <w:szCs w:val="21"/>
                      <w:u w:val="single"/>
                    </w:rPr>
                    <w:t>环境风险</w:t>
                  </w:r>
                </w:p>
              </w:tc>
              <w:tc>
                <w:tcPr>
                  <w:tcW w:w="626" w:type="pct"/>
                  <w:noWrap w:val="0"/>
                  <w:vAlign w:val="center"/>
                </w:tcPr>
                <w:p>
                  <w:pPr>
                    <w:adjustRightInd w:val="0"/>
                    <w:snapToGrid w:val="0"/>
                    <w:jc w:val="center"/>
                    <w:rPr>
                      <w:rFonts w:hint="eastAsia"/>
                      <w:sz w:val="21"/>
                      <w:szCs w:val="21"/>
                      <w:u w:val="single"/>
                    </w:rPr>
                  </w:pPr>
                  <w:r>
                    <w:rPr>
                      <w:rFonts w:hint="eastAsia"/>
                      <w:sz w:val="21"/>
                      <w:szCs w:val="21"/>
                      <w:u w:val="single"/>
                    </w:rPr>
                    <w:t>/</w:t>
                  </w:r>
                </w:p>
              </w:tc>
              <w:tc>
                <w:tcPr>
                  <w:tcW w:w="1844" w:type="pct"/>
                  <w:noWrap w:val="0"/>
                  <w:vAlign w:val="center"/>
                </w:tcPr>
                <w:p>
                  <w:pPr>
                    <w:adjustRightInd w:val="0"/>
                    <w:snapToGrid w:val="0"/>
                    <w:jc w:val="center"/>
                    <w:rPr>
                      <w:sz w:val="21"/>
                      <w:szCs w:val="21"/>
                      <w:u w:val="single"/>
                    </w:rPr>
                  </w:pPr>
                  <w:r>
                    <w:rPr>
                      <w:rFonts w:hint="eastAsia"/>
                      <w:sz w:val="21"/>
                      <w:szCs w:val="21"/>
                      <w:u w:val="single"/>
                    </w:rPr>
                    <w:t>应急物资的配备</w:t>
                  </w:r>
                </w:p>
              </w:tc>
              <w:tc>
                <w:tcPr>
                  <w:tcW w:w="857" w:type="pct"/>
                  <w:noWrap w:val="0"/>
                  <w:vAlign w:val="center"/>
                </w:tcPr>
                <w:p>
                  <w:pPr>
                    <w:jc w:val="center"/>
                    <w:rPr>
                      <w:sz w:val="21"/>
                      <w:szCs w:val="21"/>
                      <w:u w:val="single"/>
                    </w:rPr>
                  </w:pPr>
                  <w:r>
                    <w:rPr>
                      <w:sz w:val="21"/>
                      <w:szCs w:val="21"/>
                      <w:u w:val="single"/>
                    </w:rPr>
                    <w:t>/</w:t>
                  </w:r>
                </w:p>
              </w:tc>
              <w:tc>
                <w:tcPr>
                  <w:tcW w:w="1360" w:type="pct"/>
                  <w:noWrap w:val="0"/>
                  <w:vAlign w:val="center"/>
                </w:tcPr>
                <w:p>
                  <w:pPr>
                    <w:jc w:val="center"/>
                    <w:rPr>
                      <w:sz w:val="21"/>
                      <w:szCs w:val="21"/>
                      <w:u w:val="single"/>
                    </w:rPr>
                  </w:pPr>
                  <w:r>
                    <w:rPr>
                      <w:sz w:val="21"/>
                      <w:szCs w:val="21"/>
                      <w:u w:val="single"/>
                    </w:rPr>
                    <w:t>/</w:t>
                  </w:r>
                </w:p>
              </w:tc>
            </w:tr>
          </w:tbl>
          <w:p>
            <w:pPr>
              <w:spacing w:line="240" w:lineRule="auto"/>
              <w:ind w:firstLine="480" w:firstLineChars="200"/>
              <w:rPr>
                <w:rFonts w:hint="eastAsia"/>
                <w:sz w:val="24"/>
              </w:rPr>
            </w:pPr>
          </w:p>
          <w:p>
            <w:pPr>
              <w:spacing w:line="360" w:lineRule="auto"/>
              <w:ind w:firstLine="480" w:firstLineChars="200"/>
              <w:rPr>
                <w:b/>
                <w:sz w:val="24"/>
              </w:rPr>
            </w:pPr>
            <w:r>
              <w:rPr>
                <w:rFonts w:hint="eastAsia"/>
                <w:sz w:val="24"/>
              </w:rPr>
              <w:t>建设项目竣工后，应根据《建设项目竣工环境保护验收技术指南  污染影响类》（公告2018第9号）中要求进行项目竣工验收，项目实施过程中如发生重大变更情况，建设单位需及时依法履行相关手续。</w:t>
            </w:r>
          </w:p>
          <w:p>
            <w:pPr>
              <w:spacing w:line="360" w:lineRule="auto"/>
              <w:ind w:firstLine="480" w:firstLineChars="200"/>
              <w:rPr>
                <w:sz w:val="24"/>
              </w:rPr>
            </w:pPr>
            <w:r>
              <w:rPr>
                <w:rFonts w:hint="eastAsia"/>
                <w:sz w:val="24"/>
              </w:rPr>
              <w:t>（</w:t>
            </w:r>
            <w:r>
              <w:rPr>
                <w:rFonts w:hint="eastAsia"/>
                <w:sz w:val="24"/>
                <w:lang w:val="en-US" w:eastAsia="zh-CN"/>
              </w:rPr>
              <w:t>3</w:t>
            </w:r>
            <w:r>
              <w:rPr>
                <w:rFonts w:hint="eastAsia"/>
                <w:sz w:val="24"/>
              </w:rPr>
              <w:t>）</w:t>
            </w:r>
            <w:r>
              <w:rPr>
                <w:sz w:val="24"/>
              </w:rPr>
              <w:t>排污口规范化</w:t>
            </w:r>
          </w:p>
          <w:p>
            <w:pPr>
              <w:spacing w:line="360" w:lineRule="auto"/>
              <w:ind w:firstLine="480" w:firstLineChars="200"/>
              <w:rPr>
                <w:sz w:val="24"/>
              </w:rPr>
            </w:pPr>
            <w:r>
              <w:rPr>
                <w:sz w:val="24"/>
              </w:rPr>
              <w:t>据国家环保总局《关于开展排污口规范化整治试点工作的意见》、《关于加快排污口规范化整治试点工作的通知》，企业所有排放口（包括水、气、声、渣）必须按照“便于采集样品、便于计量监测、便于日常现场监督检查”的原则和规范化要求，排污口要立标管理，设立国家标准规定的标志牌，根据排污口污染物的排放特点，设置提示性或警告性环境保护图形标志牌，一般污染源设置提示性标志牌，毒性污染物设置警告性环境保护图形标志牌；绘制企业排污口分布图，同时对污水排放口安装流量计，对治理设施安装运行监控装置、排污口的规范化要符合有关要求。</w:t>
            </w:r>
          </w:p>
          <w:p>
            <w:pPr>
              <w:spacing w:line="360" w:lineRule="auto"/>
              <w:ind w:firstLine="480" w:firstLineChars="200"/>
              <w:rPr>
                <w:sz w:val="24"/>
              </w:rPr>
            </w:pPr>
            <w:r>
              <w:rPr>
                <w:rFonts w:hint="eastAsia"/>
                <w:sz w:val="24"/>
              </w:rPr>
              <w:t>①</w:t>
            </w:r>
            <w:r>
              <w:rPr>
                <w:sz w:val="24"/>
              </w:rPr>
              <w:t>废水排放口</w:t>
            </w:r>
          </w:p>
          <w:p>
            <w:pPr>
              <w:spacing w:line="360" w:lineRule="auto"/>
              <w:ind w:firstLine="480" w:firstLineChars="200"/>
              <w:rPr>
                <w:sz w:val="24"/>
              </w:rPr>
            </w:pPr>
            <w:r>
              <w:rPr>
                <w:sz w:val="24"/>
              </w:rPr>
              <w:t>本项目排水体制必须实施“清污分流、雨污分流”制，本项目</w:t>
            </w:r>
            <w:r>
              <w:rPr>
                <w:rFonts w:hint="eastAsia"/>
                <w:sz w:val="24"/>
                <w:lang w:eastAsia="zh-CN"/>
              </w:rPr>
              <w:t>建设</w:t>
            </w:r>
            <w:r>
              <w:rPr>
                <w:sz w:val="24"/>
              </w:rPr>
              <w:t>雨水排放口一个，</w:t>
            </w:r>
            <w:r>
              <w:rPr>
                <w:rFonts w:hint="eastAsia"/>
                <w:sz w:val="24"/>
              </w:rPr>
              <w:t>废水排放口一个</w:t>
            </w:r>
            <w:r>
              <w:rPr>
                <w:sz w:val="24"/>
              </w:rPr>
              <w:t>。</w:t>
            </w:r>
          </w:p>
          <w:p>
            <w:pPr>
              <w:spacing w:line="360" w:lineRule="auto"/>
              <w:ind w:firstLine="480" w:firstLineChars="200"/>
              <w:rPr>
                <w:sz w:val="24"/>
              </w:rPr>
            </w:pPr>
            <w:r>
              <w:rPr>
                <w:rFonts w:hint="eastAsia"/>
                <w:sz w:val="24"/>
              </w:rPr>
              <w:t>②</w:t>
            </w:r>
            <w:r>
              <w:rPr>
                <w:sz w:val="24"/>
              </w:rPr>
              <w:t>固定噪声源</w:t>
            </w:r>
          </w:p>
          <w:p>
            <w:pPr>
              <w:spacing w:line="360" w:lineRule="auto"/>
              <w:ind w:firstLine="480" w:firstLineChars="200"/>
              <w:rPr>
                <w:sz w:val="24"/>
              </w:rPr>
            </w:pPr>
            <w:r>
              <w:rPr>
                <w:sz w:val="24"/>
              </w:rPr>
              <w:t>按规定对固定噪声源进行治理，在固定噪声源处应按《环境保护图形标志》（GB15562.2-1995）要求设置环境保护图形标志牌。</w:t>
            </w:r>
          </w:p>
          <w:p>
            <w:pPr>
              <w:spacing w:line="360" w:lineRule="auto"/>
              <w:ind w:firstLine="480" w:firstLineChars="200"/>
              <w:rPr>
                <w:sz w:val="24"/>
              </w:rPr>
            </w:pPr>
            <w:r>
              <w:rPr>
                <w:rFonts w:hint="eastAsia"/>
                <w:sz w:val="24"/>
              </w:rPr>
              <w:t>③</w:t>
            </w:r>
            <w:r>
              <w:rPr>
                <w:sz w:val="24"/>
              </w:rPr>
              <w:t>固体废物储存场</w:t>
            </w:r>
          </w:p>
          <w:p>
            <w:pPr>
              <w:spacing w:line="360" w:lineRule="auto"/>
              <w:ind w:firstLine="480" w:firstLineChars="200"/>
              <w:rPr>
                <w:sz w:val="24"/>
              </w:rPr>
            </w:pPr>
            <w:r>
              <w:rPr>
                <w:sz w:val="24"/>
              </w:rPr>
              <w:t>对危险废物贮存建造专用的贮存设施，并在固体废物贮存（处置）场所醒目处设置标志牌，定期送有资质处理的单位集中处置。</w:t>
            </w:r>
          </w:p>
          <w:p>
            <w:pPr>
              <w:spacing w:line="360" w:lineRule="auto"/>
              <w:ind w:firstLine="480" w:firstLineChars="200"/>
              <w:rPr>
                <w:sz w:val="24"/>
              </w:rPr>
            </w:pPr>
            <w:r>
              <w:rPr>
                <w:sz w:val="24"/>
              </w:rPr>
              <w:t>一般工业固体废物和生活垃圾应设置专用堆放场地。</w:t>
            </w:r>
          </w:p>
          <w:p>
            <w:pPr>
              <w:spacing w:line="360" w:lineRule="auto"/>
              <w:ind w:firstLine="480" w:firstLineChars="200"/>
              <w:rPr>
                <w:sz w:val="24"/>
              </w:rPr>
            </w:pPr>
            <w:r>
              <w:rPr>
                <w:rFonts w:hint="eastAsia"/>
                <w:sz w:val="24"/>
              </w:rPr>
              <w:t>④</w:t>
            </w:r>
            <w:r>
              <w:rPr>
                <w:sz w:val="24"/>
              </w:rPr>
              <w:t>设置标志牌要求</w:t>
            </w:r>
          </w:p>
          <w:p>
            <w:pPr>
              <w:spacing w:line="360" w:lineRule="auto"/>
              <w:ind w:firstLine="480" w:firstLineChars="200"/>
              <w:rPr>
                <w:sz w:val="24"/>
              </w:rPr>
            </w:pPr>
            <w:r>
              <w:rPr>
                <w:sz w:val="24"/>
              </w:rPr>
              <w:t>对</w:t>
            </w:r>
            <w:r>
              <w:rPr>
                <w:rFonts w:hint="eastAsia"/>
                <w:sz w:val="24"/>
              </w:rPr>
              <w:t>医院</w:t>
            </w:r>
            <w:r>
              <w:rPr>
                <w:sz w:val="24"/>
              </w:rPr>
              <w:t>废水处理、车间废气处理装置的排口分别设置平面固定式提示标志牌或</w:t>
            </w:r>
            <w:r>
              <w:rPr>
                <w:rFonts w:hint="eastAsia"/>
                <w:sz w:val="24"/>
                <w:lang w:eastAsia="zh-CN"/>
              </w:rPr>
              <w:t>竖立</w:t>
            </w:r>
            <w:r>
              <w:rPr>
                <w:sz w:val="24"/>
              </w:rPr>
              <w:t>式固定式提示标志牌，平面固定式标志牌为0.48cm×0.3cm的长方形冷轧钢板，</w:t>
            </w:r>
            <w:r>
              <w:rPr>
                <w:rFonts w:hint="eastAsia"/>
                <w:sz w:val="24"/>
                <w:lang w:eastAsia="zh-CN"/>
              </w:rPr>
              <w:t>竖立</w:t>
            </w:r>
            <w:r>
              <w:rPr>
                <w:sz w:val="24"/>
              </w:rPr>
              <w:t>式提示标志牌为0.42cm×0.42cm的正方形冷轧钢板，提示牌的背景和立柱为绿色，图案、边框、支架</w:t>
            </w:r>
            <w:r>
              <w:rPr>
                <w:rFonts w:hint="eastAsia"/>
                <w:sz w:val="24"/>
                <w:lang w:eastAsia="zh-CN"/>
              </w:rPr>
              <w:t>和辅助</w:t>
            </w:r>
            <w:r>
              <w:rPr>
                <w:sz w:val="24"/>
              </w:rPr>
              <w:t>标志的文字为白色，文字字型为黑体，标志牌辅助标志内容包括排污单位名称、标志牌名称、排污口编号和主要污染物名称，并交付当地环保部门注明。</w:t>
            </w:r>
          </w:p>
          <w:p>
            <w:pPr>
              <w:spacing w:line="360" w:lineRule="auto"/>
              <w:ind w:firstLine="480" w:firstLineChars="200"/>
              <w:rPr>
                <w:sz w:val="24"/>
              </w:rPr>
            </w:pPr>
            <w:r>
              <w:rPr>
                <w:sz w:val="24"/>
              </w:rPr>
              <w:t>环境保护图形标志的形状及颜色见表</w:t>
            </w:r>
            <w:r>
              <w:rPr>
                <w:rFonts w:hint="eastAsia"/>
                <w:sz w:val="24"/>
              </w:rPr>
              <w:t>4-</w:t>
            </w:r>
            <w:r>
              <w:rPr>
                <w:rFonts w:hint="eastAsia"/>
                <w:sz w:val="24"/>
                <w:lang w:val="en-US" w:eastAsia="zh-CN"/>
              </w:rPr>
              <w:t>24</w:t>
            </w:r>
            <w:r>
              <w:rPr>
                <w:sz w:val="24"/>
              </w:rPr>
              <w:t>，环境保护图形符号见表</w:t>
            </w:r>
            <w:r>
              <w:rPr>
                <w:rFonts w:hint="eastAsia"/>
                <w:sz w:val="24"/>
              </w:rPr>
              <w:t>4-</w:t>
            </w:r>
            <w:r>
              <w:rPr>
                <w:rFonts w:hint="eastAsia"/>
                <w:sz w:val="24"/>
                <w:lang w:val="en-US" w:eastAsia="zh-CN"/>
              </w:rPr>
              <w:t>25</w:t>
            </w:r>
            <w:r>
              <w:rPr>
                <w:sz w:val="24"/>
              </w:rPr>
              <w:t>。</w:t>
            </w:r>
          </w:p>
          <w:p>
            <w:pPr>
              <w:pStyle w:val="61"/>
              <w:adjustRightInd/>
              <w:snapToGrid/>
              <w:spacing w:line="240" w:lineRule="auto"/>
              <w:ind w:firstLine="0" w:firstLineChars="0"/>
              <w:jc w:val="center"/>
              <w:rPr>
                <w:rFonts w:ascii="Times New Roman" w:hAnsi="Times New Roman"/>
                <w:b/>
                <w:sz w:val="21"/>
                <w:szCs w:val="21"/>
              </w:rPr>
            </w:pPr>
            <w:r>
              <w:rPr>
                <w:rFonts w:ascii="Times New Roman" w:hAnsi="Times New Roman"/>
                <w:b/>
                <w:sz w:val="21"/>
                <w:szCs w:val="21"/>
              </w:rPr>
              <w:t>表</w:t>
            </w:r>
            <w:r>
              <w:rPr>
                <w:rFonts w:hint="eastAsia" w:ascii="Times New Roman" w:hAnsi="Times New Roman"/>
                <w:b/>
                <w:sz w:val="21"/>
                <w:szCs w:val="21"/>
              </w:rPr>
              <w:t>4-</w:t>
            </w:r>
            <w:r>
              <w:rPr>
                <w:rFonts w:hint="eastAsia" w:ascii="Times New Roman" w:hAnsi="Times New Roman"/>
                <w:b/>
                <w:sz w:val="21"/>
                <w:szCs w:val="21"/>
                <w:lang w:val="en-US" w:eastAsia="zh-CN"/>
              </w:rPr>
              <w:t>24</w:t>
            </w:r>
            <w:r>
              <w:rPr>
                <w:rFonts w:ascii="Times New Roman" w:hAnsi="Times New Roman"/>
                <w:b/>
                <w:sz w:val="21"/>
                <w:szCs w:val="21"/>
              </w:rPr>
              <w:t xml:space="preserve">  环境保护图形标志的形状及颜色表</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65"/>
              <w:gridCol w:w="1484"/>
              <w:gridCol w:w="2266"/>
              <w:gridCol w:w="22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7" w:hRule="atLeast"/>
                <w:jc w:val="center"/>
              </w:trPr>
              <w:tc>
                <w:tcPr>
                  <w:tcW w:w="1368" w:type="pct"/>
                  <w:tcBorders>
                    <w:top w:val="single" w:color="auto" w:sz="12" w:space="0"/>
                    <w:left w:val="single" w:color="auto" w:sz="12" w:space="0"/>
                    <w:bottom w:val="single" w:color="auto" w:sz="6" w:space="0"/>
                    <w:right w:val="single" w:color="auto" w:sz="6" w:space="0"/>
                  </w:tcBorders>
                  <w:noWrap/>
                  <w:vAlign w:val="center"/>
                </w:tcPr>
                <w:p>
                  <w:pPr>
                    <w:pStyle w:val="62"/>
                    <w:rPr>
                      <w:b/>
                    </w:rPr>
                  </w:pPr>
                  <w:r>
                    <w:rPr>
                      <w:b/>
                    </w:rPr>
                    <w:t>标志名称</w:t>
                  </w:r>
                </w:p>
              </w:tc>
              <w:tc>
                <w:tcPr>
                  <w:tcW w:w="896" w:type="pct"/>
                  <w:tcBorders>
                    <w:top w:val="single" w:color="auto" w:sz="12" w:space="0"/>
                    <w:left w:val="single" w:color="auto" w:sz="6" w:space="0"/>
                    <w:bottom w:val="single" w:color="auto" w:sz="6" w:space="0"/>
                    <w:right w:val="single" w:color="auto" w:sz="6" w:space="0"/>
                  </w:tcBorders>
                  <w:noWrap/>
                  <w:vAlign w:val="center"/>
                </w:tcPr>
                <w:p>
                  <w:pPr>
                    <w:pStyle w:val="62"/>
                    <w:rPr>
                      <w:b/>
                    </w:rPr>
                  </w:pPr>
                  <w:r>
                    <w:rPr>
                      <w:b/>
                    </w:rPr>
                    <w:t>形状</w:t>
                  </w:r>
                </w:p>
              </w:tc>
              <w:tc>
                <w:tcPr>
                  <w:tcW w:w="1368" w:type="pct"/>
                  <w:tcBorders>
                    <w:top w:val="single" w:color="auto" w:sz="12" w:space="0"/>
                    <w:left w:val="single" w:color="auto" w:sz="6" w:space="0"/>
                    <w:bottom w:val="single" w:color="auto" w:sz="6" w:space="0"/>
                    <w:right w:val="single" w:color="auto" w:sz="6" w:space="0"/>
                  </w:tcBorders>
                  <w:noWrap/>
                  <w:vAlign w:val="center"/>
                </w:tcPr>
                <w:p>
                  <w:pPr>
                    <w:pStyle w:val="62"/>
                    <w:rPr>
                      <w:b/>
                    </w:rPr>
                  </w:pPr>
                  <w:r>
                    <w:rPr>
                      <w:b/>
                    </w:rPr>
                    <w:t>背景颜色</w:t>
                  </w:r>
                </w:p>
              </w:tc>
              <w:tc>
                <w:tcPr>
                  <w:tcW w:w="1368" w:type="pct"/>
                  <w:tcBorders>
                    <w:top w:val="single" w:color="auto" w:sz="12" w:space="0"/>
                    <w:left w:val="single" w:color="auto" w:sz="6" w:space="0"/>
                    <w:bottom w:val="single" w:color="auto" w:sz="6" w:space="0"/>
                    <w:right w:val="single" w:color="auto" w:sz="12" w:space="0"/>
                  </w:tcBorders>
                  <w:noWrap/>
                  <w:vAlign w:val="center"/>
                </w:tcPr>
                <w:p>
                  <w:pPr>
                    <w:pStyle w:val="62"/>
                    <w:rPr>
                      <w:b/>
                    </w:rPr>
                  </w:pPr>
                  <w:r>
                    <w:rPr>
                      <w:b/>
                    </w:rPr>
                    <w:t>图形颜色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4" w:hRule="atLeast"/>
                <w:jc w:val="center"/>
              </w:trPr>
              <w:tc>
                <w:tcPr>
                  <w:tcW w:w="1368" w:type="pct"/>
                  <w:tcBorders>
                    <w:top w:val="single" w:color="auto" w:sz="6" w:space="0"/>
                    <w:left w:val="single" w:color="auto" w:sz="12" w:space="0"/>
                    <w:bottom w:val="single" w:color="auto" w:sz="6" w:space="0"/>
                    <w:right w:val="single" w:color="auto" w:sz="6" w:space="0"/>
                  </w:tcBorders>
                  <w:noWrap/>
                  <w:vAlign w:val="center"/>
                </w:tcPr>
                <w:p>
                  <w:pPr>
                    <w:pStyle w:val="62"/>
                  </w:pPr>
                  <w:r>
                    <w:t>警告标志</w:t>
                  </w:r>
                </w:p>
              </w:tc>
              <w:tc>
                <w:tcPr>
                  <w:tcW w:w="896" w:type="pct"/>
                  <w:tcBorders>
                    <w:top w:val="single" w:color="auto" w:sz="6" w:space="0"/>
                    <w:left w:val="single" w:color="auto" w:sz="6" w:space="0"/>
                    <w:bottom w:val="single" w:color="auto" w:sz="6" w:space="0"/>
                    <w:right w:val="single" w:color="auto" w:sz="6" w:space="0"/>
                  </w:tcBorders>
                  <w:noWrap/>
                  <w:vAlign w:val="center"/>
                </w:tcPr>
                <w:p>
                  <w:pPr>
                    <w:pStyle w:val="62"/>
                  </w:pPr>
                  <w:r>
                    <w:t>三角形边框</w:t>
                  </w:r>
                </w:p>
              </w:tc>
              <w:tc>
                <w:tcPr>
                  <w:tcW w:w="1368" w:type="pct"/>
                  <w:tcBorders>
                    <w:top w:val="single" w:color="auto" w:sz="6" w:space="0"/>
                    <w:left w:val="single" w:color="auto" w:sz="6" w:space="0"/>
                    <w:bottom w:val="single" w:color="auto" w:sz="6" w:space="0"/>
                    <w:right w:val="single" w:color="auto" w:sz="6" w:space="0"/>
                  </w:tcBorders>
                  <w:noWrap/>
                  <w:vAlign w:val="center"/>
                </w:tcPr>
                <w:p>
                  <w:pPr>
                    <w:pStyle w:val="62"/>
                  </w:pPr>
                  <w:r>
                    <w:t>黄色</w:t>
                  </w:r>
                </w:p>
              </w:tc>
              <w:tc>
                <w:tcPr>
                  <w:tcW w:w="1368" w:type="pct"/>
                  <w:tcBorders>
                    <w:top w:val="single" w:color="auto" w:sz="6" w:space="0"/>
                    <w:left w:val="single" w:color="auto" w:sz="6" w:space="0"/>
                    <w:bottom w:val="single" w:color="auto" w:sz="6" w:space="0"/>
                    <w:right w:val="single" w:color="auto" w:sz="12" w:space="0"/>
                  </w:tcBorders>
                  <w:noWrap/>
                  <w:vAlign w:val="center"/>
                </w:tcPr>
                <w:p>
                  <w:pPr>
                    <w:pStyle w:val="62"/>
                  </w:pPr>
                  <w:r>
                    <w:t>黑色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2" w:hRule="atLeast"/>
                <w:jc w:val="center"/>
              </w:trPr>
              <w:tc>
                <w:tcPr>
                  <w:tcW w:w="1368" w:type="pct"/>
                  <w:tcBorders>
                    <w:top w:val="single" w:color="auto" w:sz="6" w:space="0"/>
                    <w:left w:val="single" w:color="auto" w:sz="12" w:space="0"/>
                    <w:bottom w:val="single" w:color="auto" w:sz="12" w:space="0"/>
                    <w:right w:val="single" w:color="auto" w:sz="6" w:space="0"/>
                  </w:tcBorders>
                  <w:noWrap/>
                  <w:vAlign w:val="center"/>
                </w:tcPr>
                <w:p>
                  <w:pPr>
                    <w:pStyle w:val="62"/>
                  </w:pPr>
                  <w:r>
                    <w:t>提示标志</w:t>
                  </w:r>
                </w:p>
              </w:tc>
              <w:tc>
                <w:tcPr>
                  <w:tcW w:w="896" w:type="pct"/>
                  <w:tcBorders>
                    <w:top w:val="single" w:color="auto" w:sz="6" w:space="0"/>
                    <w:left w:val="single" w:color="auto" w:sz="6" w:space="0"/>
                    <w:bottom w:val="single" w:color="auto" w:sz="12" w:space="0"/>
                    <w:right w:val="single" w:color="auto" w:sz="6" w:space="0"/>
                  </w:tcBorders>
                  <w:noWrap/>
                  <w:vAlign w:val="center"/>
                </w:tcPr>
                <w:p>
                  <w:pPr>
                    <w:pStyle w:val="62"/>
                  </w:pPr>
                  <w:r>
                    <w:t>正方形边框</w:t>
                  </w:r>
                </w:p>
              </w:tc>
              <w:tc>
                <w:tcPr>
                  <w:tcW w:w="1368" w:type="pct"/>
                  <w:tcBorders>
                    <w:top w:val="single" w:color="auto" w:sz="6" w:space="0"/>
                    <w:left w:val="single" w:color="auto" w:sz="6" w:space="0"/>
                    <w:bottom w:val="single" w:color="auto" w:sz="12" w:space="0"/>
                    <w:right w:val="single" w:color="auto" w:sz="6" w:space="0"/>
                  </w:tcBorders>
                  <w:noWrap/>
                  <w:vAlign w:val="center"/>
                </w:tcPr>
                <w:p>
                  <w:pPr>
                    <w:pStyle w:val="62"/>
                  </w:pPr>
                  <w:r>
                    <w:t>绿色</w:t>
                  </w:r>
                </w:p>
              </w:tc>
              <w:tc>
                <w:tcPr>
                  <w:tcW w:w="1368" w:type="pct"/>
                  <w:tcBorders>
                    <w:top w:val="single" w:color="auto" w:sz="6" w:space="0"/>
                    <w:left w:val="single" w:color="auto" w:sz="6" w:space="0"/>
                    <w:bottom w:val="single" w:color="auto" w:sz="12" w:space="0"/>
                    <w:right w:val="single" w:color="auto" w:sz="12" w:space="0"/>
                  </w:tcBorders>
                  <w:noWrap/>
                  <w:vAlign w:val="center"/>
                </w:tcPr>
                <w:p>
                  <w:pPr>
                    <w:pStyle w:val="62"/>
                  </w:pPr>
                  <w:r>
                    <w:t>白色</w:t>
                  </w:r>
                </w:p>
              </w:tc>
            </w:tr>
          </w:tbl>
          <w:p>
            <w:pPr>
              <w:bidi w:val="0"/>
              <w:spacing w:line="240" w:lineRule="auto"/>
            </w:pPr>
          </w:p>
          <w:p>
            <w:pPr>
              <w:pStyle w:val="61"/>
              <w:adjustRightInd/>
              <w:snapToGrid/>
              <w:spacing w:line="240" w:lineRule="auto"/>
              <w:ind w:firstLine="0" w:firstLineChars="0"/>
              <w:jc w:val="center"/>
              <w:rPr>
                <w:rFonts w:ascii="Times New Roman" w:hAnsi="Times New Roman"/>
                <w:b/>
                <w:sz w:val="21"/>
                <w:szCs w:val="21"/>
              </w:rPr>
            </w:pPr>
            <w:r>
              <w:rPr>
                <w:rFonts w:ascii="Times New Roman" w:hAnsi="Times New Roman"/>
                <w:b/>
                <w:sz w:val="21"/>
                <w:szCs w:val="21"/>
              </w:rPr>
              <w:t>表</w:t>
            </w:r>
            <w:r>
              <w:rPr>
                <w:rFonts w:hint="eastAsia" w:ascii="Times New Roman" w:hAnsi="Times New Roman"/>
                <w:b/>
                <w:sz w:val="21"/>
                <w:szCs w:val="21"/>
              </w:rPr>
              <w:t>4-</w:t>
            </w:r>
            <w:r>
              <w:rPr>
                <w:rFonts w:hint="eastAsia" w:ascii="Times New Roman" w:hAnsi="Times New Roman"/>
                <w:b/>
                <w:sz w:val="21"/>
                <w:szCs w:val="21"/>
                <w:lang w:val="en-US" w:eastAsia="zh-CN"/>
              </w:rPr>
              <w:t>25</w:t>
            </w:r>
            <w:r>
              <w:rPr>
                <w:rFonts w:ascii="Times New Roman" w:hAnsi="Times New Roman"/>
                <w:b/>
                <w:sz w:val="21"/>
                <w:szCs w:val="21"/>
              </w:rPr>
              <w:t xml:space="preserve">  环境保护图形符号一览表</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5"/>
              <w:gridCol w:w="1567"/>
              <w:gridCol w:w="1672"/>
              <w:gridCol w:w="1561"/>
              <w:gridCol w:w="28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08" w:type="pct"/>
                  <w:tcBorders>
                    <w:top w:val="single" w:color="auto" w:sz="12" w:space="0"/>
                    <w:left w:val="single" w:color="auto" w:sz="12" w:space="0"/>
                    <w:bottom w:val="single" w:color="auto" w:sz="6" w:space="0"/>
                    <w:right w:val="single" w:color="auto" w:sz="6" w:space="0"/>
                  </w:tcBorders>
                  <w:noWrap/>
                  <w:vAlign w:val="center"/>
                </w:tcPr>
                <w:p>
                  <w:pPr>
                    <w:pStyle w:val="62"/>
                    <w:rPr>
                      <w:b/>
                    </w:rPr>
                  </w:pPr>
                  <w:r>
                    <w:rPr>
                      <w:b/>
                    </w:rPr>
                    <w:t>序号</w:t>
                  </w:r>
                </w:p>
              </w:tc>
              <w:tc>
                <w:tcPr>
                  <w:tcW w:w="946" w:type="pct"/>
                  <w:tcBorders>
                    <w:top w:val="single" w:color="auto" w:sz="12" w:space="0"/>
                    <w:left w:val="single" w:color="auto" w:sz="6" w:space="0"/>
                    <w:bottom w:val="single" w:color="auto" w:sz="6" w:space="0"/>
                    <w:right w:val="single" w:color="auto" w:sz="6" w:space="0"/>
                  </w:tcBorders>
                  <w:noWrap/>
                  <w:vAlign w:val="center"/>
                </w:tcPr>
                <w:p>
                  <w:pPr>
                    <w:pStyle w:val="62"/>
                    <w:rPr>
                      <w:b/>
                    </w:rPr>
                  </w:pPr>
                  <w:r>
                    <w:rPr>
                      <w:b/>
                    </w:rPr>
                    <w:t>提示图形符号</w:t>
                  </w:r>
                </w:p>
              </w:tc>
              <w:tc>
                <w:tcPr>
                  <w:tcW w:w="1009" w:type="pct"/>
                  <w:tcBorders>
                    <w:top w:val="single" w:color="auto" w:sz="12" w:space="0"/>
                    <w:left w:val="single" w:color="auto" w:sz="6" w:space="0"/>
                    <w:bottom w:val="single" w:color="auto" w:sz="6" w:space="0"/>
                    <w:right w:val="single" w:color="auto" w:sz="6" w:space="0"/>
                  </w:tcBorders>
                  <w:noWrap/>
                  <w:vAlign w:val="center"/>
                </w:tcPr>
                <w:p>
                  <w:pPr>
                    <w:pStyle w:val="62"/>
                    <w:rPr>
                      <w:b/>
                    </w:rPr>
                  </w:pPr>
                  <w:r>
                    <w:rPr>
                      <w:b/>
                    </w:rPr>
                    <w:t>警告图形符号</w:t>
                  </w:r>
                </w:p>
              </w:tc>
              <w:tc>
                <w:tcPr>
                  <w:tcW w:w="942" w:type="pct"/>
                  <w:tcBorders>
                    <w:top w:val="single" w:color="auto" w:sz="12" w:space="0"/>
                    <w:left w:val="single" w:color="auto" w:sz="6" w:space="0"/>
                    <w:bottom w:val="single" w:color="auto" w:sz="6" w:space="0"/>
                    <w:right w:val="single" w:color="auto" w:sz="6" w:space="0"/>
                  </w:tcBorders>
                  <w:noWrap/>
                  <w:vAlign w:val="center"/>
                </w:tcPr>
                <w:p>
                  <w:pPr>
                    <w:pStyle w:val="62"/>
                    <w:rPr>
                      <w:b/>
                    </w:rPr>
                  </w:pPr>
                  <w:r>
                    <w:rPr>
                      <w:b/>
                    </w:rPr>
                    <w:t>名称</w:t>
                  </w:r>
                </w:p>
              </w:tc>
              <w:tc>
                <w:tcPr>
                  <w:tcW w:w="1694" w:type="pct"/>
                  <w:tcBorders>
                    <w:top w:val="single" w:color="auto" w:sz="12" w:space="0"/>
                    <w:left w:val="single" w:color="auto" w:sz="6" w:space="0"/>
                    <w:bottom w:val="single" w:color="auto" w:sz="6" w:space="0"/>
                    <w:right w:val="single" w:color="auto" w:sz="12" w:space="0"/>
                  </w:tcBorders>
                  <w:noWrap/>
                  <w:vAlign w:val="center"/>
                </w:tcPr>
                <w:p>
                  <w:pPr>
                    <w:pStyle w:val="62"/>
                    <w:rPr>
                      <w:b/>
                    </w:rPr>
                  </w:pPr>
                  <w:r>
                    <w:rPr>
                      <w:b/>
                    </w:rPr>
                    <w:t>功能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8" w:type="pct"/>
                  <w:tcBorders>
                    <w:top w:val="single" w:color="auto" w:sz="6" w:space="0"/>
                    <w:left w:val="single" w:color="auto" w:sz="12" w:space="0"/>
                    <w:bottom w:val="single" w:color="auto" w:sz="6" w:space="0"/>
                    <w:right w:val="single" w:color="auto" w:sz="6" w:space="0"/>
                  </w:tcBorders>
                  <w:noWrap/>
                  <w:vAlign w:val="center"/>
                </w:tcPr>
                <w:p>
                  <w:pPr>
                    <w:pStyle w:val="62"/>
                  </w:pPr>
                  <w:r>
                    <w:t>1</w:t>
                  </w:r>
                </w:p>
              </w:tc>
              <w:tc>
                <w:tcPr>
                  <w:tcW w:w="946" w:type="pct"/>
                  <w:tcBorders>
                    <w:top w:val="single" w:color="auto" w:sz="6" w:space="0"/>
                    <w:left w:val="single" w:color="auto" w:sz="6" w:space="0"/>
                    <w:bottom w:val="single" w:color="auto" w:sz="6" w:space="0"/>
                    <w:right w:val="single" w:color="auto" w:sz="6" w:space="0"/>
                  </w:tcBorders>
                  <w:noWrap/>
                  <w:vAlign w:val="center"/>
                </w:tcPr>
                <w:p>
                  <w:pPr>
                    <w:pStyle w:val="62"/>
                  </w:pPr>
                  <w:r>
                    <w:drawing>
                      <wp:inline distT="0" distB="0" distL="114300" distR="114300">
                        <wp:extent cx="741680" cy="758825"/>
                        <wp:effectExtent l="0" t="0" r="1270" b="3175"/>
                        <wp:docPr id="40" name="图片 14" descr="说明: 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descr="说明: 13001"/>
                                <pic:cNvPicPr>
                                  <a:picLocks noChangeAspect="1"/>
                                </pic:cNvPicPr>
                              </pic:nvPicPr>
                              <pic:blipFill>
                                <a:blip r:embed="rId23"/>
                                <a:stretch>
                                  <a:fillRect/>
                                </a:stretch>
                              </pic:blipFill>
                              <pic:spPr>
                                <a:xfrm>
                                  <a:off x="0" y="0"/>
                                  <a:ext cx="741680" cy="758825"/>
                                </a:xfrm>
                                <a:prstGeom prst="rect">
                                  <a:avLst/>
                                </a:prstGeom>
                                <a:noFill/>
                                <a:ln>
                                  <a:noFill/>
                                </a:ln>
                              </pic:spPr>
                            </pic:pic>
                          </a:graphicData>
                        </a:graphic>
                      </wp:inline>
                    </w:drawing>
                  </w:r>
                </w:p>
              </w:tc>
              <w:tc>
                <w:tcPr>
                  <w:tcW w:w="1009" w:type="pct"/>
                  <w:tcBorders>
                    <w:top w:val="single" w:color="auto" w:sz="6" w:space="0"/>
                    <w:left w:val="single" w:color="auto" w:sz="6" w:space="0"/>
                    <w:bottom w:val="single" w:color="auto" w:sz="6" w:space="0"/>
                    <w:right w:val="single" w:color="auto" w:sz="6" w:space="0"/>
                  </w:tcBorders>
                  <w:noWrap/>
                  <w:vAlign w:val="center"/>
                </w:tcPr>
                <w:p>
                  <w:pPr>
                    <w:pStyle w:val="62"/>
                  </w:pPr>
                  <w:r>
                    <w:drawing>
                      <wp:inline distT="0" distB="0" distL="114300" distR="114300">
                        <wp:extent cx="784860" cy="793750"/>
                        <wp:effectExtent l="0" t="0" r="15240" b="6350"/>
                        <wp:docPr id="41" name="图片 15" descr="说明: 1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descr="说明: 13002"/>
                                <pic:cNvPicPr>
                                  <a:picLocks noChangeAspect="1"/>
                                </pic:cNvPicPr>
                              </pic:nvPicPr>
                              <pic:blipFill>
                                <a:blip r:embed="rId24"/>
                                <a:stretch>
                                  <a:fillRect/>
                                </a:stretch>
                              </pic:blipFill>
                              <pic:spPr>
                                <a:xfrm>
                                  <a:off x="0" y="0"/>
                                  <a:ext cx="784860" cy="793750"/>
                                </a:xfrm>
                                <a:prstGeom prst="rect">
                                  <a:avLst/>
                                </a:prstGeom>
                                <a:noFill/>
                                <a:ln>
                                  <a:noFill/>
                                </a:ln>
                              </pic:spPr>
                            </pic:pic>
                          </a:graphicData>
                        </a:graphic>
                      </wp:inline>
                    </w:drawing>
                  </w:r>
                </w:p>
              </w:tc>
              <w:tc>
                <w:tcPr>
                  <w:tcW w:w="942" w:type="pct"/>
                  <w:tcBorders>
                    <w:top w:val="single" w:color="auto" w:sz="6" w:space="0"/>
                    <w:left w:val="single" w:color="auto" w:sz="6" w:space="0"/>
                    <w:bottom w:val="single" w:color="auto" w:sz="6" w:space="0"/>
                    <w:right w:val="single" w:color="auto" w:sz="6" w:space="0"/>
                  </w:tcBorders>
                  <w:noWrap/>
                  <w:vAlign w:val="center"/>
                </w:tcPr>
                <w:p>
                  <w:pPr>
                    <w:pStyle w:val="62"/>
                  </w:pPr>
                  <w:r>
                    <w:t>废水排放口</w:t>
                  </w:r>
                </w:p>
              </w:tc>
              <w:tc>
                <w:tcPr>
                  <w:tcW w:w="1694" w:type="pct"/>
                  <w:tcBorders>
                    <w:top w:val="single" w:color="auto" w:sz="6" w:space="0"/>
                    <w:left w:val="single" w:color="auto" w:sz="6" w:space="0"/>
                    <w:bottom w:val="single" w:color="auto" w:sz="6" w:space="0"/>
                    <w:right w:val="single" w:color="auto" w:sz="12" w:space="0"/>
                  </w:tcBorders>
                  <w:noWrap/>
                  <w:vAlign w:val="center"/>
                </w:tcPr>
                <w:p>
                  <w:pPr>
                    <w:pStyle w:val="62"/>
                  </w:pPr>
                  <w:r>
                    <w:t>表示废水向外环境排放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8" w:type="pct"/>
                  <w:tcBorders>
                    <w:top w:val="single" w:color="auto" w:sz="6" w:space="0"/>
                    <w:left w:val="single" w:color="auto" w:sz="12" w:space="0"/>
                    <w:bottom w:val="single" w:color="auto" w:sz="6" w:space="0"/>
                    <w:right w:val="single" w:color="auto" w:sz="6" w:space="0"/>
                  </w:tcBorders>
                  <w:noWrap/>
                  <w:vAlign w:val="center"/>
                </w:tcPr>
                <w:p>
                  <w:pPr>
                    <w:pStyle w:val="62"/>
                  </w:pPr>
                  <w:r>
                    <w:t>2</w:t>
                  </w:r>
                </w:p>
              </w:tc>
              <w:tc>
                <w:tcPr>
                  <w:tcW w:w="946" w:type="pct"/>
                  <w:tcBorders>
                    <w:top w:val="single" w:color="auto" w:sz="6" w:space="0"/>
                    <w:left w:val="single" w:color="auto" w:sz="6" w:space="0"/>
                    <w:bottom w:val="single" w:color="auto" w:sz="6" w:space="0"/>
                    <w:right w:val="single" w:color="auto" w:sz="6" w:space="0"/>
                  </w:tcBorders>
                  <w:noWrap/>
                  <w:vAlign w:val="center"/>
                </w:tcPr>
                <w:p>
                  <w:pPr>
                    <w:pStyle w:val="62"/>
                  </w:pPr>
                  <w:r>
                    <w:drawing>
                      <wp:inline distT="0" distB="0" distL="114300" distR="114300">
                        <wp:extent cx="741680" cy="758825"/>
                        <wp:effectExtent l="0" t="0" r="1270" b="3175"/>
                        <wp:docPr id="42" name="图片 16" descr="说明: 1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 descr="说明: 13003"/>
                                <pic:cNvPicPr>
                                  <a:picLocks noChangeAspect="1"/>
                                </pic:cNvPicPr>
                              </pic:nvPicPr>
                              <pic:blipFill>
                                <a:blip r:embed="rId25"/>
                                <a:stretch>
                                  <a:fillRect/>
                                </a:stretch>
                              </pic:blipFill>
                              <pic:spPr>
                                <a:xfrm>
                                  <a:off x="0" y="0"/>
                                  <a:ext cx="741680" cy="758825"/>
                                </a:xfrm>
                                <a:prstGeom prst="rect">
                                  <a:avLst/>
                                </a:prstGeom>
                                <a:noFill/>
                                <a:ln>
                                  <a:noFill/>
                                </a:ln>
                              </pic:spPr>
                            </pic:pic>
                          </a:graphicData>
                        </a:graphic>
                      </wp:inline>
                    </w:drawing>
                  </w:r>
                </w:p>
              </w:tc>
              <w:tc>
                <w:tcPr>
                  <w:tcW w:w="1009" w:type="pct"/>
                  <w:tcBorders>
                    <w:top w:val="single" w:color="auto" w:sz="6" w:space="0"/>
                    <w:left w:val="single" w:color="auto" w:sz="6" w:space="0"/>
                    <w:bottom w:val="single" w:color="auto" w:sz="6" w:space="0"/>
                    <w:right w:val="single" w:color="auto" w:sz="6" w:space="0"/>
                  </w:tcBorders>
                  <w:noWrap/>
                  <w:vAlign w:val="center"/>
                </w:tcPr>
                <w:p>
                  <w:pPr>
                    <w:pStyle w:val="62"/>
                  </w:pPr>
                  <w:r>
                    <w:drawing>
                      <wp:inline distT="0" distB="0" distL="114300" distR="114300">
                        <wp:extent cx="784860" cy="776605"/>
                        <wp:effectExtent l="0" t="0" r="15240" b="4445"/>
                        <wp:docPr id="43" name="图片 17" descr="说明: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descr="说明: 4"/>
                                <pic:cNvPicPr>
                                  <a:picLocks noChangeAspect="1"/>
                                </pic:cNvPicPr>
                              </pic:nvPicPr>
                              <pic:blipFill>
                                <a:blip r:embed="rId26"/>
                                <a:stretch>
                                  <a:fillRect/>
                                </a:stretch>
                              </pic:blipFill>
                              <pic:spPr>
                                <a:xfrm>
                                  <a:off x="0" y="0"/>
                                  <a:ext cx="784860" cy="776605"/>
                                </a:xfrm>
                                <a:prstGeom prst="rect">
                                  <a:avLst/>
                                </a:prstGeom>
                                <a:noFill/>
                                <a:ln>
                                  <a:noFill/>
                                </a:ln>
                              </pic:spPr>
                            </pic:pic>
                          </a:graphicData>
                        </a:graphic>
                      </wp:inline>
                    </w:drawing>
                  </w:r>
                </w:p>
              </w:tc>
              <w:tc>
                <w:tcPr>
                  <w:tcW w:w="942" w:type="pct"/>
                  <w:tcBorders>
                    <w:top w:val="single" w:color="auto" w:sz="6" w:space="0"/>
                    <w:left w:val="single" w:color="auto" w:sz="6" w:space="0"/>
                    <w:bottom w:val="single" w:color="auto" w:sz="6" w:space="0"/>
                    <w:right w:val="single" w:color="auto" w:sz="6" w:space="0"/>
                  </w:tcBorders>
                  <w:noWrap/>
                  <w:vAlign w:val="center"/>
                </w:tcPr>
                <w:p>
                  <w:pPr>
                    <w:pStyle w:val="62"/>
                  </w:pPr>
                  <w:r>
                    <w:t>废气排放口</w:t>
                  </w:r>
                </w:p>
              </w:tc>
              <w:tc>
                <w:tcPr>
                  <w:tcW w:w="1694" w:type="pct"/>
                  <w:tcBorders>
                    <w:top w:val="single" w:color="auto" w:sz="6" w:space="0"/>
                    <w:left w:val="single" w:color="auto" w:sz="6" w:space="0"/>
                    <w:bottom w:val="single" w:color="auto" w:sz="6" w:space="0"/>
                    <w:right w:val="single" w:color="auto" w:sz="12" w:space="0"/>
                  </w:tcBorders>
                  <w:noWrap/>
                  <w:vAlign w:val="center"/>
                </w:tcPr>
                <w:p>
                  <w:pPr>
                    <w:pStyle w:val="62"/>
                  </w:pPr>
                  <w:r>
                    <w:t>表示废气向大气环境排放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8" w:type="pct"/>
                  <w:tcBorders>
                    <w:top w:val="single" w:color="auto" w:sz="6" w:space="0"/>
                    <w:left w:val="single" w:color="auto" w:sz="12" w:space="0"/>
                    <w:bottom w:val="single" w:color="auto" w:sz="6" w:space="0"/>
                    <w:right w:val="single" w:color="auto" w:sz="6" w:space="0"/>
                  </w:tcBorders>
                  <w:noWrap/>
                  <w:vAlign w:val="center"/>
                </w:tcPr>
                <w:p>
                  <w:pPr>
                    <w:pStyle w:val="62"/>
                  </w:pPr>
                  <w:r>
                    <w:t>3</w:t>
                  </w:r>
                </w:p>
              </w:tc>
              <w:tc>
                <w:tcPr>
                  <w:tcW w:w="946" w:type="pct"/>
                  <w:tcBorders>
                    <w:top w:val="single" w:color="auto" w:sz="6" w:space="0"/>
                    <w:left w:val="single" w:color="auto" w:sz="6" w:space="0"/>
                    <w:bottom w:val="single" w:color="auto" w:sz="6" w:space="0"/>
                    <w:right w:val="single" w:color="auto" w:sz="6" w:space="0"/>
                  </w:tcBorders>
                  <w:noWrap/>
                  <w:vAlign w:val="center"/>
                </w:tcPr>
                <w:p>
                  <w:pPr>
                    <w:pStyle w:val="62"/>
                  </w:pPr>
                  <w:r>
                    <w:drawing>
                      <wp:inline distT="0" distB="0" distL="114300" distR="114300">
                        <wp:extent cx="776605" cy="784860"/>
                        <wp:effectExtent l="0" t="0" r="4445" b="15240"/>
                        <wp:docPr id="44" name="图片 18" descr="说明: 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8" descr="说明: 14001"/>
                                <pic:cNvPicPr>
                                  <a:picLocks noChangeAspect="1"/>
                                </pic:cNvPicPr>
                              </pic:nvPicPr>
                              <pic:blipFill>
                                <a:blip r:embed="rId27"/>
                                <a:stretch>
                                  <a:fillRect/>
                                </a:stretch>
                              </pic:blipFill>
                              <pic:spPr>
                                <a:xfrm>
                                  <a:off x="0" y="0"/>
                                  <a:ext cx="776605" cy="784860"/>
                                </a:xfrm>
                                <a:prstGeom prst="rect">
                                  <a:avLst/>
                                </a:prstGeom>
                                <a:noFill/>
                                <a:ln>
                                  <a:noFill/>
                                </a:ln>
                              </pic:spPr>
                            </pic:pic>
                          </a:graphicData>
                        </a:graphic>
                      </wp:inline>
                    </w:drawing>
                  </w:r>
                </w:p>
              </w:tc>
              <w:tc>
                <w:tcPr>
                  <w:tcW w:w="1009" w:type="pct"/>
                  <w:tcBorders>
                    <w:top w:val="single" w:color="auto" w:sz="6" w:space="0"/>
                    <w:left w:val="single" w:color="auto" w:sz="6" w:space="0"/>
                    <w:bottom w:val="single" w:color="auto" w:sz="6" w:space="0"/>
                    <w:right w:val="single" w:color="auto" w:sz="6" w:space="0"/>
                  </w:tcBorders>
                  <w:noWrap/>
                  <w:vAlign w:val="center"/>
                </w:tcPr>
                <w:p>
                  <w:pPr>
                    <w:pStyle w:val="62"/>
                  </w:pPr>
                  <w:r>
                    <w:drawing>
                      <wp:inline distT="0" distB="0" distL="114300" distR="114300">
                        <wp:extent cx="776605" cy="724535"/>
                        <wp:effectExtent l="0" t="0" r="4445" b="18415"/>
                        <wp:docPr id="45" name="图片 19" descr="说明: 1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9" descr="说明: 14002"/>
                                <pic:cNvPicPr>
                                  <a:picLocks noChangeAspect="1"/>
                                </pic:cNvPicPr>
                              </pic:nvPicPr>
                              <pic:blipFill>
                                <a:blip r:embed="rId28"/>
                                <a:stretch>
                                  <a:fillRect/>
                                </a:stretch>
                              </pic:blipFill>
                              <pic:spPr>
                                <a:xfrm>
                                  <a:off x="0" y="0"/>
                                  <a:ext cx="776605" cy="724535"/>
                                </a:xfrm>
                                <a:prstGeom prst="rect">
                                  <a:avLst/>
                                </a:prstGeom>
                                <a:noFill/>
                                <a:ln>
                                  <a:noFill/>
                                </a:ln>
                              </pic:spPr>
                            </pic:pic>
                          </a:graphicData>
                        </a:graphic>
                      </wp:inline>
                    </w:drawing>
                  </w:r>
                </w:p>
              </w:tc>
              <w:tc>
                <w:tcPr>
                  <w:tcW w:w="942" w:type="pct"/>
                  <w:tcBorders>
                    <w:top w:val="single" w:color="auto" w:sz="6" w:space="0"/>
                    <w:left w:val="single" w:color="auto" w:sz="6" w:space="0"/>
                    <w:bottom w:val="single" w:color="auto" w:sz="6" w:space="0"/>
                    <w:right w:val="single" w:color="auto" w:sz="6" w:space="0"/>
                  </w:tcBorders>
                  <w:noWrap/>
                  <w:vAlign w:val="center"/>
                </w:tcPr>
                <w:p>
                  <w:pPr>
                    <w:pStyle w:val="62"/>
                  </w:pPr>
                  <w:r>
                    <w:t>一般固体废物</w:t>
                  </w:r>
                </w:p>
              </w:tc>
              <w:tc>
                <w:tcPr>
                  <w:tcW w:w="1694" w:type="pct"/>
                  <w:tcBorders>
                    <w:top w:val="single" w:color="auto" w:sz="6" w:space="0"/>
                    <w:left w:val="single" w:color="auto" w:sz="6" w:space="0"/>
                    <w:bottom w:val="single" w:color="auto" w:sz="6" w:space="0"/>
                    <w:right w:val="single" w:color="auto" w:sz="12" w:space="0"/>
                  </w:tcBorders>
                  <w:noWrap/>
                  <w:vAlign w:val="center"/>
                </w:tcPr>
                <w:p>
                  <w:pPr>
                    <w:pStyle w:val="62"/>
                  </w:pPr>
                  <w:r>
                    <w:t>表示一般固体废物贮存、处置场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8" w:type="pct"/>
                  <w:tcBorders>
                    <w:top w:val="single" w:color="auto" w:sz="6" w:space="0"/>
                    <w:left w:val="single" w:color="auto" w:sz="12" w:space="0"/>
                    <w:bottom w:val="single" w:color="auto" w:sz="6" w:space="0"/>
                    <w:right w:val="single" w:color="auto" w:sz="6" w:space="0"/>
                  </w:tcBorders>
                  <w:noWrap/>
                  <w:vAlign w:val="center"/>
                </w:tcPr>
                <w:p>
                  <w:pPr>
                    <w:pStyle w:val="62"/>
                  </w:pPr>
                  <w:r>
                    <w:t>4</w:t>
                  </w:r>
                </w:p>
              </w:tc>
              <w:tc>
                <w:tcPr>
                  <w:tcW w:w="946" w:type="pct"/>
                  <w:tcBorders>
                    <w:top w:val="single" w:color="auto" w:sz="6" w:space="0"/>
                    <w:left w:val="single" w:color="auto" w:sz="6" w:space="0"/>
                    <w:bottom w:val="single" w:color="auto" w:sz="6" w:space="0"/>
                    <w:right w:val="single" w:color="auto" w:sz="6" w:space="0"/>
                  </w:tcBorders>
                  <w:noWrap/>
                  <w:vAlign w:val="center"/>
                </w:tcPr>
                <w:p>
                  <w:pPr>
                    <w:pStyle w:val="62"/>
                  </w:pPr>
                  <w:r>
                    <w:drawing>
                      <wp:inline distT="0" distB="0" distL="114300" distR="114300">
                        <wp:extent cx="784860" cy="784860"/>
                        <wp:effectExtent l="0" t="0" r="15240" b="15240"/>
                        <wp:docPr id="46" name="图片 20" descr="说明: 200602201518049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0" descr="说明: 200602201518049853"/>
                                <pic:cNvPicPr>
                                  <a:picLocks noChangeAspect="1"/>
                                </pic:cNvPicPr>
                              </pic:nvPicPr>
                              <pic:blipFill>
                                <a:blip r:embed="rId29"/>
                                <a:stretch>
                                  <a:fillRect/>
                                </a:stretch>
                              </pic:blipFill>
                              <pic:spPr>
                                <a:xfrm>
                                  <a:off x="0" y="0"/>
                                  <a:ext cx="784860" cy="784860"/>
                                </a:xfrm>
                                <a:prstGeom prst="rect">
                                  <a:avLst/>
                                </a:prstGeom>
                                <a:noFill/>
                                <a:ln>
                                  <a:noFill/>
                                </a:ln>
                              </pic:spPr>
                            </pic:pic>
                          </a:graphicData>
                        </a:graphic>
                      </wp:inline>
                    </w:drawing>
                  </w:r>
                </w:p>
              </w:tc>
              <w:tc>
                <w:tcPr>
                  <w:tcW w:w="1009" w:type="pct"/>
                  <w:tcBorders>
                    <w:top w:val="single" w:color="auto" w:sz="6" w:space="0"/>
                    <w:left w:val="single" w:color="auto" w:sz="6" w:space="0"/>
                    <w:bottom w:val="single" w:color="auto" w:sz="6" w:space="0"/>
                    <w:right w:val="single" w:color="auto" w:sz="6" w:space="0"/>
                  </w:tcBorders>
                  <w:noWrap/>
                  <w:vAlign w:val="center"/>
                </w:tcPr>
                <w:p>
                  <w:pPr>
                    <w:pStyle w:val="62"/>
                  </w:pPr>
                  <w:r>
                    <w:drawing>
                      <wp:inline distT="0" distB="0" distL="114300" distR="114300">
                        <wp:extent cx="854075" cy="767715"/>
                        <wp:effectExtent l="0" t="0" r="3175" b="13335"/>
                        <wp:docPr id="47" name="图片 21" descr="说明: 20060220151901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1" descr="说明: 200602201519018631"/>
                                <pic:cNvPicPr>
                                  <a:picLocks noChangeAspect="1"/>
                                </pic:cNvPicPr>
                              </pic:nvPicPr>
                              <pic:blipFill>
                                <a:blip r:embed="rId30"/>
                                <a:stretch>
                                  <a:fillRect/>
                                </a:stretch>
                              </pic:blipFill>
                              <pic:spPr>
                                <a:xfrm>
                                  <a:off x="0" y="0"/>
                                  <a:ext cx="854075" cy="767715"/>
                                </a:xfrm>
                                <a:prstGeom prst="rect">
                                  <a:avLst/>
                                </a:prstGeom>
                                <a:noFill/>
                                <a:ln>
                                  <a:noFill/>
                                </a:ln>
                              </pic:spPr>
                            </pic:pic>
                          </a:graphicData>
                        </a:graphic>
                      </wp:inline>
                    </w:drawing>
                  </w:r>
                </w:p>
              </w:tc>
              <w:tc>
                <w:tcPr>
                  <w:tcW w:w="942" w:type="pct"/>
                  <w:tcBorders>
                    <w:top w:val="single" w:color="auto" w:sz="6" w:space="0"/>
                    <w:left w:val="single" w:color="auto" w:sz="6" w:space="0"/>
                    <w:bottom w:val="single" w:color="auto" w:sz="6" w:space="0"/>
                    <w:right w:val="single" w:color="auto" w:sz="6" w:space="0"/>
                  </w:tcBorders>
                  <w:noWrap/>
                  <w:vAlign w:val="center"/>
                </w:tcPr>
                <w:p>
                  <w:pPr>
                    <w:pStyle w:val="62"/>
                  </w:pPr>
                  <w:r>
                    <w:t>噪声排放源</w:t>
                  </w:r>
                </w:p>
              </w:tc>
              <w:tc>
                <w:tcPr>
                  <w:tcW w:w="1694" w:type="pct"/>
                  <w:tcBorders>
                    <w:top w:val="single" w:color="auto" w:sz="6" w:space="0"/>
                    <w:left w:val="single" w:color="auto" w:sz="6" w:space="0"/>
                    <w:bottom w:val="single" w:color="auto" w:sz="6" w:space="0"/>
                    <w:right w:val="single" w:color="auto" w:sz="12" w:space="0"/>
                  </w:tcBorders>
                  <w:noWrap/>
                  <w:vAlign w:val="center"/>
                </w:tcPr>
                <w:p>
                  <w:pPr>
                    <w:pStyle w:val="62"/>
                  </w:pPr>
                  <w:r>
                    <w:t>表示噪声向外环境排放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8" w:type="pct"/>
                  <w:tcBorders>
                    <w:top w:val="single" w:color="auto" w:sz="6" w:space="0"/>
                    <w:left w:val="single" w:color="auto" w:sz="12" w:space="0"/>
                    <w:bottom w:val="single" w:color="auto" w:sz="12" w:space="0"/>
                    <w:right w:val="single" w:color="auto" w:sz="6" w:space="0"/>
                  </w:tcBorders>
                  <w:noWrap/>
                  <w:vAlign w:val="center"/>
                </w:tcPr>
                <w:p>
                  <w:pPr>
                    <w:pStyle w:val="62"/>
                  </w:pPr>
                  <w:r>
                    <w:t>5</w:t>
                  </w:r>
                </w:p>
              </w:tc>
              <w:tc>
                <w:tcPr>
                  <w:tcW w:w="946" w:type="pct"/>
                  <w:tcBorders>
                    <w:top w:val="single" w:color="auto" w:sz="6" w:space="0"/>
                    <w:left w:val="single" w:color="auto" w:sz="6" w:space="0"/>
                    <w:bottom w:val="single" w:color="auto" w:sz="12" w:space="0"/>
                    <w:right w:val="single" w:color="auto" w:sz="6" w:space="0"/>
                  </w:tcBorders>
                  <w:noWrap/>
                  <w:vAlign w:val="center"/>
                </w:tcPr>
                <w:p>
                  <w:pPr>
                    <w:pStyle w:val="62"/>
                  </w:pPr>
                  <w:r>
                    <w:t>/</w:t>
                  </w:r>
                </w:p>
              </w:tc>
              <w:tc>
                <w:tcPr>
                  <w:tcW w:w="1009" w:type="pct"/>
                  <w:tcBorders>
                    <w:top w:val="single" w:color="auto" w:sz="6" w:space="0"/>
                    <w:left w:val="single" w:color="auto" w:sz="6" w:space="0"/>
                    <w:bottom w:val="single" w:color="auto" w:sz="12" w:space="0"/>
                    <w:right w:val="single" w:color="auto" w:sz="6" w:space="0"/>
                  </w:tcBorders>
                  <w:noWrap/>
                  <w:vAlign w:val="center"/>
                </w:tcPr>
                <w:p>
                  <w:pPr>
                    <w:pStyle w:val="62"/>
                  </w:pPr>
                  <w:r>
                    <w:drawing>
                      <wp:inline distT="0" distB="0" distL="114300" distR="114300">
                        <wp:extent cx="854075" cy="750570"/>
                        <wp:effectExtent l="0" t="0" r="3175" b="11430"/>
                        <wp:docPr id="48" name="图片 22" descr="说明: 14003_disp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2" descr="说明: 14003_disp100"/>
                                <pic:cNvPicPr>
                                  <a:picLocks noChangeAspect="1"/>
                                </pic:cNvPicPr>
                              </pic:nvPicPr>
                              <pic:blipFill>
                                <a:blip r:embed="rId31"/>
                                <a:stretch>
                                  <a:fillRect/>
                                </a:stretch>
                              </pic:blipFill>
                              <pic:spPr>
                                <a:xfrm>
                                  <a:off x="0" y="0"/>
                                  <a:ext cx="854075" cy="750570"/>
                                </a:xfrm>
                                <a:prstGeom prst="rect">
                                  <a:avLst/>
                                </a:prstGeom>
                                <a:noFill/>
                                <a:ln>
                                  <a:noFill/>
                                </a:ln>
                              </pic:spPr>
                            </pic:pic>
                          </a:graphicData>
                        </a:graphic>
                      </wp:inline>
                    </w:drawing>
                  </w:r>
                </w:p>
              </w:tc>
              <w:tc>
                <w:tcPr>
                  <w:tcW w:w="942" w:type="pct"/>
                  <w:tcBorders>
                    <w:top w:val="single" w:color="auto" w:sz="6" w:space="0"/>
                    <w:left w:val="single" w:color="auto" w:sz="6" w:space="0"/>
                    <w:bottom w:val="single" w:color="auto" w:sz="12" w:space="0"/>
                    <w:right w:val="single" w:color="auto" w:sz="6" w:space="0"/>
                  </w:tcBorders>
                  <w:noWrap/>
                  <w:vAlign w:val="center"/>
                </w:tcPr>
                <w:p>
                  <w:pPr>
                    <w:pStyle w:val="62"/>
                  </w:pPr>
                  <w:r>
                    <w:t>危险废物</w:t>
                  </w:r>
                </w:p>
              </w:tc>
              <w:tc>
                <w:tcPr>
                  <w:tcW w:w="1694" w:type="pct"/>
                  <w:tcBorders>
                    <w:top w:val="single" w:color="auto" w:sz="6" w:space="0"/>
                    <w:left w:val="single" w:color="auto" w:sz="6" w:space="0"/>
                    <w:bottom w:val="single" w:color="auto" w:sz="12" w:space="0"/>
                    <w:right w:val="single" w:color="auto" w:sz="12" w:space="0"/>
                  </w:tcBorders>
                  <w:noWrap/>
                  <w:vAlign w:val="center"/>
                </w:tcPr>
                <w:p>
                  <w:pPr>
                    <w:pStyle w:val="62"/>
                  </w:pPr>
                  <w:r>
                    <w:t>表示危险废物贮存、处置场</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both"/>
              <w:textAlignment w:val="auto"/>
              <w:rPr>
                <w:rFonts w:hint="default" w:ascii="Times New Roman" w:hAnsi="Times New Roman" w:eastAsia="宋体" w:cs="Times New Roman"/>
                <w:b/>
                <w:bCs/>
                <w:sz w:val="24"/>
                <w:szCs w:val="24"/>
                <w:lang w:val="en-US" w:eastAsia="zh-CN"/>
              </w:rPr>
            </w:pPr>
          </w:p>
        </w:tc>
      </w:tr>
    </w:tbl>
    <w:p>
      <w:pPr>
        <w:adjustRightInd w:val="0"/>
        <w:snapToGrid w:val="0"/>
        <w:spacing w:line="360" w:lineRule="auto"/>
        <w:rPr>
          <w:rFonts w:hint="eastAsia" w:ascii="宋体" w:cs="宋体"/>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22"/>
        <w:jc w:val="center"/>
        <w:outlineLvl w:val="0"/>
        <w:rPr>
          <w:rFonts w:ascii="黑体" w:hAnsi="黑体" w:eastAsia="黑体"/>
          <w:snapToGrid w:val="0"/>
          <w:sz w:val="30"/>
          <w:szCs w:val="30"/>
        </w:rPr>
      </w:pPr>
      <w:bookmarkStart w:id="12" w:name="_Toc24982"/>
      <w:r>
        <w:rPr>
          <w:rFonts w:hint="eastAsia" w:ascii="黑体" w:hAnsi="黑体" w:eastAsia="黑体"/>
          <w:snapToGrid w:val="0"/>
          <w:sz w:val="30"/>
          <w:szCs w:val="30"/>
        </w:rPr>
        <w:t>五、</w:t>
      </w:r>
      <w:bookmarkStart w:id="13" w:name="_Hlk54167917"/>
      <w:r>
        <w:rPr>
          <w:rFonts w:hint="eastAsia" w:ascii="黑体" w:hAnsi="黑体" w:eastAsia="黑体"/>
          <w:snapToGrid w:val="0"/>
          <w:sz w:val="30"/>
          <w:szCs w:val="30"/>
        </w:rPr>
        <w:t>环境保护措施监督检查清单</w:t>
      </w:r>
      <w:bookmarkEnd w:id="12"/>
      <w:bookmarkEnd w:id="13"/>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877"/>
        <w:gridCol w:w="878"/>
        <w:gridCol w:w="1755"/>
        <w:gridCol w:w="1755"/>
        <w:gridCol w:w="17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noWrap w:val="0"/>
            <w:vAlign w:val="top"/>
          </w:tcPr>
          <w:p>
            <w:pPr>
              <w:adjustRightInd w:val="0"/>
              <w:snapToGrid w:val="0"/>
              <w:ind w:firstLine="840"/>
              <w:rPr>
                <w:rFonts w:hint="eastAsia" w:ascii="宋体" w:hAnsi="宋体" w:eastAsia="宋体" w:cs="宋体"/>
                <w:sz w:val="21"/>
                <w:szCs w:val="21"/>
              </w:rPr>
            </w:pPr>
            <w:r>
              <w:rPr>
                <w:rFonts w:hint="eastAsia" w:ascii="宋体" w:hAnsi="宋体" w:eastAsia="宋体" w:cs="宋体"/>
                <w:sz w:val="21"/>
                <w:szCs w:val="21"/>
              </w:rPr>
              <w:t>内容</w:t>
            </w:r>
          </w:p>
          <w:p>
            <w:pPr>
              <w:adjustRightInd w:val="0"/>
              <w:snapToGrid w:val="0"/>
              <w:rPr>
                <w:rFonts w:hint="eastAsia" w:ascii="宋体" w:hAnsi="宋体" w:eastAsia="宋体" w:cs="宋体"/>
                <w:sz w:val="21"/>
                <w:szCs w:val="21"/>
              </w:rPr>
            </w:pPr>
            <w:r>
              <w:rPr>
                <w:rFonts w:hint="eastAsia" w:ascii="宋体" w:hAnsi="宋体" w:eastAsia="宋体" w:cs="宋体"/>
                <w:sz w:val="21"/>
                <w:szCs w:val="21"/>
              </w:rPr>
              <w:t>要素</w:t>
            </w:r>
          </w:p>
        </w:tc>
        <w:tc>
          <w:tcPr>
            <w:tcW w:w="1755" w:type="dxa"/>
            <w:gridSpan w:val="2"/>
            <w:noWrap w:val="0"/>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排放口(编号、</w:t>
            </w:r>
          </w:p>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名称)/污染源</w:t>
            </w:r>
          </w:p>
        </w:tc>
        <w:tc>
          <w:tcPr>
            <w:tcW w:w="1755" w:type="dxa"/>
            <w:noWrap w:val="0"/>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污染物项目</w:t>
            </w:r>
          </w:p>
        </w:tc>
        <w:tc>
          <w:tcPr>
            <w:tcW w:w="1755" w:type="dxa"/>
            <w:noWrap w:val="0"/>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环境保护措施</w:t>
            </w:r>
          </w:p>
        </w:tc>
        <w:tc>
          <w:tcPr>
            <w:tcW w:w="1757" w:type="dxa"/>
            <w:noWrap w:val="0"/>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noWrap w:val="0"/>
            <w:vAlign w:val="center"/>
          </w:tcPr>
          <w:p>
            <w:pPr>
              <w:adjustRightInd w:val="0"/>
              <w:snapToGrid w:val="0"/>
              <w:jc w:val="center"/>
              <w:rPr>
                <w:rFonts w:hint="default" w:ascii="宋体" w:hAnsi="宋体" w:eastAsia="宋体" w:cs="宋体"/>
                <w:sz w:val="21"/>
                <w:szCs w:val="21"/>
                <w:u w:val="single"/>
                <w:lang w:val="en-US" w:eastAsia="zh-CN"/>
              </w:rPr>
            </w:pPr>
            <w:r>
              <w:rPr>
                <w:rFonts w:hint="eastAsia" w:ascii="宋体" w:hAnsi="宋体" w:eastAsia="宋体" w:cs="宋体"/>
                <w:sz w:val="21"/>
                <w:szCs w:val="21"/>
                <w:u w:val="single"/>
                <w:lang w:val="en-US" w:eastAsia="zh-CN"/>
              </w:rPr>
              <w:t>大气环境</w:t>
            </w:r>
          </w:p>
        </w:tc>
        <w:tc>
          <w:tcPr>
            <w:tcW w:w="1755" w:type="dxa"/>
            <w:gridSpan w:val="2"/>
            <w:noWrap w:val="0"/>
            <w:vAlign w:val="center"/>
          </w:tcPr>
          <w:p>
            <w:pPr>
              <w:adjustRightInd w:val="0"/>
              <w:snapToGrid w:val="0"/>
              <w:jc w:val="center"/>
              <w:rPr>
                <w:rFonts w:hint="default" w:ascii="宋体" w:hAnsi="宋体" w:eastAsia="宋体" w:cs="宋体"/>
                <w:sz w:val="21"/>
                <w:szCs w:val="21"/>
                <w:u w:val="single"/>
                <w:lang w:val="en-US" w:eastAsia="zh-CN"/>
              </w:rPr>
            </w:pPr>
            <w:r>
              <w:rPr>
                <w:rFonts w:hint="eastAsia" w:ascii="宋体" w:hAnsi="宋体" w:cs="宋体"/>
                <w:sz w:val="21"/>
                <w:szCs w:val="21"/>
                <w:u w:val="single"/>
                <w:lang w:val="en-US" w:eastAsia="zh-CN"/>
              </w:rPr>
              <w:t>燃气热水锅炉排气口（</w:t>
            </w:r>
            <w:r>
              <w:rPr>
                <w:rFonts w:hint="default" w:ascii="Times New Roman" w:hAnsi="Times New Roman" w:cs="Times New Roman"/>
                <w:sz w:val="21"/>
                <w:szCs w:val="21"/>
                <w:u w:val="single"/>
                <w:lang w:val="en-US" w:eastAsia="zh-CN"/>
              </w:rPr>
              <w:t>DA001</w:t>
            </w:r>
            <w:r>
              <w:rPr>
                <w:rFonts w:hint="eastAsia" w:ascii="宋体" w:hAnsi="宋体" w:cs="宋体"/>
                <w:sz w:val="21"/>
                <w:szCs w:val="21"/>
                <w:u w:val="single"/>
                <w:lang w:val="en-US" w:eastAsia="zh-CN"/>
              </w:rPr>
              <w:t>）</w:t>
            </w:r>
          </w:p>
        </w:tc>
        <w:tc>
          <w:tcPr>
            <w:tcW w:w="1755" w:type="dxa"/>
            <w:noWrap w:val="0"/>
            <w:vAlign w:val="center"/>
          </w:tcPr>
          <w:p>
            <w:pPr>
              <w:jc w:val="center"/>
              <w:rPr>
                <w:rFonts w:hint="default" w:ascii="宋体" w:hAnsi="宋体" w:eastAsia="宋体" w:cs="宋体"/>
                <w:sz w:val="21"/>
                <w:szCs w:val="21"/>
                <w:u w:val="single"/>
                <w:lang w:val="en-US"/>
              </w:rPr>
            </w:pPr>
            <w:r>
              <w:rPr>
                <w:rFonts w:hint="eastAsia"/>
                <w:u w:val="single"/>
                <w:lang w:val="en-US" w:eastAsia="zh-CN"/>
              </w:rPr>
              <w:t>二氧化硫、氮氧化物、烟尘、烟气黑度</w:t>
            </w:r>
          </w:p>
        </w:tc>
        <w:tc>
          <w:tcPr>
            <w:tcW w:w="1755" w:type="dxa"/>
            <w:noWrap w:val="0"/>
            <w:vAlign w:val="center"/>
          </w:tcPr>
          <w:p>
            <w:pPr>
              <w:adjustRightInd w:val="0"/>
              <w:snapToGrid w:val="0"/>
              <w:jc w:val="center"/>
              <w:rPr>
                <w:rFonts w:hint="default" w:ascii="宋体" w:hAnsi="宋体" w:eastAsia="宋体" w:cs="宋体"/>
                <w:sz w:val="21"/>
                <w:szCs w:val="21"/>
                <w:u w:val="single"/>
                <w:lang w:val="en-US" w:eastAsia="zh-CN"/>
              </w:rPr>
            </w:pPr>
            <w:r>
              <w:rPr>
                <w:rFonts w:hint="eastAsia" w:cs="Times New Roman"/>
                <w:sz w:val="21"/>
                <w:szCs w:val="21"/>
                <w:u w:val="single"/>
                <w:lang w:val="en-US" w:eastAsia="zh-CN"/>
              </w:rPr>
              <w:t>20.0</w:t>
            </w:r>
            <w:r>
              <w:rPr>
                <w:rFonts w:hint="default" w:ascii="Times New Roman" w:hAnsi="Times New Roman" w:cs="Times New Roman"/>
                <w:sz w:val="21"/>
                <w:szCs w:val="21"/>
                <w:u w:val="single"/>
                <w:lang w:val="en-US" w:eastAsia="zh-CN"/>
              </w:rPr>
              <w:t>m</w:t>
            </w:r>
            <w:r>
              <w:rPr>
                <w:rFonts w:hint="eastAsia" w:ascii="宋体" w:hAnsi="宋体" w:cs="宋体"/>
                <w:sz w:val="21"/>
                <w:szCs w:val="21"/>
                <w:u w:val="single"/>
                <w:lang w:val="en-US" w:eastAsia="zh-CN"/>
              </w:rPr>
              <w:t>高排气筒</w:t>
            </w:r>
          </w:p>
        </w:tc>
        <w:tc>
          <w:tcPr>
            <w:tcW w:w="1757" w:type="dxa"/>
            <w:noWrap w:val="0"/>
            <w:vAlign w:val="center"/>
          </w:tcPr>
          <w:p>
            <w:pPr>
              <w:jc w:val="center"/>
              <w:rPr>
                <w:rFonts w:hint="eastAsia" w:ascii="宋体" w:hAnsi="宋体" w:eastAsia="宋体" w:cs="宋体"/>
                <w:sz w:val="21"/>
                <w:szCs w:val="21"/>
                <w:u w:val="single"/>
              </w:rPr>
            </w:pPr>
            <w:r>
              <w:rPr>
                <w:rFonts w:hint="eastAsia" w:ascii="Times New Roman" w:hAnsi="Times New Roman" w:eastAsia="宋体" w:cs="Times New Roman"/>
                <w:u w:val="single"/>
                <w:lang w:val="en-US" w:eastAsia="zh-CN"/>
              </w:rPr>
              <w:t>《锅炉大气污染物排放标准》（GB13271-2014）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noWrap w:val="0"/>
            <w:vAlign w:val="center"/>
          </w:tcPr>
          <w:p>
            <w:pPr>
              <w:adjustRightInd w:val="0"/>
              <w:snapToGrid w:val="0"/>
              <w:jc w:val="center"/>
              <w:rPr>
                <w:rFonts w:hint="eastAsia" w:ascii="宋体" w:hAnsi="宋体" w:eastAsia="宋体" w:cs="宋体"/>
                <w:sz w:val="21"/>
                <w:szCs w:val="21"/>
                <w:u w:val="single"/>
              </w:rPr>
            </w:pPr>
          </w:p>
        </w:tc>
        <w:tc>
          <w:tcPr>
            <w:tcW w:w="1755" w:type="dxa"/>
            <w:gridSpan w:val="2"/>
            <w:noWrap w:val="0"/>
            <w:vAlign w:val="center"/>
          </w:tcPr>
          <w:p>
            <w:pPr>
              <w:adjustRightInd w:val="0"/>
              <w:snapToGrid w:val="0"/>
              <w:jc w:val="center"/>
              <w:rPr>
                <w:rFonts w:hint="default" w:ascii="宋体" w:hAnsi="宋体" w:eastAsia="宋体" w:cs="宋体"/>
                <w:sz w:val="21"/>
                <w:szCs w:val="21"/>
                <w:u w:val="single"/>
                <w:lang w:val="en-US"/>
              </w:rPr>
            </w:pPr>
            <w:r>
              <w:rPr>
                <w:rFonts w:hint="eastAsia"/>
                <w:szCs w:val="21"/>
                <w:u w:val="single"/>
                <w:lang w:val="en-US" w:eastAsia="zh-CN"/>
              </w:rPr>
              <w:t>食堂油烟排放口（DA002）</w:t>
            </w:r>
          </w:p>
        </w:tc>
        <w:tc>
          <w:tcPr>
            <w:tcW w:w="1755" w:type="dxa"/>
            <w:noWrap w:val="0"/>
            <w:vAlign w:val="center"/>
          </w:tcPr>
          <w:p>
            <w:pPr>
              <w:jc w:val="center"/>
              <w:rPr>
                <w:rFonts w:hint="eastAsia" w:ascii="宋体" w:hAnsi="宋体" w:eastAsia="宋体" w:cs="宋体"/>
                <w:sz w:val="21"/>
                <w:szCs w:val="21"/>
                <w:u w:val="single"/>
              </w:rPr>
            </w:pPr>
            <w:r>
              <w:rPr>
                <w:rFonts w:hint="eastAsia"/>
                <w:szCs w:val="21"/>
                <w:u w:val="single"/>
                <w:lang w:val="en-US" w:eastAsia="zh-CN"/>
              </w:rPr>
              <w:t>油烟</w:t>
            </w:r>
          </w:p>
        </w:tc>
        <w:tc>
          <w:tcPr>
            <w:tcW w:w="1755" w:type="dxa"/>
            <w:noWrap w:val="0"/>
            <w:vAlign w:val="center"/>
          </w:tcPr>
          <w:p>
            <w:pPr>
              <w:adjustRightInd w:val="0"/>
              <w:snapToGrid w:val="0"/>
              <w:jc w:val="center"/>
              <w:rPr>
                <w:rFonts w:hint="default" w:ascii="宋体" w:hAnsi="宋体" w:eastAsia="宋体" w:cs="宋体"/>
                <w:sz w:val="21"/>
                <w:szCs w:val="21"/>
                <w:u w:val="single"/>
                <w:lang w:val="en-US" w:eastAsia="zh-CN"/>
              </w:rPr>
            </w:pPr>
            <w:r>
              <w:rPr>
                <w:rFonts w:hint="eastAsia"/>
                <w:u w:val="single"/>
                <w:lang w:val="en-US" w:eastAsia="zh-CN"/>
              </w:rPr>
              <w:t>油烟净化器</w:t>
            </w:r>
          </w:p>
        </w:tc>
        <w:tc>
          <w:tcPr>
            <w:tcW w:w="1757" w:type="dxa"/>
            <w:noWrap w:val="0"/>
            <w:vAlign w:val="center"/>
          </w:tcPr>
          <w:p>
            <w:pPr>
              <w:jc w:val="center"/>
              <w:rPr>
                <w:rFonts w:hint="eastAsia" w:ascii="宋体" w:hAnsi="宋体" w:eastAsia="宋体" w:cs="宋体"/>
                <w:sz w:val="21"/>
                <w:szCs w:val="21"/>
                <w:u w:val="single"/>
              </w:rPr>
            </w:pPr>
            <w:r>
              <w:rPr>
                <w:rFonts w:hint="eastAsia" w:ascii="Times New Roman" w:hAnsi="Times New Roman" w:eastAsia="宋体" w:cs="Times New Roman"/>
                <w:u w:val="single"/>
                <w:lang w:val="en-US" w:eastAsia="zh-CN"/>
              </w:rPr>
              <w:t>《饮食业油烟排放标准（试行）》（GB18483-2001）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noWrap w:val="0"/>
            <w:vAlign w:val="center"/>
          </w:tcPr>
          <w:p>
            <w:pPr>
              <w:adjustRightInd w:val="0"/>
              <w:snapToGrid w:val="0"/>
              <w:jc w:val="center"/>
              <w:rPr>
                <w:rFonts w:hint="eastAsia" w:ascii="宋体" w:hAnsi="宋体" w:eastAsia="宋体" w:cs="宋体"/>
                <w:sz w:val="21"/>
                <w:szCs w:val="21"/>
                <w:u w:val="single"/>
              </w:rPr>
            </w:pPr>
            <w:r>
              <w:rPr>
                <w:rFonts w:hint="eastAsia" w:ascii="宋体" w:hAnsi="宋体" w:eastAsia="宋体" w:cs="宋体"/>
                <w:sz w:val="21"/>
                <w:szCs w:val="21"/>
                <w:u w:val="single"/>
              </w:rPr>
              <w:t>地表水环境</w:t>
            </w:r>
          </w:p>
        </w:tc>
        <w:tc>
          <w:tcPr>
            <w:tcW w:w="1755" w:type="dxa"/>
            <w:gridSpan w:val="2"/>
            <w:vMerge w:val="restart"/>
            <w:noWrap w:val="0"/>
            <w:vAlign w:val="center"/>
          </w:tcPr>
          <w:p>
            <w:pPr>
              <w:adjustRightInd w:val="0"/>
              <w:snapToGrid w:val="0"/>
              <w:jc w:val="center"/>
              <w:rPr>
                <w:rFonts w:hint="eastAsia" w:ascii="宋体" w:hAnsi="宋体" w:eastAsia="宋体" w:cs="宋体"/>
                <w:sz w:val="21"/>
                <w:szCs w:val="21"/>
                <w:u w:val="single"/>
              </w:rPr>
            </w:pPr>
            <w:r>
              <w:rPr>
                <w:rFonts w:hint="eastAsia" w:ascii="宋体" w:hAnsi="宋体" w:eastAsia="宋体" w:cs="宋体"/>
                <w:sz w:val="21"/>
                <w:szCs w:val="21"/>
                <w:u w:val="single"/>
              </w:rPr>
              <w:t>生活污水、医疗废水</w:t>
            </w:r>
          </w:p>
        </w:tc>
        <w:tc>
          <w:tcPr>
            <w:tcW w:w="1755" w:type="dxa"/>
            <w:vMerge w:val="restart"/>
            <w:noWrap w:val="0"/>
            <w:vAlign w:val="center"/>
          </w:tcPr>
          <w:p>
            <w:pPr>
              <w:jc w:val="center"/>
              <w:rPr>
                <w:rFonts w:hint="eastAsia" w:ascii="宋体" w:hAnsi="宋体" w:eastAsia="宋体" w:cs="宋体"/>
                <w:sz w:val="21"/>
                <w:szCs w:val="21"/>
                <w:u w:val="single"/>
              </w:rPr>
            </w:pPr>
            <w:r>
              <w:rPr>
                <w:rFonts w:hint="eastAsia" w:ascii="宋体" w:hAnsi="宋体" w:eastAsia="宋体" w:cs="宋体"/>
                <w:sz w:val="21"/>
                <w:szCs w:val="21"/>
                <w:u w:val="single"/>
              </w:rPr>
              <w:t>pH、COD</w:t>
            </w:r>
            <w:r>
              <w:rPr>
                <w:rFonts w:hint="eastAsia" w:ascii="宋体" w:hAnsi="宋体" w:eastAsia="宋体" w:cs="宋体"/>
                <w:sz w:val="21"/>
                <w:szCs w:val="21"/>
                <w:u w:val="single"/>
                <w:vertAlign w:val="subscript"/>
              </w:rPr>
              <w:t>Cr</w:t>
            </w:r>
            <w:r>
              <w:rPr>
                <w:rFonts w:hint="eastAsia" w:ascii="宋体" w:hAnsi="宋体" w:eastAsia="宋体" w:cs="宋体"/>
                <w:sz w:val="21"/>
                <w:szCs w:val="21"/>
                <w:u w:val="single"/>
              </w:rPr>
              <w:t>、SS、BOD</w:t>
            </w:r>
            <w:r>
              <w:rPr>
                <w:rFonts w:hint="eastAsia" w:ascii="宋体" w:hAnsi="宋体" w:eastAsia="宋体" w:cs="宋体"/>
                <w:sz w:val="21"/>
                <w:szCs w:val="21"/>
                <w:u w:val="single"/>
                <w:vertAlign w:val="subscript"/>
              </w:rPr>
              <w:t>5</w:t>
            </w:r>
            <w:r>
              <w:rPr>
                <w:rFonts w:hint="eastAsia" w:ascii="宋体" w:hAnsi="宋体" w:eastAsia="宋体" w:cs="宋体"/>
                <w:sz w:val="21"/>
                <w:szCs w:val="21"/>
                <w:u w:val="single"/>
              </w:rPr>
              <w:t>、氨氮、总氮、总磷、动植物油、粪大肠菌群、总余氯</w:t>
            </w:r>
          </w:p>
        </w:tc>
        <w:tc>
          <w:tcPr>
            <w:tcW w:w="1755" w:type="dxa"/>
            <w:noWrap w:val="0"/>
            <w:vAlign w:val="center"/>
          </w:tcPr>
          <w:p>
            <w:pPr>
              <w:adjustRightInd w:val="0"/>
              <w:snapToGrid w:val="0"/>
              <w:jc w:val="center"/>
              <w:rPr>
                <w:rFonts w:hint="eastAsia" w:ascii="宋体" w:hAnsi="宋体" w:eastAsia="宋体" w:cs="宋体"/>
                <w:sz w:val="21"/>
                <w:szCs w:val="21"/>
                <w:u w:val="single"/>
              </w:rPr>
            </w:pPr>
            <w:r>
              <w:rPr>
                <w:rFonts w:hint="eastAsia" w:ascii="宋体" w:hAnsi="宋体" w:eastAsia="宋体" w:cs="宋体"/>
                <w:sz w:val="21"/>
                <w:szCs w:val="21"/>
                <w:u w:val="single"/>
                <w:lang w:val="en-US" w:eastAsia="zh-CN"/>
              </w:rPr>
              <w:t>依托湘阴县妇女儿童医院（二期）</w:t>
            </w:r>
            <w:r>
              <w:rPr>
                <w:rFonts w:hint="eastAsia" w:ascii="宋体" w:hAnsi="宋体" w:eastAsia="宋体" w:cs="宋体"/>
                <w:sz w:val="21"/>
                <w:szCs w:val="21"/>
                <w:u w:val="single"/>
              </w:rPr>
              <w:t>一体化污水处理设施处理工艺为：电絮凝+沉淀+消毒工艺，配备叠螺污泥脱水机。废水排污口规范建设</w:t>
            </w:r>
          </w:p>
        </w:tc>
        <w:tc>
          <w:tcPr>
            <w:tcW w:w="1757" w:type="dxa"/>
            <w:vMerge w:val="restart"/>
            <w:noWrap w:val="0"/>
            <w:vAlign w:val="center"/>
          </w:tcPr>
          <w:p>
            <w:pPr>
              <w:widowControl/>
              <w:jc w:val="left"/>
              <w:rPr>
                <w:rFonts w:hint="eastAsia" w:ascii="宋体" w:hAnsi="宋体" w:eastAsia="宋体" w:cs="宋体"/>
                <w:sz w:val="21"/>
                <w:szCs w:val="21"/>
                <w:u w:val="single"/>
              </w:rPr>
            </w:pPr>
            <w:r>
              <w:rPr>
                <w:rFonts w:hint="default" w:ascii="Times New Roman" w:hAnsi="Times New Roman" w:eastAsia="宋体" w:cs="Times New Roman"/>
                <w:sz w:val="21"/>
                <w:szCs w:val="21"/>
                <w:u w:val="single"/>
              </w:rPr>
              <w:t>《医疗机构水污染物排放标准》（GB18466-2005）表2预处理标准限值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noWrap w:val="0"/>
            <w:vAlign w:val="center"/>
          </w:tcPr>
          <w:p>
            <w:pPr>
              <w:adjustRightInd w:val="0"/>
              <w:snapToGrid w:val="0"/>
              <w:jc w:val="center"/>
              <w:rPr>
                <w:rFonts w:hint="eastAsia" w:ascii="宋体" w:hAnsi="宋体" w:eastAsia="宋体" w:cs="宋体"/>
                <w:sz w:val="21"/>
                <w:szCs w:val="21"/>
                <w:u w:val="single"/>
              </w:rPr>
            </w:pPr>
          </w:p>
        </w:tc>
        <w:tc>
          <w:tcPr>
            <w:tcW w:w="1755" w:type="dxa"/>
            <w:gridSpan w:val="2"/>
            <w:vMerge w:val="continue"/>
            <w:noWrap w:val="0"/>
            <w:vAlign w:val="center"/>
          </w:tcPr>
          <w:p>
            <w:pPr>
              <w:adjustRightInd w:val="0"/>
              <w:snapToGrid w:val="0"/>
              <w:jc w:val="center"/>
              <w:rPr>
                <w:rFonts w:hint="eastAsia" w:ascii="宋体" w:hAnsi="宋体" w:eastAsia="宋体" w:cs="宋体"/>
                <w:sz w:val="21"/>
                <w:szCs w:val="21"/>
                <w:u w:val="single"/>
              </w:rPr>
            </w:pPr>
          </w:p>
        </w:tc>
        <w:tc>
          <w:tcPr>
            <w:tcW w:w="1755" w:type="dxa"/>
            <w:vMerge w:val="continue"/>
            <w:noWrap w:val="0"/>
            <w:vAlign w:val="center"/>
          </w:tcPr>
          <w:p>
            <w:pPr>
              <w:adjustRightInd w:val="0"/>
              <w:snapToGrid w:val="0"/>
              <w:jc w:val="center"/>
              <w:rPr>
                <w:rFonts w:hint="eastAsia" w:ascii="宋体" w:hAnsi="宋体" w:eastAsia="宋体" w:cs="宋体"/>
                <w:sz w:val="21"/>
                <w:szCs w:val="21"/>
                <w:u w:val="single"/>
              </w:rPr>
            </w:pPr>
          </w:p>
        </w:tc>
        <w:tc>
          <w:tcPr>
            <w:tcW w:w="1755" w:type="dxa"/>
            <w:noWrap w:val="0"/>
            <w:vAlign w:val="center"/>
          </w:tcPr>
          <w:p>
            <w:pPr>
              <w:adjustRightInd w:val="0"/>
              <w:snapToGrid w:val="0"/>
              <w:jc w:val="center"/>
              <w:rPr>
                <w:rFonts w:hint="eastAsia" w:ascii="宋体" w:hAnsi="宋体" w:eastAsia="宋体" w:cs="宋体"/>
                <w:sz w:val="21"/>
                <w:szCs w:val="21"/>
                <w:u w:val="single"/>
              </w:rPr>
            </w:pPr>
            <w:r>
              <w:rPr>
                <w:rFonts w:hint="eastAsia" w:ascii="宋体" w:hAnsi="宋体" w:eastAsia="宋体" w:cs="宋体"/>
                <w:sz w:val="21"/>
                <w:szCs w:val="21"/>
                <w:u w:val="single"/>
              </w:rPr>
              <w:t>雨污分流、污污分流管网建设</w:t>
            </w:r>
          </w:p>
        </w:tc>
        <w:tc>
          <w:tcPr>
            <w:tcW w:w="1757" w:type="dxa"/>
            <w:vMerge w:val="continue"/>
            <w:noWrap w:val="0"/>
            <w:vAlign w:val="top"/>
          </w:tcPr>
          <w:p>
            <w:pPr>
              <w:adjustRightInd w:val="0"/>
              <w:snapToGrid w:val="0"/>
              <w:jc w:val="left"/>
              <w:rPr>
                <w:rFonts w:hint="eastAsia" w:ascii="宋体" w:hAnsi="宋体" w:eastAsia="宋体" w:cs="宋体"/>
                <w:sz w:val="21"/>
                <w:szCs w:val="21"/>
                <w:u w:val="singl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24" w:hRule="atLeast"/>
          <w:jc w:val="center"/>
        </w:trPr>
        <w:tc>
          <w:tcPr>
            <w:tcW w:w="1778" w:type="dxa"/>
            <w:noWrap w:val="0"/>
            <w:vAlign w:val="center"/>
          </w:tcPr>
          <w:p>
            <w:pPr>
              <w:adjustRightInd w:val="0"/>
              <w:snapToGrid w:val="0"/>
              <w:jc w:val="center"/>
              <w:rPr>
                <w:rFonts w:hint="eastAsia" w:ascii="宋体" w:hAnsi="宋体" w:eastAsia="宋体" w:cs="宋体"/>
                <w:sz w:val="21"/>
                <w:szCs w:val="21"/>
                <w:u w:val="single"/>
              </w:rPr>
            </w:pPr>
            <w:r>
              <w:rPr>
                <w:rFonts w:hint="eastAsia" w:ascii="宋体" w:hAnsi="宋体" w:eastAsia="宋体" w:cs="宋体"/>
                <w:sz w:val="21"/>
                <w:szCs w:val="21"/>
                <w:u w:val="single"/>
              </w:rPr>
              <w:t>声环境</w:t>
            </w:r>
          </w:p>
        </w:tc>
        <w:tc>
          <w:tcPr>
            <w:tcW w:w="1755" w:type="dxa"/>
            <w:gridSpan w:val="2"/>
            <w:noWrap w:val="0"/>
            <w:vAlign w:val="center"/>
          </w:tcPr>
          <w:p>
            <w:pPr>
              <w:adjustRightInd w:val="0"/>
              <w:snapToGrid w:val="0"/>
              <w:jc w:val="center"/>
              <w:rPr>
                <w:rFonts w:hint="eastAsia" w:ascii="宋体" w:hAnsi="宋体" w:eastAsia="宋体" w:cs="宋体"/>
                <w:sz w:val="21"/>
                <w:szCs w:val="21"/>
                <w:u w:val="single"/>
              </w:rPr>
            </w:pPr>
            <w:r>
              <w:rPr>
                <w:rFonts w:hint="eastAsia" w:ascii="宋体" w:hAnsi="宋体" w:eastAsia="宋体" w:cs="宋体"/>
                <w:sz w:val="21"/>
                <w:szCs w:val="21"/>
                <w:u w:val="single"/>
              </w:rPr>
              <w:t>设备噪声</w:t>
            </w:r>
          </w:p>
        </w:tc>
        <w:tc>
          <w:tcPr>
            <w:tcW w:w="1755" w:type="dxa"/>
            <w:noWrap w:val="0"/>
            <w:vAlign w:val="center"/>
          </w:tcPr>
          <w:p>
            <w:pPr>
              <w:adjustRightInd w:val="0"/>
              <w:snapToGrid w:val="0"/>
              <w:jc w:val="center"/>
              <w:rPr>
                <w:rFonts w:hint="eastAsia" w:ascii="宋体" w:hAnsi="宋体" w:eastAsia="宋体" w:cs="宋体"/>
                <w:sz w:val="21"/>
                <w:szCs w:val="21"/>
                <w:u w:val="single"/>
              </w:rPr>
            </w:pPr>
            <w:r>
              <w:rPr>
                <w:rFonts w:hint="eastAsia" w:ascii="宋体" w:hAnsi="宋体" w:eastAsia="宋体" w:cs="宋体"/>
                <w:sz w:val="21"/>
                <w:szCs w:val="21"/>
                <w:u w:val="single"/>
              </w:rPr>
              <w:t>噪声</w:t>
            </w:r>
          </w:p>
        </w:tc>
        <w:tc>
          <w:tcPr>
            <w:tcW w:w="1755" w:type="dxa"/>
            <w:noWrap w:val="0"/>
            <w:vAlign w:val="center"/>
          </w:tcPr>
          <w:p>
            <w:pPr>
              <w:adjustRightInd w:val="0"/>
              <w:snapToGrid w:val="0"/>
              <w:jc w:val="center"/>
              <w:rPr>
                <w:rFonts w:hint="eastAsia" w:ascii="宋体" w:hAnsi="宋体" w:eastAsia="宋体" w:cs="宋体"/>
                <w:sz w:val="21"/>
                <w:szCs w:val="21"/>
                <w:u w:val="single"/>
              </w:rPr>
            </w:pPr>
            <w:r>
              <w:rPr>
                <w:rFonts w:hint="eastAsia" w:ascii="宋体" w:hAnsi="宋体" w:eastAsia="宋体" w:cs="宋体"/>
                <w:sz w:val="21"/>
                <w:szCs w:val="21"/>
                <w:u w:val="single"/>
              </w:rPr>
              <w:t>水泵等动力设备噪声控制；风机设备噪声隔声、减振、降噪措施，临路房间真空隔声玻璃等。</w:t>
            </w:r>
          </w:p>
        </w:tc>
        <w:tc>
          <w:tcPr>
            <w:tcW w:w="1757" w:type="dxa"/>
            <w:noWrap w:val="0"/>
            <w:vAlign w:val="center"/>
          </w:tcPr>
          <w:p>
            <w:pPr>
              <w:adjustRightInd w:val="0"/>
              <w:snapToGrid w:val="0"/>
              <w:jc w:val="center"/>
              <w:rPr>
                <w:rFonts w:hint="eastAsia" w:ascii="宋体" w:hAnsi="宋体" w:eastAsia="宋体" w:cs="宋体"/>
                <w:sz w:val="21"/>
                <w:szCs w:val="21"/>
                <w:u w:val="single"/>
              </w:rPr>
            </w:pPr>
            <w:r>
              <w:rPr>
                <w:rFonts w:hint="default" w:ascii="Times New Roman" w:hAnsi="Times New Roman" w:eastAsia="宋体" w:cs="Times New Roman"/>
                <w:sz w:val="21"/>
                <w:szCs w:val="21"/>
                <w:u w:val="single"/>
              </w:rPr>
              <w:t>《工业企业厂界环境噪声排放标准》（GB12348-2008）中2类</w:t>
            </w:r>
            <w:r>
              <w:rPr>
                <w:rStyle w:val="30"/>
                <w:rFonts w:hint="default" w:ascii="Times New Roman" w:hAnsi="Times New Roman" w:eastAsia="宋体" w:cs="Times New Roman"/>
                <w:kern w:val="0"/>
                <w:sz w:val="21"/>
                <w:szCs w:val="21"/>
                <w:u w:val="single"/>
              </w:rPr>
              <w:t>，</w:t>
            </w:r>
            <w:r>
              <w:rPr>
                <w:rFonts w:hint="default" w:ascii="Times New Roman" w:hAnsi="Times New Roman" w:eastAsia="宋体" w:cs="Times New Roman"/>
                <w:sz w:val="21"/>
                <w:szCs w:val="21"/>
                <w:u w:val="single"/>
              </w:rPr>
              <w:t>临芙蓉北路一侧执行</w:t>
            </w:r>
            <w:r>
              <w:rPr>
                <w:rStyle w:val="30"/>
                <w:rFonts w:hint="default" w:ascii="Times New Roman" w:hAnsi="Times New Roman" w:eastAsia="宋体" w:cs="Times New Roman"/>
                <w:kern w:val="0"/>
                <w:sz w:val="21"/>
                <w:szCs w:val="21"/>
                <w:u w:val="single"/>
              </w:rPr>
              <w:t>4类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noWrap w:val="0"/>
            <w:vAlign w:val="center"/>
          </w:tcPr>
          <w:p>
            <w:pPr>
              <w:adjustRightInd w:val="0"/>
              <w:snapToGrid w:val="0"/>
              <w:jc w:val="center"/>
              <w:rPr>
                <w:rFonts w:hint="eastAsia" w:ascii="宋体" w:hAnsi="宋体" w:eastAsia="宋体" w:cs="宋体"/>
                <w:sz w:val="21"/>
                <w:szCs w:val="21"/>
                <w:u w:val="single"/>
              </w:rPr>
            </w:pPr>
            <w:r>
              <w:rPr>
                <w:rFonts w:hint="eastAsia" w:ascii="宋体" w:hAnsi="宋体" w:eastAsia="宋体" w:cs="宋体"/>
                <w:sz w:val="21"/>
                <w:szCs w:val="21"/>
                <w:u w:val="single"/>
              </w:rPr>
              <w:t>电磁辐射</w:t>
            </w:r>
          </w:p>
        </w:tc>
        <w:tc>
          <w:tcPr>
            <w:tcW w:w="7022" w:type="dxa"/>
            <w:gridSpan w:val="5"/>
            <w:noWrap w:val="0"/>
            <w:vAlign w:val="center"/>
          </w:tcPr>
          <w:p>
            <w:pPr>
              <w:adjustRightInd w:val="0"/>
              <w:snapToGrid w:val="0"/>
              <w:jc w:val="center"/>
              <w:rPr>
                <w:rFonts w:hint="eastAsia" w:ascii="宋体" w:hAnsi="宋体" w:eastAsia="宋体" w:cs="宋体"/>
                <w:sz w:val="21"/>
                <w:szCs w:val="21"/>
                <w:u w:val="single"/>
                <w:lang w:val="en-US" w:eastAsia="zh-CN"/>
              </w:rPr>
            </w:pPr>
            <w:r>
              <w:rPr>
                <w:rFonts w:hint="eastAsia" w:ascii="宋体" w:hAnsi="宋体" w:cs="宋体"/>
                <w:sz w:val="21"/>
                <w:szCs w:val="21"/>
                <w:u w:val="singl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noWrap w:val="0"/>
            <w:vAlign w:val="center"/>
          </w:tcPr>
          <w:p>
            <w:pPr>
              <w:adjustRightInd w:val="0"/>
              <w:snapToGrid w:val="0"/>
              <w:jc w:val="center"/>
              <w:rPr>
                <w:rFonts w:hint="eastAsia" w:ascii="宋体" w:hAnsi="宋体" w:eastAsia="宋体" w:cs="宋体"/>
                <w:sz w:val="21"/>
                <w:szCs w:val="21"/>
                <w:u w:val="single"/>
              </w:rPr>
            </w:pPr>
            <w:r>
              <w:rPr>
                <w:rFonts w:hint="eastAsia" w:ascii="宋体" w:hAnsi="宋体" w:eastAsia="宋体" w:cs="宋体"/>
                <w:sz w:val="21"/>
                <w:szCs w:val="21"/>
                <w:u w:val="single"/>
              </w:rPr>
              <w:t>固体废物</w:t>
            </w:r>
          </w:p>
        </w:tc>
        <w:tc>
          <w:tcPr>
            <w:tcW w:w="877" w:type="dxa"/>
            <w:noWrap w:val="0"/>
            <w:vAlign w:val="center"/>
          </w:tcPr>
          <w:p>
            <w:pPr>
              <w:jc w:val="center"/>
              <w:rPr>
                <w:rFonts w:hint="eastAsia" w:ascii="宋体" w:hAnsi="宋体" w:eastAsia="宋体" w:cs="宋体"/>
                <w:sz w:val="21"/>
                <w:szCs w:val="21"/>
                <w:u w:val="single"/>
              </w:rPr>
            </w:pPr>
            <w:r>
              <w:rPr>
                <w:rFonts w:hint="eastAsia" w:ascii="宋体" w:hAnsi="宋体" w:eastAsia="宋体" w:cs="宋体"/>
                <w:sz w:val="21"/>
                <w:szCs w:val="21"/>
                <w:u w:val="single"/>
              </w:rPr>
              <w:t>医疗废物</w:t>
            </w:r>
          </w:p>
        </w:tc>
        <w:tc>
          <w:tcPr>
            <w:tcW w:w="878" w:type="dxa"/>
            <w:noWrap w:val="0"/>
            <w:vAlign w:val="center"/>
          </w:tcPr>
          <w:p>
            <w:pPr>
              <w:jc w:val="center"/>
              <w:rPr>
                <w:rFonts w:hint="eastAsia" w:ascii="宋体" w:hAnsi="宋体" w:eastAsia="宋体" w:cs="宋体"/>
                <w:sz w:val="21"/>
                <w:szCs w:val="21"/>
                <w:u w:val="single"/>
              </w:rPr>
            </w:pPr>
            <w:r>
              <w:rPr>
                <w:rFonts w:hint="eastAsia" w:ascii="宋体" w:hAnsi="宋体" w:eastAsia="宋体" w:cs="宋体"/>
                <w:sz w:val="21"/>
                <w:szCs w:val="21"/>
                <w:u w:val="single"/>
              </w:rPr>
              <w:t>危险废物</w:t>
            </w:r>
          </w:p>
        </w:tc>
        <w:tc>
          <w:tcPr>
            <w:tcW w:w="1755" w:type="dxa"/>
            <w:noWrap w:val="0"/>
            <w:vAlign w:val="center"/>
          </w:tcPr>
          <w:p>
            <w:pPr>
              <w:adjustRightInd w:val="0"/>
              <w:snapToGrid w:val="0"/>
              <w:jc w:val="center"/>
              <w:rPr>
                <w:rFonts w:hint="eastAsia" w:ascii="宋体" w:hAnsi="宋体" w:eastAsia="宋体" w:cs="宋体"/>
                <w:sz w:val="21"/>
                <w:szCs w:val="21"/>
                <w:u w:val="single"/>
              </w:rPr>
            </w:pPr>
            <w:r>
              <w:rPr>
                <w:rFonts w:hint="eastAsia" w:ascii="宋体" w:hAnsi="宋体" w:eastAsia="宋体" w:cs="宋体"/>
                <w:sz w:val="21"/>
                <w:szCs w:val="21"/>
                <w:u w:val="single"/>
              </w:rPr>
              <w:t>医疗废物暂存间建设和医疗废物的处置费用</w:t>
            </w:r>
          </w:p>
        </w:tc>
        <w:tc>
          <w:tcPr>
            <w:tcW w:w="1755" w:type="dxa"/>
            <w:noWrap w:val="0"/>
            <w:vAlign w:val="center"/>
          </w:tcPr>
          <w:p>
            <w:pPr>
              <w:snapToGrid w:val="0"/>
              <w:jc w:val="center"/>
              <w:rPr>
                <w:rFonts w:hint="eastAsia" w:ascii="宋体" w:hAnsi="宋体" w:eastAsia="宋体" w:cs="宋体"/>
                <w:sz w:val="21"/>
                <w:szCs w:val="21"/>
                <w:u w:val="single"/>
              </w:rPr>
            </w:pPr>
            <w:r>
              <w:rPr>
                <w:rFonts w:hint="eastAsia" w:ascii="宋体" w:hAnsi="宋体" w:eastAsia="宋体" w:cs="宋体"/>
                <w:sz w:val="21"/>
                <w:szCs w:val="21"/>
                <w:u w:val="single"/>
              </w:rPr>
              <w:t>处置协议、新建暂存间建设情况，暂存时间不超过48h</w:t>
            </w:r>
          </w:p>
        </w:tc>
        <w:tc>
          <w:tcPr>
            <w:tcW w:w="1757" w:type="dxa"/>
            <w:noWrap w:val="0"/>
            <w:vAlign w:val="center"/>
          </w:tcPr>
          <w:p>
            <w:pPr>
              <w:adjustRightInd w:val="0"/>
              <w:snapToGrid w:val="0"/>
              <w:jc w:val="left"/>
              <w:rPr>
                <w:rFonts w:hint="eastAsia" w:ascii="宋体" w:hAnsi="宋体" w:eastAsia="宋体" w:cs="宋体"/>
                <w:sz w:val="21"/>
                <w:szCs w:val="21"/>
                <w:u w:val="single"/>
              </w:rPr>
            </w:pPr>
            <w:r>
              <w:rPr>
                <w:rFonts w:hint="eastAsia" w:ascii="宋体" w:hAnsi="宋体" w:eastAsia="宋体" w:cs="宋体"/>
                <w:sz w:val="21"/>
                <w:szCs w:val="21"/>
                <w:u w:val="single"/>
              </w:rPr>
              <w:t>《危险废物贮存污染控制标准》（GB18597-2001）、《危险废物转移联单管理办法》、《医疗废物转运车技术要求》（GB1927-2003）（试行）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noWrap w:val="0"/>
            <w:vAlign w:val="center"/>
          </w:tcPr>
          <w:p>
            <w:pPr>
              <w:adjustRightInd w:val="0"/>
              <w:snapToGrid w:val="0"/>
              <w:jc w:val="left"/>
              <w:rPr>
                <w:rFonts w:hint="eastAsia" w:ascii="宋体" w:hAnsi="宋体" w:eastAsia="宋体" w:cs="宋体"/>
                <w:sz w:val="21"/>
                <w:szCs w:val="21"/>
                <w:u w:val="single"/>
              </w:rPr>
            </w:pPr>
          </w:p>
        </w:tc>
        <w:tc>
          <w:tcPr>
            <w:tcW w:w="877" w:type="dxa"/>
            <w:noWrap w:val="0"/>
            <w:vAlign w:val="center"/>
          </w:tcPr>
          <w:p>
            <w:pPr>
              <w:jc w:val="center"/>
              <w:rPr>
                <w:rFonts w:hint="eastAsia" w:ascii="宋体" w:hAnsi="宋体" w:eastAsia="宋体" w:cs="宋体"/>
                <w:sz w:val="21"/>
                <w:szCs w:val="21"/>
                <w:u w:val="single"/>
              </w:rPr>
            </w:pPr>
            <w:r>
              <w:rPr>
                <w:rFonts w:hint="eastAsia" w:ascii="宋体" w:hAnsi="宋体" w:eastAsia="宋体" w:cs="宋体"/>
                <w:sz w:val="21"/>
                <w:szCs w:val="21"/>
                <w:u w:val="single"/>
              </w:rPr>
              <w:t>一般固废</w:t>
            </w:r>
          </w:p>
        </w:tc>
        <w:tc>
          <w:tcPr>
            <w:tcW w:w="878" w:type="dxa"/>
            <w:noWrap w:val="0"/>
            <w:vAlign w:val="center"/>
          </w:tcPr>
          <w:p>
            <w:pPr>
              <w:jc w:val="center"/>
              <w:rPr>
                <w:rFonts w:hint="eastAsia" w:ascii="宋体" w:hAnsi="宋体" w:eastAsia="宋体" w:cs="宋体"/>
                <w:sz w:val="21"/>
                <w:szCs w:val="21"/>
                <w:u w:val="single"/>
              </w:rPr>
            </w:pPr>
            <w:r>
              <w:rPr>
                <w:rFonts w:hint="eastAsia" w:ascii="宋体" w:hAnsi="宋体" w:eastAsia="宋体" w:cs="宋体"/>
                <w:sz w:val="21"/>
                <w:szCs w:val="21"/>
                <w:u w:val="single"/>
              </w:rPr>
              <w:t>一般固废</w:t>
            </w:r>
          </w:p>
        </w:tc>
        <w:tc>
          <w:tcPr>
            <w:tcW w:w="1755" w:type="dxa"/>
            <w:noWrap w:val="0"/>
            <w:vAlign w:val="center"/>
          </w:tcPr>
          <w:p>
            <w:pPr>
              <w:adjustRightInd w:val="0"/>
              <w:snapToGrid w:val="0"/>
              <w:jc w:val="center"/>
              <w:rPr>
                <w:rFonts w:hint="eastAsia" w:ascii="宋体" w:hAnsi="宋体" w:eastAsia="宋体" w:cs="宋体"/>
                <w:sz w:val="21"/>
                <w:szCs w:val="21"/>
                <w:u w:val="single"/>
              </w:rPr>
            </w:pPr>
            <w:r>
              <w:rPr>
                <w:rFonts w:hint="eastAsia" w:ascii="宋体" w:hAnsi="宋体" w:eastAsia="宋体" w:cs="宋体"/>
                <w:sz w:val="21"/>
                <w:szCs w:val="21"/>
                <w:u w:val="single"/>
              </w:rPr>
              <w:t>一般固废暂存间暂存</w:t>
            </w:r>
          </w:p>
        </w:tc>
        <w:tc>
          <w:tcPr>
            <w:tcW w:w="1755" w:type="dxa"/>
            <w:noWrap w:val="0"/>
            <w:vAlign w:val="center"/>
          </w:tcPr>
          <w:p>
            <w:pPr>
              <w:snapToGrid w:val="0"/>
              <w:jc w:val="center"/>
              <w:rPr>
                <w:rFonts w:hint="eastAsia" w:ascii="宋体" w:hAnsi="宋体" w:eastAsia="宋体" w:cs="宋体"/>
                <w:sz w:val="21"/>
                <w:szCs w:val="21"/>
                <w:u w:val="single"/>
              </w:rPr>
            </w:pPr>
            <w:r>
              <w:rPr>
                <w:rFonts w:hint="eastAsia" w:ascii="宋体" w:hAnsi="宋体" w:eastAsia="宋体" w:cs="宋体"/>
                <w:sz w:val="21"/>
                <w:szCs w:val="21"/>
                <w:u w:val="single"/>
              </w:rPr>
              <w:t>处置协议</w:t>
            </w:r>
          </w:p>
        </w:tc>
        <w:tc>
          <w:tcPr>
            <w:tcW w:w="1757" w:type="dxa"/>
            <w:noWrap w:val="0"/>
            <w:vAlign w:val="center"/>
          </w:tcPr>
          <w:p>
            <w:pPr>
              <w:adjustRightInd w:val="0"/>
              <w:snapToGrid w:val="0"/>
              <w:jc w:val="left"/>
              <w:rPr>
                <w:rFonts w:hint="eastAsia" w:ascii="宋体" w:hAnsi="宋体" w:eastAsia="宋体" w:cs="宋体"/>
                <w:sz w:val="21"/>
                <w:szCs w:val="21"/>
                <w:u w:val="single"/>
              </w:rPr>
            </w:pPr>
            <w:r>
              <w:rPr>
                <w:rFonts w:hint="default" w:ascii="宋体" w:hAnsi="宋体" w:eastAsia="宋体" w:cs="宋体"/>
                <w:sz w:val="21"/>
                <w:szCs w:val="21"/>
                <w:u w:val="single"/>
                <w:lang w:val="en-US" w:eastAsia="zh-CN"/>
              </w:rPr>
              <w:t>《</w:t>
            </w:r>
            <w:r>
              <w:rPr>
                <w:rFonts w:hint="default" w:ascii="宋体" w:hAnsi="宋体" w:eastAsia="宋体" w:cs="宋体"/>
                <w:sz w:val="21"/>
                <w:szCs w:val="21"/>
                <w:u w:val="single"/>
                <w:lang w:val="en-US" w:eastAsia="zh-CN"/>
              </w:rPr>
              <w:fldChar w:fldCharType="begin"/>
            </w:r>
            <w:r>
              <w:rPr>
                <w:rFonts w:hint="default" w:ascii="宋体" w:hAnsi="宋体" w:eastAsia="宋体" w:cs="宋体"/>
                <w:sz w:val="21"/>
                <w:szCs w:val="21"/>
                <w:u w:val="single"/>
                <w:lang w:val="en-US" w:eastAsia="zh-CN"/>
              </w:rPr>
              <w:instrText xml:space="preserve"> HYPERLINK "https://www.mee.gov.cn/ywgz/fgbz/bz/bzwb/gthw/gtfwwrkzbz/202012/W020201218695845325455.pdf" </w:instrText>
            </w:r>
            <w:r>
              <w:rPr>
                <w:rFonts w:hint="default" w:ascii="宋体" w:hAnsi="宋体" w:eastAsia="宋体" w:cs="宋体"/>
                <w:sz w:val="21"/>
                <w:szCs w:val="21"/>
                <w:u w:val="single"/>
                <w:lang w:val="en-US" w:eastAsia="zh-CN"/>
              </w:rPr>
              <w:fldChar w:fldCharType="separate"/>
            </w:r>
            <w:r>
              <w:rPr>
                <w:rFonts w:hint="default" w:ascii="宋体" w:hAnsi="宋体" w:eastAsia="宋体" w:cs="宋体"/>
                <w:sz w:val="21"/>
                <w:szCs w:val="21"/>
                <w:u w:val="single"/>
                <w:lang w:val="en-US" w:eastAsia="zh-CN"/>
              </w:rPr>
              <w:t>一般工业固体废物贮存和填埋污染控制标准》（GB18599-2020）</w:t>
            </w:r>
            <w:r>
              <w:rPr>
                <w:rFonts w:hint="default" w:ascii="宋体" w:hAnsi="宋体" w:eastAsia="宋体" w:cs="宋体"/>
                <w:sz w:val="21"/>
                <w:szCs w:val="21"/>
                <w:u w:val="single"/>
                <w:lang w:val="en-US" w:eastAsia="zh-CN"/>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vMerge w:val="continue"/>
            <w:noWrap w:val="0"/>
            <w:vAlign w:val="center"/>
          </w:tcPr>
          <w:p>
            <w:pPr>
              <w:adjustRightInd w:val="0"/>
              <w:snapToGrid w:val="0"/>
              <w:jc w:val="left"/>
              <w:rPr>
                <w:rFonts w:hint="eastAsia" w:ascii="宋体" w:hAnsi="宋体" w:eastAsia="宋体" w:cs="宋体"/>
                <w:sz w:val="21"/>
                <w:szCs w:val="21"/>
                <w:u w:val="single"/>
              </w:rPr>
            </w:pPr>
          </w:p>
        </w:tc>
        <w:tc>
          <w:tcPr>
            <w:tcW w:w="877" w:type="dxa"/>
            <w:noWrap w:val="0"/>
            <w:vAlign w:val="center"/>
          </w:tcPr>
          <w:p>
            <w:pPr>
              <w:jc w:val="center"/>
              <w:rPr>
                <w:rFonts w:hint="eastAsia" w:ascii="宋体" w:hAnsi="宋体" w:eastAsia="宋体" w:cs="宋体"/>
                <w:sz w:val="21"/>
                <w:szCs w:val="21"/>
                <w:u w:val="single"/>
              </w:rPr>
            </w:pPr>
            <w:r>
              <w:rPr>
                <w:rFonts w:hint="eastAsia" w:ascii="宋体" w:hAnsi="宋体" w:eastAsia="宋体" w:cs="宋体"/>
                <w:sz w:val="21"/>
                <w:szCs w:val="21"/>
                <w:u w:val="single"/>
              </w:rPr>
              <w:t>生活垃圾</w:t>
            </w:r>
          </w:p>
        </w:tc>
        <w:tc>
          <w:tcPr>
            <w:tcW w:w="878" w:type="dxa"/>
            <w:noWrap w:val="0"/>
            <w:vAlign w:val="center"/>
          </w:tcPr>
          <w:p>
            <w:pPr>
              <w:jc w:val="center"/>
              <w:rPr>
                <w:rFonts w:hint="eastAsia" w:ascii="宋体" w:hAnsi="宋体" w:eastAsia="宋体" w:cs="宋体"/>
                <w:sz w:val="21"/>
                <w:szCs w:val="21"/>
                <w:u w:val="single"/>
              </w:rPr>
            </w:pPr>
            <w:r>
              <w:rPr>
                <w:rFonts w:hint="eastAsia" w:ascii="宋体" w:hAnsi="宋体" w:eastAsia="宋体" w:cs="宋体"/>
                <w:sz w:val="21"/>
                <w:szCs w:val="21"/>
                <w:u w:val="single"/>
              </w:rPr>
              <w:t>一般固废</w:t>
            </w:r>
          </w:p>
        </w:tc>
        <w:tc>
          <w:tcPr>
            <w:tcW w:w="1755" w:type="dxa"/>
            <w:noWrap w:val="0"/>
            <w:vAlign w:val="center"/>
          </w:tcPr>
          <w:p>
            <w:pPr>
              <w:adjustRightInd w:val="0"/>
              <w:snapToGrid w:val="0"/>
              <w:jc w:val="center"/>
              <w:rPr>
                <w:rFonts w:hint="eastAsia" w:ascii="宋体" w:hAnsi="宋体" w:eastAsia="宋体" w:cs="宋体"/>
                <w:sz w:val="21"/>
                <w:szCs w:val="21"/>
                <w:u w:val="single"/>
              </w:rPr>
            </w:pPr>
            <w:r>
              <w:rPr>
                <w:rFonts w:hint="eastAsia" w:ascii="宋体" w:hAnsi="宋体" w:eastAsia="宋体" w:cs="宋体"/>
                <w:sz w:val="21"/>
                <w:szCs w:val="21"/>
                <w:u w:val="single"/>
              </w:rPr>
              <w:t>生活垃圾暂存间</w:t>
            </w:r>
          </w:p>
        </w:tc>
        <w:tc>
          <w:tcPr>
            <w:tcW w:w="1755" w:type="dxa"/>
            <w:noWrap w:val="0"/>
            <w:vAlign w:val="center"/>
          </w:tcPr>
          <w:p>
            <w:pPr>
              <w:snapToGrid w:val="0"/>
              <w:jc w:val="center"/>
              <w:rPr>
                <w:rFonts w:hint="eastAsia" w:ascii="宋体" w:hAnsi="宋体" w:eastAsia="宋体" w:cs="宋体"/>
                <w:sz w:val="21"/>
                <w:szCs w:val="21"/>
                <w:u w:val="single"/>
              </w:rPr>
            </w:pPr>
            <w:r>
              <w:rPr>
                <w:rFonts w:hint="eastAsia" w:ascii="宋体" w:hAnsi="宋体" w:eastAsia="宋体" w:cs="宋体"/>
                <w:sz w:val="21"/>
                <w:szCs w:val="21"/>
                <w:u w:val="single"/>
              </w:rPr>
              <w:t>日产日清</w:t>
            </w:r>
          </w:p>
        </w:tc>
        <w:tc>
          <w:tcPr>
            <w:tcW w:w="1757" w:type="dxa"/>
            <w:noWrap w:val="0"/>
            <w:vAlign w:val="center"/>
          </w:tcPr>
          <w:p>
            <w:pPr>
              <w:adjustRightInd w:val="0"/>
              <w:snapToGrid w:val="0"/>
              <w:jc w:val="left"/>
              <w:rPr>
                <w:rFonts w:hint="eastAsia" w:ascii="宋体" w:hAnsi="宋体" w:eastAsia="宋体" w:cs="宋体"/>
                <w:sz w:val="21"/>
                <w:szCs w:val="21"/>
                <w:u w:val="single"/>
              </w:rPr>
            </w:pPr>
            <w:r>
              <w:rPr>
                <w:rFonts w:hint="eastAsia" w:ascii="宋体" w:hAnsi="宋体" w:eastAsia="宋体" w:cs="宋体"/>
                <w:sz w:val="21"/>
                <w:szCs w:val="21"/>
                <w:u w:val="single"/>
                <w:lang w:val="en-US" w:eastAsia="zh-CN"/>
              </w:rPr>
              <w:t>《生活垃圾焚烧污染控制标准》（GB18485-2014）及其修改单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noWrap w:val="0"/>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土壤及地下水</w:t>
            </w:r>
          </w:p>
          <w:p>
            <w:pPr>
              <w:adjustRightInd w:val="0"/>
              <w:snapToGrid w:val="0"/>
              <w:jc w:val="left"/>
              <w:rPr>
                <w:rFonts w:hint="eastAsia" w:ascii="宋体" w:hAnsi="宋体" w:eastAsia="宋体" w:cs="宋体"/>
                <w:spacing w:val="-8"/>
                <w:sz w:val="21"/>
                <w:szCs w:val="21"/>
              </w:rPr>
            </w:pPr>
            <w:r>
              <w:rPr>
                <w:rFonts w:hint="eastAsia" w:ascii="宋体" w:hAnsi="宋体" w:eastAsia="宋体" w:cs="宋体"/>
                <w:sz w:val="21"/>
                <w:szCs w:val="21"/>
              </w:rPr>
              <w:t>污染防治措施</w:t>
            </w:r>
          </w:p>
        </w:tc>
        <w:tc>
          <w:tcPr>
            <w:tcW w:w="7022" w:type="dxa"/>
            <w:gridSpan w:val="5"/>
            <w:noWrap w:val="0"/>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建设单位应确保做好医疗废物暂存间等容易引起土壤、地下水污染的区域的管理，做好防渗、防雨、防风、防淋等措施，定期巡查，避免发生跑冒滴漏现象，如发现应立即采取应急措施，确保不会对地下水造成大的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noWrap w:val="0"/>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生态保护措施</w:t>
            </w:r>
          </w:p>
        </w:tc>
        <w:tc>
          <w:tcPr>
            <w:tcW w:w="7022" w:type="dxa"/>
            <w:gridSpan w:val="5"/>
            <w:noWrap w:val="0"/>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建设项目应加强厂区内绿化，尽量选择降噪效果好的植物，并注意植被的合理布局，进行全面规划，以营造良好的生产生活环境。加强绿化面积，不仅有利于净化空气中的颗粒物和有害气体，吸声降噪，还有利于美化厂容，树立绿色企业形象，有利于区域生态环境的建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1778" w:type="dxa"/>
            <w:noWrap w:val="0"/>
            <w:vAlign w:val="center"/>
          </w:tcPr>
          <w:p>
            <w:pPr>
              <w:adjustRightInd w:val="0"/>
              <w:snapToGrid w:val="0"/>
              <w:jc w:val="center"/>
              <w:rPr>
                <w:rFonts w:hint="eastAsia" w:ascii="宋体" w:hAnsi="宋体" w:eastAsia="宋体" w:cs="宋体"/>
                <w:spacing w:val="-8"/>
                <w:sz w:val="21"/>
                <w:szCs w:val="21"/>
              </w:rPr>
            </w:pPr>
            <w:r>
              <w:rPr>
                <w:rFonts w:hint="eastAsia" w:ascii="宋体" w:hAnsi="宋体" w:eastAsia="宋体" w:cs="宋体"/>
                <w:spacing w:val="-8"/>
                <w:sz w:val="21"/>
                <w:szCs w:val="21"/>
              </w:rPr>
              <w:t>环境风险</w:t>
            </w:r>
          </w:p>
          <w:p>
            <w:pPr>
              <w:adjustRightInd w:val="0"/>
              <w:snapToGrid w:val="0"/>
              <w:jc w:val="center"/>
              <w:rPr>
                <w:rFonts w:hint="eastAsia" w:ascii="宋体" w:hAnsi="宋体" w:eastAsia="宋体" w:cs="宋体"/>
                <w:sz w:val="21"/>
                <w:szCs w:val="21"/>
              </w:rPr>
            </w:pPr>
            <w:r>
              <w:rPr>
                <w:rFonts w:hint="eastAsia" w:ascii="宋体" w:hAnsi="宋体" w:eastAsia="宋体" w:cs="宋体"/>
                <w:spacing w:val="-8"/>
                <w:sz w:val="21"/>
                <w:szCs w:val="21"/>
              </w:rPr>
              <w:t>防范措施</w:t>
            </w:r>
          </w:p>
        </w:tc>
        <w:tc>
          <w:tcPr>
            <w:tcW w:w="7022" w:type="dxa"/>
            <w:gridSpan w:val="5"/>
            <w:noWrap w:val="0"/>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加强各原辅料的管理，</w:t>
            </w:r>
            <w:r>
              <w:rPr>
                <w:rFonts w:hint="eastAsia" w:ascii="宋体" w:hAnsi="宋体" w:eastAsia="宋体" w:cs="宋体"/>
                <w:kern w:val="0"/>
                <w:sz w:val="21"/>
                <w:szCs w:val="21"/>
              </w:rPr>
              <w:t>根据《医疗废物分类目录要求》，对废物实施分类管理，医疗废物产生地点应当有医疗废物分类收集方法的示意图或者文字说明，运送医疗废物应当使用防渗漏、防遗撒、无锐利边角、易于装卸和清洁的专用运送工具，每天运送工作结束后，应当对运送工具进行清洁和消毒，建立医疗废物暂时贮存设施、设备，不得露天存放医疗废物；医疗废物暂时贮存的时间不得超过2天，将医疗废物交由有医疗废物集中处置资质单位处置，依照危险废物转移联单制度填写和保存转移联单，将医疗废物交由有医疗废物集中处置资质单位处置，依照危险废物转移联单制度填写和保存转移联单，对医疗废物进行登记，登记内容应当包括废物的来源、种类、重量或者数量、交接时间、最终去向以及经办人签名等项目，登记资料至少保存3年；</w:t>
            </w:r>
            <w:r>
              <w:rPr>
                <w:rFonts w:hint="eastAsia" w:ascii="宋体" w:hAnsi="宋体" w:eastAsia="宋体" w:cs="宋体"/>
                <w:sz w:val="21"/>
                <w:szCs w:val="21"/>
              </w:rPr>
              <w:t>加强职工的安全教育，提高安全防范风险的意识，安排工作人员定期对废水处理设备进行查验和检修。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noWrap w:val="0"/>
            <w:vAlign w:val="center"/>
          </w:tcPr>
          <w:p>
            <w:pPr>
              <w:adjustRightInd w:val="0"/>
              <w:snapToGrid w:val="0"/>
              <w:jc w:val="center"/>
              <w:rPr>
                <w:rFonts w:hint="eastAsia" w:ascii="宋体" w:hAnsi="宋体" w:eastAsia="宋体" w:cs="宋体"/>
                <w:spacing w:val="-8"/>
                <w:sz w:val="21"/>
                <w:szCs w:val="21"/>
              </w:rPr>
            </w:pPr>
            <w:r>
              <w:rPr>
                <w:rFonts w:hint="eastAsia" w:ascii="宋体" w:hAnsi="宋体" w:eastAsia="宋体" w:cs="宋体"/>
                <w:spacing w:val="-8"/>
                <w:sz w:val="21"/>
                <w:szCs w:val="21"/>
              </w:rPr>
              <w:t>其他环境</w:t>
            </w:r>
          </w:p>
          <w:p>
            <w:pPr>
              <w:adjustRightInd w:val="0"/>
              <w:snapToGrid w:val="0"/>
              <w:jc w:val="center"/>
              <w:rPr>
                <w:rFonts w:hint="eastAsia" w:ascii="宋体" w:hAnsi="宋体" w:eastAsia="宋体" w:cs="宋体"/>
                <w:sz w:val="21"/>
                <w:szCs w:val="21"/>
              </w:rPr>
            </w:pPr>
            <w:r>
              <w:rPr>
                <w:rFonts w:hint="eastAsia" w:ascii="宋体" w:hAnsi="宋体" w:eastAsia="宋体" w:cs="宋体"/>
                <w:spacing w:val="-8"/>
                <w:sz w:val="21"/>
                <w:szCs w:val="21"/>
              </w:rPr>
              <w:t>管理要求</w:t>
            </w:r>
          </w:p>
        </w:tc>
        <w:tc>
          <w:tcPr>
            <w:tcW w:w="7022" w:type="dxa"/>
            <w:gridSpan w:val="5"/>
            <w:noWrap w:val="0"/>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1、根据《固定污染源排污许可分类管理名录 (2019 年版)》，本项目应实行简化管理。</w:t>
            </w:r>
          </w:p>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2、根据《建设项目竣工环境保护验收暂行办法》的规定，建设项目竣工后，建设单位应当如实查验、监测、记载建设项目环境保护设施的建设和调试情况，编制验收监测报告。</w:t>
            </w:r>
          </w:p>
        </w:tc>
      </w:tr>
    </w:tbl>
    <w:p>
      <w:pPr>
        <w:pStyle w:val="22"/>
        <w:jc w:val="center"/>
        <w:outlineLvl w:val="0"/>
        <w:rPr>
          <w:rFonts w:ascii="黑体" w:hAnsi="黑体" w:eastAsia="黑体"/>
          <w:snapToGrid w:val="0"/>
          <w:sz w:val="30"/>
          <w:szCs w:val="30"/>
        </w:rPr>
      </w:pPr>
      <w:r>
        <w:rPr>
          <w:snapToGrid w:val="0"/>
        </w:rPr>
        <w:br w:type="page"/>
      </w:r>
      <w:bookmarkStart w:id="14" w:name="_Toc1838"/>
      <w:r>
        <w:rPr>
          <w:rFonts w:hint="eastAsia" w:ascii="黑体" w:hAnsi="黑体" w:eastAsia="黑体"/>
          <w:snapToGrid w:val="0"/>
          <w:sz w:val="30"/>
          <w:szCs w:val="30"/>
        </w:rPr>
        <w:t>六、结论</w:t>
      </w:r>
      <w:bookmarkEnd w:id="14"/>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1）城发月子中心及湘阴县妇女儿童医院（二期）配套设施建设项目的建设是为了完善湘阴县妇女儿童医院（二期）建设项目配套服务功能用房，完善湘阴县医疗卫生服务体系建设，满足人民群众的医疗保健服务需求，提高妇女儿童健康水平提出的，项目建设符合国家及省市县有关政策法规，符合湘阴县城市总体规划并适卫生业发展要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（2）城发月子中心建设项目符合国家、地区相关妇幼卫生事业发展要求，其建设有助于解决地区妇幼健康服务医疗资源紧缺问题，满足地区妇女儿童日益增长的医疗服务需求，是一项利民工程。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（3）项目建设的规模合理，功能适用，符合湘阴县城市的规划的要求。项目选址科学，建设条件基本具备，工程技术方案成熟。</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sz w:val="24"/>
              </w:rPr>
              <w:t>因此，从环境保护的角度出发，本评价认为在建设单位加强环境管理、做好污染控制措施前提下，本项目的建设是可行的。</w:t>
            </w:r>
          </w:p>
        </w:tc>
      </w:tr>
    </w:tbl>
    <w:p>
      <w:pPr>
        <w:rPr>
          <w:rFonts w:ascii="宋体"/>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2"/>
        <w:adjustRightInd w:val="0"/>
        <w:snapToGrid w:val="0"/>
        <w:spacing w:before="0" w:beforeAutospacing="0" w:after="0" w:afterAutospacing="0" w:line="648" w:lineRule="auto"/>
        <w:outlineLvl w:val="0"/>
        <w:rPr>
          <w:rFonts w:ascii="黑体" w:hAnsi="黑体" w:eastAsia="黑体"/>
          <w:snapToGrid w:val="0"/>
          <w:sz w:val="32"/>
          <w:szCs w:val="32"/>
        </w:rPr>
      </w:pPr>
      <w:bookmarkStart w:id="15" w:name="_Toc8394"/>
      <w:r>
        <w:rPr>
          <w:rFonts w:hint="eastAsia" w:ascii="黑体" w:hAnsi="黑体" w:eastAsia="黑体"/>
          <w:snapToGrid w:val="0"/>
          <w:sz w:val="32"/>
          <w:szCs w:val="32"/>
        </w:rPr>
        <w:t>附表</w:t>
      </w:r>
      <w:bookmarkEnd w:id="15"/>
    </w:p>
    <w:p>
      <w:pPr>
        <w:pStyle w:val="22"/>
        <w:adjustRightInd w:val="0"/>
        <w:snapToGrid w:val="0"/>
        <w:spacing w:before="0" w:beforeAutospacing="0" w:after="0" w:afterAutospacing="0" w:line="552" w:lineRule="auto"/>
        <w:jc w:val="center"/>
        <w:outlineLvl w:val="0"/>
        <w:rPr>
          <w:rFonts w:hint="eastAsia" w:ascii="方正小标宋_GBK" w:hAnsi="黑体" w:eastAsia="方正小标宋_GBK"/>
          <w:snapToGrid w:val="0"/>
          <w:sz w:val="38"/>
          <w:szCs w:val="38"/>
        </w:rPr>
      </w:pPr>
      <w:bookmarkStart w:id="16" w:name="_Toc12924"/>
      <w:r>
        <w:rPr>
          <w:rFonts w:hint="eastAsia" w:ascii="方正小标宋_GBK" w:hAnsi="黑体" w:eastAsia="方正小标宋_GBK"/>
          <w:snapToGrid w:val="0"/>
          <w:sz w:val="38"/>
          <w:szCs w:val="38"/>
        </w:rPr>
        <w:t>建设项目污染物排放量汇总表</w:t>
      </w:r>
      <w:bookmarkEnd w:id="16"/>
    </w:p>
    <w:tbl>
      <w:tblPr>
        <w:tblStyle w:val="25"/>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959"/>
        <w:gridCol w:w="8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noWrap w:val="0"/>
            <w:tcMar>
              <w:left w:w="28" w:type="dxa"/>
              <w:right w:w="28" w:type="dxa"/>
            </w:tcMar>
            <w:vAlign w:val="center"/>
          </w:tcPr>
          <w:p>
            <w:pPr>
              <w:pStyle w:val="43"/>
              <w:spacing w:beforeLines="0" w:afterLines="0" w:line="240" w:lineRule="auto"/>
              <w:jc w:val="right"/>
              <w:rPr>
                <w:rFonts w:hint="eastAsia"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项目</w:t>
            </w:r>
          </w:p>
          <w:p>
            <w:pPr>
              <w:pStyle w:val="43"/>
              <w:spacing w:beforeLines="0" w:afterLines="0" w:line="240" w:lineRule="auto"/>
              <w:jc w:val="left"/>
              <w:rPr>
                <w:rFonts w:hint="eastAsia"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分类</w:t>
            </w:r>
          </w:p>
        </w:tc>
        <w:tc>
          <w:tcPr>
            <w:tcW w:w="1417" w:type="dxa"/>
            <w:noWrap w:val="0"/>
            <w:tcMar>
              <w:left w:w="28" w:type="dxa"/>
              <w:right w:w="28" w:type="dxa"/>
            </w:tcMar>
            <w:vAlign w:val="center"/>
          </w:tcPr>
          <w:p>
            <w:pPr>
              <w:pStyle w:val="43"/>
              <w:spacing w:beforeLines="0" w:afterLines="0" w:line="240" w:lineRule="auto"/>
              <w:rPr>
                <w:rFonts w:hint="eastAsia"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污染物名称</w:t>
            </w:r>
          </w:p>
        </w:tc>
        <w:tc>
          <w:tcPr>
            <w:tcW w:w="1701" w:type="dxa"/>
            <w:noWrap w:val="0"/>
            <w:tcMar>
              <w:left w:w="28" w:type="dxa"/>
              <w:right w:w="28" w:type="dxa"/>
            </w:tcMar>
            <w:vAlign w:val="center"/>
          </w:tcPr>
          <w:p>
            <w:pPr>
              <w:pStyle w:val="43"/>
              <w:spacing w:beforeLines="0" w:afterLines="0" w:line="240" w:lineRule="auto"/>
              <w:rPr>
                <w:rFonts w:hint="eastAsia" w:ascii="黑体" w:hAnsi="黑体" w:eastAsia="黑体"/>
                <w:snapToGrid w:val="0"/>
                <w:color w:val="000000"/>
                <w:spacing w:val="-6"/>
                <w:kern w:val="21"/>
                <w:szCs w:val="21"/>
              </w:rPr>
            </w:pPr>
            <w:r>
              <w:rPr>
                <w:rFonts w:ascii="黑体" w:hAnsi="黑体" w:eastAsia="黑体"/>
                <w:snapToGrid w:val="0"/>
                <w:color w:val="000000"/>
                <w:spacing w:val="-6"/>
                <w:kern w:val="21"/>
                <w:szCs w:val="21"/>
              </w:rPr>
              <w:t>现有工程</w:t>
            </w:r>
          </w:p>
          <w:p>
            <w:pPr>
              <w:pStyle w:val="43"/>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排放量（固</w:t>
            </w:r>
            <w:r>
              <w:rPr>
                <w:rFonts w:hint="eastAsia" w:ascii="黑体" w:hAnsi="黑体" w:eastAsia="黑体"/>
                <w:snapToGrid w:val="0"/>
                <w:color w:val="000000"/>
                <w:spacing w:val="-6"/>
                <w:kern w:val="21"/>
                <w:szCs w:val="21"/>
              </w:rPr>
              <w:t>体</w:t>
            </w:r>
            <w:r>
              <w:rPr>
                <w:rFonts w:ascii="黑体" w:hAnsi="黑体" w:eastAsia="黑体"/>
                <w:snapToGrid w:val="0"/>
                <w:color w:val="000000"/>
                <w:spacing w:val="-6"/>
                <w:kern w:val="21"/>
                <w:szCs w:val="21"/>
              </w:rPr>
              <w:t>废</w:t>
            </w:r>
            <w:r>
              <w:rPr>
                <w:rFonts w:hint="eastAsia" w:ascii="黑体" w:hAnsi="黑体" w:eastAsia="黑体"/>
                <w:snapToGrid w:val="0"/>
                <w:color w:val="000000"/>
                <w:spacing w:val="-6"/>
                <w:kern w:val="21"/>
                <w:szCs w:val="21"/>
              </w:rPr>
              <w:t>物</w:t>
            </w:r>
            <w:r>
              <w:rPr>
                <w:rFonts w:ascii="黑体" w:hAnsi="黑体" w:eastAsia="黑体"/>
                <w:snapToGrid w:val="0"/>
                <w:color w:val="000000"/>
                <w:spacing w:val="-6"/>
                <w:kern w:val="21"/>
                <w:szCs w:val="21"/>
              </w:rPr>
              <w:t>产生量）</w:t>
            </w: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1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①</w:t>
            </w:r>
            <w:r>
              <w:rPr>
                <w:rFonts w:ascii="黑体" w:hAnsi="黑体" w:eastAsia="黑体"/>
                <w:snapToGrid w:val="0"/>
                <w:color w:val="000000"/>
                <w:spacing w:val="-6"/>
                <w:kern w:val="21"/>
                <w:szCs w:val="21"/>
              </w:rPr>
              <w:fldChar w:fldCharType="end"/>
            </w:r>
          </w:p>
        </w:tc>
        <w:tc>
          <w:tcPr>
            <w:tcW w:w="1276" w:type="dxa"/>
            <w:noWrap w:val="0"/>
            <w:tcMar>
              <w:left w:w="28" w:type="dxa"/>
              <w:right w:w="28" w:type="dxa"/>
            </w:tcMar>
            <w:vAlign w:val="center"/>
          </w:tcPr>
          <w:p>
            <w:pPr>
              <w:pStyle w:val="43"/>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现有工程</w:t>
            </w:r>
          </w:p>
          <w:p>
            <w:pPr>
              <w:pStyle w:val="43"/>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许可排放量</w:t>
            </w:r>
          </w:p>
          <w:p>
            <w:pPr>
              <w:pStyle w:val="43"/>
              <w:spacing w:beforeLines="0" w:afterLines="0"/>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2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snapToGrid w:val="0"/>
                <w:color w:val="000000"/>
                <w:spacing w:val="-6"/>
                <w:kern w:val="21"/>
                <w:szCs w:val="21"/>
              </w:rPr>
              <w:t>②</w:t>
            </w:r>
            <w:r>
              <w:rPr>
                <w:rFonts w:ascii="黑体" w:hAnsi="黑体" w:eastAsia="黑体"/>
                <w:snapToGrid w:val="0"/>
                <w:color w:val="000000"/>
                <w:spacing w:val="-6"/>
                <w:kern w:val="21"/>
                <w:szCs w:val="21"/>
              </w:rPr>
              <w:fldChar w:fldCharType="end"/>
            </w:r>
          </w:p>
        </w:tc>
        <w:tc>
          <w:tcPr>
            <w:tcW w:w="1701" w:type="dxa"/>
            <w:noWrap w:val="0"/>
            <w:tcMar>
              <w:left w:w="28" w:type="dxa"/>
              <w:right w:w="28" w:type="dxa"/>
            </w:tcMar>
            <w:vAlign w:val="center"/>
          </w:tcPr>
          <w:p>
            <w:pPr>
              <w:pStyle w:val="43"/>
              <w:spacing w:beforeLines="0" w:afterLines="0" w:line="240" w:lineRule="auto"/>
              <w:rPr>
                <w:rFonts w:hint="eastAsia" w:ascii="黑体" w:hAnsi="黑体" w:eastAsia="黑体"/>
                <w:snapToGrid w:val="0"/>
                <w:color w:val="000000"/>
                <w:spacing w:val="-6"/>
                <w:kern w:val="21"/>
                <w:szCs w:val="21"/>
              </w:rPr>
            </w:pPr>
            <w:r>
              <w:rPr>
                <w:rFonts w:ascii="黑体" w:hAnsi="黑体" w:eastAsia="黑体"/>
                <w:snapToGrid w:val="0"/>
                <w:color w:val="000000"/>
                <w:spacing w:val="-6"/>
                <w:kern w:val="21"/>
                <w:szCs w:val="21"/>
              </w:rPr>
              <w:t>在建工程</w:t>
            </w:r>
          </w:p>
          <w:p>
            <w:pPr>
              <w:pStyle w:val="43"/>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排放量（固</w:t>
            </w:r>
            <w:r>
              <w:rPr>
                <w:rFonts w:hint="eastAsia" w:ascii="黑体" w:hAnsi="黑体" w:eastAsia="黑体"/>
                <w:snapToGrid w:val="0"/>
                <w:color w:val="000000"/>
                <w:spacing w:val="-6"/>
                <w:kern w:val="21"/>
                <w:szCs w:val="21"/>
              </w:rPr>
              <w:t>体</w:t>
            </w:r>
            <w:r>
              <w:rPr>
                <w:rFonts w:ascii="黑体" w:hAnsi="黑体" w:eastAsia="黑体"/>
                <w:snapToGrid w:val="0"/>
                <w:color w:val="000000"/>
                <w:spacing w:val="-6"/>
                <w:kern w:val="21"/>
                <w:szCs w:val="21"/>
              </w:rPr>
              <w:t>废</w:t>
            </w:r>
            <w:r>
              <w:rPr>
                <w:rFonts w:hint="eastAsia" w:ascii="黑体" w:hAnsi="黑体" w:eastAsia="黑体"/>
                <w:snapToGrid w:val="0"/>
                <w:color w:val="000000"/>
                <w:spacing w:val="-6"/>
                <w:kern w:val="21"/>
                <w:szCs w:val="21"/>
              </w:rPr>
              <w:t>物</w:t>
            </w:r>
            <w:r>
              <w:rPr>
                <w:rFonts w:ascii="黑体" w:hAnsi="黑体" w:eastAsia="黑体"/>
                <w:snapToGrid w:val="0"/>
                <w:color w:val="000000"/>
                <w:spacing w:val="-6"/>
                <w:kern w:val="21"/>
                <w:szCs w:val="21"/>
              </w:rPr>
              <w:t>产生量）</w:t>
            </w: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3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③</w:t>
            </w:r>
            <w:r>
              <w:rPr>
                <w:rFonts w:ascii="黑体" w:hAnsi="黑体" w:eastAsia="黑体"/>
                <w:snapToGrid w:val="0"/>
                <w:color w:val="000000"/>
                <w:spacing w:val="-6"/>
                <w:kern w:val="21"/>
                <w:szCs w:val="21"/>
              </w:rPr>
              <w:fldChar w:fldCharType="end"/>
            </w:r>
          </w:p>
        </w:tc>
        <w:tc>
          <w:tcPr>
            <w:tcW w:w="1559" w:type="dxa"/>
            <w:noWrap w:val="0"/>
            <w:tcMar>
              <w:left w:w="28" w:type="dxa"/>
              <w:right w:w="28" w:type="dxa"/>
            </w:tcMar>
            <w:vAlign w:val="center"/>
          </w:tcPr>
          <w:p>
            <w:pPr>
              <w:pStyle w:val="43"/>
              <w:spacing w:beforeLines="0" w:afterLines="0" w:line="240" w:lineRule="auto"/>
              <w:rPr>
                <w:rFonts w:hint="eastAsia" w:ascii="黑体" w:hAnsi="黑体" w:eastAsia="黑体"/>
                <w:snapToGrid w:val="0"/>
                <w:color w:val="000000"/>
                <w:spacing w:val="-6"/>
                <w:kern w:val="21"/>
                <w:szCs w:val="21"/>
              </w:rPr>
            </w:pPr>
            <w:r>
              <w:rPr>
                <w:rFonts w:ascii="黑体" w:hAnsi="黑体" w:eastAsia="黑体"/>
                <w:snapToGrid w:val="0"/>
                <w:color w:val="000000"/>
                <w:spacing w:val="-6"/>
                <w:kern w:val="21"/>
                <w:szCs w:val="21"/>
              </w:rPr>
              <w:t>本项目</w:t>
            </w:r>
          </w:p>
          <w:p>
            <w:pPr>
              <w:pStyle w:val="43"/>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排放量（固</w:t>
            </w:r>
            <w:r>
              <w:rPr>
                <w:rFonts w:hint="eastAsia" w:ascii="黑体" w:hAnsi="黑体" w:eastAsia="黑体"/>
                <w:snapToGrid w:val="0"/>
                <w:color w:val="000000"/>
                <w:spacing w:val="-6"/>
                <w:kern w:val="21"/>
                <w:szCs w:val="21"/>
              </w:rPr>
              <w:t>体</w:t>
            </w:r>
            <w:r>
              <w:rPr>
                <w:rFonts w:ascii="黑体" w:hAnsi="黑体" w:eastAsia="黑体"/>
                <w:snapToGrid w:val="0"/>
                <w:color w:val="000000"/>
                <w:spacing w:val="-6"/>
                <w:kern w:val="21"/>
                <w:szCs w:val="21"/>
              </w:rPr>
              <w:t>废</w:t>
            </w:r>
            <w:r>
              <w:rPr>
                <w:rFonts w:hint="eastAsia" w:ascii="黑体" w:hAnsi="黑体" w:eastAsia="黑体"/>
                <w:snapToGrid w:val="0"/>
                <w:color w:val="000000"/>
                <w:spacing w:val="-6"/>
                <w:kern w:val="21"/>
                <w:szCs w:val="21"/>
              </w:rPr>
              <w:t>物</w:t>
            </w:r>
            <w:r>
              <w:rPr>
                <w:rFonts w:ascii="黑体" w:hAnsi="黑体" w:eastAsia="黑体"/>
                <w:snapToGrid w:val="0"/>
                <w:color w:val="000000"/>
                <w:spacing w:val="-6"/>
                <w:kern w:val="21"/>
                <w:szCs w:val="21"/>
              </w:rPr>
              <w:t>产生量）</w:t>
            </w: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4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④</w:t>
            </w:r>
            <w:r>
              <w:rPr>
                <w:rFonts w:ascii="黑体" w:hAnsi="黑体" w:eastAsia="黑体"/>
                <w:snapToGrid w:val="0"/>
                <w:color w:val="000000"/>
                <w:spacing w:val="-6"/>
                <w:kern w:val="21"/>
                <w:szCs w:val="21"/>
              </w:rPr>
              <w:fldChar w:fldCharType="end"/>
            </w:r>
          </w:p>
        </w:tc>
        <w:tc>
          <w:tcPr>
            <w:tcW w:w="1761" w:type="dxa"/>
            <w:noWrap w:val="0"/>
            <w:tcMar>
              <w:left w:w="28" w:type="dxa"/>
              <w:right w:w="28" w:type="dxa"/>
            </w:tcMar>
            <w:vAlign w:val="center"/>
          </w:tcPr>
          <w:p>
            <w:pPr>
              <w:pStyle w:val="43"/>
              <w:spacing w:beforeLines="0" w:afterLines="0" w:line="240" w:lineRule="auto"/>
              <w:rPr>
                <w:rFonts w:hint="eastAsia" w:ascii="黑体" w:hAnsi="黑体" w:eastAsia="黑体"/>
                <w:snapToGrid w:val="0"/>
                <w:color w:val="000000"/>
                <w:spacing w:val="-16"/>
                <w:kern w:val="21"/>
                <w:szCs w:val="21"/>
              </w:rPr>
            </w:pPr>
            <w:r>
              <w:rPr>
                <w:rFonts w:ascii="黑体" w:hAnsi="黑体" w:eastAsia="黑体"/>
                <w:snapToGrid w:val="0"/>
                <w:color w:val="000000"/>
                <w:spacing w:val="-16"/>
                <w:kern w:val="21"/>
                <w:szCs w:val="21"/>
              </w:rPr>
              <w:t>以新带老削减量</w:t>
            </w:r>
          </w:p>
          <w:p>
            <w:pPr>
              <w:pStyle w:val="43"/>
              <w:spacing w:beforeLines="0" w:afterLines="0" w:line="240" w:lineRule="auto"/>
              <w:rPr>
                <w:rFonts w:ascii="黑体" w:hAnsi="黑体" w:eastAsia="黑体"/>
                <w:snapToGrid w:val="0"/>
                <w:color w:val="000000"/>
                <w:spacing w:val="-16"/>
                <w:kern w:val="21"/>
                <w:szCs w:val="21"/>
              </w:rPr>
            </w:pPr>
            <w:r>
              <w:rPr>
                <w:rFonts w:ascii="黑体" w:hAnsi="黑体" w:eastAsia="黑体"/>
                <w:snapToGrid w:val="0"/>
                <w:color w:val="000000"/>
                <w:spacing w:val="-16"/>
                <w:kern w:val="21"/>
                <w:szCs w:val="21"/>
              </w:rPr>
              <w:t>（新建项目不填）</w:t>
            </w:r>
            <w:r>
              <w:rPr>
                <w:rFonts w:ascii="黑体" w:hAnsi="黑体" w:eastAsia="黑体"/>
                <w:snapToGrid w:val="0"/>
                <w:color w:val="000000"/>
                <w:spacing w:val="-16"/>
                <w:kern w:val="21"/>
                <w:szCs w:val="21"/>
              </w:rPr>
              <w:fldChar w:fldCharType="begin"/>
            </w:r>
            <w:r>
              <w:rPr>
                <w:rFonts w:ascii="黑体" w:hAnsi="黑体" w:eastAsia="黑体"/>
                <w:snapToGrid w:val="0"/>
                <w:color w:val="000000"/>
                <w:spacing w:val="-16"/>
                <w:kern w:val="21"/>
                <w:szCs w:val="21"/>
              </w:rPr>
              <w:instrText xml:space="preserve"> = 5 \* GB3 \* MERGEFORMAT </w:instrText>
            </w:r>
            <w:r>
              <w:rPr>
                <w:rFonts w:ascii="黑体" w:hAnsi="黑体" w:eastAsia="黑体"/>
                <w:snapToGrid w:val="0"/>
                <w:color w:val="000000"/>
                <w:spacing w:val="-16"/>
                <w:kern w:val="21"/>
                <w:szCs w:val="21"/>
              </w:rPr>
              <w:fldChar w:fldCharType="separate"/>
            </w:r>
            <w:r>
              <w:rPr>
                <w:rFonts w:hint="eastAsia" w:ascii="黑体" w:hAnsi="黑体" w:eastAsia="黑体" w:cs="宋体"/>
                <w:kern w:val="2"/>
                <w:szCs w:val="21"/>
              </w:rPr>
              <w:t>⑤</w:t>
            </w:r>
            <w:r>
              <w:rPr>
                <w:rFonts w:ascii="黑体" w:hAnsi="黑体" w:eastAsia="黑体"/>
                <w:snapToGrid w:val="0"/>
                <w:color w:val="000000"/>
                <w:spacing w:val="-16"/>
                <w:kern w:val="21"/>
                <w:szCs w:val="21"/>
              </w:rPr>
              <w:fldChar w:fldCharType="end"/>
            </w:r>
          </w:p>
        </w:tc>
        <w:tc>
          <w:tcPr>
            <w:tcW w:w="1959" w:type="dxa"/>
            <w:noWrap w:val="0"/>
            <w:tcMar>
              <w:left w:w="28" w:type="dxa"/>
              <w:right w:w="28" w:type="dxa"/>
            </w:tcMar>
            <w:vAlign w:val="center"/>
          </w:tcPr>
          <w:p>
            <w:pPr>
              <w:pStyle w:val="43"/>
              <w:spacing w:beforeLines="0" w:afterLines="0" w:line="240" w:lineRule="auto"/>
              <w:rPr>
                <w:rFonts w:hint="eastAsia" w:ascii="黑体" w:hAnsi="黑体" w:eastAsia="黑体"/>
                <w:snapToGrid w:val="0"/>
                <w:color w:val="000000"/>
                <w:spacing w:val="-16"/>
                <w:kern w:val="21"/>
                <w:szCs w:val="21"/>
              </w:rPr>
            </w:pPr>
            <w:r>
              <w:rPr>
                <w:rFonts w:ascii="黑体" w:hAnsi="黑体" w:eastAsia="黑体"/>
                <w:snapToGrid w:val="0"/>
                <w:color w:val="000000"/>
                <w:spacing w:val="-16"/>
                <w:kern w:val="21"/>
                <w:szCs w:val="21"/>
              </w:rPr>
              <w:t>本项目建成后</w:t>
            </w:r>
          </w:p>
          <w:p>
            <w:pPr>
              <w:pStyle w:val="43"/>
              <w:spacing w:beforeLines="0" w:afterLines="0" w:line="240" w:lineRule="auto"/>
              <w:rPr>
                <w:rFonts w:ascii="黑体" w:hAnsi="黑体" w:eastAsia="黑体"/>
                <w:snapToGrid w:val="0"/>
                <w:color w:val="000000"/>
                <w:spacing w:val="-16"/>
                <w:kern w:val="21"/>
                <w:szCs w:val="21"/>
              </w:rPr>
            </w:pPr>
            <w:r>
              <w:rPr>
                <w:rFonts w:hint="eastAsia" w:ascii="黑体" w:hAnsi="黑体" w:eastAsia="黑体"/>
                <w:snapToGrid w:val="0"/>
                <w:color w:val="000000"/>
                <w:spacing w:val="-16"/>
                <w:kern w:val="21"/>
                <w:szCs w:val="21"/>
              </w:rPr>
              <w:t>全厂</w:t>
            </w:r>
            <w:r>
              <w:rPr>
                <w:rFonts w:ascii="黑体" w:hAnsi="黑体" w:eastAsia="黑体"/>
                <w:snapToGrid w:val="0"/>
                <w:color w:val="000000"/>
                <w:spacing w:val="-16"/>
                <w:kern w:val="21"/>
                <w:szCs w:val="21"/>
              </w:rPr>
              <w:t>排放量（固</w:t>
            </w:r>
            <w:r>
              <w:rPr>
                <w:rFonts w:hint="eastAsia" w:ascii="黑体" w:hAnsi="黑体" w:eastAsia="黑体"/>
                <w:snapToGrid w:val="0"/>
                <w:color w:val="000000"/>
                <w:spacing w:val="-16"/>
                <w:kern w:val="21"/>
                <w:szCs w:val="21"/>
              </w:rPr>
              <w:t>体</w:t>
            </w:r>
            <w:r>
              <w:rPr>
                <w:rFonts w:ascii="黑体" w:hAnsi="黑体" w:eastAsia="黑体"/>
                <w:snapToGrid w:val="0"/>
                <w:color w:val="000000"/>
                <w:spacing w:val="-16"/>
                <w:kern w:val="21"/>
                <w:szCs w:val="21"/>
              </w:rPr>
              <w:t>废</w:t>
            </w:r>
            <w:r>
              <w:rPr>
                <w:rFonts w:hint="eastAsia" w:ascii="黑体" w:hAnsi="黑体" w:eastAsia="黑体"/>
                <w:snapToGrid w:val="0"/>
                <w:color w:val="000000"/>
                <w:spacing w:val="-16"/>
                <w:kern w:val="21"/>
                <w:szCs w:val="21"/>
              </w:rPr>
              <w:t>物</w:t>
            </w:r>
            <w:r>
              <w:rPr>
                <w:rFonts w:ascii="黑体" w:hAnsi="黑体" w:eastAsia="黑体"/>
                <w:snapToGrid w:val="0"/>
                <w:color w:val="000000"/>
                <w:spacing w:val="-16"/>
                <w:kern w:val="21"/>
                <w:szCs w:val="21"/>
              </w:rPr>
              <w:t>产生量）</w:t>
            </w:r>
            <w:r>
              <w:rPr>
                <w:rFonts w:ascii="黑体" w:hAnsi="黑体" w:eastAsia="黑体"/>
                <w:snapToGrid w:val="0"/>
                <w:color w:val="000000"/>
                <w:spacing w:val="-16"/>
                <w:kern w:val="21"/>
                <w:szCs w:val="21"/>
              </w:rPr>
              <w:fldChar w:fldCharType="begin"/>
            </w:r>
            <w:r>
              <w:rPr>
                <w:rFonts w:ascii="黑体" w:hAnsi="黑体" w:eastAsia="黑体"/>
                <w:snapToGrid w:val="0"/>
                <w:color w:val="000000"/>
                <w:spacing w:val="-16"/>
                <w:kern w:val="21"/>
                <w:szCs w:val="21"/>
              </w:rPr>
              <w:instrText xml:space="preserve"> = 6 \* GB3 \* MERGEFORMAT </w:instrText>
            </w:r>
            <w:r>
              <w:rPr>
                <w:rFonts w:ascii="黑体" w:hAnsi="黑体" w:eastAsia="黑体"/>
                <w:snapToGrid w:val="0"/>
                <w:color w:val="000000"/>
                <w:spacing w:val="-16"/>
                <w:kern w:val="21"/>
                <w:szCs w:val="21"/>
              </w:rPr>
              <w:fldChar w:fldCharType="separate"/>
            </w:r>
            <w:r>
              <w:rPr>
                <w:rFonts w:hint="eastAsia" w:ascii="黑体" w:hAnsi="黑体" w:eastAsia="黑体" w:cs="宋体"/>
                <w:kern w:val="2"/>
                <w:szCs w:val="21"/>
              </w:rPr>
              <w:t>⑥</w:t>
            </w:r>
            <w:r>
              <w:rPr>
                <w:rFonts w:ascii="黑体" w:hAnsi="黑体" w:eastAsia="黑体"/>
                <w:snapToGrid w:val="0"/>
                <w:color w:val="000000"/>
                <w:spacing w:val="-16"/>
                <w:kern w:val="21"/>
                <w:szCs w:val="21"/>
              </w:rPr>
              <w:fldChar w:fldCharType="end"/>
            </w:r>
          </w:p>
        </w:tc>
        <w:tc>
          <w:tcPr>
            <w:tcW w:w="826" w:type="dxa"/>
            <w:noWrap w:val="0"/>
            <w:tcMar>
              <w:left w:w="28" w:type="dxa"/>
              <w:right w:w="28" w:type="dxa"/>
            </w:tcMar>
            <w:vAlign w:val="center"/>
          </w:tcPr>
          <w:p>
            <w:pPr>
              <w:pStyle w:val="43"/>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变化量</w:t>
            </w:r>
          </w:p>
          <w:p>
            <w:pPr>
              <w:pStyle w:val="43"/>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7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⑦</w:t>
            </w:r>
            <w:r>
              <w:rPr>
                <w:rFonts w:ascii="黑体" w:hAnsi="黑体" w:eastAsia="黑体"/>
                <w:snapToGrid w:val="0"/>
                <w:color w:val="00000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43"/>
              <w:spacing w:beforeLines="0" w:afterLines="0" w:line="240" w:lineRule="auto"/>
              <w:rPr>
                <w:rFonts w:hint="eastAsia" w:hAnsi="宋体" w:cs="宋体"/>
                <w:snapToGrid w:val="0"/>
                <w:color w:val="000000"/>
                <w:kern w:val="21"/>
                <w:szCs w:val="21"/>
              </w:rPr>
            </w:pPr>
            <w:r>
              <w:rPr>
                <w:rFonts w:hint="eastAsia" w:hAnsi="宋体" w:cs="宋体"/>
                <w:snapToGrid w:val="0"/>
                <w:color w:val="000000"/>
                <w:kern w:val="21"/>
                <w:szCs w:val="21"/>
              </w:rPr>
              <w:t>废气</w:t>
            </w:r>
          </w:p>
        </w:tc>
        <w:tc>
          <w:tcPr>
            <w:tcW w:w="1417" w:type="dxa"/>
            <w:noWrap w:val="0"/>
            <w:vAlign w:val="center"/>
          </w:tcPr>
          <w:p>
            <w:pPr>
              <w:spacing w:line="240" w:lineRule="auto"/>
              <w:jc w:val="center"/>
              <w:rPr>
                <w:rFonts w:hAnsi="宋体" w:cs="宋体"/>
                <w:b w:val="0"/>
                <w:bCs w:val="0"/>
                <w:snapToGrid w:val="0"/>
                <w:color w:val="000000"/>
                <w:kern w:val="21"/>
                <w:szCs w:val="21"/>
              </w:rPr>
            </w:pPr>
            <w:r>
              <w:rPr>
                <w:rFonts w:hint="eastAsia"/>
                <w:b w:val="0"/>
                <w:bCs w:val="0"/>
                <w:lang w:val="en-US" w:eastAsia="zh-CN"/>
              </w:rPr>
              <w:t>二氧化硫</w:t>
            </w:r>
            <w:r>
              <w:rPr>
                <w:rFonts w:hint="eastAsia"/>
                <w:b w:val="0"/>
                <w:bCs w:val="0"/>
              </w:rPr>
              <w:t>（</w:t>
            </w:r>
            <w:r>
              <w:rPr>
                <w:rFonts w:hint="eastAsia"/>
                <w:b w:val="0"/>
                <w:bCs w:val="0"/>
                <w:lang w:val="en-US" w:eastAsia="zh-CN"/>
              </w:rPr>
              <w:t>t</w:t>
            </w:r>
            <w:r>
              <w:rPr>
                <w:rFonts w:hint="eastAsia"/>
                <w:b w:val="0"/>
                <w:bCs w:val="0"/>
              </w:rPr>
              <w:t>/a）</w:t>
            </w:r>
          </w:p>
        </w:tc>
        <w:tc>
          <w:tcPr>
            <w:tcW w:w="1701" w:type="dxa"/>
            <w:noWrap w:val="0"/>
            <w:vAlign w:val="center"/>
          </w:tcPr>
          <w:p>
            <w:pPr>
              <w:pStyle w:val="43"/>
              <w:spacing w:beforeLines="0" w:afterLines="0" w:line="240" w:lineRule="auto"/>
              <w:rPr>
                <w:rFonts w:hAnsi="宋体" w:cs="宋体"/>
                <w:snapToGrid w:val="0"/>
                <w:color w:val="000000"/>
                <w:kern w:val="21"/>
                <w:szCs w:val="21"/>
              </w:rPr>
            </w:pPr>
          </w:p>
        </w:tc>
        <w:tc>
          <w:tcPr>
            <w:tcW w:w="1276" w:type="dxa"/>
            <w:noWrap w:val="0"/>
            <w:vAlign w:val="center"/>
          </w:tcPr>
          <w:p>
            <w:pPr>
              <w:pStyle w:val="43"/>
              <w:spacing w:beforeLines="0" w:afterLines="0" w:line="240" w:lineRule="auto"/>
              <w:rPr>
                <w:rFonts w:hAnsi="宋体" w:cs="宋体"/>
                <w:snapToGrid w:val="0"/>
                <w:color w:val="000000"/>
                <w:kern w:val="21"/>
                <w:szCs w:val="21"/>
              </w:rPr>
            </w:pPr>
          </w:p>
        </w:tc>
        <w:tc>
          <w:tcPr>
            <w:tcW w:w="1701" w:type="dxa"/>
            <w:noWrap w:val="0"/>
            <w:vAlign w:val="center"/>
          </w:tcPr>
          <w:p>
            <w:pPr>
              <w:pStyle w:val="43"/>
              <w:spacing w:beforeLines="0" w:afterLines="0" w:line="240" w:lineRule="auto"/>
              <w:rPr>
                <w:rFonts w:hAnsi="宋体" w:cs="宋体"/>
                <w:snapToGrid w:val="0"/>
                <w:color w:val="000000"/>
                <w:kern w:val="21"/>
                <w:szCs w:val="21"/>
              </w:rPr>
            </w:pPr>
          </w:p>
        </w:tc>
        <w:tc>
          <w:tcPr>
            <w:tcW w:w="1559" w:type="dxa"/>
            <w:noWrap w:val="0"/>
            <w:vAlign w:val="center"/>
          </w:tcPr>
          <w:p>
            <w:pPr>
              <w:spacing w:line="240" w:lineRule="auto"/>
              <w:jc w:val="center"/>
              <w:rPr>
                <w:rFonts w:hAnsi="宋体" w:cs="宋体"/>
                <w:snapToGrid w:val="0"/>
                <w:color w:val="000000"/>
                <w:kern w:val="21"/>
                <w:szCs w:val="21"/>
              </w:rPr>
            </w:pPr>
            <w:r>
              <w:rPr>
                <w:rFonts w:hint="eastAsia"/>
                <w:lang w:val="en-US" w:eastAsia="zh-CN"/>
              </w:rPr>
              <w:t>0.10</w:t>
            </w:r>
          </w:p>
        </w:tc>
        <w:tc>
          <w:tcPr>
            <w:tcW w:w="1761" w:type="dxa"/>
            <w:noWrap w:val="0"/>
            <w:vAlign w:val="center"/>
          </w:tcPr>
          <w:p>
            <w:pPr>
              <w:pStyle w:val="43"/>
              <w:spacing w:beforeLines="0" w:afterLines="0" w:line="240" w:lineRule="auto"/>
              <w:rPr>
                <w:rFonts w:hAnsi="宋体" w:cs="宋体"/>
                <w:snapToGrid w:val="0"/>
                <w:color w:val="000000"/>
                <w:kern w:val="21"/>
                <w:szCs w:val="21"/>
              </w:rPr>
            </w:pPr>
          </w:p>
        </w:tc>
        <w:tc>
          <w:tcPr>
            <w:tcW w:w="1959" w:type="dxa"/>
            <w:noWrap w:val="0"/>
            <w:vAlign w:val="center"/>
          </w:tcPr>
          <w:p>
            <w:pPr>
              <w:spacing w:line="240" w:lineRule="auto"/>
              <w:jc w:val="center"/>
              <w:rPr>
                <w:rFonts w:hAnsi="宋体" w:cs="宋体"/>
                <w:snapToGrid w:val="0"/>
                <w:color w:val="000000"/>
                <w:kern w:val="21"/>
                <w:szCs w:val="21"/>
              </w:rPr>
            </w:pPr>
            <w:r>
              <w:rPr>
                <w:rFonts w:hint="eastAsia"/>
                <w:lang w:val="en-US" w:eastAsia="zh-CN"/>
              </w:rPr>
              <w:t>0.10</w:t>
            </w:r>
          </w:p>
        </w:tc>
        <w:tc>
          <w:tcPr>
            <w:tcW w:w="826" w:type="dxa"/>
            <w:noWrap w:val="0"/>
            <w:vAlign w:val="center"/>
          </w:tcPr>
          <w:p>
            <w:pPr>
              <w:bidi w:val="0"/>
              <w:jc w:val="center"/>
            </w:pPr>
            <w:r>
              <w:rPr>
                <w:rFonts w:hint="eastAsia"/>
                <w:lang w:val="en-US" w:eastAsia="zh-CN"/>
              </w:rPr>
              <w:t>+0.10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43"/>
              <w:spacing w:beforeLines="0" w:afterLines="0" w:line="240" w:lineRule="auto"/>
              <w:rPr>
                <w:rFonts w:hint="eastAsia" w:hAnsi="宋体" w:cs="宋体"/>
                <w:snapToGrid w:val="0"/>
                <w:color w:val="000000"/>
                <w:kern w:val="21"/>
                <w:szCs w:val="21"/>
                <w:u w:val="single"/>
              </w:rPr>
            </w:pPr>
          </w:p>
        </w:tc>
        <w:tc>
          <w:tcPr>
            <w:tcW w:w="1417" w:type="dxa"/>
            <w:noWrap w:val="0"/>
            <w:vAlign w:val="center"/>
          </w:tcPr>
          <w:p>
            <w:pPr>
              <w:spacing w:line="240" w:lineRule="auto"/>
              <w:jc w:val="center"/>
              <w:rPr>
                <w:rFonts w:hAnsi="宋体" w:cs="宋体"/>
                <w:b w:val="0"/>
                <w:bCs w:val="0"/>
                <w:snapToGrid w:val="0"/>
                <w:color w:val="000000"/>
                <w:kern w:val="21"/>
                <w:szCs w:val="21"/>
                <w:u w:val="single"/>
              </w:rPr>
            </w:pPr>
            <w:r>
              <w:rPr>
                <w:rFonts w:hint="eastAsia"/>
                <w:b w:val="0"/>
                <w:bCs w:val="0"/>
                <w:u w:val="single"/>
                <w:lang w:val="en-US" w:eastAsia="zh-CN"/>
              </w:rPr>
              <w:t>氮氧化物</w:t>
            </w:r>
            <w:r>
              <w:rPr>
                <w:rFonts w:hint="eastAsia"/>
                <w:b w:val="0"/>
                <w:bCs w:val="0"/>
                <w:u w:val="single"/>
              </w:rPr>
              <w:t>（</w:t>
            </w:r>
            <w:r>
              <w:rPr>
                <w:rFonts w:hint="eastAsia"/>
                <w:b w:val="0"/>
                <w:bCs w:val="0"/>
                <w:u w:val="single"/>
                <w:lang w:val="en-US" w:eastAsia="zh-CN"/>
              </w:rPr>
              <w:t>t</w:t>
            </w:r>
            <w:r>
              <w:rPr>
                <w:rFonts w:hint="eastAsia"/>
                <w:b w:val="0"/>
                <w:bCs w:val="0"/>
                <w:u w:val="single"/>
              </w:rPr>
              <w:t>/a）</w:t>
            </w:r>
          </w:p>
        </w:tc>
        <w:tc>
          <w:tcPr>
            <w:tcW w:w="1701" w:type="dxa"/>
            <w:noWrap w:val="0"/>
            <w:vAlign w:val="center"/>
          </w:tcPr>
          <w:p>
            <w:pPr>
              <w:pStyle w:val="43"/>
              <w:spacing w:beforeLines="0" w:afterLines="0" w:line="240" w:lineRule="auto"/>
              <w:rPr>
                <w:rFonts w:hAnsi="宋体" w:cs="宋体"/>
                <w:snapToGrid w:val="0"/>
                <w:color w:val="000000"/>
                <w:kern w:val="21"/>
                <w:szCs w:val="21"/>
                <w:u w:val="single"/>
              </w:rPr>
            </w:pPr>
          </w:p>
        </w:tc>
        <w:tc>
          <w:tcPr>
            <w:tcW w:w="1276" w:type="dxa"/>
            <w:noWrap w:val="0"/>
            <w:vAlign w:val="center"/>
          </w:tcPr>
          <w:p>
            <w:pPr>
              <w:pStyle w:val="43"/>
              <w:spacing w:beforeLines="0" w:afterLines="0" w:line="240" w:lineRule="auto"/>
              <w:rPr>
                <w:rFonts w:hAnsi="宋体" w:cs="宋体"/>
                <w:snapToGrid w:val="0"/>
                <w:color w:val="000000"/>
                <w:kern w:val="21"/>
                <w:szCs w:val="21"/>
                <w:u w:val="single"/>
              </w:rPr>
            </w:pPr>
          </w:p>
        </w:tc>
        <w:tc>
          <w:tcPr>
            <w:tcW w:w="1701" w:type="dxa"/>
            <w:noWrap w:val="0"/>
            <w:vAlign w:val="center"/>
          </w:tcPr>
          <w:p>
            <w:pPr>
              <w:pStyle w:val="43"/>
              <w:spacing w:beforeLines="0" w:afterLines="0" w:line="240" w:lineRule="auto"/>
              <w:rPr>
                <w:rFonts w:hAnsi="宋体" w:cs="宋体"/>
                <w:snapToGrid w:val="0"/>
                <w:color w:val="000000"/>
                <w:kern w:val="21"/>
                <w:szCs w:val="21"/>
                <w:u w:val="single"/>
              </w:rPr>
            </w:pPr>
          </w:p>
        </w:tc>
        <w:tc>
          <w:tcPr>
            <w:tcW w:w="1559" w:type="dxa"/>
            <w:noWrap w:val="0"/>
            <w:vAlign w:val="center"/>
          </w:tcPr>
          <w:p>
            <w:pPr>
              <w:spacing w:line="240" w:lineRule="auto"/>
              <w:jc w:val="center"/>
              <w:rPr>
                <w:rFonts w:hint="default" w:hAnsi="宋体" w:cs="宋体"/>
                <w:snapToGrid w:val="0"/>
                <w:color w:val="000000"/>
                <w:kern w:val="21"/>
                <w:szCs w:val="21"/>
                <w:u w:val="single"/>
                <w:lang w:val="en-US"/>
              </w:rPr>
            </w:pPr>
            <w:r>
              <w:rPr>
                <w:rFonts w:hint="eastAsia"/>
                <w:u w:val="single"/>
                <w:lang w:val="en-US" w:eastAsia="zh-CN"/>
              </w:rPr>
              <w:t>0.79</w:t>
            </w:r>
          </w:p>
        </w:tc>
        <w:tc>
          <w:tcPr>
            <w:tcW w:w="1761" w:type="dxa"/>
            <w:noWrap w:val="0"/>
            <w:vAlign w:val="center"/>
          </w:tcPr>
          <w:p>
            <w:pPr>
              <w:pStyle w:val="43"/>
              <w:spacing w:beforeLines="0" w:afterLines="0" w:line="240" w:lineRule="auto"/>
              <w:rPr>
                <w:rFonts w:hAnsi="宋体" w:cs="宋体"/>
                <w:snapToGrid w:val="0"/>
                <w:color w:val="000000"/>
                <w:kern w:val="21"/>
                <w:szCs w:val="21"/>
                <w:u w:val="single"/>
              </w:rPr>
            </w:pPr>
          </w:p>
        </w:tc>
        <w:tc>
          <w:tcPr>
            <w:tcW w:w="1959" w:type="dxa"/>
            <w:noWrap w:val="0"/>
            <w:vAlign w:val="center"/>
          </w:tcPr>
          <w:p>
            <w:pPr>
              <w:spacing w:line="240" w:lineRule="auto"/>
              <w:jc w:val="center"/>
              <w:rPr>
                <w:rFonts w:hint="default" w:hAnsi="宋体" w:cs="宋体"/>
                <w:snapToGrid w:val="0"/>
                <w:color w:val="000000"/>
                <w:kern w:val="21"/>
                <w:szCs w:val="21"/>
                <w:u w:val="single"/>
                <w:lang w:val="en-US"/>
              </w:rPr>
            </w:pPr>
            <w:r>
              <w:rPr>
                <w:rFonts w:hint="eastAsia"/>
                <w:u w:val="single"/>
                <w:lang w:val="en-US" w:eastAsia="zh-CN"/>
              </w:rPr>
              <w:t>0.79</w:t>
            </w:r>
          </w:p>
        </w:tc>
        <w:tc>
          <w:tcPr>
            <w:tcW w:w="826" w:type="dxa"/>
            <w:noWrap w:val="0"/>
            <w:vAlign w:val="center"/>
          </w:tcPr>
          <w:p>
            <w:pPr>
              <w:bidi w:val="0"/>
              <w:jc w:val="center"/>
              <w:rPr>
                <w:rFonts w:hint="default"/>
                <w:u w:val="single"/>
                <w:lang w:val="en-US"/>
              </w:rPr>
            </w:pPr>
            <w:r>
              <w:rPr>
                <w:rFonts w:hint="eastAsia"/>
                <w:u w:val="single"/>
                <w:lang w:val="en-US" w:eastAsia="zh-CN"/>
              </w:rPr>
              <w:t>+0.79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43"/>
              <w:spacing w:beforeLines="0" w:afterLines="0" w:line="240" w:lineRule="auto"/>
              <w:rPr>
                <w:rFonts w:hint="eastAsia" w:hAnsi="宋体" w:cs="宋体"/>
                <w:snapToGrid w:val="0"/>
                <w:color w:val="000000"/>
                <w:kern w:val="21"/>
                <w:szCs w:val="21"/>
              </w:rPr>
            </w:pPr>
          </w:p>
        </w:tc>
        <w:tc>
          <w:tcPr>
            <w:tcW w:w="1417" w:type="dxa"/>
            <w:noWrap w:val="0"/>
            <w:vAlign w:val="center"/>
          </w:tcPr>
          <w:p>
            <w:pPr>
              <w:spacing w:line="240" w:lineRule="auto"/>
              <w:jc w:val="center"/>
              <w:rPr>
                <w:rFonts w:hAnsi="宋体" w:cs="宋体"/>
                <w:b w:val="0"/>
                <w:bCs w:val="0"/>
                <w:snapToGrid w:val="0"/>
                <w:color w:val="000000"/>
                <w:kern w:val="21"/>
                <w:szCs w:val="21"/>
              </w:rPr>
            </w:pPr>
            <w:r>
              <w:rPr>
                <w:rFonts w:hint="eastAsia"/>
                <w:b w:val="0"/>
                <w:bCs w:val="0"/>
                <w:lang w:val="en-US" w:eastAsia="zh-CN"/>
              </w:rPr>
              <w:t>烟尘</w:t>
            </w:r>
            <w:r>
              <w:rPr>
                <w:rFonts w:hint="eastAsia"/>
                <w:b w:val="0"/>
                <w:bCs w:val="0"/>
              </w:rPr>
              <w:t>（</w:t>
            </w:r>
            <w:r>
              <w:rPr>
                <w:rFonts w:hint="eastAsia"/>
                <w:b w:val="0"/>
                <w:bCs w:val="0"/>
                <w:lang w:val="en-US" w:eastAsia="zh-CN"/>
              </w:rPr>
              <w:t>t</w:t>
            </w:r>
            <w:r>
              <w:rPr>
                <w:rFonts w:hint="eastAsia"/>
                <w:b w:val="0"/>
                <w:bCs w:val="0"/>
              </w:rPr>
              <w:t>/a）</w:t>
            </w:r>
          </w:p>
        </w:tc>
        <w:tc>
          <w:tcPr>
            <w:tcW w:w="1701" w:type="dxa"/>
            <w:noWrap w:val="0"/>
            <w:vAlign w:val="center"/>
          </w:tcPr>
          <w:p>
            <w:pPr>
              <w:pStyle w:val="43"/>
              <w:spacing w:beforeLines="0" w:afterLines="0" w:line="240" w:lineRule="auto"/>
              <w:rPr>
                <w:rFonts w:hAnsi="宋体" w:cs="宋体"/>
                <w:snapToGrid w:val="0"/>
                <w:color w:val="000000"/>
                <w:kern w:val="21"/>
                <w:szCs w:val="21"/>
              </w:rPr>
            </w:pPr>
          </w:p>
        </w:tc>
        <w:tc>
          <w:tcPr>
            <w:tcW w:w="1276" w:type="dxa"/>
            <w:noWrap w:val="0"/>
            <w:vAlign w:val="center"/>
          </w:tcPr>
          <w:p>
            <w:pPr>
              <w:pStyle w:val="43"/>
              <w:spacing w:beforeLines="0" w:afterLines="0" w:line="240" w:lineRule="auto"/>
              <w:rPr>
                <w:rFonts w:hAnsi="宋体" w:cs="宋体"/>
                <w:snapToGrid w:val="0"/>
                <w:color w:val="000000"/>
                <w:kern w:val="21"/>
                <w:szCs w:val="21"/>
              </w:rPr>
            </w:pPr>
          </w:p>
        </w:tc>
        <w:tc>
          <w:tcPr>
            <w:tcW w:w="1701" w:type="dxa"/>
            <w:noWrap w:val="0"/>
            <w:vAlign w:val="center"/>
          </w:tcPr>
          <w:p>
            <w:pPr>
              <w:pStyle w:val="43"/>
              <w:spacing w:beforeLines="0" w:afterLines="0" w:line="240" w:lineRule="auto"/>
              <w:rPr>
                <w:rFonts w:hAnsi="宋体" w:cs="宋体"/>
                <w:snapToGrid w:val="0"/>
                <w:color w:val="000000"/>
                <w:kern w:val="21"/>
                <w:szCs w:val="21"/>
              </w:rPr>
            </w:pPr>
          </w:p>
        </w:tc>
        <w:tc>
          <w:tcPr>
            <w:tcW w:w="1559" w:type="dxa"/>
            <w:noWrap w:val="0"/>
            <w:vAlign w:val="center"/>
          </w:tcPr>
          <w:p>
            <w:pPr>
              <w:spacing w:line="240" w:lineRule="auto"/>
              <w:jc w:val="center"/>
              <w:rPr>
                <w:rFonts w:hAnsi="宋体" w:cs="宋体"/>
                <w:snapToGrid w:val="0"/>
                <w:color w:val="000000"/>
                <w:kern w:val="21"/>
                <w:szCs w:val="21"/>
              </w:rPr>
            </w:pPr>
            <w:r>
              <w:rPr>
                <w:rFonts w:hint="eastAsia"/>
                <w:lang w:val="en-US" w:eastAsia="zh-CN"/>
              </w:rPr>
              <w:t>0.12</w:t>
            </w:r>
          </w:p>
        </w:tc>
        <w:tc>
          <w:tcPr>
            <w:tcW w:w="1761" w:type="dxa"/>
            <w:noWrap w:val="0"/>
            <w:vAlign w:val="center"/>
          </w:tcPr>
          <w:p>
            <w:pPr>
              <w:pStyle w:val="43"/>
              <w:spacing w:beforeLines="0" w:afterLines="0" w:line="240" w:lineRule="auto"/>
              <w:rPr>
                <w:rFonts w:hAnsi="宋体" w:cs="宋体"/>
                <w:snapToGrid w:val="0"/>
                <w:color w:val="000000"/>
                <w:kern w:val="21"/>
                <w:szCs w:val="21"/>
              </w:rPr>
            </w:pPr>
          </w:p>
        </w:tc>
        <w:tc>
          <w:tcPr>
            <w:tcW w:w="1959" w:type="dxa"/>
            <w:noWrap w:val="0"/>
            <w:vAlign w:val="center"/>
          </w:tcPr>
          <w:p>
            <w:pPr>
              <w:spacing w:line="240" w:lineRule="auto"/>
              <w:jc w:val="center"/>
              <w:rPr>
                <w:rFonts w:hAnsi="宋体" w:cs="宋体"/>
                <w:snapToGrid w:val="0"/>
                <w:color w:val="000000"/>
                <w:kern w:val="21"/>
                <w:szCs w:val="21"/>
              </w:rPr>
            </w:pPr>
            <w:r>
              <w:rPr>
                <w:rFonts w:hint="eastAsia"/>
                <w:lang w:val="en-US" w:eastAsia="zh-CN"/>
              </w:rPr>
              <w:t>0.12</w:t>
            </w:r>
          </w:p>
        </w:tc>
        <w:tc>
          <w:tcPr>
            <w:tcW w:w="826" w:type="dxa"/>
            <w:noWrap w:val="0"/>
            <w:vAlign w:val="center"/>
          </w:tcPr>
          <w:p>
            <w:pPr>
              <w:bidi w:val="0"/>
              <w:jc w:val="center"/>
            </w:pPr>
            <w:r>
              <w:rPr>
                <w:rFonts w:hint="eastAsia"/>
                <w:lang w:val="en-US" w:eastAsia="zh-CN"/>
              </w:rPr>
              <w:t>+0.12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43"/>
              <w:spacing w:beforeLines="0" w:afterLines="0" w:line="240" w:lineRule="auto"/>
              <w:rPr>
                <w:rFonts w:hint="eastAsia" w:hAnsi="宋体" w:cs="宋体"/>
                <w:snapToGrid w:val="0"/>
                <w:color w:val="000000"/>
                <w:kern w:val="21"/>
                <w:szCs w:val="21"/>
              </w:rPr>
            </w:pPr>
          </w:p>
        </w:tc>
        <w:tc>
          <w:tcPr>
            <w:tcW w:w="1417" w:type="dxa"/>
            <w:noWrap w:val="0"/>
            <w:vAlign w:val="center"/>
          </w:tcPr>
          <w:p>
            <w:pPr>
              <w:spacing w:line="240" w:lineRule="auto"/>
              <w:jc w:val="center"/>
              <w:rPr>
                <w:rFonts w:hAnsi="宋体" w:cs="宋体"/>
                <w:b w:val="0"/>
                <w:bCs w:val="0"/>
                <w:snapToGrid w:val="0"/>
                <w:color w:val="000000"/>
                <w:kern w:val="21"/>
                <w:szCs w:val="21"/>
              </w:rPr>
            </w:pPr>
            <w:r>
              <w:rPr>
                <w:rFonts w:hint="eastAsia"/>
                <w:b w:val="0"/>
                <w:bCs w:val="0"/>
                <w:lang w:val="en-US" w:eastAsia="zh-CN"/>
              </w:rPr>
              <w:t>油烟</w:t>
            </w:r>
            <w:r>
              <w:rPr>
                <w:rFonts w:hint="eastAsia"/>
                <w:b w:val="0"/>
                <w:bCs w:val="0"/>
              </w:rPr>
              <w:t>（</w:t>
            </w:r>
            <w:r>
              <w:rPr>
                <w:rFonts w:hint="eastAsia"/>
                <w:b w:val="0"/>
                <w:bCs w:val="0"/>
                <w:lang w:val="en-US" w:eastAsia="zh-CN"/>
              </w:rPr>
              <w:t>t</w:t>
            </w:r>
            <w:r>
              <w:rPr>
                <w:rFonts w:hint="eastAsia"/>
                <w:b w:val="0"/>
                <w:bCs w:val="0"/>
              </w:rPr>
              <w:t>/a）</w:t>
            </w:r>
          </w:p>
        </w:tc>
        <w:tc>
          <w:tcPr>
            <w:tcW w:w="1701" w:type="dxa"/>
            <w:noWrap w:val="0"/>
            <w:vAlign w:val="center"/>
          </w:tcPr>
          <w:p>
            <w:pPr>
              <w:pStyle w:val="43"/>
              <w:spacing w:beforeLines="0" w:afterLines="0" w:line="240" w:lineRule="auto"/>
              <w:rPr>
                <w:rFonts w:hAnsi="宋体" w:cs="宋体"/>
                <w:snapToGrid w:val="0"/>
                <w:color w:val="000000"/>
                <w:kern w:val="21"/>
                <w:szCs w:val="21"/>
              </w:rPr>
            </w:pPr>
          </w:p>
        </w:tc>
        <w:tc>
          <w:tcPr>
            <w:tcW w:w="1276" w:type="dxa"/>
            <w:noWrap w:val="0"/>
            <w:vAlign w:val="center"/>
          </w:tcPr>
          <w:p>
            <w:pPr>
              <w:pStyle w:val="43"/>
              <w:spacing w:beforeLines="0" w:afterLines="0" w:line="240" w:lineRule="auto"/>
              <w:rPr>
                <w:rFonts w:hAnsi="宋体" w:cs="宋体"/>
                <w:snapToGrid w:val="0"/>
                <w:color w:val="000000"/>
                <w:kern w:val="21"/>
                <w:szCs w:val="21"/>
              </w:rPr>
            </w:pPr>
          </w:p>
        </w:tc>
        <w:tc>
          <w:tcPr>
            <w:tcW w:w="1701" w:type="dxa"/>
            <w:noWrap w:val="0"/>
            <w:vAlign w:val="center"/>
          </w:tcPr>
          <w:p>
            <w:pPr>
              <w:pStyle w:val="43"/>
              <w:spacing w:beforeLines="0" w:afterLines="0" w:line="240" w:lineRule="auto"/>
              <w:rPr>
                <w:rFonts w:hAnsi="宋体" w:cs="宋体"/>
                <w:snapToGrid w:val="0"/>
                <w:color w:val="000000"/>
                <w:kern w:val="21"/>
                <w:szCs w:val="21"/>
              </w:rPr>
            </w:pPr>
          </w:p>
        </w:tc>
        <w:tc>
          <w:tcPr>
            <w:tcW w:w="1559" w:type="dxa"/>
            <w:noWrap w:val="0"/>
            <w:vAlign w:val="center"/>
          </w:tcPr>
          <w:p>
            <w:pPr>
              <w:spacing w:line="240" w:lineRule="auto"/>
              <w:jc w:val="center"/>
              <w:rPr>
                <w:rFonts w:hAnsi="宋体" w:cs="宋体"/>
                <w:snapToGrid w:val="0"/>
                <w:color w:val="000000"/>
                <w:kern w:val="21"/>
                <w:szCs w:val="21"/>
              </w:rPr>
            </w:pPr>
            <w:r>
              <w:rPr>
                <w:rFonts w:hint="eastAsia"/>
                <w:lang w:val="en-US" w:eastAsia="zh-CN"/>
              </w:rPr>
              <w:t>0.0081</w:t>
            </w:r>
          </w:p>
        </w:tc>
        <w:tc>
          <w:tcPr>
            <w:tcW w:w="1761" w:type="dxa"/>
            <w:noWrap w:val="0"/>
            <w:vAlign w:val="center"/>
          </w:tcPr>
          <w:p>
            <w:pPr>
              <w:pStyle w:val="43"/>
              <w:spacing w:beforeLines="0" w:afterLines="0" w:line="240" w:lineRule="auto"/>
              <w:rPr>
                <w:rFonts w:hAnsi="宋体" w:cs="宋体"/>
                <w:snapToGrid w:val="0"/>
                <w:color w:val="000000"/>
                <w:kern w:val="21"/>
                <w:szCs w:val="21"/>
              </w:rPr>
            </w:pPr>
          </w:p>
        </w:tc>
        <w:tc>
          <w:tcPr>
            <w:tcW w:w="1959" w:type="dxa"/>
            <w:noWrap w:val="0"/>
            <w:vAlign w:val="center"/>
          </w:tcPr>
          <w:p>
            <w:pPr>
              <w:spacing w:line="240" w:lineRule="auto"/>
              <w:jc w:val="center"/>
              <w:rPr>
                <w:rFonts w:hAnsi="宋体" w:cs="宋体"/>
                <w:snapToGrid w:val="0"/>
                <w:color w:val="000000"/>
                <w:kern w:val="21"/>
                <w:szCs w:val="21"/>
              </w:rPr>
            </w:pPr>
            <w:r>
              <w:rPr>
                <w:rFonts w:hint="eastAsia"/>
                <w:lang w:val="en-US" w:eastAsia="zh-CN"/>
              </w:rPr>
              <w:t>0.0081</w:t>
            </w:r>
          </w:p>
        </w:tc>
        <w:tc>
          <w:tcPr>
            <w:tcW w:w="826" w:type="dxa"/>
            <w:noWrap w:val="0"/>
            <w:vAlign w:val="center"/>
          </w:tcPr>
          <w:p>
            <w:pPr>
              <w:bidi w:val="0"/>
              <w:jc w:val="center"/>
            </w:pPr>
            <w:r>
              <w:rPr>
                <w:rFonts w:hint="eastAsia"/>
                <w:lang w:val="en-US" w:eastAsia="zh-CN"/>
              </w:rPr>
              <w:t>+0.0081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43"/>
              <w:spacing w:beforeLines="0" w:afterLines="0" w:line="240" w:lineRule="auto"/>
              <w:rPr>
                <w:rFonts w:hint="eastAsia" w:hAnsi="宋体" w:cs="宋体"/>
                <w:snapToGrid w:val="0"/>
                <w:color w:val="000000"/>
                <w:kern w:val="21"/>
                <w:szCs w:val="21"/>
              </w:rPr>
            </w:pPr>
            <w:r>
              <w:rPr>
                <w:rFonts w:hint="eastAsia" w:hAnsi="宋体" w:cs="宋体"/>
                <w:snapToGrid w:val="0"/>
                <w:color w:val="000000"/>
                <w:kern w:val="21"/>
                <w:szCs w:val="21"/>
              </w:rPr>
              <w:t>废水</w:t>
            </w:r>
          </w:p>
        </w:tc>
        <w:tc>
          <w:tcPr>
            <w:tcW w:w="1417" w:type="dxa"/>
            <w:noWrap w:val="0"/>
            <w:vAlign w:val="center"/>
          </w:tcPr>
          <w:p>
            <w:pPr>
              <w:pStyle w:val="43"/>
              <w:spacing w:beforeLines="0" w:afterLines="0" w:line="240" w:lineRule="auto"/>
              <w:rPr>
                <w:rFonts w:hint="eastAsia" w:hAnsi="宋体" w:eastAsia="宋体" w:cs="宋体"/>
                <w:snapToGrid w:val="0"/>
                <w:color w:val="000000"/>
                <w:kern w:val="21"/>
                <w:szCs w:val="21"/>
                <w:lang w:val="en-US" w:eastAsia="zh-CN"/>
              </w:rPr>
            </w:pPr>
            <w:r>
              <w:rPr>
                <w:rFonts w:hint="eastAsia" w:ascii="Times New Roman" w:hAnsi="Times New Roman" w:eastAsia="宋体" w:cs="Times New Roman"/>
                <w:szCs w:val="21"/>
              </w:rPr>
              <w:t>废水</w:t>
            </w:r>
            <w:r>
              <w:rPr>
                <w:rFonts w:hint="eastAsia" w:ascii="Times New Roman" w:hAnsi="Times New Roman" w:eastAsia="宋体" w:cs="Times New Roman"/>
                <w:szCs w:val="21"/>
                <w:lang w:val="en-US" w:eastAsia="zh-CN"/>
              </w:rPr>
              <w:t>量</w:t>
            </w:r>
          </w:p>
        </w:tc>
        <w:tc>
          <w:tcPr>
            <w:tcW w:w="1701" w:type="dxa"/>
            <w:noWrap w:val="0"/>
            <w:vAlign w:val="center"/>
          </w:tcPr>
          <w:p>
            <w:pPr>
              <w:pStyle w:val="43"/>
              <w:spacing w:beforeLines="0" w:afterLines="0" w:line="240" w:lineRule="auto"/>
              <w:rPr>
                <w:rFonts w:hAnsi="宋体" w:cs="宋体"/>
                <w:snapToGrid w:val="0"/>
                <w:color w:val="000000"/>
                <w:kern w:val="21"/>
                <w:szCs w:val="21"/>
              </w:rPr>
            </w:pPr>
          </w:p>
        </w:tc>
        <w:tc>
          <w:tcPr>
            <w:tcW w:w="1276" w:type="dxa"/>
            <w:noWrap w:val="0"/>
            <w:vAlign w:val="center"/>
          </w:tcPr>
          <w:p>
            <w:pPr>
              <w:pStyle w:val="43"/>
              <w:spacing w:beforeLines="0" w:afterLines="0" w:line="240" w:lineRule="auto"/>
              <w:rPr>
                <w:rFonts w:hAnsi="宋体" w:cs="宋体"/>
                <w:snapToGrid w:val="0"/>
                <w:color w:val="000000"/>
                <w:kern w:val="21"/>
                <w:szCs w:val="21"/>
              </w:rPr>
            </w:pPr>
          </w:p>
        </w:tc>
        <w:tc>
          <w:tcPr>
            <w:tcW w:w="1701" w:type="dxa"/>
            <w:noWrap w:val="0"/>
            <w:vAlign w:val="center"/>
          </w:tcPr>
          <w:p>
            <w:pPr>
              <w:pStyle w:val="43"/>
              <w:spacing w:beforeLines="0" w:afterLines="0" w:line="240" w:lineRule="auto"/>
              <w:rPr>
                <w:rFonts w:hAnsi="宋体" w:cs="宋体"/>
                <w:snapToGrid w:val="0"/>
                <w:color w:val="000000"/>
                <w:kern w:val="21"/>
                <w:szCs w:val="21"/>
              </w:rPr>
            </w:pPr>
          </w:p>
        </w:tc>
        <w:tc>
          <w:tcPr>
            <w:tcW w:w="1559" w:type="dxa"/>
            <w:noWrap w:val="0"/>
            <w:vAlign w:val="center"/>
          </w:tcPr>
          <w:p>
            <w:pPr>
              <w:pStyle w:val="43"/>
              <w:spacing w:beforeLines="0" w:afterLines="0" w:line="240" w:lineRule="auto"/>
              <w:rPr>
                <w:rFonts w:hint="default" w:ascii="Times New Roman" w:hAnsi="Times New Roman" w:cs="Times New Roman"/>
                <w:snapToGrid w:val="0"/>
                <w:color w:val="000000"/>
                <w:kern w:val="21"/>
                <w:szCs w:val="21"/>
                <w:u w:val="single"/>
                <w:lang w:val="en-US"/>
              </w:rPr>
            </w:pPr>
            <w:r>
              <w:rPr>
                <w:rFonts w:hint="eastAsia" w:ascii="Times New Roman" w:cs="Times New Roman"/>
                <w:szCs w:val="21"/>
                <w:u w:val="single"/>
                <w:lang w:val="en-US" w:eastAsia="zh-CN"/>
              </w:rPr>
              <w:t>20235.6</w:t>
            </w:r>
          </w:p>
        </w:tc>
        <w:tc>
          <w:tcPr>
            <w:tcW w:w="1761" w:type="dxa"/>
            <w:noWrap w:val="0"/>
            <w:vAlign w:val="center"/>
          </w:tcPr>
          <w:p>
            <w:pPr>
              <w:pStyle w:val="43"/>
              <w:spacing w:beforeLines="0" w:afterLines="0" w:line="240" w:lineRule="auto"/>
              <w:rPr>
                <w:rFonts w:hAnsi="宋体" w:cs="宋体"/>
                <w:snapToGrid w:val="0"/>
                <w:color w:val="000000"/>
                <w:kern w:val="21"/>
                <w:szCs w:val="21"/>
                <w:u w:val="single"/>
              </w:rPr>
            </w:pPr>
          </w:p>
        </w:tc>
        <w:tc>
          <w:tcPr>
            <w:tcW w:w="1959" w:type="dxa"/>
            <w:noWrap w:val="0"/>
            <w:vAlign w:val="center"/>
          </w:tcPr>
          <w:p>
            <w:pPr>
              <w:pStyle w:val="43"/>
              <w:spacing w:beforeLines="0" w:afterLines="0" w:line="240" w:lineRule="auto"/>
              <w:ind w:left="420" w:leftChars="0" w:hanging="420" w:hangingChars="200"/>
              <w:rPr>
                <w:rFonts w:hAnsi="宋体" w:cs="宋体"/>
                <w:snapToGrid w:val="0"/>
                <w:color w:val="000000"/>
                <w:kern w:val="21"/>
                <w:szCs w:val="21"/>
                <w:u w:val="single"/>
              </w:rPr>
            </w:pPr>
            <w:r>
              <w:rPr>
                <w:rFonts w:hint="eastAsia" w:ascii="Times New Roman" w:cs="Times New Roman"/>
                <w:szCs w:val="21"/>
                <w:u w:val="single"/>
                <w:lang w:val="en-US" w:eastAsia="zh-CN"/>
              </w:rPr>
              <w:t>20235.6</w:t>
            </w:r>
          </w:p>
        </w:tc>
        <w:tc>
          <w:tcPr>
            <w:tcW w:w="826" w:type="dxa"/>
            <w:noWrap w:val="0"/>
            <w:vAlign w:val="center"/>
          </w:tcPr>
          <w:p>
            <w:pPr>
              <w:bidi w:val="0"/>
              <w:jc w:val="center"/>
              <w:rPr>
                <w:u w:val="single"/>
              </w:rPr>
            </w:pPr>
            <w:r>
              <w:rPr>
                <w:rFonts w:hint="eastAsia"/>
                <w:u w:val="single"/>
                <w:lang w:val="en-US" w:eastAsia="zh-CN"/>
              </w:rPr>
              <w:t>+</w:t>
            </w:r>
            <w:r>
              <w:rPr>
                <w:rFonts w:hint="eastAsia" w:ascii="Times New Roman" w:cs="Times New Roman"/>
                <w:szCs w:val="21"/>
                <w:u w:val="single"/>
                <w:lang w:val="en-US" w:eastAsia="zh-CN"/>
              </w:rPr>
              <w:t>20235.6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43"/>
              <w:spacing w:beforeLines="0" w:afterLines="0" w:line="240" w:lineRule="auto"/>
              <w:rPr>
                <w:rFonts w:hint="eastAsia" w:hAnsi="宋体" w:cs="宋体"/>
                <w:snapToGrid w:val="0"/>
                <w:color w:val="000000"/>
                <w:kern w:val="21"/>
                <w:szCs w:val="21"/>
              </w:rPr>
            </w:pPr>
          </w:p>
        </w:tc>
        <w:tc>
          <w:tcPr>
            <w:tcW w:w="1417" w:type="dxa"/>
            <w:noWrap w:val="0"/>
            <w:vAlign w:val="center"/>
          </w:tcPr>
          <w:p>
            <w:pPr>
              <w:pStyle w:val="43"/>
              <w:spacing w:beforeLines="0" w:afterLines="0" w:line="240" w:lineRule="auto"/>
              <w:rPr>
                <w:rFonts w:hint="default" w:ascii="Times New Roman" w:hAnsi="Times New Roman" w:cs="Times New Roman"/>
                <w:b w:val="0"/>
                <w:bCs w:val="0"/>
                <w:snapToGrid w:val="0"/>
                <w:color w:val="000000"/>
                <w:kern w:val="21"/>
                <w:szCs w:val="21"/>
              </w:rPr>
            </w:pPr>
            <w:r>
              <w:rPr>
                <w:rFonts w:hint="default" w:ascii="Times New Roman" w:hAnsi="Times New Roman" w:cs="Times New Roman"/>
                <w:b w:val="0"/>
                <w:bCs w:val="0"/>
                <w:szCs w:val="21"/>
              </w:rPr>
              <w:t>COD</w:t>
            </w:r>
            <w:r>
              <w:rPr>
                <w:rFonts w:hint="default" w:ascii="Times New Roman" w:hAnsi="Times New Roman" w:cs="Times New Roman"/>
                <w:b w:val="0"/>
                <w:bCs w:val="0"/>
                <w:szCs w:val="21"/>
                <w:vertAlign w:val="subscript"/>
              </w:rPr>
              <w:t>Cr</w:t>
            </w:r>
            <w:r>
              <w:rPr>
                <w:rFonts w:hint="default" w:ascii="Times New Roman" w:hAnsi="Times New Roman" w:cs="Times New Roman"/>
                <w:b w:val="0"/>
                <w:bCs w:val="0"/>
              </w:rPr>
              <w:t>（</w:t>
            </w:r>
            <w:r>
              <w:rPr>
                <w:rFonts w:hint="default" w:ascii="Times New Roman" w:hAnsi="Times New Roman" w:cs="Times New Roman"/>
                <w:b w:val="0"/>
                <w:bCs w:val="0"/>
                <w:lang w:val="en-US" w:eastAsia="zh-CN"/>
              </w:rPr>
              <w:t>t</w:t>
            </w:r>
            <w:r>
              <w:rPr>
                <w:rFonts w:hint="default" w:ascii="Times New Roman" w:hAnsi="Times New Roman" w:cs="Times New Roman"/>
                <w:b w:val="0"/>
                <w:bCs w:val="0"/>
              </w:rPr>
              <w:t>/a）</w:t>
            </w:r>
          </w:p>
        </w:tc>
        <w:tc>
          <w:tcPr>
            <w:tcW w:w="1701" w:type="dxa"/>
            <w:noWrap w:val="0"/>
            <w:vAlign w:val="center"/>
          </w:tcPr>
          <w:p>
            <w:pPr>
              <w:pStyle w:val="43"/>
              <w:spacing w:beforeLines="0" w:afterLines="0" w:line="240" w:lineRule="auto"/>
              <w:rPr>
                <w:rFonts w:hAnsi="宋体" w:cs="宋体"/>
                <w:snapToGrid w:val="0"/>
                <w:color w:val="000000"/>
                <w:kern w:val="21"/>
                <w:szCs w:val="21"/>
              </w:rPr>
            </w:pPr>
          </w:p>
        </w:tc>
        <w:tc>
          <w:tcPr>
            <w:tcW w:w="1276" w:type="dxa"/>
            <w:noWrap w:val="0"/>
            <w:vAlign w:val="center"/>
          </w:tcPr>
          <w:p>
            <w:pPr>
              <w:pStyle w:val="43"/>
              <w:spacing w:beforeLines="0" w:afterLines="0" w:line="240" w:lineRule="auto"/>
              <w:rPr>
                <w:rFonts w:hAnsi="宋体" w:cs="宋体"/>
                <w:snapToGrid w:val="0"/>
                <w:color w:val="000000"/>
                <w:kern w:val="21"/>
                <w:szCs w:val="21"/>
              </w:rPr>
            </w:pPr>
          </w:p>
        </w:tc>
        <w:tc>
          <w:tcPr>
            <w:tcW w:w="1701" w:type="dxa"/>
            <w:noWrap w:val="0"/>
            <w:vAlign w:val="center"/>
          </w:tcPr>
          <w:p>
            <w:pPr>
              <w:pStyle w:val="43"/>
              <w:spacing w:beforeLines="0" w:afterLines="0" w:line="240" w:lineRule="auto"/>
              <w:rPr>
                <w:rFonts w:hAnsi="宋体" w:cs="宋体"/>
                <w:snapToGrid w:val="0"/>
                <w:color w:val="000000"/>
                <w:kern w:val="21"/>
                <w:szCs w:val="21"/>
              </w:rPr>
            </w:pPr>
          </w:p>
        </w:tc>
        <w:tc>
          <w:tcPr>
            <w:tcW w:w="1559" w:type="dxa"/>
            <w:noWrap w:val="0"/>
            <w:vAlign w:val="center"/>
          </w:tcPr>
          <w:p>
            <w:pPr>
              <w:pStyle w:val="43"/>
              <w:spacing w:beforeLines="0" w:afterLines="0" w:line="240" w:lineRule="auto"/>
              <w:rPr>
                <w:rFonts w:hint="default" w:ascii="Times New Roman" w:hAnsi="Times New Roman" w:cs="Times New Roman"/>
                <w:snapToGrid w:val="0"/>
                <w:color w:val="000000"/>
                <w:kern w:val="21"/>
                <w:szCs w:val="21"/>
                <w:u w:val="single"/>
                <w:lang w:val="en-US"/>
              </w:rPr>
            </w:pPr>
            <w:r>
              <w:rPr>
                <w:rFonts w:hint="eastAsia" w:ascii="Times New Roman" w:cs="Times New Roman"/>
                <w:color w:val="auto"/>
                <w:szCs w:val="21"/>
                <w:u w:val="single"/>
                <w:lang w:val="en-US" w:eastAsia="zh-CN"/>
              </w:rPr>
              <w:t>5.06</w:t>
            </w:r>
          </w:p>
        </w:tc>
        <w:tc>
          <w:tcPr>
            <w:tcW w:w="1761" w:type="dxa"/>
            <w:noWrap w:val="0"/>
            <w:vAlign w:val="center"/>
          </w:tcPr>
          <w:p>
            <w:pPr>
              <w:pStyle w:val="43"/>
              <w:spacing w:beforeLines="0" w:afterLines="0" w:line="240" w:lineRule="auto"/>
              <w:rPr>
                <w:rFonts w:hAnsi="宋体" w:cs="宋体"/>
                <w:snapToGrid w:val="0"/>
                <w:color w:val="000000"/>
                <w:kern w:val="21"/>
                <w:szCs w:val="21"/>
                <w:u w:val="single"/>
              </w:rPr>
            </w:pPr>
          </w:p>
        </w:tc>
        <w:tc>
          <w:tcPr>
            <w:tcW w:w="1959" w:type="dxa"/>
            <w:noWrap w:val="0"/>
            <w:vAlign w:val="center"/>
          </w:tcPr>
          <w:p>
            <w:pPr>
              <w:pStyle w:val="43"/>
              <w:spacing w:beforeLines="0" w:afterLines="0" w:line="240" w:lineRule="auto"/>
              <w:ind w:left="420" w:leftChars="0" w:hanging="420" w:hangingChars="200"/>
              <w:rPr>
                <w:rFonts w:hAnsi="宋体" w:cs="宋体"/>
                <w:snapToGrid w:val="0"/>
                <w:color w:val="000000"/>
                <w:kern w:val="21"/>
                <w:szCs w:val="21"/>
                <w:u w:val="single"/>
              </w:rPr>
            </w:pPr>
            <w:r>
              <w:rPr>
                <w:rFonts w:hint="eastAsia" w:ascii="Times New Roman" w:cs="Times New Roman"/>
                <w:color w:val="auto"/>
                <w:szCs w:val="21"/>
                <w:u w:val="single"/>
                <w:lang w:val="en-US" w:eastAsia="zh-CN"/>
              </w:rPr>
              <w:t>5.06</w:t>
            </w:r>
          </w:p>
        </w:tc>
        <w:tc>
          <w:tcPr>
            <w:tcW w:w="826" w:type="dxa"/>
            <w:noWrap w:val="0"/>
            <w:vAlign w:val="center"/>
          </w:tcPr>
          <w:p>
            <w:pPr>
              <w:bidi w:val="0"/>
              <w:jc w:val="center"/>
              <w:rPr>
                <w:u w:val="single"/>
              </w:rPr>
            </w:pPr>
            <w:r>
              <w:rPr>
                <w:rFonts w:hint="eastAsia"/>
                <w:u w:val="single"/>
                <w:lang w:val="en-US" w:eastAsia="zh-CN"/>
              </w:rPr>
              <w:t>+</w:t>
            </w:r>
            <w:r>
              <w:rPr>
                <w:rFonts w:hint="eastAsia" w:ascii="Times New Roman" w:cs="Times New Roman"/>
                <w:color w:val="auto"/>
                <w:szCs w:val="21"/>
                <w:u w:val="single"/>
                <w:lang w:val="en-US" w:eastAsia="zh-CN"/>
              </w:rPr>
              <w:t>5.06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43"/>
              <w:spacing w:beforeLines="0" w:afterLines="0" w:line="240" w:lineRule="auto"/>
              <w:rPr>
                <w:rFonts w:hint="eastAsia" w:hAnsi="宋体" w:cs="宋体"/>
                <w:snapToGrid w:val="0"/>
                <w:color w:val="000000"/>
                <w:kern w:val="21"/>
                <w:szCs w:val="21"/>
              </w:rPr>
            </w:pPr>
          </w:p>
        </w:tc>
        <w:tc>
          <w:tcPr>
            <w:tcW w:w="1417" w:type="dxa"/>
            <w:noWrap w:val="0"/>
            <w:vAlign w:val="center"/>
          </w:tcPr>
          <w:p>
            <w:pPr>
              <w:pStyle w:val="43"/>
              <w:spacing w:beforeLines="0" w:afterLines="0" w:line="240" w:lineRule="auto"/>
              <w:rPr>
                <w:rFonts w:hint="default" w:ascii="Times New Roman" w:hAnsi="Times New Roman" w:cs="Times New Roman"/>
                <w:b w:val="0"/>
                <w:bCs w:val="0"/>
                <w:szCs w:val="21"/>
              </w:rPr>
            </w:pPr>
            <w:r>
              <w:rPr>
                <w:rFonts w:hint="default" w:ascii="Times New Roman" w:hAnsi="Times New Roman" w:cs="Times New Roman"/>
                <w:b w:val="0"/>
                <w:bCs w:val="0"/>
                <w:szCs w:val="21"/>
              </w:rPr>
              <w:t>BOD</w:t>
            </w:r>
            <w:r>
              <w:rPr>
                <w:rFonts w:hint="default" w:ascii="Times New Roman" w:hAnsi="Times New Roman" w:cs="Times New Roman"/>
                <w:b w:val="0"/>
                <w:bCs w:val="0"/>
                <w:szCs w:val="21"/>
                <w:vertAlign w:val="subscript"/>
              </w:rPr>
              <w:t>5</w:t>
            </w:r>
            <w:r>
              <w:rPr>
                <w:rFonts w:hint="default" w:ascii="Times New Roman" w:hAnsi="Times New Roman" w:cs="Times New Roman"/>
                <w:b w:val="0"/>
                <w:bCs w:val="0"/>
              </w:rPr>
              <w:t>（</w:t>
            </w:r>
            <w:r>
              <w:rPr>
                <w:rFonts w:hint="default" w:ascii="Times New Roman" w:hAnsi="Times New Roman" w:cs="Times New Roman"/>
                <w:b w:val="0"/>
                <w:bCs w:val="0"/>
                <w:lang w:val="en-US" w:eastAsia="zh-CN"/>
              </w:rPr>
              <w:t>t</w:t>
            </w:r>
            <w:r>
              <w:rPr>
                <w:rFonts w:hint="default" w:ascii="Times New Roman" w:hAnsi="Times New Roman" w:cs="Times New Roman"/>
                <w:b w:val="0"/>
                <w:bCs w:val="0"/>
              </w:rPr>
              <w:t>/a）</w:t>
            </w:r>
          </w:p>
        </w:tc>
        <w:tc>
          <w:tcPr>
            <w:tcW w:w="1701" w:type="dxa"/>
            <w:noWrap w:val="0"/>
            <w:vAlign w:val="center"/>
          </w:tcPr>
          <w:p>
            <w:pPr>
              <w:pStyle w:val="43"/>
              <w:spacing w:beforeLines="0" w:afterLines="0" w:line="240" w:lineRule="auto"/>
              <w:rPr>
                <w:rFonts w:hAnsi="宋体" w:cs="宋体"/>
                <w:snapToGrid w:val="0"/>
                <w:color w:val="000000"/>
                <w:kern w:val="21"/>
                <w:szCs w:val="21"/>
              </w:rPr>
            </w:pPr>
          </w:p>
        </w:tc>
        <w:tc>
          <w:tcPr>
            <w:tcW w:w="1276" w:type="dxa"/>
            <w:noWrap w:val="0"/>
            <w:vAlign w:val="center"/>
          </w:tcPr>
          <w:p>
            <w:pPr>
              <w:pStyle w:val="43"/>
              <w:spacing w:beforeLines="0" w:afterLines="0" w:line="240" w:lineRule="auto"/>
              <w:rPr>
                <w:rFonts w:hAnsi="宋体" w:cs="宋体"/>
                <w:snapToGrid w:val="0"/>
                <w:color w:val="000000"/>
                <w:kern w:val="21"/>
                <w:szCs w:val="21"/>
              </w:rPr>
            </w:pPr>
          </w:p>
        </w:tc>
        <w:tc>
          <w:tcPr>
            <w:tcW w:w="1701" w:type="dxa"/>
            <w:noWrap w:val="0"/>
            <w:vAlign w:val="center"/>
          </w:tcPr>
          <w:p>
            <w:pPr>
              <w:pStyle w:val="43"/>
              <w:spacing w:beforeLines="0" w:afterLines="0" w:line="240" w:lineRule="auto"/>
              <w:rPr>
                <w:rFonts w:hAnsi="宋体" w:cs="宋体"/>
                <w:snapToGrid w:val="0"/>
                <w:color w:val="000000"/>
                <w:kern w:val="21"/>
                <w:szCs w:val="21"/>
              </w:rPr>
            </w:pPr>
          </w:p>
        </w:tc>
        <w:tc>
          <w:tcPr>
            <w:tcW w:w="1559" w:type="dxa"/>
            <w:noWrap w:val="0"/>
            <w:vAlign w:val="center"/>
          </w:tcPr>
          <w:p>
            <w:pPr>
              <w:pStyle w:val="43"/>
              <w:spacing w:beforeLines="0" w:afterLines="0" w:line="240" w:lineRule="auto"/>
              <w:rPr>
                <w:rFonts w:hint="default" w:ascii="Times New Roman" w:hAnsi="Times New Roman" w:cs="Times New Roman"/>
                <w:snapToGrid w:val="0"/>
                <w:color w:val="000000"/>
                <w:kern w:val="21"/>
                <w:szCs w:val="21"/>
                <w:u w:val="single"/>
                <w:lang w:val="en-US"/>
              </w:rPr>
            </w:pPr>
            <w:r>
              <w:rPr>
                <w:rFonts w:hint="eastAsia" w:ascii="Times New Roman" w:cs="Times New Roman"/>
                <w:color w:val="auto"/>
                <w:szCs w:val="21"/>
                <w:u w:val="single"/>
                <w:lang w:val="en-US" w:eastAsia="zh-CN"/>
              </w:rPr>
              <w:t>2.02</w:t>
            </w:r>
          </w:p>
        </w:tc>
        <w:tc>
          <w:tcPr>
            <w:tcW w:w="1761" w:type="dxa"/>
            <w:noWrap w:val="0"/>
            <w:vAlign w:val="center"/>
          </w:tcPr>
          <w:p>
            <w:pPr>
              <w:pStyle w:val="43"/>
              <w:spacing w:beforeLines="0" w:afterLines="0" w:line="240" w:lineRule="auto"/>
              <w:rPr>
                <w:rFonts w:hAnsi="宋体" w:cs="宋体"/>
                <w:snapToGrid w:val="0"/>
                <w:color w:val="000000"/>
                <w:kern w:val="21"/>
                <w:szCs w:val="21"/>
                <w:u w:val="single"/>
              </w:rPr>
            </w:pPr>
          </w:p>
        </w:tc>
        <w:tc>
          <w:tcPr>
            <w:tcW w:w="1959" w:type="dxa"/>
            <w:noWrap w:val="0"/>
            <w:vAlign w:val="center"/>
          </w:tcPr>
          <w:p>
            <w:pPr>
              <w:pStyle w:val="43"/>
              <w:spacing w:beforeLines="0" w:afterLines="0" w:line="240" w:lineRule="auto"/>
              <w:ind w:left="420" w:leftChars="0" w:hanging="420" w:hangingChars="200"/>
              <w:rPr>
                <w:rFonts w:hAnsi="宋体" w:cs="宋体"/>
                <w:snapToGrid w:val="0"/>
                <w:color w:val="000000"/>
                <w:kern w:val="21"/>
                <w:szCs w:val="21"/>
                <w:u w:val="single"/>
              </w:rPr>
            </w:pPr>
            <w:r>
              <w:rPr>
                <w:rFonts w:hint="eastAsia" w:ascii="Times New Roman" w:cs="Times New Roman"/>
                <w:color w:val="auto"/>
                <w:szCs w:val="21"/>
                <w:u w:val="single"/>
                <w:lang w:val="en-US" w:eastAsia="zh-CN"/>
              </w:rPr>
              <w:t>2.02</w:t>
            </w:r>
          </w:p>
        </w:tc>
        <w:tc>
          <w:tcPr>
            <w:tcW w:w="826" w:type="dxa"/>
            <w:noWrap w:val="0"/>
            <w:vAlign w:val="center"/>
          </w:tcPr>
          <w:p>
            <w:pPr>
              <w:bidi w:val="0"/>
              <w:jc w:val="center"/>
              <w:rPr>
                <w:u w:val="single"/>
              </w:rPr>
            </w:pPr>
            <w:r>
              <w:rPr>
                <w:rFonts w:hint="eastAsia"/>
                <w:u w:val="single"/>
                <w:lang w:val="en-US" w:eastAsia="zh-CN"/>
              </w:rPr>
              <w:t>+</w:t>
            </w:r>
            <w:r>
              <w:rPr>
                <w:rFonts w:hint="eastAsia" w:ascii="Times New Roman" w:cs="Times New Roman"/>
                <w:color w:val="auto"/>
                <w:szCs w:val="21"/>
                <w:u w:val="single"/>
                <w:lang w:val="en-US" w:eastAsia="zh-CN"/>
              </w:rPr>
              <w:t>2.02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43"/>
              <w:spacing w:beforeLines="0" w:afterLines="0" w:line="240" w:lineRule="auto"/>
              <w:rPr>
                <w:rFonts w:hint="eastAsia" w:hAnsi="宋体" w:cs="宋体"/>
                <w:snapToGrid w:val="0"/>
                <w:color w:val="000000"/>
                <w:kern w:val="21"/>
                <w:szCs w:val="21"/>
              </w:rPr>
            </w:pPr>
          </w:p>
        </w:tc>
        <w:tc>
          <w:tcPr>
            <w:tcW w:w="1417" w:type="dxa"/>
            <w:noWrap w:val="0"/>
            <w:vAlign w:val="center"/>
          </w:tcPr>
          <w:p>
            <w:pPr>
              <w:pStyle w:val="43"/>
              <w:spacing w:beforeLines="0" w:afterLines="0" w:line="240" w:lineRule="auto"/>
              <w:rPr>
                <w:rFonts w:hint="default" w:ascii="Times New Roman" w:hAnsi="Times New Roman" w:cs="Times New Roman"/>
                <w:b w:val="0"/>
                <w:bCs w:val="0"/>
                <w:szCs w:val="21"/>
              </w:rPr>
            </w:pPr>
            <w:r>
              <w:rPr>
                <w:rFonts w:hint="default" w:ascii="Times New Roman" w:hAnsi="Times New Roman" w:cs="Times New Roman"/>
                <w:b w:val="0"/>
                <w:bCs w:val="0"/>
                <w:szCs w:val="21"/>
              </w:rPr>
              <w:t>氨氮</w:t>
            </w:r>
            <w:r>
              <w:rPr>
                <w:rFonts w:hint="default" w:ascii="Times New Roman" w:hAnsi="Times New Roman" w:cs="Times New Roman"/>
                <w:b w:val="0"/>
                <w:bCs w:val="0"/>
              </w:rPr>
              <w:t>（</w:t>
            </w:r>
            <w:r>
              <w:rPr>
                <w:rFonts w:hint="default" w:ascii="Times New Roman" w:hAnsi="Times New Roman" w:cs="Times New Roman"/>
                <w:b w:val="0"/>
                <w:bCs w:val="0"/>
                <w:lang w:val="en-US" w:eastAsia="zh-CN"/>
              </w:rPr>
              <w:t>t</w:t>
            </w:r>
            <w:r>
              <w:rPr>
                <w:rFonts w:hint="default" w:ascii="Times New Roman" w:hAnsi="Times New Roman" w:cs="Times New Roman"/>
                <w:b w:val="0"/>
                <w:bCs w:val="0"/>
              </w:rPr>
              <w:t>/a）</w:t>
            </w:r>
          </w:p>
        </w:tc>
        <w:tc>
          <w:tcPr>
            <w:tcW w:w="1701" w:type="dxa"/>
            <w:noWrap w:val="0"/>
            <w:vAlign w:val="center"/>
          </w:tcPr>
          <w:p>
            <w:pPr>
              <w:pStyle w:val="43"/>
              <w:spacing w:beforeLines="0" w:afterLines="0" w:line="240" w:lineRule="auto"/>
              <w:rPr>
                <w:rFonts w:hAnsi="宋体" w:cs="宋体"/>
                <w:snapToGrid w:val="0"/>
                <w:color w:val="000000"/>
                <w:kern w:val="21"/>
                <w:szCs w:val="21"/>
              </w:rPr>
            </w:pPr>
          </w:p>
        </w:tc>
        <w:tc>
          <w:tcPr>
            <w:tcW w:w="1276" w:type="dxa"/>
            <w:noWrap w:val="0"/>
            <w:vAlign w:val="center"/>
          </w:tcPr>
          <w:p>
            <w:pPr>
              <w:pStyle w:val="43"/>
              <w:spacing w:beforeLines="0" w:afterLines="0" w:line="240" w:lineRule="auto"/>
              <w:rPr>
                <w:rFonts w:hAnsi="宋体" w:cs="宋体"/>
                <w:snapToGrid w:val="0"/>
                <w:color w:val="000000"/>
                <w:kern w:val="21"/>
                <w:szCs w:val="21"/>
              </w:rPr>
            </w:pPr>
          </w:p>
        </w:tc>
        <w:tc>
          <w:tcPr>
            <w:tcW w:w="1701" w:type="dxa"/>
            <w:noWrap w:val="0"/>
            <w:vAlign w:val="center"/>
          </w:tcPr>
          <w:p>
            <w:pPr>
              <w:pStyle w:val="43"/>
              <w:spacing w:beforeLines="0" w:afterLines="0" w:line="240" w:lineRule="auto"/>
              <w:rPr>
                <w:rFonts w:hAnsi="宋体" w:cs="宋体"/>
                <w:snapToGrid w:val="0"/>
                <w:color w:val="000000"/>
                <w:kern w:val="21"/>
                <w:szCs w:val="21"/>
              </w:rPr>
            </w:pPr>
          </w:p>
        </w:tc>
        <w:tc>
          <w:tcPr>
            <w:tcW w:w="1559" w:type="dxa"/>
            <w:noWrap w:val="0"/>
            <w:vAlign w:val="center"/>
          </w:tcPr>
          <w:p>
            <w:pPr>
              <w:pStyle w:val="43"/>
              <w:spacing w:beforeLines="0" w:afterLines="0" w:line="240" w:lineRule="auto"/>
              <w:rPr>
                <w:rFonts w:hint="default" w:ascii="Times New Roman" w:hAnsi="Times New Roman" w:cs="Times New Roman"/>
                <w:snapToGrid w:val="0"/>
                <w:color w:val="000000"/>
                <w:kern w:val="21"/>
                <w:szCs w:val="21"/>
                <w:u w:val="single"/>
                <w:lang w:val="en-US"/>
              </w:rPr>
            </w:pPr>
            <w:r>
              <w:rPr>
                <w:rFonts w:hint="default" w:ascii="Times New Roman" w:hAnsi="Times New Roman" w:cs="Times New Roman"/>
                <w:szCs w:val="21"/>
                <w:u w:val="single"/>
                <w:lang w:val="en-US" w:eastAsia="zh-CN"/>
              </w:rPr>
              <w:t>0.</w:t>
            </w:r>
            <w:r>
              <w:rPr>
                <w:rFonts w:hint="eastAsia" w:ascii="Times New Roman" w:cs="Times New Roman"/>
                <w:szCs w:val="21"/>
                <w:u w:val="single"/>
                <w:lang w:val="en-US" w:eastAsia="zh-CN"/>
              </w:rPr>
              <w:t>81</w:t>
            </w:r>
          </w:p>
        </w:tc>
        <w:tc>
          <w:tcPr>
            <w:tcW w:w="1761" w:type="dxa"/>
            <w:noWrap w:val="0"/>
            <w:vAlign w:val="center"/>
          </w:tcPr>
          <w:p>
            <w:pPr>
              <w:pStyle w:val="43"/>
              <w:spacing w:beforeLines="0" w:afterLines="0" w:line="240" w:lineRule="auto"/>
              <w:rPr>
                <w:rFonts w:hAnsi="宋体" w:cs="宋体"/>
                <w:snapToGrid w:val="0"/>
                <w:color w:val="000000"/>
                <w:kern w:val="21"/>
                <w:szCs w:val="21"/>
                <w:u w:val="single"/>
              </w:rPr>
            </w:pPr>
          </w:p>
        </w:tc>
        <w:tc>
          <w:tcPr>
            <w:tcW w:w="1959" w:type="dxa"/>
            <w:noWrap w:val="0"/>
            <w:vAlign w:val="center"/>
          </w:tcPr>
          <w:p>
            <w:pPr>
              <w:pStyle w:val="43"/>
              <w:spacing w:beforeLines="0" w:afterLines="0" w:line="240" w:lineRule="auto"/>
              <w:ind w:left="420" w:leftChars="0" w:hanging="420" w:hangingChars="200"/>
              <w:rPr>
                <w:rFonts w:hAnsi="宋体" w:cs="宋体"/>
                <w:snapToGrid w:val="0"/>
                <w:color w:val="000000"/>
                <w:kern w:val="21"/>
                <w:szCs w:val="21"/>
                <w:u w:val="single"/>
              </w:rPr>
            </w:pPr>
            <w:r>
              <w:rPr>
                <w:rFonts w:hint="default" w:ascii="Times New Roman" w:hAnsi="Times New Roman" w:cs="Times New Roman"/>
                <w:szCs w:val="21"/>
                <w:u w:val="single"/>
                <w:lang w:val="en-US" w:eastAsia="zh-CN"/>
              </w:rPr>
              <w:t>0.</w:t>
            </w:r>
            <w:r>
              <w:rPr>
                <w:rFonts w:hint="eastAsia" w:ascii="Times New Roman" w:cs="Times New Roman"/>
                <w:szCs w:val="21"/>
                <w:u w:val="single"/>
                <w:lang w:val="en-US" w:eastAsia="zh-CN"/>
              </w:rPr>
              <w:t>81</w:t>
            </w:r>
          </w:p>
        </w:tc>
        <w:tc>
          <w:tcPr>
            <w:tcW w:w="826" w:type="dxa"/>
            <w:noWrap w:val="0"/>
            <w:vAlign w:val="center"/>
          </w:tcPr>
          <w:p>
            <w:pPr>
              <w:bidi w:val="0"/>
              <w:jc w:val="center"/>
              <w:rPr>
                <w:u w:val="single"/>
              </w:rPr>
            </w:pPr>
            <w:r>
              <w:rPr>
                <w:rFonts w:hint="eastAsia"/>
                <w:u w:val="single"/>
                <w:lang w:val="en-US" w:eastAsia="zh-CN"/>
              </w:rPr>
              <w:t>+</w:t>
            </w:r>
            <w:r>
              <w:rPr>
                <w:rFonts w:hint="default" w:ascii="Times New Roman" w:hAnsi="Times New Roman" w:cs="Times New Roman"/>
                <w:szCs w:val="21"/>
                <w:u w:val="single"/>
                <w:lang w:val="en-US" w:eastAsia="zh-CN"/>
              </w:rPr>
              <w:t>0.</w:t>
            </w:r>
            <w:r>
              <w:rPr>
                <w:rFonts w:hint="eastAsia" w:ascii="Times New Roman" w:cs="Times New Roman"/>
                <w:szCs w:val="21"/>
                <w:u w:val="single"/>
                <w:lang w:val="en-US" w:eastAsia="zh-CN"/>
              </w:rPr>
              <w:t>81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43"/>
              <w:spacing w:beforeLines="0" w:afterLines="0" w:line="240" w:lineRule="auto"/>
              <w:rPr>
                <w:rFonts w:hint="eastAsia" w:hAnsi="宋体" w:cs="宋体"/>
                <w:snapToGrid w:val="0"/>
                <w:color w:val="000000"/>
                <w:kern w:val="21"/>
                <w:szCs w:val="21"/>
              </w:rPr>
            </w:pPr>
          </w:p>
        </w:tc>
        <w:tc>
          <w:tcPr>
            <w:tcW w:w="1417" w:type="dxa"/>
            <w:noWrap w:val="0"/>
            <w:vAlign w:val="center"/>
          </w:tcPr>
          <w:p>
            <w:pPr>
              <w:pStyle w:val="43"/>
              <w:spacing w:beforeLines="0" w:afterLines="0" w:line="240" w:lineRule="auto"/>
              <w:rPr>
                <w:rFonts w:hint="default" w:ascii="Times New Roman" w:hAnsi="Times New Roman" w:cs="Times New Roman"/>
                <w:b w:val="0"/>
                <w:bCs w:val="0"/>
                <w:szCs w:val="21"/>
              </w:rPr>
            </w:pPr>
            <w:r>
              <w:rPr>
                <w:rFonts w:hint="default" w:ascii="Times New Roman" w:hAnsi="Times New Roman" w:cs="Times New Roman"/>
                <w:b w:val="0"/>
                <w:bCs w:val="0"/>
                <w:szCs w:val="21"/>
              </w:rPr>
              <w:t>SS</w:t>
            </w:r>
            <w:r>
              <w:rPr>
                <w:rFonts w:hint="default" w:ascii="Times New Roman" w:hAnsi="Times New Roman" w:cs="Times New Roman"/>
                <w:b w:val="0"/>
                <w:bCs w:val="0"/>
              </w:rPr>
              <w:t>（</w:t>
            </w:r>
            <w:r>
              <w:rPr>
                <w:rFonts w:hint="default" w:ascii="Times New Roman" w:hAnsi="Times New Roman" w:cs="Times New Roman"/>
                <w:b w:val="0"/>
                <w:bCs w:val="0"/>
                <w:lang w:val="en-US" w:eastAsia="zh-CN"/>
              </w:rPr>
              <w:t>t</w:t>
            </w:r>
            <w:r>
              <w:rPr>
                <w:rFonts w:hint="default" w:ascii="Times New Roman" w:hAnsi="Times New Roman" w:cs="Times New Roman"/>
                <w:b w:val="0"/>
                <w:bCs w:val="0"/>
              </w:rPr>
              <w:t>/a）</w:t>
            </w:r>
          </w:p>
        </w:tc>
        <w:tc>
          <w:tcPr>
            <w:tcW w:w="1701" w:type="dxa"/>
            <w:noWrap w:val="0"/>
            <w:vAlign w:val="center"/>
          </w:tcPr>
          <w:p>
            <w:pPr>
              <w:pStyle w:val="43"/>
              <w:spacing w:beforeLines="0" w:afterLines="0" w:line="240" w:lineRule="auto"/>
              <w:rPr>
                <w:rFonts w:hAnsi="宋体" w:cs="宋体"/>
                <w:snapToGrid w:val="0"/>
                <w:color w:val="000000"/>
                <w:kern w:val="21"/>
                <w:szCs w:val="21"/>
              </w:rPr>
            </w:pPr>
          </w:p>
        </w:tc>
        <w:tc>
          <w:tcPr>
            <w:tcW w:w="1276" w:type="dxa"/>
            <w:noWrap w:val="0"/>
            <w:vAlign w:val="center"/>
          </w:tcPr>
          <w:p>
            <w:pPr>
              <w:pStyle w:val="43"/>
              <w:spacing w:beforeLines="0" w:afterLines="0" w:line="240" w:lineRule="auto"/>
              <w:rPr>
                <w:rFonts w:hAnsi="宋体" w:cs="宋体"/>
                <w:snapToGrid w:val="0"/>
                <w:color w:val="000000"/>
                <w:kern w:val="21"/>
                <w:szCs w:val="21"/>
              </w:rPr>
            </w:pPr>
          </w:p>
        </w:tc>
        <w:tc>
          <w:tcPr>
            <w:tcW w:w="1701" w:type="dxa"/>
            <w:noWrap w:val="0"/>
            <w:vAlign w:val="center"/>
          </w:tcPr>
          <w:p>
            <w:pPr>
              <w:pStyle w:val="43"/>
              <w:spacing w:beforeLines="0" w:afterLines="0" w:line="240" w:lineRule="auto"/>
              <w:rPr>
                <w:rFonts w:hAnsi="宋体" w:cs="宋体"/>
                <w:snapToGrid w:val="0"/>
                <w:color w:val="000000"/>
                <w:kern w:val="21"/>
                <w:szCs w:val="21"/>
              </w:rPr>
            </w:pPr>
          </w:p>
        </w:tc>
        <w:tc>
          <w:tcPr>
            <w:tcW w:w="1559" w:type="dxa"/>
            <w:noWrap w:val="0"/>
            <w:vAlign w:val="center"/>
          </w:tcPr>
          <w:p>
            <w:pPr>
              <w:pStyle w:val="43"/>
              <w:spacing w:beforeLines="0" w:afterLines="0" w:line="240" w:lineRule="auto"/>
              <w:rPr>
                <w:rFonts w:hint="default" w:ascii="Times New Roman" w:hAnsi="Times New Roman" w:cs="Times New Roman"/>
                <w:snapToGrid w:val="0"/>
                <w:color w:val="000000"/>
                <w:kern w:val="21"/>
                <w:szCs w:val="21"/>
                <w:u w:val="single"/>
                <w:lang w:val="en-US"/>
              </w:rPr>
            </w:pPr>
            <w:r>
              <w:rPr>
                <w:rFonts w:hint="eastAsia" w:ascii="Times New Roman" w:cs="Times New Roman"/>
                <w:color w:val="auto"/>
                <w:szCs w:val="21"/>
                <w:u w:val="single"/>
                <w:lang w:val="en-US" w:eastAsia="zh-CN"/>
              </w:rPr>
              <w:t>1.21</w:t>
            </w:r>
          </w:p>
        </w:tc>
        <w:tc>
          <w:tcPr>
            <w:tcW w:w="1761" w:type="dxa"/>
            <w:noWrap w:val="0"/>
            <w:vAlign w:val="center"/>
          </w:tcPr>
          <w:p>
            <w:pPr>
              <w:pStyle w:val="43"/>
              <w:spacing w:beforeLines="0" w:afterLines="0" w:line="240" w:lineRule="auto"/>
              <w:rPr>
                <w:rFonts w:hAnsi="宋体" w:cs="宋体"/>
                <w:snapToGrid w:val="0"/>
                <w:color w:val="000000"/>
                <w:kern w:val="21"/>
                <w:szCs w:val="21"/>
                <w:u w:val="single"/>
              </w:rPr>
            </w:pPr>
          </w:p>
        </w:tc>
        <w:tc>
          <w:tcPr>
            <w:tcW w:w="1959" w:type="dxa"/>
            <w:noWrap w:val="0"/>
            <w:vAlign w:val="center"/>
          </w:tcPr>
          <w:p>
            <w:pPr>
              <w:pStyle w:val="43"/>
              <w:spacing w:beforeLines="0" w:afterLines="0" w:line="240" w:lineRule="auto"/>
              <w:ind w:left="420" w:leftChars="0" w:hanging="420" w:hangingChars="200"/>
              <w:rPr>
                <w:rFonts w:hAnsi="宋体" w:cs="宋体"/>
                <w:snapToGrid w:val="0"/>
                <w:color w:val="000000"/>
                <w:kern w:val="21"/>
                <w:szCs w:val="21"/>
                <w:u w:val="single"/>
              </w:rPr>
            </w:pPr>
            <w:r>
              <w:rPr>
                <w:rFonts w:hint="eastAsia" w:ascii="Times New Roman" w:cs="Times New Roman"/>
                <w:color w:val="auto"/>
                <w:szCs w:val="21"/>
                <w:u w:val="single"/>
                <w:lang w:val="en-US" w:eastAsia="zh-CN"/>
              </w:rPr>
              <w:t>1.21</w:t>
            </w:r>
          </w:p>
        </w:tc>
        <w:tc>
          <w:tcPr>
            <w:tcW w:w="826" w:type="dxa"/>
            <w:noWrap w:val="0"/>
            <w:vAlign w:val="center"/>
          </w:tcPr>
          <w:p>
            <w:pPr>
              <w:bidi w:val="0"/>
              <w:jc w:val="center"/>
              <w:rPr>
                <w:u w:val="single"/>
              </w:rPr>
            </w:pPr>
            <w:r>
              <w:rPr>
                <w:rFonts w:hint="eastAsia"/>
                <w:u w:val="single"/>
                <w:lang w:val="en-US" w:eastAsia="zh-CN"/>
              </w:rPr>
              <w:t>+</w:t>
            </w:r>
            <w:r>
              <w:rPr>
                <w:rFonts w:hint="eastAsia" w:ascii="Times New Roman" w:cs="Times New Roman"/>
                <w:color w:val="auto"/>
                <w:szCs w:val="21"/>
                <w:u w:val="single"/>
                <w:lang w:val="en-US" w:eastAsia="zh-CN"/>
              </w:rPr>
              <w:t>1.21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43"/>
              <w:spacing w:beforeLines="0" w:afterLines="0" w:line="240" w:lineRule="auto"/>
              <w:rPr>
                <w:rFonts w:hAnsi="宋体" w:cs="宋体"/>
                <w:snapToGrid w:val="0"/>
                <w:color w:val="000000"/>
                <w:kern w:val="21"/>
                <w:szCs w:val="21"/>
                <w:u w:val="single"/>
              </w:rPr>
            </w:pPr>
            <w:r>
              <w:rPr>
                <w:rFonts w:hint="eastAsia" w:hAnsi="宋体" w:cs="宋体"/>
                <w:snapToGrid w:val="0"/>
                <w:color w:val="000000"/>
                <w:kern w:val="21"/>
                <w:szCs w:val="21"/>
                <w:u w:val="single"/>
              </w:rPr>
              <w:t>一般工业</w:t>
            </w:r>
          </w:p>
          <w:p>
            <w:pPr>
              <w:pStyle w:val="43"/>
              <w:spacing w:beforeLines="0" w:afterLines="0" w:line="240" w:lineRule="auto"/>
              <w:rPr>
                <w:rFonts w:hint="eastAsia" w:hAnsi="宋体" w:cs="宋体"/>
                <w:snapToGrid w:val="0"/>
                <w:color w:val="000000"/>
                <w:kern w:val="21"/>
                <w:szCs w:val="21"/>
                <w:u w:val="single"/>
              </w:rPr>
            </w:pPr>
            <w:r>
              <w:rPr>
                <w:rFonts w:hint="eastAsia" w:hAnsi="宋体" w:cs="宋体"/>
                <w:snapToGrid w:val="0"/>
                <w:color w:val="000000"/>
                <w:kern w:val="21"/>
                <w:szCs w:val="21"/>
                <w:u w:val="single"/>
              </w:rPr>
              <w:t>固体废物</w:t>
            </w:r>
          </w:p>
        </w:tc>
        <w:tc>
          <w:tcPr>
            <w:tcW w:w="1417" w:type="dxa"/>
            <w:noWrap w:val="0"/>
            <w:vAlign w:val="center"/>
          </w:tcPr>
          <w:p>
            <w:pPr>
              <w:bidi w:val="0"/>
              <w:jc w:val="center"/>
              <w:rPr>
                <w:rFonts w:hint="eastAsia"/>
                <w:u w:val="single"/>
                <w:lang w:val="en-US" w:eastAsia="zh-CN"/>
              </w:rPr>
            </w:pPr>
            <w:r>
              <w:rPr>
                <w:rFonts w:hint="eastAsia"/>
                <w:u w:val="single"/>
                <w:lang w:val="en-US" w:eastAsia="zh-CN"/>
              </w:rPr>
              <w:t>废包装材料</w:t>
            </w:r>
            <w:r>
              <w:rPr>
                <w:rFonts w:hint="default"/>
                <w:u w:val="single"/>
                <w:lang w:val="en-US" w:eastAsia="zh-CN"/>
              </w:rPr>
              <w:t>（t/a）</w:t>
            </w:r>
          </w:p>
        </w:tc>
        <w:tc>
          <w:tcPr>
            <w:tcW w:w="1701" w:type="dxa"/>
            <w:noWrap w:val="0"/>
            <w:vAlign w:val="center"/>
          </w:tcPr>
          <w:p>
            <w:pPr>
              <w:pStyle w:val="43"/>
              <w:spacing w:beforeLines="0" w:afterLines="0" w:line="240" w:lineRule="auto"/>
              <w:rPr>
                <w:rFonts w:hAnsi="宋体" w:cs="宋体"/>
                <w:snapToGrid w:val="0"/>
                <w:color w:val="000000"/>
                <w:kern w:val="21"/>
                <w:szCs w:val="21"/>
                <w:u w:val="single"/>
              </w:rPr>
            </w:pPr>
          </w:p>
        </w:tc>
        <w:tc>
          <w:tcPr>
            <w:tcW w:w="1276" w:type="dxa"/>
            <w:noWrap w:val="0"/>
            <w:vAlign w:val="center"/>
          </w:tcPr>
          <w:p>
            <w:pPr>
              <w:pStyle w:val="43"/>
              <w:spacing w:beforeLines="0" w:afterLines="0" w:line="240" w:lineRule="auto"/>
              <w:rPr>
                <w:rFonts w:hAnsi="宋体" w:cs="宋体"/>
                <w:snapToGrid w:val="0"/>
                <w:color w:val="000000"/>
                <w:kern w:val="21"/>
                <w:szCs w:val="21"/>
                <w:u w:val="single"/>
              </w:rPr>
            </w:pPr>
          </w:p>
        </w:tc>
        <w:tc>
          <w:tcPr>
            <w:tcW w:w="1701" w:type="dxa"/>
            <w:noWrap w:val="0"/>
            <w:vAlign w:val="center"/>
          </w:tcPr>
          <w:p>
            <w:pPr>
              <w:pStyle w:val="43"/>
              <w:spacing w:beforeLines="0" w:afterLines="0" w:line="240" w:lineRule="auto"/>
              <w:rPr>
                <w:rFonts w:hAnsi="宋体" w:cs="宋体"/>
                <w:snapToGrid w:val="0"/>
                <w:color w:val="000000"/>
                <w:kern w:val="21"/>
                <w:szCs w:val="21"/>
                <w:u w:val="single"/>
              </w:rPr>
            </w:pPr>
          </w:p>
        </w:tc>
        <w:tc>
          <w:tcPr>
            <w:tcW w:w="1559" w:type="dxa"/>
            <w:noWrap w:val="0"/>
            <w:vAlign w:val="center"/>
          </w:tcPr>
          <w:p>
            <w:pPr>
              <w:pStyle w:val="43"/>
              <w:spacing w:beforeLines="0" w:afterLines="0" w:line="240" w:lineRule="auto"/>
              <w:rPr>
                <w:rFonts w:hint="default" w:ascii="Times New Roman" w:hAnsi="Times New Roman" w:eastAsia="宋体" w:cs="Times New Roman"/>
                <w:snapToGrid w:val="0"/>
                <w:color w:val="000000"/>
                <w:kern w:val="21"/>
                <w:szCs w:val="21"/>
                <w:u w:val="single"/>
                <w:lang w:val="en-US" w:eastAsia="zh-CN"/>
              </w:rPr>
            </w:pPr>
            <w:r>
              <w:rPr>
                <w:rFonts w:hint="default" w:ascii="Times New Roman" w:hAnsi="Times New Roman" w:cs="Times New Roman"/>
                <w:snapToGrid w:val="0"/>
                <w:color w:val="000000"/>
                <w:kern w:val="21"/>
                <w:szCs w:val="21"/>
                <w:u w:val="single"/>
                <w:lang w:val="en-US" w:eastAsia="zh-CN"/>
              </w:rPr>
              <w:t>1</w:t>
            </w:r>
            <w:r>
              <w:rPr>
                <w:rFonts w:hint="eastAsia" w:ascii="Times New Roman" w:hAnsi="Times New Roman" w:cs="Times New Roman"/>
                <w:snapToGrid w:val="0"/>
                <w:color w:val="000000"/>
                <w:kern w:val="21"/>
                <w:szCs w:val="21"/>
                <w:u w:val="single"/>
                <w:lang w:val="en-US" w:eastAsia="zh-CN"/>
              </w:rPr>
              <w:t>.0</w:t>
            </w:r>
          </w:p>
        </w:tc>
        <w:tc>
          <w:tcPr>
            <w:tcW w:w="1761" w:type="dxa"/>
            <w:noWrap w:val="0"/>
            <w:vAlign w:val="center"/>
          </w:tcPr>
          <w:p>
            <w:pPr>
              <w:pStyle w:val="43"/>
              <w:spacing w:beforeLines="0" w:afterLines="0" w:line="240" w:lineRule="auto"/>
              <w:rPr>
                <w:rFonts w:hAnsi="宋体" w:cs="宋体"/>
                <w:snapToGrid w:val="0"/>
                <w:color w:val="000000"/>
                <w:kern w:val="21"/>
                <w:szCs w:val="21"/>
                <w:u w:val="single"/>
              </w:rPr>
            </w:pPr>
          </w:p>
        </w:tc>
        <w:tc>
          <w:tcPr>
            <w:tcW w:w="1959" w:type="dxa"/>
            <w:noWrap w:val="0"/>
            <w:vAlign w:val="center"/>
          </w:tcPr>
          <w:p>
            <w:pPr>
              <w:pStyle w:val="43"/>
              <w:spacing w:beforeLines="0" w:afterLines="0" w:line="240" w:lineRule="auto"/>
              <w:ind w:left="420" w:leftChars="0" w:hanging="420" w:hangingChars="200"/>
              <w:rPr>
                <w:rFonts w:hint="default" w:hAnsi="宋体" w:cs="宋体"/>
                <w:snapToGrid w:val="0"/>
                <w:color w:val="000000"/>
                <w:kern w:val="21"/>
                <w:szCs w:val="21"/>
                <w:u w:val="single"/>
                <w:lang w:val="en-US"/>
              </w:rPr>
            </w:pPr>
            <w:r>
              <w:rPr>
                <w:rFonts w:hint="default" w:ascii="Times New Roman" w:hAnsi="Times New Roman" w:cs="Times New Roman"/>
                <w:snapToGrid w:val="0"/>
                <w:color w:val="000000"/>
                <w:kern w:val="21"/>
                <w:szCs w:val="21"/>
                <w:u w:val="single"/>
                <w:lang w:val="en-US" w:eastAsia="zh-CN"/>
              </w:rPr>
              <w:t>1</w:t>
            </w:r>
            <w:r>
              <w:rPr>
                <w:rFonts w:hint="eastAsia" w:ascii="Times New Roman" w:hAnsi="Times New Roman" w:cs="Times New Roman"/>
                <w:snapToGrid w:val="0"/>
                <w:color w:val="000000"/>
                <w:kern w:val="21"/>
                <w:szCs w:val="21"/>
                <w:u w:val="single"/>
                <w:lang w:val="en-US" w:eastAsia="zh-CN"/>
              </w:rPr>
              <w:t>.0</w:t>
            </w:r>
          </w:p>
        </w:tc>
        <w:tc>
          <w:tcPr>
            <w:tcW w:w="826" w:type="dxa"/>
            <w:noWrap w:val="0"/>
            <w:vAlign w:val="center"/>
          </w:tcPr>
          <w:p>
            <w:pPr>
              <w:bidi w:val="0"/>
              <w:jc w:val="center"/>
              <w:rPr>
                <w:rFonts w:hint="default"/>
                <w:u w:val="single"/>
                <w:lang w:val="en-US"/>
              </w:rPr>
            </w:pPr>
            <w:r>
              <w:rPr>
                <w:rFonts w:hint="eastAsia"/>
                <w:u w:val="single"/>
                <w:lang w:val="en-US" w:eastAsia="zh-CN"/>
              </w:rPr>
              <w:t>+</w:t>
            </w:r>
            <w:r>
              <w:rPr>
                <w:rFonts w:hint="default"/>
                <w:u w:val="single"/>
                <w:lang w:val="en-US" w:eastAsia="zh-CN"/>
              </w:rPr>
              <w:t>1</w:t>
            </w:r>
            <w:r>
              <w:rPr>
                <w:rFonts w:hint="eastAsia"/>
                <w:u w:val="singl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43"/>
              <w:spacing w:beforeLines="0" w:afterLines="0" w:line="240" w:lineRule="auto"/>
              <w:rPr>
                <w:rFonts w:hAnsi="宋体" w:cs="宋体"/>
                <w:snapToGrid w:val="0"/>
                <w:color w:val="000000"/>
                <w:kern w:val="21"/>
                <w:szCs w:val="21"/>
                <w:u w:val="single"/>
              </w:rPr>
            </w:pPr>
          </w:p>
        </w:tc>
        <w:tc>
          <w:tcPr>
            <w:tcW w:w="1417" w:type="dxa"/>
            <w:noWrap w:val="0"/>
            <w:vAlign w:val="center"/>
          </w:tcPr>
          <w:p>
            <w:pPr>
              <w:bidi w:val="0"/>
              <w:jc w:val="center"/>
              <w:rPr>
                <w:rFonts w:hint="eastAsia"/>
                <w:u w:val="single"/>
                <w:lang w:val="en-US" w:eastAsia="zh-CN"/>
              </w:rPr>
            </w:pPr>
            <w:r>
              <w:rPr>
                <w:rFonts w:hint="eastAsia"/>
                <w:u w:val="single"/>
                <w:lang w:val="en-US" w:eastAsia="zh-CN"/>
              </w:rPr>
              <w:t>生活垃圾</w:t>
            </w:r>
            <w:r>
              <w:rPr>
                <w:rFonts w:hint="default"/>
                <w:u w:val="single"/>
                <w:lang w:val="en-US" w:eastAsia="zh-CN"/>
              </w:rPr>
              <w:t>（t/a）</w:t>
            </w:r>
          </w:p>
        </w:tc>
        <w:tc>
          <w:tcPr>
            <w:tcW w:w="1701" w:type="dxa"/>
            <w:noWrap w:val="0"/>
            <w:vAlign w:val="center"/>
          </w:tcPr>
          <w:p>
            <w:pPr>
              <w:pStyle w:val="43"/>
              <w:spacing w:beforeLines="0" w:afterLines="0" w:line="240" w:lineRule="auto"/>
              <w:rPr>
                <w:rFonts w:hAnsi="宋体" w:cs="宋体"/>
                <w:snapToGrid w:val="0"/>
                <w:color w:val="000000"/>
                <w:kern w:val="21"/>
                <w:szCs w:val="21"/>
                <w:u w:val="single"/>
              </w:rPr>
            </w:pPr>
          </w:p>
        </w:tc>
        <w:tc>
          <w:tcPr>
            <w:tcW w:w="1276" w:type="dxa"/>
            <w:noWrap w:val="0"/>
            <w:vAlign w:val="center"/>
          </w:tcPr>
          <w:p>
            <w:pPr>
              <w:pStyle w:val="43"/>
              <w:spacing w:beforeLines="0" w:afterLines="0" w:line="240" w:lineRule="auto"/>
              <w:rPr>
                <w:rFonts w:hAnsi="宋体" w:cs="宋体"/>
                <w:snapToGrid w:val="0"/>
                <w:color w:val="000000"/>
                <w:kern w:val="21"/>
                <w:szCs w:val="21"/>
                <w:u w:val="single"/>
              </w:rPr>
            </w:pPr>
          </w:p>
        </w:tc>
        <w:tc>
          <w:tcPr>
            <w:tcW w:w="1701" w:type="dxa"/>
            <w:noWrap w:val="0"/>
            <w:vAlign w:val="center"/>
          </w:tcPr>
          <w:p>
            <w:pPr>
              <w:pStyle w:val="43"/>
              <w:spacing w:beforeLines="0" w:afterLines="0" w:line="240" w:lineRule="auto"/>
              <w:rPr>
                <w:rFonts w:hAnsi="宋体" w:cs="宋体"/>
                <w:snapToGrid w:val="0"/>
                <w:color w:val="000000"/>
                <w:kern w:val="21"/>
                <w:szCs w:val="21"/>
                <w:u w:val="single"/>
              </w:rPr>
            </w:pPr>
          </w:p>
        </w:tc>
        <w:tc>
          <w:tcPr>
            <w:tcW w:w="1559" w:type="dxa"/>
            <w:noWrap w:val="0"/>
            <w:vAlign w:val="center"/>
          </w:tcPr>
          <w:p>
            <w:pPr>
              <w:pStyle w:val="43"/>
              <w:spacing w:beforeLines="0" w:afterLines="0" w:line="240" w:lineRule="auto"/>
              <w:rPr>
                <w:rFonts w:hint="default" w:ascii="Times New Roman" w:hAnsi="Times New Roman" w:eastAsia="宋体" w:cs="Times New Roman"/>
                <w:snapToGrid w:val="0"/>
                <w:color w:val="000000"/>
                <w:kern w:val="21"/>
                <w:szCs w:val="21"/>
                <w:u w:val="single"/>
                <w:lang w:val="en-US" w:eastAsia="zh-CN"/>
              </w:rPr>
            </w:pPr>
            <w:r>
              <w:rPr>
                <w:rFonts w:hint="default" w:ascii="Times New Roman" w:hAnsi="Times New Roman" w:cs="Times New Roman"/>
                <w:snapToGrid w:val="0"/>
                <w:color w:val="000000"/>
                <w:kern w:val="21"/>
                <w:szCs w:val="21"/>
                <w:u w:val="single"/>
                <w:lang w:val="en-US" w:eastAsia="zh-CN"/>
              </w:rPr>
              <w:t>50.96</w:t>
            </w:r>
          </w:p>
        </w:tc>
        <w:tc>
          <w:tcPr>
            <w:tcW w:w="1761" w:type="dxa"/>
            <w:noWrap w:val="0"/>
            <w:vAlign w:val="center"/>
          </w:tcPr>
          <w:p>
            <w:pPr>
              <w:pStyle w:val="43"/>
              <w:spacing w:beforeLines="0" w:afterLines="0" w:line="240" w:lineRule="auto"/>
              <w:rPr>
                <w:rFonts w:hAnsi="宋体" w:cs="宋体"/>
                <w:snapToGrid w:val="0"/>
                <w:color w:val="000000"/>
                <w:kern w:val="21"/>
                <w:szCs w:val="21"/>
                <w:u w:val="single"/>
              </w:rPr>
            </w:pPr>
          </w:p>
        </w:tc>
        <w:tc>
          <w:tcPr>
            <w:tcW w:w="1959" w:type="dxa"/>
            <w:noWrap w:val="0"/>
            <w:vAlign w:val="center"/>
          </w:tcPr>
          <w:p>
            <w:pPr>
              <w:pStyle w:val="43"/>
              <w:spacing w:beforeLines="0" w:afterLines="0" w:line="240" w:lineRule="auto"/>
              <w:ind w:left="420" w:leftChars="0" w:hanging="420" w:hangingChars="200"/>
              <w:rPr>
                <w:rFonts w:hAnsi="宋体" w:cs="宋体"/>
                <w:snapToGrid w:val="0"/>
                <w:color w:val="000000"/>
                <w:kern w:val="21"/>
                <w:szCs w:val="21"/>
                <w:u w:val="single"/>
              </w:rPr>
            </w:pPr>
            <w:r>
              <w:rPr>
                <w:rFonts w:hint="default" w:ascii="Times New Roman" w:hAnsi="Times New Roman" w:cs="Times New Roman"/>
                <w:snapToGrid w:val="0"/>
                <w:color w:val="000000"/>
                <w:kern w:val="21"/>
                <w:szCs w:val="21"/>
                <w:u w:val="single"/>
                <w:lang w:val="en-US" w:eastAsia="zh-CN"/>
              </w:rPr>
              <w:t>50.96</w:t>
            </w:r>
          </w:p>
        </w:tc>
        <w:tc>
          <w:tcPr>
            <w:tcW w:w="826" w:type="dxa"/>
            <w:noWrap w:val="0"/>
            <w:vAlign w:val="center"/>
          </w:tcPr>
          <w:p>
            <w:pPr>
              <w:bidi w:val="0"/>
              <w:jc w:val="center"/>
              <w:rPr>
                <w:u w:val="single"/>
              </w:rPr>
            </w:pPr>
            <w:r>
              <w:rPr>
                <w:rFonts w:hint="eastAsia"/>
                <w:u w:val="single"/>
                <w:lang w:val="en-US" w:eastAsia="zh-CN"/>
              </w:rPr>
              <w:t>+</w:t>
            </w:r>
            <w:r>
              <w:rPr>
                <w:rFonts w:hint="default"/>
                <w:u w:val="single"/>
                <w:lang w:val="en-US" w:eastAsia="zh-CN"/>
              </w:rPr>
              <w:t>50.96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43"/>
              <w:spacing w:beforeLines="0" w:afterLines="0" w:line="240" w:lineRule="auto"/>
              <w:rPr>
                <w:rFonts w:hAnsi="宋体" w:cs="宋体"/>
                <w:snapToGrid w:val="0"/>
                <w:color w:val="000000"/>
                <w:kern w:val="21"/>
                <w:szCs w:val="21"/>
                <w:u w:val="single"/>
              </w:rPr>
            </w:pPr>
          </w:p>
        </w:tc>
        <w:tc>
          <w:tcPr>
            <w:tcW w:w="1417" w:type="dxa"/>
            <w:noWrap w:val="0"/>
            <w:vAlign w:val="center"/>
          </w:tcPr>
          <w:p>
            <w:pPr>
              <w:bidi w:val="0"/>
              <w:jc w:val="center"/>
              <w:rPr>
                <w:rFonts w:hint="eastAsia"/>
                <w:u w:val="single"/>
                <w:lang w:val="en-US" w:eastAsia="zh-CN"/>
              </w:rPr>
            </w:pPr>
            <w:r>
              <w:rPr>
                <w:rFonts w:hint="eastAsia"/>
                <w:u w:val="single"/>
                <w:lang w:val="en-US" w:eastAsia="zh-CN"/>
              </w:rPr>
              <w:t>一次性输液瓶（袋）</w:t>
            </w:r>
            <w:r>
              <w:rPr>
                <w:rFonts w:hint="default"/>
                <w:u w:val="single"/>
                <w:lang w:val="en-US" w:eastAsia="zh-CN"/>
              </w:rPr>
              <w:t>（t/a）</w:t>
            </w:r>
          </w:p>
        </w:tc>
        <w:tc>
          <w:tcPr>
            <w:tcW w:w="1701" w:type="dxa"/>
            <w:noWrap w:val="0"/>
            <w:vAlign w:val="center"/>
          </w:tcPr>
          <w:p>
            <w:pPr>
              <w:pStyle w:val="43"/>
              <w:spacing w:beforeLines="0" w:afterLines="0" w:line="240" w:lineRule="auto"/>
              <w:rPr>
                <w:rFonts w:hAnsi="宋体" w:cs="宋体"/>
                <w:snapToGrid w:val="0"/>
                <w:color w:val="000000"/>
                <w:kern w:val="21"/>
                <w:szCs w:val="21"/>
                <w:u w:val="single"/>
              </w:rPr>
            </w:pPr>
          </w:p>
        </w:tc>
        <w:tc>
          <w:tcPr>
            <w:tcW w:w="1276" w:type="dxa"/>
            <w:noWrap w:val="0"/>
            <w:vAlign w:val="center"/>
          </w:tcPr>
          <w:p>
            <w:pPr>
              <w:pStyle w:val="43"/>
              <w:spacing w:beforeLines="0" w:afterLines="0" w:line="240" w:lineRule="auto"/>
              <w:rPr>
                <w:rFonts w:hAnsi="宋体" w:cs="宋体"/>
                <w:snapToGrid w:val="0"/>
                <w:color w:val="000000"/>
                <w:kern w:val="21"/>
                <w:szCs w:val="21"/>
                <w:u w:val="single"/>
              </w:rPr>
            </w:pPr>
          </w:p>
        </w:tc>
        <w:tc>
          <w:tcPr>
            <w:tcW w:w="1701" w:type="dxa"/>
            <w:noWrap w:val="0"/>
            <w:vAlign w:val="center"/>
          </w:tcPr>
          <w:p>
            <w:pPr>
              <w:pStyle w:val="43"/>
              <w:spacing w:beforeLines="0" w:afterLines="0" w:line="240" w:lineRule="auto"/>
              <w:rPr>
                <w:rFonts w:hAnsi="宋体" w:cs="宋体"/>
                <w:snapToGrid w:val="0"/>
                <w:color w:val="000000"/>
                <w:kern w:val="21"/>
                <w:szCs w:val="21"/>
                <w:u w:val="single"/>
              </w:rPr>
            </w:pPr>
          </w:p>
        </w:tc>
        <w:tc>
          <w:tcPr>
            <w:tcW w:w="1559" w:type="dxa"/>
            <w:noWrap w:val="0"/>
            <w:vAlign w:val="center"/>
          </w:tcPr>
          <w:p>
            <w:pPr>
              <w:pStyle w:val="43"/>
              <w:spacing w:beforeLines="0" w:afterLines="0" w:line="240" w:lineRule="auto"/>
              <w:rPr>
                <w:rFonts w:hint="default" w:ascii="Times New Roman" w:hAnsi="Times New Roman" w:eastAsia="宋体" w:cs="Times New Roman"/>
                <w:snapToGrid w:val="0"/>
                <w:color w:val="000000"/>
                <w:kern w:val="21"/>
                <w:szCs w:val="21"/>
                <w:u w:val="single"/>
                <w:lang w:val="en-US" w:eastAsia="zh-CN"/>
              </w:rPr>
            </w:pPr>
            <w:r>
              <w:rPr>
                <w:rFonts w:hint="default" w:ascii="Times New Roman" w:hAnsi="Times New Roman" w:cs="Times New Roman"/>
                <w:snapToGrid w:val="0"/>
                <w:color w:val="000000"/>
                <w:kern w:val="21"/>
                <w:szCs w:val="21"/>
                <w:u w:val="single"/>
                <w:lang w:val="en-US" w:eastAsia="zh-CN"/>
              </w:rPr>
              <w:t>5</w:t>
            </w:r>
            <w:r>
              <w:rPr>
                <w:rFonts w:hint="eastAsia" w:ascii="Times New Roman" w:hAnsi="Times New Roman" w:cs="Times New Roman"/>
                <w:snapToGrid w:val="0"/>
                <w:color w:val="000000"/>
                <w:kern w:val="21"/>
                <w:szCs w:val="21"/>
                <w:u w:val="single"/>
                <w:lang w:val="en-US" w:eastAsia="zh-CN"/>
              </w:rPr>
              <w:t>.0</w:t>
            </w:r>
          </w:p>
        </w:tc>
        <w:tc>
          <w:tcPr>
            <w:tcW w:w="1761" w:type="dxa"/>
            <w:noWrap w:val="0"/>
            <w:vAlign w:val="center"/>
          </w:tcPr>
          <w:p>
            <w:pPr>
              <w:pStyle w:val="43"/>
              <w:spacing w:beforeLines="0" w:afterLines="0" w:line="240" w:lineRule="auto"/>
              <w:rPr>
                <w:rFonts w:hAnsi="宋体" w:cs="宋体"/>
                <w:snapToGrid w:val="0"/>
                <w:color w:val="000000"/>
                <w:kern w:val="21"/>
                <w:szCs w:val="21"/>
                <w:u w:val="single"/>
              </w:rPr>
            </w:pPr>
          </w:p>
        </w:tc>
        <w:tc>
          <w:tcPr>
            <w:tcW w:w="1959" w:type="dxa"/>
            <w:noWrap w:val="0"/>
            <w:vAlign w:val="center"/>
          </w:tcPr>
          <w:p>
            <w:pPr>
              <w:pStyle w:val="43"/>
              <w:spacing w:beforeLines="0" w:afterLines="0" w:line="240" w:lineRule="auto"/>
              <w:ind w:left="420" w:leftChars="0" w:hanging="420" w:hangingChars="200"/>
              <w:rPr>
                <w:rFonts w:hint="default" w:hAnsi="宋体" w:cs="宋体"/>
                <w:snapToGrid w:val="0"/>
                <w:color w:val="000000"/>
                <w:kern w:val="21"/>
                <w:szCs w:val="21"/>
                <w:u w:val="single"/>
                <w:lang w:val="en-US"/>
              </w:rPr>
            </w:pPr>
            <w:r>
              <w:rPr>
                <w:rFonts w:hint="default" w:ascii="Times New Roman" w:hAnsi="Times New Roman" w:cs="Times New Roman"/>
                <w:snapToGrid w:val="0"/>
                <w:color w:val="000000"/>
                <w:kern w:val="21"/>
                <w:szCs w:val="21"/>
                <w:u w:val="single"/>
                <w:lang w:val="en-US" w:eastAsia="zh-CN"/>
              </w:rPr>
              <w:t>5</w:t>
            </w:r>
            <w:r>
              <w:rPr>
                <w:rFonts w:hint="eastAsia" w:ascii="Times New Roman" w:hAnsi="Times New Roman" w:cs="Times New Roman"/>
                <w:snapToGrid w:val="0"/>
                <w:color w:val="000000"/>
                <w:kern w:val="21"/>
                <w:szCs w:val="21"/>
                <w:u w:val="single"/>
                <w:lang w:val="en-US" w:eastAsia="zh-CN"/>
              </w:rPr>
              <w:t>.0</w:t>
            </w:r>
          </w:p>
        </w:tc>
        <w:tc>
          <w:tcPr>
            <w:tcW w:w="826" w:type="dxa"/>
            <w:noWrap w:val="0"/>
            <w:vAlign w:val="center"/>
          </w:tcPr>
          <w:p>
            <w:pPr>
              <w:bidi w:val="0"/>
              <w:jc w:val="center"/>
              <w:rPr>
                <w:rFonts w:hint="default"/>
                <w:u w:val="single"/>
                <w:lang w:val="en-US"/>
              </w:rPr>
            </w:pPr>
            <w:r>
              <w:rPr>
                <w:rFonts w:hint="eastAsia"/>
                <w:u w:val="single"/>
                <w:lang w:val="en-US" w:eastAsia="zh-CN"/>
              </w:rPr>
              <w:t>+</w:t>
            </w:r>
            <w:r>
              <w:rPr>
                <w:rFonts w:hint="default"/>
                <w:u w:val="single"/>
                <w:lang w:val="en-US" w:eastAsia="zh-CN"/>
              </w:rPr>
              <w:t>5</w:t>
            </w:r>
            <w:r>
              <w:rPr>
                <w:rFonts w:hint="eastAsia"/>
                <w:u w:val="singl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43"/>
              <w:spacing w:beforeLines="0" w:afterLines="0" w:line="240" w:lineRule="auto"/>
              <w:rPr>
                <w:rFonts w:hint="eastAsia" w:hAnsi="宋体" w:cs="宋体"/>
                <w:snapToGrid w:val="0"/>
                <w:color w:val="000000"/>
                <w:kern w:val="21"/>
                <w:szCs w:val="21"/>
                <w:u w:val="single"/>
              </w:rPr>
            </w:pPr>
            <w:r>
              <w:rPr>
                <w:rFonts w:hint="eastAsia" w:hAnsi="宋体" w:cs="宋体"/>
                <w:snapToGrid w:val="0"/>
                <w:color w:val="000000"/>
                <w:kern w:val="21"/>
                <w:szCs w:val="21"/>
                <w:u w:val="single"/>
              </w:rPr>
              <w:t>危险废物</w:t>
            </w:r>
          </w:p>
        </w:tc>
        <w:tc>
          <w:tcPr>
            <w:tcW w:w="1417" w:type="dxa"/>
            <w:noWrap w:val="0"/>
            <w:vAlign w:val="center"/>
          </w:tcPr>
          <w:p>
            <w:pPr>
              <w:bidi w:val="0"/>
              <w:jc w:val="center"/>
              <w:rPr>
                <w:rFonts w:hint="eastAsia"/>
                <w:u w:val="single"/>
                <w:lang w:val="en-US" w:eastAsia="zh-CN"/>
              </w:rPr>
            </w:pPr>
            <w:r>
              <w:rPr>
                <w:rFonts w:hint="eastAsia"/>
                <w:u w:val="single"/>
                <w:lang w:val="en-US" w:eastAsia="zh-CN"/>
              </w:rPr>
              <w:t>医疗废物</w:t>
            </w:r>
            <w:r>
              <w:rPr>
                <w:rFonts w:hint="default"/>
                <w:u w:val="single"/>
                <w:lang w:val="en-US" w:eastAsia="zh-CN"/>
              </w:rPr>
              <w:t>（t/a）</w:t>
            </w:r>
          </w:p>
        </w:tc>
        <w:tc>
          <w:tcPr>
            <w:tcW w:w="1701" w:type="dxa"/>
            <w:noWrap w:val="0"/>
            <w:vAlign w:val="center"/>
          </w:tcPr>
          <w:p>
            <w:pPr>
              <w:pStyle w:val="43"/>
              <w:spacing w:beforeLines="0" w:afterLines="0" w:line="240" w:lineRule="auto"/>
              <w:rPr>
                <w:rFonts w:hAnsi="宋体" w:cs="宋体"/>
                <w:snapToGrid w:val="0"/>
                <w:color w:val="000000"/>
                <w:kern w:val="21"/>
                <w:szCs w:val="21"/>
                <w:u w:val="single"/>
              </w:rPr>
            </w:pPr>
          </w:p>
        </w:tc>
        <w:tc>
          <w:tcPr>
            <w:tcW w:w="1276" w:type="dxa"/>
            <w:noWrap w:val="0"/>
            <w:vAlign w:val="center"/>
          </w:tcPr>
          <w:p>
            <w:pPr>
              <w:pStyle w:val="43"/>
              <w:spacing w:beforeLines="0" w:afterLines="0" w:line="240" w:lineRule="auto"/>
              <w:rPr>
                <w:rFonts w:hAnsi="宋体" w:cs="宋体"/>
                <w:snapToGrid w:val="0"/>
                <w:color w:val="000000"/>
                <w:kern w:val="21"/>
                <w:szCs w:val="21"/>
                <w:u w:val="single"/>
              </w:rPr>
            </w:pPr>
          </w:p>
        </w:tc>
        <w:tc>
          <w:tcPr>
            <w:tcW w:w="1701" w:type="dxa"/>
            <w:noWrap w:val="0"/>
            <w:vAlign w:val="center"/>
          </w:tcPr>
          <w:p>
            <w:pPr>
              <w:pStyle w:val="43"/>
              <w:spacing w:beforeLines="0" w:afterLines="0" w:line="240" w:lineRule="auto"/>
              <w:rPr>
                <w:rFonts w:hAnsi="宋体" w:cs="宋体"/>
                <w:snapToGrid w:val="0"/>
                <w:color w:val="000000"/>
                <w:kern w:val="21"/>
                <w:szCs w:val="21"/>
                <w:u w:val="single"/>
              </w:rPr>
            </w:pPr>
          </w:p>
        </w:tc>
        <w:tc>
          <w:tcPr>
            <w:tcW w:w="1559" w:type="dxa"/>
            <w:noWrap w:val="0"/>
            <w:vAlign w:val="center"/>
          </w:tcPr>
          <w:p>
            <w:pPr>
              <w:pStyle w:val="43"/>
              <w:spacing w:beforeLines="0" w:afterLines="0" w:line="240" w:lineRule="auto"/>
              <w:rPr>
                <w:rFonts w:hint="default" w:ascii="Times New Roman" w:hAnsi="Times New Roman" w:eastAsia="宋体" w:cs="Times New Roman"/>
                <w:snapToGrid w:val="0"/>
                <w:color w:val="000000"/>
                <w:kern w:val="21"/>
                <w:szCs w:val="21"/>
                <w:u w:val="single"/>
                <w:lang w:val="en-US" w:eastAsia="zh-CN"/>
              </w:rPr>
            </w:pPr>
            <w:r>
              <w:rPr>
                <w:rFonts w:hint="default" w:ascii="Times New Roman" w:hAnsi="Times New Roman" w:cs="Times New Roman"/>
                <w:snapToGrid w:val="0"/>
                <w:color w:val="000000"/>
                <w:kern w:val="21"/>
                <w:szCs w:val="21"/>
                <w:u w:val="single"/>
                <w:lang w:val="en-US" w:eastAsia="zh-CN"/>
              </w:rPr>
              <w:t>8.40</w:t>
            </w:r>
          </w:p>
        </w:tc>
        <w:tc>
          <w:tcPr>
            <w:tcW w:w="1761" w:type="dxa"/>
            <w:noWrap w:val="0"/>
            <w:vAlign w:val="center"/>
          </w:tcPr>
          <w:p>
            <w:pPr>
              <w:pStyle w:val="43"/>
              <w:spacing w:beforeLines="0" w:afterLines="0" w:line="240" w:lineRule="auto"/>
              <w:rPr>
                <w:rFonts w:hAnsi="宋体" w:cs="宋体"/>
                <w:snapToGrid w:val="0"/>
                <w:color w:val="000000"/>
                <w:kern w:val="21"/>
                <w:szCs w:val="21"/>
                <w:u w:val="single"/>
              </w:rPr>
            </w:pPr>
          </w:p>
        </w:tc>
        <w:tc>
          <w:tcPr>
            <w:tcW w:w="1959" w:type="dxa"/>
            <w:noWrap w:val="0"/>
            <w:vAlign w:val="center"/>
          </w:tcPr>
          <w:p>
            <w:pPr>
              <w:pStyle w:val="43"/>
              <w:spacing w:beforeLines="0" w:afterLines="0" w:line="240" w:lineRule="auto"/>
              <w:ind w:left="420" w:leftChars="0" w:hanging="420" w:hangingChars="200"/>
              <w:rPr>
                <w:rFonts w:hAnsi="宋体" w:cs="宋体"/>
                <w:snapToGrid w:val="0"/>
                <w:color w:val="000000"/>
                <w:kern w:val="21"/>
                <w:szCs w:val="21"/>
                <w:u w:val="single"/>
              </w:rPr>
            </w:pPr>
            <w:r>
              <w:rPr>
                <w:rFonts w:hint="default" w:ascii="Times New Roman" w:hAnsi="Times New Roman" w:cs="Times New Roman"/>
                <w:snapToGrid w:val="0"/>
                <w:color w:val="000000"/>
                <w:kern w:val="21"/>
                <w:szCs w:val="21"/>
                <w:u w:val="single"/>
                <w:lang w:val="en-US" w:eastAsia="zh-CN"/>
              </w:rPr>
              <w:t>8.40</w:t>
            </w:r>
          </w:p>
        </w:tc>
        <w:tc>
          <w:tcPr>
            <w:tcW w:w="826" w:type="dxa"/>
            <w:noWrap w:val="0"/>
            <w:vAlign w:val="center"/>
          </w:tcPr>
          <w:p>
            <w:pPr>
              <w:bidi w:val="0"/>
              <w:jc w:val="center"/>
              <w:rPr>
                <w:u w:val="single"/>
              </w:rPr>
            </w:pPr>
            <w:r>
              <w:rPr>
                <w:rFonts w:hint="eastAsia"/>
                <w:u w:val="single"/>
                <w:lang w:val="en-US" w:eastAsia="zh-CN"/>
              </w:rPr>
              <w:t>+</w:t>
            </w:r>
            <w:r>
              <w:rPr>
                <w:rFonts w:hint="default"/>
                <w:u w:val="single"/>
                <w:lang w:val="en-US" w:eastAsia="zh-CN"/>
              </w:rPr>
              <w:t>8.40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43"/>
              <w:spacing w:beforeLines="0" w:afterLines="0" w:line="240" w:lineRule="auto"/>
              <w:rPr>
                <w:rFonts w:hAnsi="宋体" w:cs="宋体"/>
                <w:snapToGrid w:val="0"/>
                <w:color w:val="000000"/>
                <w:kern w:val="21"/>
                <w:szCs w:val="21"/>
                <w:u w:val="single"/>
              </w:rPr>
            </w:pPr>
          </w:p>
        </w:tc>
        <w:tc>
          <w:tcPr>
            <w:tcW w:w="1417" w:type="dxa"/>
            <w:noWrap w:val="0"/>
            <w:vAlign w:val="center"/>
          </w:tcPr>
          <w:p>
            <w:pPr>
              <w:bidi w:val="0"/>
              <w:jc w:val="center"/>
              <w:rPr>
                <w:rFonts w:hint="eastAsia"/>
                <w:u w:val="single"/>
                <w:lang w:val="en-US" w:eastAsia="zh-CN"/>
              </w:rPr>
            </w:pPr>
            <w:r>
              <w:rPr>
                <w:rFonts w:hint="eastAsia"/>
                <w:u w:val="single"/>
                <w:lang w:val="en-US" w:eastAsia="zh-CN"/>
              </w:rPr>
              <w:t>化粪池污泥</w:t>
            </w:r>
            <w:r>
              <w:rPr>
                <w:rFonts w:hint="default"/>
                <w:u w:val="single"/>
                <w:lang w:val="en-US" w:eastAsia="zh-CN"/>
              </w:rPr>
              <w:t>（t/a）</w:t>
            </w:r>
          </w:p>
        </w:tc>
        <w:tc>
          <w:tcPr>
            <w:tcW w:w="1701" w:type="dxa"/>
            <w:noWrap w:val="0"/>
            <w:vAlign w:val="center"/>
          </w:tcPr>
          <w:p>
            <w:pPr>
              <w:pStyle w:val="43"/>
              <w:spacing w:beforeLines="0" w:afterLines="0" w:line="240" w:lineRule="auto"/>
              <w:rPr>
                <w:rFonts w:hAnsi="宋体" w:cs="宋体"/>
                <w:snapToGrid w:val="0"/>
                <w:color w:val="000000"/>
                <w:kern w:val="21"/>
                <w:szCs w:val="21"/>
                <w:u w:val="single"/>
              </w:rPr>
            </w:pPr>
          </w:p>
        </w:tc>
        <w:tc>
          <w:tcPr>
            <w:tcW w:w="1276" w:type="dxa"/>
            <w:noWrap w:val="0"/>
            <w:vAlign w:val="center"/>
          </w:tcPr>
          <w:p>
            <w:pPr>
              <w:pStyle w:val="43"/>
              <w:spacing w:beforeLines="0" w:afterLines="0" w:line="240" w:lineRule="auto"/>
              <w:rPr>
                <w:rFonts w:hAnsi="宋体" w:cs="宋体"/>
                <w:snapToGrid w:val="0"/>
                <w:color w:val="000000"/>
                <w:kern w:val="21"/>
                <w:szCs w:val="21"/>
                <w:u w:val="single"/>
              </w:rPr>
            </w:pPr>
          </w:p>
        </w:tc>
        <w:tc>
          <w:tcPr>
            <w:tcW w:w="1701" w:type="dxa"/>
            <w:noWrap w:val="0"/>
            <w:vAlign w:val="center"/>
          </w:tcPr>
          <w:p>
            <w:pPr>
              <w:pStyle w:val="43"/>
              <w:spacing w:beforeLines="0" w:afterLines="0" w:line="240" w:lineRule="auto"/>
              <w:rPr>
                <w:rFonts w:hAnsi="宋体" w:cs="宋体"/>
                <w:snapToGrid w:val="0"/>
                <w:color w:val="000000"/>
                <w:kern w:val="21"/>
                <w:szCs w:val="21"/>
                <w:u w:val="single"/>
              </w:rPr>
            </w:pPr>
          </w:p>
        </w:tc>
        <w:tc>
          <w:tcPr>
            <w:tcW w:w="1559" w:type="dxa"/>
            <w:noWrap w:val="0"/>
            <w:vAlign w:val="center"/>
          </w:tcPr>
          <w:p>
            <w:pPr>
              <w:pStyle w:val="43"/>
              <w:spacing w:beforeLines="0" w:afterLines="0" w:line="240" w:lineRule="auto"/>
              <w:rPr>
                <w:rFonts w:hint="default" w:ascii="Times New Roman" w:hAnsi="Times New Roman" w:eastAsia="宋体" w:cs="Times New Roman"/>
                <w:snapToGrid w:val="0"/>
                <w:color w:val="000000"/>
                <w:kern w:val="21"/>
                <w:szCs w:val="21"/>
                <w:u w:val="single"/>
                <w:lang w:val="en-US" w:eastAsia="zh-CN"/>
              </w:rPr>
            </w:pPr>
            <w:r>
              <w:rPr>
                <w:rFonts w:hint="default" w:ascii="Times New Roman" w:hAnsi="Times New Roman" w:cs="Times New Roman"/>
                <w:snapToGrid w:val="0"/>
                <w:color w:val="000000"/>
                <w:kern w:val="21"/>
                <w:szCs w:val="21"/>
                <w:u w:val="single"/>
                <w:lang w:val="en-US" w:eastAsia="zh-CN"/>
              </w:rPr>
              <w:t>1.0</w:t>
            </w:r>
          </w:p>
        </w:tc>
        <w:tc>
          <w:tcPr>
            <w:tcW w:w="1761" w:type="dxa"/>
            <w:noWrap w:val="0"/>
            <w:vAlign w:val="center"/>
          </w:tcPr>
          <w:p>
            <w:pPr>
              <w:pStyle w:val="43"/>
              <w:spacing w:beforeLines="0" w:afterLines="0" w:line="240" w:lineRule="auto"/>
              <w:rPr>
                <w:rFonts w:hAnsi="宋体" w:cs="宋体"/>
                <w:snapToGrid w:val="0"/>
                <w:color w:val="000000"/>
                <w:kern w:val="21"/>
                <w:szCs w:val="21"/>
                <w:u w:val="single"/>
              </w:rPr>
            </w:pPr>
          </w:p>
        </w:tc>
        <w:tc>
          <w:tcPr>
            <w:tcW w:w="1959" w:type="dxa"/>
            <w:noWrap w:val="0"/>
            <w:vAlign w:val="center"/>
          </w:tcPr>
          <w:p>
            <w:pPr>
              <w:pStyle w:val="43"/>
              <w:spacing w:beforeLines="0" w:afterLines="0" w:line="240" w:lineRule="auto"/>
              <w:ind w:left="420" w:leftChars="0" w:hanging="420" w:hangingChars="200"/>
              <w:rPr>
                <w:rFonts w:hAnsi="宋体" w:cs="宋体"/>
                <w:snapToGrid w:val="0"/>
                <w:color w:val="000000"/>
                <w:kern w:val="21"/>
                <w:szCs w:val="21"/>
                <w:u w:val="single"/>
              </w:rPr>
            </w:pPr>
            <w:r>
              <w:rPr>
                <w:rFonts w:hint="default" w:ascii="Times New Roman" w:hAnsi="Times New Roman" w:cs="Times New Roman"/>
                <w:snapToGrid w:val="0"/>
                <w:color w:val="000000"/>
                <w:kern w:val="21"/>
                <w:szCs w:val="21"/>
                <w:u w:val="single"/>
                <w:lang w:val="en-US" w:eastAsia="zh-CN"/>
              </w:rPr>
              <w:t>1.0</w:t>
            </w:r>
          </w:p>
        </w:tc>
        <w:tc>
          <w:tcPr>
            <w:tcW w:w="826" w:type="dxa"/>
            <w:noWrap w:val="0"/>
            <w:vAlign w:val="center"/>
          </w:tcPr>
          <w:p>
            <w:pPr>
              <w:bidi w:val="0"/>
              <w:jc w:val="center"/>
              <w:rPr>
                <w:u w:val="single"/>
              </w:rPr>
            </w:pPr>
            <w:r>
              <w:rPr>
                <w:rFonts w:hint="eastAsia"/>
                <w:u w:val="single"/>
                <w:lang w:val="en-US" w:eastAsia="zh-CN"/>
              </w:rPr>
              <w:t>+</w:t>
            </w:r>
            <w:r>
              <w:rPr>
                <w:rFonts w:hint="default"/>
                <w:u w:val="single"/>
                <w:lang w:val="en-US" w:eastAsia="zh-CN"/>
              </w:rPr>
              <w:t>1.0</w:t>
            </w:r>
          </w:p>
        </w:tc>
      </w:tr>
    </w:tbl>
    <w:p>
      <w:pPr>
        <w:pStyle w:val="43"/>
        <w:spacing w:before="192" w:beforeLines="80" w:after="24"/>
        <w:jc w:val="left"/>
        <w:rPr>
          <w:rFonts w:hint="eastAsia" w:hAnsi="宋体"/>
          <w:snapToGrid w:val="0"/>
          <w:color w:val="000000"/>
          <w:spacing w:val="-6"/>
          <w:kern w:val="21"/>
          <w:szCs w:val="21"/>
        </w:r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p>
    <w:p>
      <w:pPr>
        <w:rPr>
          <w:rFonts w:hint="default"/>
          <w:lang w:val="en-US" w:eastAsia="zh-CN"/>
        </w:rPr>
      </w:pPr>
    </w:p>
    <w:sectPr>
      <w:footerReference r:id="rId6" w:type="default"/>
      <w:pgSz w:w="16838" w:h="11906" w:orient="landscape"/>
      <w:pgMar w:top="1440" w:right="1800" w:bottom="1440" w:left="1800"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18030">
    <w:altName w:val="宋体"/>
    <w:panose1 w:val="00000000000000000000"/>
    <w:charset w:val="00"/>
    <w:family w:val="auto"/>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29"/>
      </w:rPr>
    </w:pPr>
    <w:r>
      <w:fldChar w:fldCharType="begin"/>
    </w:r>
    <w:r>
      <w:rPr>
        <w:rStyle w:val="29"/>
      </w:rPr>
      <w:instrText xml:space="preserve">PAGE  </w:instrText>
    </w:r>
    <w:r>
      <w:fldChar w:fldCharType="end"/>
    </w:r>
  </w:p>
  <w:p>
    <w:pPr>
      <w:pStyle w:val="1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outside" w:y="1"/>
      <w:rPr>
        <w:rStyle w:val="29"/>
        <w:rFonts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rStyle w:val="29"/>
        <w:rFonts w:ascii="宋体" w:hAnsi="宋体"/>
        <w:sz w:val="26"/>
        <w:szCs w:val="26"/>
      </w:rPr>
      <w:fldChar w:fldCharType="begin"/>
    </w:r>
    <w:r>
      <w:rPr>
        <w:rStyle w:val="29"/>
        <w:rFonts w:ascii="宋体" w:hAnsi="宋体"/>
        <w:sz w:val="26"/>
        <w:szCs w:val="26"/>
      </w:rPr>
      <w:instrText xml:space="preserve">PAGE  </w:instrText>
    </w:r>
    <w:r>
      <w:rPr>
        <w:rStyle w:val="29"/>
        <w:rFonts w:ascii="宋体" w:hAnsi="宋体"/>
        <w:sz w:val="26"/>
        <w:szCs w:val="26"/>
      </w:rPr>
      <w:fldChar w:fldCharType="separate"/>
    </w:r>
    <w:r>
      <w:rPr>
        <w:rStyle w:val="29"/>
        <w:rFonts w:ascii="宋体" w:hAnsi="宋体"/>
        <w:sz w:val="26"/>
        <w:szCs w:val="26"/>
      </w:rPr>
      <w:t>9</w:t>
    </w:r>
    <w:r>
      <w:rPr>
        <w:rStyle w:val="29"/>
        <w:rFonts w:ascii="宋体" w:hAnsi="宋体"/>
        <w:sz w:val="26"/>
        <w:szCs w:val="26"/>
      </w:rPr>
      <w:fldChar w:fldCharType="end"/>
    </w:r>
    <w:r>
      <w:rPr>
        <w:rStyle w:val="29"/>
        <w:rFonts w:hint="eastAsia" w:ascii="宋体" w:hAnsi="宋体"/>
        <w:sz w:val="20"/>
      </w:rPr>
      <w:t xml:space="preserve">  </w:t>
    </w:r>
    <w:r>
      <w:rPr>
        <w:rStyle w:val="29"/>
        <w:rFonts w:hint="eastAsia" w:ascii="宋体" w:hAnsi="宋体"/>
        <w:sz w:val="28"/>
        <w:szCs w:val="28"/>
      </w:rPr>
      <w:t>—</w:t>
    </w:r>
  </w:p>
  <w:p>
    <w:pPr>
      <w:pStyle w:val="19"/>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outside" w:y="1"/>
      <w:rPr>
        <w:rStyle w:val="29"/>
        <w:rFonts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rStyle w:val="29"/>
        <w:rFonts w:ascii="宋体" w:hAnsi="宋体"/>
        <w:sz w:val="26"/>
        <w:szCs w:val="26"/>
      </w:rPr>
      <w:fldChar w:fldCharType="begin"/>
    </w:r>
    <w:r>
      <w:rPr>
        <w:rStyle w:val="29"/>
        <w:rFonts w:ascii="宋体" w:hAnsi="宋体"/>
        <w:sz w:val="26"/>
        <w:szCs w:val="26"/>
      </w:rPr>
      <w:instrText xml:space="preserve">PAGE  </w:instrText>
    </w:r>
    <w:r>
      <w:rPr>
        <w:rStyle w:val="29"/>
        <w:rFonts w:ascii="宋体" w:hAnsi="宋体"/>
        <w:sz w:val="26"/>
        <w:szCs w:val="26"/>
      </w:rPr>
      <w:fldChar w:fldCharType="separate"/>
    </w:r>
    <w:r>
      <w:rPr>
        <w:rStyle w:val="29"/>
        <w:rFonts w:ascii="宋体" w:hAnsi="宋体"/>
        <w:sz w:val="26"/>
        <w:szCs w:val="26"/>
      </w:rPr>
      <w:t>11</w:t>
    </w:r>
    <w:r>
      <w:rPr>
        <w:rStyle w:val="29"/>
        <w:rFonts w:ascii="宋体" w:hAnsi="宋体"/>
        <w:sz w:val="26"/>
        <w:szCs w:val="26"/>
      </w:rPr>
      <w:fldChar w:fldCharType="end"/>
    </w:r>
    <w:r>
      <w:rPr>
        <w:rStyle w:val="29"/>
        <w:rFonts w:hint="eastAsia" w:ascii="宋体" w:hAnsi="宋体"/>
        <w:sz w:val="20"/>
      </w:rPr>
      <w:t xml:space="preserve">  </w:t>
    </w:r>
    <w:r>
      <w:rPr>
        <w:rStyle w:val="29"/>
        <w:rFonts w:hint="eastAsia" w:ascii="宋体" w:hAnsi="宋体"/>
        <w:sz w:val="28"/>
        <w:szCs w:val="28"/>
      </w:rPr>
      <w:t>—</w:t>
    </w:r>
  </w:p>
  <w:p>
    <w:pPr>
      <w:pStyle w:val="19"/>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3320BF"/>
    <w:multiLevelType w:val="singleLevel"/>
    <w:tmpl w:val="953320BF"/>
    <w:lvl w:ilvl="0" w:tentative="0">
      <w:start w:val="1"/>
      <w:numFmt w:val="chineseCounting"/>
      <w:suff w:val="nothing"/>
      <w:lvlText w:val="（%1）"/>
      <w:lvlJc w:val="left"/>
      <w:rPr>
        <w:rFonts w:hint="eastAsia"/>
      </w:rPr>
    </w:lvl>
  </w:abstractNum>
  <w:abstractNum w:abstractNumId="1">
    <w:nsid w:val="A1C7C16A"/>
    <w:multiLevelType w:val="singleLevel"/>
    <w:tmpl w:val="A1C7C16A"/>
    <w:lvl w:ilvl="0" w:tentative="0">
      <w:start w:val="10"/>
      <w:numFmt w:val="decimal"/>
      <w:suff w:val="nothing"/>
      <w:lvlText w:val="（%1）"/>
      <w:lvlJc w:val="left"/>
    </w:lvl>
  </w:abstractNum>
  <w:abstractNum w:abstractNumId="2">
    <w:nsid w:val="A4F053A9"/>
    <w:multiLevelType w:val="singleLevel"/>
    <w:tmpl w:val="A4F053A9"/>
    <w:lvl w:ilvl="0" w:tentative="0">
      <w:start w:val="1"/>
      <w:numFmt w:val="decimal"/>
      <w:suff w:val="nothing"/>
      <w:lvlText w:val="（%1）"/>
      <w:lvlJc w:val="left"/>
    </w:lvl>
  </w:abstractNum>
  <w:abstractNum w:abstractNumId="3">
    <w:nsid w:val="C00CA820"/>
    <w:multiLevelType w:val="singleLevel"/>
    <w:tmpl w:val="C00CA820"/>
    <w:lvl w:ilvl="0" w:tentative="0">
      <w:start w:val="1"/>
      <w:numFmt w:val="decimal"/>
      <w:suff w:val="nothing"/>
      <w:lvlText w:val="（%1）"/>
      <w:lvlJc w:val="left"/>
    </w:lvl>
  </w:abstractNum>
  <w:abstractNum w:abstractNumId="4">
    <w:nsid w:val="D71347DA"/>
    <w:multiLevelType w:val="singleLevel"/>
    <w:tmpl w:val="D71347DA"/>
    <w:lvl w:ilvl="0" w:tentative="0">
      <w:start w:val="1"/>
      <w:numFmt w:val="bullet"/>
      <w:pStyle w:val="11"/>
      <w:lvlText w:val=""/>
      <w:lvlJc w:val="left"/>
      <w:pPr>
        <w:tabs>
          <w:tab w:val="left" w:pos="780"/>
        </w:tabs>
        <w:ind w:left="780" w:hanging="360"/>
      </w:pPr>
      <w:rPr>
        <w:rFonts w:hint="default" w:ascii="Wingdings" w:hAnsi="Wingdings"/>
      </w:rPr>
    </w:lvl>
  </w:abstractNum>
  <w:abstractNum w:abstractNumId="5">
    <w:nsid w:val="F0B2F8B9"/>
    <w:multiLevelType w:val="singleLevel"/>
    <w:tmpl w:val="F0B2F8B9"/>
    <w:lvl w:ilvl="0" w:tentative="0">
      <w:start w:val="3"/>
      <w:numFmt w:val="decimal"/>
      <w:suff w:val="nothing"/>
      <w:lvlText w:val="%1、"/>
      <w:lvlJc w:val="left"/>
      <w:pPr>
        <w:ind w:left="-60"/>
      </w:pPr>
      <w:rPr>
        <w:rFonts w:hint="default" w:ascii="宋体" w:hAnsi="宋体" w:eastAsia="宋体" w:cs="宋体"/>
        <w:sz w:val="24"/>
        <w:szCs w:val="24"/>
      </w:rPr>
    </w:lvl>
  </w:abstractNum>
  <w:abstractNum w:abstractNumId="6">
    <w:nsid w:val="00000001"/>
    <w:multiLevelType w:val="multilevel"/>
    <w:tmpl w:val="00000001"/>
    <w:lvl w:ilvl="0" w:tentative="0">
      <w:start w:val="1"/>
      <w:numFmt w:val="decimal"/>
      <w:pStyle w:val="55"/>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7">
    <w:nsid w:val="05FB0B85"/>
    <w:multiLevelType w:val="singleLevel"/>
    <w:tmpl w:val="05FB0B85"/>
    <w:lvl w:ilvl="0" w:tentative="0">
      <w:start w:val="5"/>
      <w:numFmt w:val="chineseCounting"/>
      <w:suff w:val="nothing"/>
      <w:lvlText w:val="%1、"/>
      <w:lvlJc w:val="left"/>
      <w:rPr>
        <w:rFonts w:hint="eastAsia"/>
      </w:rPr>
    </w:lvl>
  </w:abstractNum>
  <w:abstractNum w:abstractNumId="8">
    <w:nsid w:val="1A0879C8"/>
    <w:multiLevelType w:val="singleLevel"/>
    <w:tmpl w:val="1A0879C8"/>
    <w:lvl w:ilvl="0" w:tentative="0">
      <w:start w:val="3"/>
      <w:numFmt w:val="chineseCounting"/>
      <w:suff w:val="nothing"/>
      <w:lvlText w:val="%1、"/>
      <w:lvlJc w:val="left"/>
      <w:rPr>
        <w:rFonts w:hint="eastAsia"/>
      </w:rPr>
    </w:lvl>
  </w:abstractNum>
  <w:abstractNum w:abstractNumId="9">
    <w:nsid w:val="589D6B71"/>
    <w:multiLevelType w:val="singleLevel"/>
    <w:tmpl w:val="589D6B71"/>
    <w:lvl w:ilvl="0" w:tentative="0">
      <w:start w:val="1"/>
      <w:numFmt w:val="decimal"/>
      <w:suff w:val="nothing"/>
      <w:lvlText w:val="%1、"/>
      <w:lvlJc w:val="left"/>
    </w:lvl>
  </w:abstractNum>
  <w:abstractNum w:abstractNumId="10">
    <w:nsid w:val="667F93CA"/>
    <w:multiLevelType w:val="singleLevel"/>
    <w:tmpl w:val="667F93CA"/>
    <w:lvl w:ilvl="0" w:tentative="0">
      <w:start w:val="6"/>
      <w:numFmt w:val="decimal"/>
      <w:suff w:val="nothing"/>
      <w:lvlText w:val="%1、"/>
      <w:lvlJc w:val="left"/>
    </w:lvl>
  </w:abstractNum>
  <w:num w:numId="1">
    <w:abstractNumId w:val="4"/>
  </w:num>
  <w:num w:numId="2">
    <w:abstractNumId w:val="6"/>
  </w:num>
  <w:num w:numId="3">
    <w:abstractNumId w:val="9"/>
  </w:num>
  <w:num w:numId="4">
    <w:abstractNumId w:val="2"/>
  </w:num>
  <w:num w:numId="5">
    <w:abstractNumId w:val="10"/>
  </w:num>
  <w:num w:numId="6">
    <w:abstractNumId w:val="3"/>
  </w:num>
  <w:num w:numId="7">
    <w:abstractNumId w:val="1"/>
  </w:num>
  <w:num w:numId="8">
    <w:abstractNumId w:val="0"/>
  </w:num>
  <w:num w:numId="9">
    <w:abstractNumId w:val="8"/>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U2MjBlM2YyZjdjZmZkNTUwYjg1MmFlZDAyYTNmNzgifQ=="/>
  </w:docVars>
  <w:rsids>
    <w:rsidRoot w:val="00A14947"/>
    <w:rsid w:val="000060B3"/>
    <w:rsid w:val="0004364B"/>
    <w:rsid w:val="00061B1F"/>
    <w:rsid w:val="00072C34"/>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64C26"/>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45594"/>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94E"/>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0C299E"/>
    <w:rsid w:val="01290F7E"/>
    <w:rsid w:val="015D1E09"/>
    <w:rsid w:val="01967485"/>
    <w:rsid w:val="01A73D87"/>
    <w:rsid w:val="01D95F0B"/>
    <w:rsid w:val="022573A2"/>
    <w:rsid w:val="0229022E"/>
    <w:rsid w:val="0254342C"/>
    <w:rsid w:val="02697903"/>
    <w:rsid w:val="02F96569"/>
    <w:rsid w:val="031273D2"/>
    <w:rsid w:val="03206577"/>
    <w:rsid w:val="035A4CAD"/>
    <w:rsid w:val="035B1CD7"/>
    <w:rsid w:val="039536EF"/>
    <w:rsid w:val="03EA7B21"/>
    <w:rsid w:val="04C64E6C"/>
    <w:rsid w:val="050D4849"/>
    <w:rsid w:val="053A4F12"/>
    <w:rsid w:val="05852874"/>
    <w:rsid w:val="05F83EAE"/>
    <w:rsid w:val="06257970"/>
    <w:rsid w:val="063E7D85"/>
    <w:rsid w:val="066F0611"/>
    <w:rsid w:val="067F52D3"/>
    <w:rsid w:val="0721638A"/>
    <w:rsid w:val="07293586"/>
    <w:rsid w:val="07295285"/>
    <w:rsid w:val="07636392"/>
    <w:rsid w:val="07770C56"/>
    <w:rsid w:val="07886409"/>
    <w:rsid w:val="080D2DB2"/>
    <w:rsid w:val="08493DEA"/>
    <w:rsid w:val="089A787A"/>
    <w:rsid w:val="08AF68CB"/>
    <w:rsid w:val="08CC67C9"/>
    <w:rsid w:val="092217DD"/>
    <w:rsid w:val="093A7294"/>
    <w:rsid w:val="0A263993"/>
    <w:rsid w:val="0A2D3AC2"/>
    <w:rsid w:val="0A7645EA"/>
    <w:rsid w:val="0A764C3F"/>
    <w:rsid w:val="0AA755DF"/>
    <w:rsid w:val="0B005826"/>
    <w:rsid w:val="0B120D44"/>
    <w:rsid w:val="0B904D70"/>
    <w:rsid w:val="0BD27BF6"/>
    <w:rsid w:val="0BEF4C24"/>
    <w:rsid w:val="0C3A093A"/>
    <w:rsid w:val="0C3B3C7D"/>
    <w:rsid w:val="0CAB2EAE"/>
    <w:rsid w:val="0D621C7D"/>
    <w:rsid w:val="0E0F5672"/>
    <w:rsid w:val="0E383AA8"/>
    <w:rsid w:val="0E73034D"/>
    <w:rsid w:val="0E751429"/>
    <w:rsid w:val="0EE07D7D"/>
    <w:rsid w:val="0EEA79A9"/>
    <w:rsid w:val="0F13775A"/>
    <w:rsid w:val="0F184C69"/>
    <w:rsid w:val="0F5F45FE"/>
    <w:rsid w:val="0F9A112B"/>
    <w:rsid w:val="0FB24EE4"/>
    <w:rsid w:val="10354C54"/>
    <w:rsid w:val="106D2F64"/>
    <w:rsid w:val="10B63710"/>
    <w:rsid w:val="10BD35C7"/>
    <w:rsid w:val="10CD1330"/>
    <w:rsid w:val="10E2196B"/>
    <w:rsid w:val="10F10820"/>
    <w:rsid w:val="111C2F7A"/>
    <w:rsid w:val="11665CA1"/>
    <w:rsid w:val="11B56CA5"/>
    <w:rsid w:val="11FB6F95"/>
    <w:rsid w:val="125E2CA9"/>
    <w:rsid w:val="128B4FFF"/>
    <w:rsid w:val="12900868"/>
    <w:rsid w:val="130F79DE"/>
    <w:rsid w:val="13951726"/>
    <w:rsid w:val="14394E19"/>
    <w:rsid w:val="14396509"/>
    <w:rsid w:val="14DD2C3C"/>
    <w:rsid w:val="151711CD"/>
    <w:rsid w:val="151C4634"/>
    <w:rsid w:val="16087E1D"/>
    <w:rsid w:val="161025C9"/>
    <w:rsid w:val="164A615F"/>
    <w:rsid w:val="17701D14"/>
    <w:rsid w:val="17735226"/>
    <w:rsid w:val="178F5592"/>
    <w:rsid w:val="17936FC2"/>
    <w:rsid w:val="179834F6"/>
    <w:rsid w:val="17B172B6"/>
    <w:rsid w:val="189F624C"/>
    <w:rsid w:val="191E097B"/>
    <w:rsid w:val="1A1C66C0"/>
    <w:rsid w:val="1A42393B"/>
    <w:rsid w:val="1A9B0880"/>
    <w:rsid w:val="1AAD45DE"/>
    <w:rsid w:val="1AB33B6A"/>
    <w:rsid w:val="1AFA5418"/>
    <w:rsid w:val="1B046F80"/>
    <w:rsid w:val="1B3267B5"/>
    <w:rsid w:val="1B40161D"/>
    <w:rsid w:val="1B441859"/>
    <w:rsid w:val="1B6606B1"/>
    <w:rsid w:val="1C091D46"/>
    <w:rsid w:val="1C5A6949"/>
    <w:rsid w:val="1C5E7925"/>
    <w:rsid w:val="1C86289A"/>
    <w:rsid w:val="1C8C02F2"/>
    <w:rsid w:val="1C9871D4"/>
    <w:rsid w:val="1CFD070F"/>
    <w:rsid w:val="1D4219AA"/>
    <w:rsid w:val="1D4D7A81"/>
    <w:rsid w:val="1D5E1C8E"/>
    <w:rsid w:val="1D5F6196"/>
    <w:rsid w:val="1D6132A5"/>
    <w:rsid w:val="1D8E56D5"/>
    <w:rsid w:val="1E4409E9"/>
    <w:rsid w:val="1E7A43DA"/>
    <w:rsid w:val="1EAE2DCC"/>
    <w:rsid w:val="1F6966C8"/>
    <w:rsid w:val="1F7368B1"/>
    <w:rsid w:val="1F877F90"/>
    <w:rsid w:val="1FBC0EEE"/>
    <w:rsid w:val="1FE7539E"/>
    <w:rsid w:val="20324D08"/>
    <w:rsid w:val="20671BE0"/>
    <w:rsid w:val="207318E2"/>
    <w:rsid w:val="20963CB8"/>
    <w:rsid w:val="20A81A1B"/>
    <w:rsid w:val="20B07FB6"/>
    <w:rsid w:val="20B646FB"/>
    <w:rsid w:val="2134416F"/>
    <w:rsid w:val="213B74B1"/>
    <w:rsid w:val="213D7FB4"/>
    <w:rsid w:val="215A2310"/>
    <w:rsid w:val="21762C99"/>
    <w:rsid w:val="21821CC3"/>
    <w:rsid w:val="21850309"/>
    <w:rsid w:val="21DE318A"/>
    <w:rsid w:val="21EF5B80"/>
    <w:rsid w:val="22576990"/>
    <w:rsid w:val="225C42C2"/>
    <w:rsid w:val="22F47480"/>
    <w:rsid w:val="230F7587"/>
    <w:rsid w:val="23DE1C48"/>
    <w:rsid w:val="240210CD"/>
    <w:rsid w:val="24420BB9"/>
    <w:rsid w:val="24981900"/>
    <w:rsid w:val="24B16B47"/>
    <w:rsid w:val="24B52569"/>
    <w:rsid w:val="24BF09F7"/>
    <w:rsid w:val="24D618A2"/>
    <w:rsid w:val="2521458E"/>
    <w:rsid w:val="252D53FE"/>
    <w:rsid w:val="254669EE"/>
    <w:rsid w:val="25B06D01"/>
    <w:rsid w:val="25C50DB4"/>
    <w:rsid w:val="25EC2D81"/>
    <w:rsid w:val="25F82554"/>
    <w:rsid w:val="26573321"/>
    <w:rsid w:val="26A43247"/>
    <w:rsid w:val="26BC17D3"/>
    <w:rsid w:val="26CB1012"/>
    <w:rsid w:val="270E7C35"/>
    <w:rsid w:val="27207E66"/>
    <w:rsid w:val="277057A2"/>
    <w:rsid w:val="27A95F6E"/>
    <w:rsid w:val="28AC2239"/>
    <w:rsid w:val="29206EB8"/>
    <w:rsid w:val="294C32E2"/>
    <w:rsid w:val="29595666"/>
    <w:rsid w:val="29874881"/>
    <w:rsid w:val="29E325E0"/>
    <w:rsid w:val="29F232F0"/>
    <w:rsid w:val="2A452503"/>
    <w:rsid w:val="2AF94679"/>
    <w:rsid w:val="2B0D0EF0"/>
    <w:rsid w:val="2B1C6CE5"/>
    <w:rsid w:val="2B2F0EFE"/>
    <w:rsid w:val="2B991AB0"/>
    <w:rsid w:val="2BA936A8"/>
    <w:rsid w:val="2BDE46D5"/>
    <w:rsid w:val="2C315A5A"/>
    <w:rsid w:val="2C4B1C25"/>
    <w:rsid w:val="2D5E1836"/>
    <w:rsid w:val="2D99286E"/>
    <w:rsid w:val="2D9E56F5"/>
    <w:rsid w:val="2DFD4BAB"/>
    <w:rsid w:val="2E667F96"/>
    <w:rsid w:val="2E786928"/>
    <w:rsid w:val="2E7B3A8F"/>
    <w:rsid w:val="2E7B3F45"/>
    <w:rsid w:val="2E8226AB"/>
    <w:rsid w:val="2E9372BE"/>
    <w:rsid w:val="2E982B26"/>
    <w:rsid w:val="2E9848D4"/>
    <w:rsid w:val="2EDF2503"/>
    <w:rsid w:val="2EF064BE"/>
    <w:rsid w:val="2F05640D"/>
    <w:rsid w:val="2F375ED9"/>
    <w:rsid w:val="2FD065E6"/>
    <w:rsid w:val="2FD96870"/>
    <w:rsid w:val="30313232"/>
    <w:rsid w:val="30332B06"/>
    <w:rsid w:val="30580BC9"/>
    <w:rsid w:val="30684EED"/>
    <w:rsid w:val="30C57FF6"/>
    <w:rsid w:val="311E2ED7"/>
    <w:rsid w:val="315619EE"/>
    <w:rsid w:val="315C449C"/>
    <w:rsid w:val="316118F5"/>
    <w:rsid w:val="3166515D"/>
    <w:rsid w:val="31B82709"/>
    <w:rsid w:val="31D05482"/>
    <w:rsid w:val="320261C4"/>
    <w:rsid w:val="32400B34"/>
    <w:rsid w:val="328A09D8"/>
    <w:rsid w:val="329E6876"/>
    <w:rsid w:val="32D76116"/>
    <w:rsid w:val="32EB2372"/>
    <w:rsid w:val="33174961"/>
    <w:rsid w:val="333015F2"/>
    <w:rsid w:val="33305A23"/>
    <w:rsid w:val="334B6320"/>
    <w:rsid w:val="33883169"/>
    <w:rsid w:val="33D934D4"/>
    <w:rsid w:val="33FE2F6A"/>
    <w:rsid w:val="340E07E5"/>
    <w:rsid w:val="34235BF7"/>
    <w:rsid w:val="346011DD"/>
    <w:rsid w:val="3491429F"/>
    <w:rsid w:val="34FD36E3"/>
    <w:rsid w:val="358C5FA8"/>
    <w:rsid w:val="35C15DF1"/>
    <w:rsid w:val="36074A7F"/>
    <w:rsid w:val="36323860"/>
    <w:rsid w:val="36753345"/>
    <w:rsid w:val="36923549"/>
    <w:rsid w:val="36B10C29"/>
    <w:rsid w:val="36B75FBF"/>
    <w:rsid w:val="36BD0C45"/>
    <w:rsid w:val="3725333C"/>
    <w:rsid w:val="376E20F1"/>
    <w:rsid w:val="377365C8"/>
    <w:rsid w:val="3776777C"/>
    <w:rsid w:val="37E00298"/>
    <w:rsid w:val="37FC2378"/>
    <w:rsid w:val="382316B2"/>
    <w:rsid w:val="38B302F9"/>
    <w:rsid w:val="38C033A5"/>
    <w:rsid w:val="38D459D1"/>
    <w:rsid w:val="38F12CD3"/>
    <w:rsid w:val="38F94775"/>
    <w:rsid w:val="38FA63F2"/>
    <w:rsid w:val="392971ED"/>
    <w:rsid w:val="39325651"/>
    <w:rsid w:val="395A1104"/>
    <w:rsid w:val="39B867BB"/>
    <w:rsid w:val="39C26CA9"/>
    <w:rsid w:val="39CC4F72"/>
    <w:rsid w:val="3A06128C"/>
    <w:rsid w:val="3A3900F4"/>
    <w:rsid w:val="3A3D6694"/>
    <w:rsid w:val="3A872856"/>
    <w:rsid w:val="3B3763D1"/>
    <w:rsid w:val="3BCB44F6"/>
    <w:rsid w:val="3C081F8A"/>
    <w:rsid w:val="3C0D10FC"/>
    <w:rsid w:val="3C2F6E1E"/>
    <w:rsid w:val="3C4F64BA"/>
    <w:rsid w:val="3CA07775"/>
    <w:rsid w:val="3CDA245A"/>
    <w:rsid w:val="3D1E06B7"/>
    <w:rsid w:val="3D9F5C7F"/>
    <w:rsid w:val="3EA03A5D"/>
    <w:rsid w:val="3EDA0523"/>
    <w:rsid w:val="3FD37E62"/>
    <w:rsid w:val="3FDC48D6"/>
    <w:rsid w:val="40125E88"/>
    <w:rsid w:val="401C5365"/>
    <w:rsid w:val="402E6E46"/>
    <w:rsid w:val="407A6407"/>
    <w:rsid w:val="417411D1"/>
    <w:rsid w:val="4200449D"/>
    <w:rsid w:val="423A3BCC"/>
    <w:rsid w:val="424E57D2"/>
    <w:rsid w:val="4269685C"/>
    <w:rsid w:val="42B26C49"/>
    <w:rsid w:val="433A6FE6"/>
    <w:rsid w:val="43480868"/>
    <w:rsid w:val="4350713C"/>
    <w:rsid w:val="435A2C78"/>
    <w:rsid w:val="436653E0"/>
    <w:rsid w:val="437B23A2"/>
    <w:rsid w:val="43C4431A"/>
    <w:rsid w:val="44596307"/>
    <w:rsid w:val="44B951CC"/>
    <w:rsid w:val="44CD14E0"/>
    <w:rsid w:val="44F20B0B"/>
    <w:rsid w:val="44FF1C76"/>
    <w:rsid w:val="452E5F4C"/>
    <w:rsid w:val="454D2D60"/>
    <w:rsid w:val="45570BED"/>
    <w:rsid w:val="45612018"/>
    <w:rsid w:val="45633716"/>
    <w:rsid w:val="458946E9"/>
    <w:rsid w:val="45A47C0E"/>
    <w:rsid w:val="461D1E37"/>
    <w:rsid w:val="461D3BE5"/>
    <w:rsid w:val="46431172"/>
    <w:rsid w:val="46454EEA"/>
    <w:rsid w:val="46577FD6"/>
    <w:rsid w:val="46D955A7"/>
    <w:rsid w:val="46F9577E"/>
    <w:rsid w:val="47133957"/>
    <w:rsid w:val="47280A93"/>
    <w:rsid w:val="47A07E0C"/>
    <w:rsid w:val="47C02A7A"/>
    <w:rsid w:val="4807074F"/>
    <w:rsid w:val="4870272E"/>
    <w:rsid w:val="488F069E"/>
    <w:rsid w:val="48E409EA"/>
    <w:rsid w:val="48F41BA0"/>
    <w:rsid w:val="4905074B"/>
    <w:rsid w:val="49DC7715"/>
    <w:rsid w:val="4A023139"/>
    <w:rsid w:val="4A3414FD"/>
    <w:rsid w:val="4A7B576F"/>
    <w:rsid w:val="4AB32D6A"/>
    <w:rsid w:val="4AF561A9"/>
    <w:rsid w:val="4B1C090F"/>
    <w:rsid w:val="4B313C8F"/>
    <w:rsid w:val="4B321EE0"/>
    <w:rsid w:val="4C152386"/>
    <w:rsid w:val="4C4A0649"/>
    <w:rsid w:val="4C7E5ECA"/>
    <w:rsid w:val="4C876AA5"/>
    <w:rsid w:val="4CAC53E1"/>
    <w:rsid w:val="4D0E00FB"/>
    <w:rsid w:val="4D0F0CA0"/>
    <w:rsid w:val="4D1216E3"/>
    <w:rsid w:val="4D176606"/>
    <w:rsid w:val="4D3A507C"/>
    <w:rsid w:val="4D781156"/>
    <w:rsid w:val="4D904446"/>
    <w:rsid w:val="4DE90850"/>
    <w:rsid w:val="4DEC4FB0"/>
    <w:rsid w:val="4E067654"/>
    <w:rsid w:val="4E075D8A"/>
    <w:rsid w:val="4E611D50"/>
    <w:rsid w:val="4E683E6B"/>
    <w:rsid w:val="4EC00FAD"/>
    <w:rsid w:val="4ED46AF9"/>
    <w:rsid w:val="4F9843DC"/>
    <w:rsid w:val="4F9B5B7A"/>
    <w:rsid w:val="4FC62A8C"/>
    <w:rsid w:val="4FE20F0D"/>
    <w:rsid w:val="4FE51552"/>
    <w:rsid w:val="4FF66B8F"/>
    <w:rsid w:val="503D0A8A"/>
    <w:rsid w:val="50504C4B"/>
    <w:rsid w:val="509C6E7C"/>
    <w:rsid w:val="509F55CA"/>
    <w:rsid w:val="50A0169A"/>
    <w:rsid w:val="5162104E"/>
    <w:rsid w:val="522F68D9"/>
    <w:rsid w:val="529B3030"/>
    <w:rsid w:val="52AA2CA4"/>
    <w:rsid w:val="532D3B6D"/>
    <w:rsid w:val="53A039CC"/>
    <w:rsid w:val="53A1505A"/>
    <w:rsid w:val="53EB5322"/>
    <w:rsid w:val="54063E08"/>
    <w:rsid w:val="543437E8"/>
    <w:rsid w:val="54AA5AAE"/>
    <w:rsid w:val="54CE24A4"/>
    <w:rsid w:val="54F73313"/>
    <w:rsid w:val="54F80955"/>
    <w:rsid w:val="55173EE3"/>
    <w:rsid w:val="555170A7"/>
    <w:rsid w:val="5587536D"/>
    <w:rsid w:val="559B174B"/>
    <w:rsid w:val="55CE0CF4"/>
    <w:rsid w:val="562B7C58"/>
    <w:rsid w:val="56362637"/>
    <w:rsid w:val="56932D8F"/>
    <w:rsid w:val="56B22A9C"/>
    <w:rsid w:val="56C20A1E"/>
    <w:rsid w:val="57B72A76"/>
    <w:rsid w:val="57C3426C"/>
    <w:rsid w:val="57CE1F93"/>
    <w:rsid w:val="57FD73D2"/>
    <w:rsid w:val="586D4BB3"/>
    <w:rsid w:val="588743D1"/>
    <w:rsid w:val="5887701A"/>
    <w:rsid w:val="58B02697"/>
    <w:rsid w:val="59215342"/>
    <w:rsid w:val="593B4656"/>
    <w:rsid w:val="593D188F"/>
    <w:rsid w:val="59797FF4"/>
    <w:rsid w:val="59C0439F"/>
    <w:rsid w:val="59D94E1E"/>
    <w:rsid w:val="5A434B59"/>
    <w:rsid w:val="5A6F296E"/>
    <w:rsid w:val="5ABE2233"/>
    <w:rsid w:val="5B4622EF"/>
    <w:rsid w:val="5BB22BCA"/>
    <w:rsid w:val="5BBE156E"/>
    <w:rsid w:val="5BDF5D95"/>
    <w:rsid w:val="5BFE7528"/>
    <w:rsid w:val="5D4E0022"/>
    <w:rsid w:val="5D8B36D2"/>
    <w:rsid w:val="5E2467F1"/>
    <w:rsid w:val="5EB50A07"/>
    <w:rsid w:val="5EBB25B8"/>
    <w:rsid w:val="5EF808F3"/>
    <w:rsid w:val="5F1A2B43"/>
    <w:rsid w:val="5FB837BB"/>
    <w:rsid w:val="601856F1"/>
    <w:rsid w:val="60CC405A"/>
    <w:rsid w:val="613F36B0"/>
    <w:rsid w:val="61E215D8"/>
    <w:rsid w:val="621B3775"/>
    <w:rsid w:val="62364782"/>
    <w:rsid w:val="627B5AC3"/>
    <w:rsid w:val="62AC0373"/>
    <w:rsid w:val="63043D0B"/>
    <w:rsid w:val="6372766B"/>
    <w:rsid w:val="6394356A"/>
    <w:rsid w:val="63A70B3A"/>
    <w:rsid w:val="63C61B2C"/>
    <w:rsid w:val="63D35E18"/>
    <w:rsid w:val="63D40BE9"/>
    <w:rsid w:val="63E812B2"/>
    <w:rsid w:val="64102431"/>
    <w:rsid w:val="64A5243A"/>
    <w:rsid w:val="64B17EC2"/>
    <w:rsid w:val="64B96D77"/>
    <w:rsid w:val="64EC4A56"/>
    <w:rsid w:val="64F531DE"/>
    <w:rsid w:val="65373578"/>
    <w:rsid w:val="665D4E3F"/>
    <w:rsid w:val="66745B0B"/>
    <w:rsid w:val="66B10501"/>
    <w:rsid w:val="66E159EC"/>
    <w:rsid w:val="66F271FF"/>
    <w:rsid w:val="671F124A"/>
    <w:rsid w:val="677A33C6"/>
    <w:rsid w:val="677A6DF1"/>
    <w:rsid w:val="67F72090"/>
    <w:rsid w:val="681F6961"/>
    <w:rsid w:val="68610A2F"/>
    <w:rsid w:val="68680F7F"/>
    <w:rsid w:val="68805514"/>
    <w:rsid w:val="68A35D74"/>
    <w:rsid w:val="68A513BB"/>
    <w:rsid w:val="68CD1043"/>
    <w:rsid w:val="69316E2F"/>
    <w:rsid w:val="694E2071"/>
    <w:rsid w:val="69766163"/>
    <w:rsid w:val="697A3B33"/>
    <w:rsid w:val="69D44760"/>
    <w:rsid w:val="6A372C18"/>
    <w:rsid w:val="6A4D243B"/>
    <w:rsid w:val="6A520EC7"/>
    <w:rsid w:val="6AF164A8"/>
    <w:rsid w:val="6AF87E20"/>
    <w:rsid w:val="6B322639"/>
    <w:rsid w:val="6B516EE4"/>
    <w:rsid w:val="6B844911"/>
    <w:rsid w:val="6C38292D"/>
    <w:rsid w:val="6C636C38"/>
    <w:rsid w:val="6C81648E"/>
    <w:rsid w:val="6C8859AD"/>
    <w:rsid w:val="6DB34098"/>
    <w:rsid w:val="6DB545B6"/>
    <w:rsid w:val="6DE02FB4"/>
    <w:rsid w:val="6DFE0164"/>
    <w:rsid w:val="6E514CED"/>
    <w:rsid w:val="6E645FA5"/>
    <w:rsid w:val="6E663ACB"/>
    <w:rsid w:val="6EB563D5"/>
    <w:rsid w:val="6ED92677"/>
    <w:rsid w:val="6EE43632"/>
    <w:rsid w:val="6F225983"/>
    <w:rsid w:val="6F8D5088"/>
    <w:rsid w:val="6FFC5590"/>
    <w:rsid w:val="706D1DD0"/>
    <w:rsid w:val="70856B87"/>
    <w:rsid w:val="709829F2"/>
    <w:rsid w:val="70B623BC"/>
    <w:rsid w:val="70D527EE"/>
    <w:rsid w:val="715B5300"/>
    <w:rsid w:val="71754026"/>
    <w:rsid w:val="71D27F8A"/>
    <w:rsid w:val="72553024"/>
    <w:rsid w:val="727A5D97"/>
    <w:rsid w:val="72A46970"/>
    <w:rsid w:val="73122968"/>
    <w:rsid w:val="731F5D5E"/>
    <w:rsid w:val="733C4DFB"/>
    <w:rsid w:val="73933659"/>
    <w:rsid w:val="73C51AD5"/>
    <w:rsid w:val="741E793C"/>
    <w:rsid w:val="74343D24"/>
    <w:rsid w:val="745E3944"/>
    <w:rsid w:val="75023E22"/>
    <w:rsid w:val="75680129"/>
    <w:rsid w:val="7578397B"/>
    <w:rsid w:val="75975555"/>
    <w:rsid w:val="75EE5DF4"/>
    <w:rsid w:val="75F728CA"/>
    <w:rsid w:val="7635099D"/>
    <w:rsid w:val="76882314"/>
    <w:rsid w:val="768D23A3"/>
    <w:rsid w:val="77762421"/>
    <w:rsid w:val="7789391A"/>
    <w:rsid w:val="77A027F7"/>
    <w:rsid w:val="77B56B1F"/>
    <w:rsid w:val="780F09F4"/>
    <w:rsid w:val="78280044"/>
    <w:rsid w:val="78A90480"/>
    <w:rsid w:val="7A1212E8"/>
    <w:rsid w:val="7A364017"/>
    <w:rsid w:val="7A37631C"/>
    <w:rsid w:val="7A5C3144"/>
    <w:rsid w:val="7A7C01D3"/>
    <w:rsid w:val="7A8265E1"/>
    <w:rsid w:val="7B686D42"/>
    <w:rsid w:val="7B7D4202"/>
    <w:rsid w:val="7B841746"/>
    <w:rsid w:val="7BB86445"/>
    <w:rsid w:val="7BD81F5A"/>
    <w:rsid w:val="7BDC717B"/>
    <w:rsid w:val="7C1475DC"/>
    <w:rsid w:val="7C4B13E7"/>
    <w:rsid w:val="7C6C5AC7"/>
    <w:rsid w:val="7CC6544B"/>
    <w:rsid w:val="7CFB777F"/>
    <w:rsid w:val="7D0239FF"/>
    <w:rsid w:val="7D5E40CD"/>
    <w:rsid w:val="7D8F308E"/>
    <w:rsid w:val="7DBA7990"/>
    <w:rsid w:val="7DCD56F2"/>
    <w:rsid w:val="7E776D60"/>
    <w:rsid w:val="7F001CE7"/>
    <w:rsid w:val="7F792F33"/>
    <w:rsid w:val="7FB65F35"/>
    <w:rsid w:val="7FD0349B"/>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nhideWhenUsed="0" w:uiPriority="0" w:semiHidden="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qFormat="1"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unhideWhenUsed="0" w:uiPriority="0" w:semiHidden="0" w:name="Plain Text" w:locked="1"/>
    <w:lsdException w:qFormat="1"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3"/>
    <w:basedOn w:val="1"/>
    <w:next w:val="1"/>
    <w:qFormat/>
    <w:locked/>
    <w:uiPriority w:val="0"/>
    <w:pPr>
      <w:spacing w:before="100" w:beforeAutospacing="1" w:after="100" w:afterAutospacing="1"/>
      <w:jc w:val="left"/>
      <w:outlineLvl w:val="2"/>
    </w:pPr>
    <w:rPr>
      <w:rFonts w:hint="eastAsia" w:ascii="宋体" w:hAnsi="宋体" w:eastAsia="宋体" w:cs="宋体"/>
      <w:b/>
      <w:kern w:val="0"/>
      <w:sz w:val="27"/>
      <w:szCs w:val="27"/>
      <w:lang w:val="en-US" w:eastAsia="zh-CN" w:bidi="ar"/>
    </w:rPr>
  </w:style>
  <w:style w:type="paragraph" w:styleId="7">
    <w:name w:val="heading 4"/>
    <w:basedOn w:val="1"/>
    <w:next w:val="1"/>
    <w:unhideWhenUsed/>
    <w:qFormat/>
    <w:locked/>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27">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styleId="2">
    <w:name w:val="Body Text"/>
    <w:basedOn w:val="1"/>
    <w:next w:val="3"/>
    <w:link w:val="31"/>
    <w:qFormat/>
    <w:uiPriority w:val="0"/>
    <w:pPr>
      <w:widowControl/>
      <w:snapToGrid w:val="0"/>
      <w:spacing w:before="60" w:after="160" w:line="259" w:lineRule="auto"/>
      <w:ind w:right="113"/>
    </w:pPr>
    <w:rPr>
      <w:kern w:val="0"/>
      <w:sz w:val="18"/>
      <w:szCs w:val="20"/>
    </w:rPr>
  </w:style>
  <w:style w:type="paragraph" w:customStyle="1" w:styleId="3">
    <w:name w:val="xl27"/>
    <w:basedOn w:val="1"/>
    <w:next w:val="4"/>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4">
    <w:name w:val="Body Text Indent 2"/>
    <w:basedOn w:val="1"/>
    <w:next w:val="1"/>
    <w:qFormat/>
    <w:locked/>
    <w:uiPriority w:val="0"/>
    <w:pPr>
      <w:widowControl w:val="0"/>
      <w:autoSpaceDE/>
      <w:autoSpaceDN/>
      <w:spacing w:before="0" w:line="480" w:lineRule="auto"/>
      <w:ind w:left="4002" w:firstLine="3583"/>
      <w:jc w:val="both"/>
    </w:pPr>
  </w:style>
  <w:style w:type="paragraph" w:styleId="8">
    <w:name w:val="E-mail Signature"/>
    <w:basedOn w:val="1"/>
    <w:next w:val="9"/>
    <w:qFormat/>
    <w:locked/>
    <w:uiPriority w:val="0"/>
    <w:pPr>
      <w:spacing w:line="460" w:lineRule="exact"/>
      <w:ind w:firstLine="200"/>
    </w:pPr>
    <w:rPr>
      <w:rFonts w:ascii="Times New Roman" w:hAnsi="Times New Roman" w:eastAsia="宋体" w:cs="Times New Roman"/>
      <w:sz w:val="24"/>
    </w:rPr>
  </w:style>
  <w:style w:type="paragraph" w:customStyle="1" w:styleId="9">
    <w:name w:val="文章"/>
    <w:basedOn w:val="1"/>
    <w:next w:val="10"/>
    <w:qFormat/>
    <w:uiPriority w:val="0"/>
    <w:pPr>
      <w:widowControl/>
      <w:ind w:firstLine="480"/>
      <w:jc w:val="center"/>
    </w:pPr>
    <w:rPr>
      <w:rFonts w:ascii="Times New Roman" w:hAnsi="Times New Roman" w:eastAsia="宋体" w:cs="Times New Roman"/>
      <w:sz w:val="26"/>
    </w:rPr>
  </w:style>
  <w:style w:type="paragraph" w:styleId="10">
    <w:name w:val="List"/>
    <w:basedOn w:val="1"/>
    <w:next w:val="11"/>
    <w:qFormat/>
    <w:locked/>
    <w:uiPriority w:val="0"/>
    <w:pPr>
      <w:ind w:left="200" w:hanging="200" w:hangingChars="200"/>
      <w:jc w:val="center"/>
    </w:pPr>
  </w:style>
  <w:style w:type="paragraph" w:styleId="11">
    <w:name w:val="List Bullet 2"/>
    <w:basedOn w:val="1"/>
    <w:next w:val="12"/>
    <w:qFormat/>
    <w:locked/>
    <w:uiPriority w:val="0"/>
    <w:pPr>
      <w:numPr>
        <w:ilvl w:val="0"/>
        <w:numId w:val="1"/>
      </w:numPr>
    </w:pPr>
  </w:style>
  <w:style w:type="paragraph" w:customStyle="1" w:styleId="12">
    <w:name w:val="xl70"/>
    <w:basedOn w:val="1"/>
    <w:next w:val="13"/>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13">
    <w:name w:val="正文缩进1"/>
    <w:basedOn w:val="1"/>
    <w:next w:val="14"/>
    <w:qFormat/>
    <w:uiPriority w:val="0"/>
    <w:pPr>
      <w:ind w:firstLine="420"/>
    </w:pPr>
    <w:rPr>
      <w:rFonts w:ascii="Times New Roman" w:hAnsi="Times New Roman" w:eastAsia="宋体" w:cs="Times New Roman"/>
    </w:rPr>
  </w:style>
  <w:style w:type="paragraph" w:customStyle="1" w:styleId="14">
    <w:name w:val="td1"/>
    <w:basedOn w:val="1"/>
    <w:next w:val="1"/>
    <w:qFormat/>
    <w:uiPriority w:val="0"/>
    <w:pPr>
      <w:widowControl/>
      <w:spacing w:before="280" w:after="280" w:line="300" w:lineRule="atLeast"/>
      <w:ind w:firstLine="200"/>
    </w:pPr>
    <w:rPr>
      <w:rFonts w:ascii="Times New Roman" w:hAnsi="Times New Roman" w:eastAsia="宋体" w:cs="Times New Roman"/>
      <w:color w:val="000000"/>
      <w:sz w:val="18"/>
    </w:rPr>
  </w:style>
  <w:style w:type="paragraph" w:styleId="15">
    <w:name w:val="annotation text"/>
    <w:basedOn w:val="1"/>
    <w:link w:val="32"/>
    <w:semiHidden/>
    <w:qFormat/>
    <w:uiPriority w:val="0"/>
    <w:pPr>
      <w:jc w:val="left"/>
    </w:pPr>
    <w:rPr>
      <w:kern w:val="0"/>
      <w:sz w:val="24"/>
      <w:szCs w:val="20"/>
    </w:rPr>
  </w:style>
  <w:style w:type="paragraph" w:styleId="16">
    <w:name w:val="Body Text Indent"/>
    <w:basedOn w:val="1"/>
    <w:link w:val="33"/>
    <w:qFormat/>
    <w:uiPriority w:val="0"/>
    <w:pPr>
      <w:spacing w:after="120"/>
      <w:ind w:left="420" w:leftChars="200"/>
    </w:pPr>
    <w:rPr>
      <w:kern w:val="0"/>
      <w:sz w:val="24"/>
      <w:szCs w:val="20"/>
    </w:rPr>
  </w:style>
  <w:style w:type="paragraph" w:styleId="17">
    <w:name w:val="Date"/>
    <w:basedOn w:val="1"/>
    <w:next w:val="1"/>
    <w:link w:val="34"/>
    <w:qFormat/>
    <w:uiPriority w:val="0"/>
    <w:pPr>
      <w:ind w:left="100" w:leftChars="2500"/>
    </w:pPr>
    <w:rPr>
      <w:kern w:val="0"/>
      <w:sz w:val="24"/>
      <w:szCs w:val="20"/>
    </w:rPr>
  </w:style>
  <w:style w:type="paragraph" w:styleId="18">
    <w:name w:val="Balloon Text"/>
    <w:basedOn w:val="1"/>
    <w:link w:val="35"/>
    <w:semiHidden/>
    <w:qFormat/>
    <w:uiPriority w:val="0"/>
    <w:rPr>
      <w:kern w:val="0"/>
      <w:sz w:val="18"/>
      <w:szCs w:val="20"/>
    </w:rPr>
  </w:style>
  <w:style w:type="paragraph" w:styleId="19">
    <w:name w:val="footer"/>
    <w:basedOn w:val="1"/>
    <w:link w:val="36"/>
    <w:qFormat/>
    <w:uiPriority w:val="99"/>
    <w:pPr>
      <w:tabs>
        <w:tab w:val="center" w:pos="4153"/>
        <w:tab w:val="right" w:pos="8306"/>
      </w:tabs>
      <w:snapToGrid w:val="0"/>
      <w:jc w:val="left"/>
    </w:pPr>
    <w:rPr>
      <w:kern w:val="0"/>
      <w:sz w:val="18"/>
      <w:szCs w:val="20"/>
    </w:rPr>
  </w:style>
  <w:style w:type="paragraph" w:styleId="20">
    <w:name w:val="header"/>
    <w:basedOn w:val="1"/>
    <w:link w:val="37"/>
    <w:qFormat/>
    <w:uiPriority w:val="0"/>
    <w:pPr>
      <w:pBdr>
        <w:bottom w:val="single" w:color="auto" w:sz="6" w:space="1"/>
      </w:pBdr>
      <w:tabs>
        <w:tab w:val="center" w:pos="4153"/>
        <w:tab w:val="right" w:pos="8306"/>
      </w:tabs>
      <w:snapToGrid w:val="0"/>
      <w:jc w:val="center"/>
    </w:pPr>
    <w:rPr>
      <w:kern w:val="0"/>
      <w:sz w:val="18"/>
      <w:szCs w:val="20"/>
    </w:rPr>
  </w:style>
  <w:style w:type="paragraph" w:styleId="21">
    <w:name w:val="toc 2"/>
    <w:basedOn w:val="1"/>
    <w:next w:val="8"/>
    <w:qFormat/>
    <w:locked/>
    <w:uiPriority w:val="0"/>
    <w:pPr>
      <w:ind w:left="420" w:leftChars="200"/>
    </w:pPr>
    <w:rPr>
      <w:szCs w:val="24"/>
    </w:rPr>
  </w:style>
  <w:style w:type="paragraph" w:styleId="22">
    <w:name w:val="Normal (Web)"/>
    <w:basedOn w:val="1"/>
    <w:link w:val="38"/>
    <w:qFormat/>
    <w:uiPriority w:val="0"/>
    <w:pPr>
      <w:widowControl/>
      <w:spacing w:before="100" w:beforeAutospacing="1" w:after="100" w:afterAutospacing="1"/>
      <w:jc w:val="left"/>
    </w:pPr>
    <w:rPr>
      <w:rFonts w:ascii="宋体" w:hAnsi="宋体"/>
      <w:kern w:val="0"/>
      <w:sz w:val="24"/>
      <w:szCs w:val="20"/>
    </w:rPr>
  </w:style>
  <w:style w:type="paragraph" w:styleId="23">
    <w:name w:val="annotation subject"/>
    <w:basedOn w:val="15"/>
    <w:next w:val="15"/>
    <w:link w:val="39"/>
    <w:semiHidden/>
    <w:qFormat/>
    <w:uiPriority w:val="0"/>
    <w:rPr>
      <w:b/>
      <w:sz w:val="24"/>
      <w:szCs w:val="20"/>
    </w:rPr>
  </w:style>
  <w:style w:type="paragraph" w:styleId="24">
    <w:name w:val="Body Text First Indent 2"/>
    <w:basedOn w:val="16"/>
    <w:qFormat/>
    <w:locked/>
    <w:uiPriority w:val="0"/>
    <w:pPr>
      <w:ind w:firstLine="420" w:firstLineChars="200"/>
    </w:pPr>
  </w:style>
  <w:style w:type="table" w:styleId="26">
    <w:name w:val="Table Grid"/>
    <w:basedOn w:val="25"/>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locked/>
    <w:uiPriority w:val="0"/>
    <w:rPr>
      <w:b/>
    </w:rPr>
  </w:style>
  <w:style w:type="character" w:styleId="29">
    <w:name w:val="page number"/>
    <w:basedOn w:val="27"/>
    <w:qFormat/>
    <w:locked/>
    <w:uiPriority w:val="0"/>
  </w:style>
  <w:style w:type="character" w:styleId="30">
    <w:name w:val="annotation reference"/>
    <w:semiHidden/>
    <w:qFormat/>
    <w:uiPriority w:val="0"/>
    <w:rPr>
      <w:sz w:val="21"/>
    </w:rPr>
  </w:style>
  <w:style w:type="character" w:customStyle="1" w:styleId="31">
    <w:name w:val="正文文本 Char"/>
    <w:link w:val="2"/>
    <w:qFormat/>
    <w:locked/>
    <w:uiPriority w:val="0"/>
    <w:rPr>
      <w:sz w:val="18"/>
    </w:rPr>
  </w:style>
  <w:style w:type="character" w:customStyle="1" w:styleId="32">
    <w:name w:val="批注文字 Char"/>
    <w:link w:val="15"/>
    <w:qFormat/>
    <w:locked/>
    <w:uiPriority w:val="0"/>
    <w:rPr>
      <w:rFonts w:ascii="Times New Roman" w:hAnsi="Times New Roman" w:eastAsia="宋体"/>
      <w:sz w:val="24"/>
    </w:rPr>
  </w:style>
  <w:style w:type="character" w:customStyle="1" w:styleId="33">
    <w:name w:val="正文文本缩进 Char"/>
    <w:link w:val="16"/>
    <w:semiHidden/>
    <w:qFormat/>
    <w:locked/>
    <w:uiPriority w:val="0"/>
    <w:rPr>
      <w:rFonts w:ascii="Times New Roman" w:hAnsi="Times New Roman" w:eastAsia="宋体"/>
      <w:sz w:val="24"/>
    </w:rPr>
  </w:style>
  <w:style w:type="character" w:customStyle="1" w:styleId="34">
    <w:name w:val="日期 Char"/>
    <w:link w:val="17"/>
    <w:qFormat/>
    <w:locked/>
    <w:uiPriority w:val="0"/>
    <w:rPr>
      <w:rFonts w:ascii="Times New Roman" w:hAnsi="Times New Roman" w:eastAsia="宋体"/>
      <w:sz w:val="24"/>
    </w:rPr>
  </w:style>
  <w:style w:type="character" w:customStyle="1" w:styleId="35">
    <w:name w:val="批注框文本 Char"/>
    <w:link w:val="18"/>
    <w:semiHidden/>
    <w:qFormat/>
    <w:locked/>
    <w:uiPriority w:val="0"/>
    <w:rPr>
      <w:rFonts w:ascii="Times New Roman" w:hAnsi="Times New Roman" w:eastAsia="宋体"/>
      <w:sz w:val="18"/>
    </w:rPr>
  </w:style>
  <w:style w:type="character" w:customStyle="1" w:styleId="36">
    <w:name w:val="页脚 Char"/>
    <w:link w:val="19"/>
    <w:qFormat/>
    <w:locked/>
    <w:uiPriority w:val="99"/>
    <w:rPr>
      <w:sz w:val="18"/>
    </w:rPr>
  </w:style>
  <w:style w:type="character" w:customStyle="1" w:styleId="37">
    <w:name w:val="页眉 Char"/>
    <w:link w:val="20"/>
    <w:qFormat/>
    <w:locked/>
    <w:uiPriority w:val="0"/>
    <w:rPr>
      <w:sz w:val="18"/>
    </w:rPr>
  </w:style>
  <w:style w:type="character" w:customStyle="1" w:styleId="38">
    <w:name w:val="普通(网站) Char"/>
    <w:link w:val="22"/>
    <w:qFormat/>
    <w:locked/>
    <w:uiPriority w:val="0"/>
    <w:rPr>
      <w:rFonts w:ascii="宋体" w:hAnsi="宋体" w:eastAsia="宋体"/>
      <w:sz w:val="24"/>
    </w:rPr>
  </w:style>
  <w:style w:type="character" w:customStyle="1" w:styleId="39">
    <w:name w:val="批注主题 Char"/>
    <w:link w:val="23"/>
    <w:semiHidden/>
    <w:qFormat/>
    <w:locked/>
    <w:uiPriority w:val="0"/>
    <w:rPr>
      <w:rFonts w:ascii="Times New Roman" w:hAnsi="Times New Roman" w:eastAsia="宋体"/>
      <w:b/>
      <w:kern w:val="2"/>
      <w:sz w:val="24"/>
    </w:rPr>
  </w:style>
  <w:style w:type="character" w:customStyle="1" w:styleId="40">
    <w:name w:val="页脚 字符"/>
    <w:basedOn w:val="27"/>
    <w:qFormat/>
    <w:uiPriority w:val="99"/>
  </w:style>
  <w:style w:type="character" w:customStyle="1" w:styleId="41">
    <w:name w:val="正文文本 字符1"/>
    <w:semiHidden/>
    <w:qFormat/>
    <w:uiPriority w:val="0"/>
    <w:rPr>
      <w:rFonts w:ascii="Times New Roman" w:hAnsi="Times New Roman" w:eastAsia="宋体"/>
      <w:sz w:val="24"/>
    </w:rPr>
  </w:style>
  <w:style w:type="character" w:customStyle="1" w:styleId="42">
    <w:name w:val="表格 Char"/>
    <w:link w:val="43"/>
    <w:qFormat/>
    <w:locked/>
    <w:uiPriority w:val="0"/>
    <w:rPr>
      <w:rFonts w:ascii="宋体"/>
      <w:sz w:val="21"/>
    </w:rPr>
  </w:style>
  <w:style w:type="paragraph" w:customStyle="1" w:styleId="43">
    <w:name w:val="表格"/>
    <w:basedOn w:val="10"/>
    <w:next w:val="1"/>
    <w:link w:val="42"/>
    <w:qFormat/>
    <w:uiPriority w:val="0"/>
    <w:pPr>
      <w:adjustRightInd w:val="0"/>
      <w:snapToGrid w:val="0"/>
      <w:spacing w:beforeLines="10" w:afterLines="10" w:line="259" w:lineRule="auto"/>
      <w:jc w:val="center"/>
    </w:pPr>
    <w:rPr>
      <w:rFonts w:ascii="宋体"/>
      <w:kern w:val="0"/>
      <w:szCs w:val="20"/>
    </w:rPr>
  </w:style>
  <w:style w:type="character" w:customStyle="1" w:styleId="44">
    <w:name w:val="日期 字符"/>
    <w:semiHidden/>
    <w:qFormat/>
    <w:uiPriority w:val="0"/>
    <w:rPr>
      <w:rFonts w:ascii="Times New Roman" w:hAnsi="Times New Roman" w:eastAsia="宋体"/>
      <w:sz w:val="24"/>
    </w:rPr>
  </w:style>
  <w:style w:type="character" w:customStyle="1" w:styleId="45">
    <w:name w:val="批注文字 字符1"/>
    <w:semiHidden/>
    <w:qFormat/>
    <w:uiPriority w:val="0"/>
    <w:rPr>
      <w:rFonts w:ascii="Times New Roman" w:hAnsi="Times New Roman" w:eastAsia="宋体"/>
      <w:sz w:val="24"/>
    </w:rPr>
  </w:style>
  <w:style w:type="paragraph" w:customStyle="1" w:styleId="46">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7">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48">
    <w:name w:val="Default"/>
    <w:basedOn w:val="49"/>
    <w:next w:val="50"/>
    <w:qFormat/>
    <w:uiPriority w:val="0"/>
    <w:pPr>
      <w:autoSpaceDE w:val="0"/>
      <w:autoSpaceDN w:val="0"/>
      <w:jc w:val="left"/>
    </w:pPr>
    <w:rPr>
      <w:rFonts w:hint="eastAsia" w:ascii="宋体"/>
      <w:color w:val="000000"/>
      <w:kern w:val="0"/>
      <w:sz w:val="24"/>
    </w:rPr>
  </w:style>
  <w:style w:type="paragraph" w:customStyle="1" w:styleId="49">
    <w:name w:val="纯文本1"/>
    <w:basedOn w:val="1"/>
    <w:qFormat/>
    <w:uiPriority w:val="0"/>
    <w:pPr>
      <w:spacing w:line="360" w:lineRule="auto"/>
    </w:pPr>
    <w:rPr>
      <w:rFonts w:ascii="宋体" w:hAnsi="Courier New" w:cs="Courier New"/>
      <w:szCs w:val="21"/>
    </w:rPr>
  </w:style>
  <w:style w:type="paragraph" w:customStyle="1" w:styleId="50">
    <w:name w:val="样式35"/>
    <w:basedOn w:val="1"/>
    <w:next w:val="51"/>
    <w:qFormat/>
    <w:uiPriority w:val="0"/>
    <w:pPr>
      <w:spacing w:line="312" w:lineRule="auto"/>
      <w:ind w:firstLine="567"/>
    </w:pPr>
    <w:rPr>
      <w:rFonts w:ascii="宋体"/>
    </w:rPr>
  </w:style>
  <w:style w:type="paragraph" w:customStyle="1" w:styleId="51">
    <w:name w:val="font6"/>
    <w:basedOn w:val="1"/>
    <w:next w:val="21"/>
    <w:qFormat/>
    <w:uiPriority w:val="0"/>
    <w:pPr>
      <w:widowControl/>
      <w:spacing w:before="100" w:beforeAutospacing="1" w:after="100" w:afterAutospacing="1"/>
      <w:jc w:val="left"/>
    </w:pPr>
    <w:rPr>
      <w:rFonts w:ascii="宋体" w:hAnsi="宋体" w:cs="宋体"/>
      <w:kern w:val="0"/>
      <w:sz w:val="20"/>
    </w:rPr>
  </w:style>
  <w:style w:type="paragraph" w:customStyle="1" w:styleId="52">
    <w:name w:val="Table Paragraph"/>
    <w:basedOn w:val="1"/>
    <w:qFormat/>
    <w:uiPriority w:val="1"/>
    <w:pPr>
      <w:jc w:val="left"/>
    </w:pPr>
    <w:rPr>
      <w:rFonts w:ascii="Calibri" w:hAnsi="Calibri"/>
      <w:kern w:val="0"/>
      <w:sz w:val="22"/>
      <w:szCs w:val="22"/>
      <w:lang w:eastAsia="en-US"/>
    </w:rPr>
  </w:style>
  <w:style w:type="paragraph" w:customStyle="1" w:styleId="53">
    <w:name w:val="3"/>
    <w:basedOn w:val="54"/>
    <w:qFormat/>
    <w:uiPriority w:val="0"/>
    <w:pPr>
      <w:tabs>
        <w:tab w:val="left" w:pos="840"/>
      </w:tabs>
      <w:outlineLvl w:val="1"/>
    </w:pPr>
  </w:style>
  <w:style w:type="paragraph" w:customStyle="1" w:styleId="54">
    <w:name w:val="3333"/>
    <w:basedOn w:val="55"/>
    <w:qFormat/>
    <w:uiPriority w:val="0"/>
    <w:pPr>
      <w:numPr>
        <w:ilvl w:val="0"/>
        <w:numId w:val="0"/>
      </w:numPr>
      <w:tabs>
        <w:tab w:val="left" w:pos="840"/>
      </w:tabs>
      <w:ind w:left="480"/>
    </w:pPr>
  </w:style>
  <w:style w:type="paragraph" w:customStyle="1" w:styleId="55">
    <w:name w:val="333"/>
    <w:basedOn w:val="1"/>
    <w:qFormat/>
    <w:uiPriority w:val="0"/>
    <w:pPr>
      <w:numPr>
        <w:ilvl w:val="0"/>
        <w:numId w:val="2"/>
      </w:numPr>
      <w:spacing w:line="360" w:lineRule="auto"/>
    </w:pPr>
    <w:rPr>
      <w:b/>
      <w:sz w:val="24"/>
    </w:rPr>
  </w:style>
  <w:style w:type="paragraph" w:customStyle="1" w:styleId="56">
    <w:name w:val="正文1"/>
    <w:basedOn w:val="1"/>
    <w:qFormat/>
    <w:uiPriority w:val="0"/>
    <w:pPr>
      <w:spacing w:line="360" w:lineRule="auto"/>
      <w:ind w:firstLine="723" w:firstLineChars="200"/>
    </w:pPr>
    <w:rPr>
      <w:rFonts w:ascii="Times New Roman" w:hAnsi="Times New Roman"/>
      <w:kern w:val="0"/>
      <w:sz w:val="24"/>
      <w:szCs w:val="20"/>
    </w:rPr>
  </w:style>
  <w:style w:type="paragraph" w:customStyle="1" w:styleId="57">
    <w:name w:val="表标题"/>
    <w:basedOn w:val="1"/>
    <w:qFormat/>
    <w:uiPriority w:val="0"/>
    <w:pPr>
      <w:jc w:val="center"/>
    </w:pPr>
    <w:rPr>
      <w:rFonts w:ascii="Times New Roman" w:hAnsi="Times New Roman"/>
      <w:b/>
      <w:kern w:val="0"/>
      <w:sz w:val="20"/>
      <w:szCs w:val="20"/>
    </w:rPr>
  </w:style>
  <w:style w:type="paragraph" w:customStyle="1" w:styleId="58">
    <w:name w:val="表格内容"/>
    <w:basedOn w:val="1"/>
    <w:next w:val="1"/>
    <w:qFormat/>
    <w:uiPriority w:val="0"/>
    <w:pPr>
      <w:spacing w:before="0" w:beforeAutospacing="0" w:after="0" w:afterAutospacing="0"/>
      <w:ind w:left="0"/>
      <w:jc w:val="center"/>
    </w:pPr>
    <w:rPr>
      <w:rFonts w:ascii="Times New Roman" w:hAnsi="Times New Roman" w:cs="宋体"/>
      <w:spacing w:val="0"/>
      <w:szCs w:val="20"/>
    </w:rPr>
  </w:style>
  <w:style w:type="paragraph" w:customStyle="1" w:styleId="59">
    <w:name w:val="表格标题"/>
    <w:basedOn w:val="2"/>
    <w:qFormat/>
    <w:uiPriority w:val="0"/>
    <w:pPr>
      <w:widowControl w:val="0"/>
      <w:tabs>
        <w:tab w:val="left" w:pos="2715"/>
        <w:tab w:val="center" w:pos="4535"/>
      </w:tabs>
      <w:snapToGrid w:val="0"/>
      <w:spacing w:after="0" w:line="240" w:lineRule="auto"/>
      <w:jc w:val="center"/>
    </w:pPr>
    <w:rPr>
      <w:rFonts w:eastAsia="黑体"/>
      <w:kern w:val="2"/>
      <w:sz w:val="21"/>
      <w:szCs w:val="24"/>
      <w:lang w:bidi="ar-SA"/>
    </w:rPr>
  </w:style>
  <w:style w:type="paragraph" w:customStyle="1" w:styleId="60">
    <w:name w:val="表格内文字"/>
    <w:basedOn w:val="1"/>
    <w:qFormat/>
    <w:uiPriority w:val="0"/>
    <w:pPr>
      <w:tabs>
        <w:tab w:val="left" w:pos="0"/>
      </w:tabs>
      <w:adjustRightInd w:val="0"/>
      <w:snapToGrid w:val="0"/>
      <w:jc w:val="center"/>
    </w:pPr>
    <w:rPr>
      <w:rFonts w:ascii="仿宋_GB2312" w:eastAsia="仿宋_GB2312"/>
      <w:sz w:val="24"/>
    </w:rPr>
  </w:style>
  <w:style w:type="paragraph" w:customStyle="1" w:styleId="61">
    <w:name w:val="正本文字"/>
    <w:basedOn w:val="1"/>
    <w:qFormat/>
    <w:uiPriority w:val="0"/>
    <w:pPr>
      <w:adjustRightInd w:val="0"/>
      <w:snapToGrid w:val="0"/>
      <w:spacing w:line="360" w:lineRule="auto"/>
      <w:ind w:firstLine="480" w:firstLineChars="200"/>
      <w:jc w:val="left"/>
    </w:pPr>
    <w:rPr>
      <w:rFonts w:ascii="宋体" w:hAnsi="宋体"/>
      <w:kern w:val="18"/>
      <w:sz w:val="24"/>
      <w:szCs w:val="20"/>
    </w:rPr>
  </w:style>
  <w:style w:type="paragraph" w:customStyle="1" w:styleId="62">
    <w:name w:val="表格中文字"/>
    <w:basedOn w:val="1"/>
    <w:qFormat/>
    <w:uiPriority w:val="0"/>
    <w:pPr>
      <w:adjustRightInd w:val="0"/>
      <w:snapToGrid w:val="0"/>
      <w:jc w:val="center"/>
    </w:pPr>
    <w:rPr>
      <w:kern w:val="18"/>
      <w:szCs w:val="21"/>
    </w:rPr>
  </w:style>
  <w:style w:type="paragraph" w:customStyle="1" w:styleId="63">
    <w:name w:val="表格文字"/>
    <w:basedOn w:val="1"/>
    <w:qFormat/>
    <w:uiPriority w:val="0"/>
    <w:pPr>
      <w:adjustRightInd w:val="0"/>
      <w:snapToGrid w:val="0"/>
      <w:spacing w:line="240" w:lineRule="auto"/>
      <w:ind w:firstLine="0" w:firstLineChars="0"/>
      <w:jc w:val="center"/>
    </w:pPr>
    <w:rPr>
      <w:rFonts w:ascii="Times New Roman" w:hAnsi="Times New Roman"/>
      <w:sz w:val="21"/>
    </w:rPr>
  </w:style>
  <w:style w:type="paragraph" w:customStyle="1" w:styleId="64">
    <w:name w:val="WPSOffice手动目录 1"/>
    <w:qFormat/>
    <w:uiPriority w:val="0"/>
    <w:pPr>
      <w:ind w:leftChars="0"/>
    </w:pPr>
    <w:rPr>
      <w:rFonts w:ascii="Times New Roman" w:hAnsi="Times New Roman" w:eastAsia="宋体" w:cs="Times New Roman"/>
      <w:sz w:val="20"/>
      <w:szCs w:val="20"/>
    </w:rPr>
  </w:style>
  <w:style w:type="paragraph" w:customStyle="1" w:styleId="65">
    <w:name w:val="Normal Indent"/>
    <w:basedOn w:val="1"/>
    <w:qFormat/>
    <w:uiPriority w:val="0"/>
  </w:style>
  <w:style w:type="paragraph" w:customStyle="1" w:styleId="66">
    <w:name w:val="table caption"/>
    <w:qFormat/>
    <w:uiPriority w:val="0"/>
    <w:pPr>
      <w:spacing w:before="120" w:after="120"/>
      <w:jc w:val="center"/>
    </w:pPr>
    <w:rPr>
      <w:rFonts w:ascii="Times New Roman" w:hAnsi="Times New Roman" w:eastAsia="黑体" w:cs="Times New Roman"/>
      <w:b/>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9.jpeg"/><Relationship Id="rId30" Type="http://schemas.openxmlformats.org/officeDocument/2006/relationships/image" Target="media/image18.png"/><Relationship Id="rId3" Type="http://schemas.openxmlformats.org/officeDocument/2006/relationships/footer" Target="foot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oleObject" Target="embeddings/oleObject5.bin"/><Relationship Id="rId17" Type="http://schemas.openxmlformats.org/officeDocument/2006/relationships/image" Target="media/image6.wmf"/><Relationship Id="rId16" Type="http://schemas.openxmlformats.org/officeDocument/2006/relationships/oleObject" Target="embeddings/oleObject4.bin"/><Relationship Id="rId15" Type="http://schemas.openxmlformats.org/officeDocument/2006/relationships/image" Target="media/image5.wmf"/><Relationship Id="rId14" Type="http://schemas.openxmlformats.org/officeDocument/2006/relationships/oleObject" Target="embeddings/oleObject3.bin"/><Relationship Id="rId13" Type="http://schemas.openxmlformats.org/officeDocument/2006/relationships/image" Target="media/image4.wmf"/><Relationship Id="rId12" Type="http://schemas.openxmlformats.org/officeDocument/2006/relationships/oleObject" Target="embeddings/oleObject2.bin"/><Relationship Id="rId11" Type="http://schemas.openxmlformats.org/officeDocument/2006/relationships/image" Target="media/image3.wmf"/><Relationship Id="rId10" Type="http://schemas.openxmlformats.org/officeDocument/2006/relationships/oleObject" Target="embeddings/oleObject1.bin"/><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extobjs>
    <extobj name="ECB019B1-382A-4266-B25C-5B523AA43C14-1">
      <extobjdata type="ECB019B1-382A-4266-B25C-5B523AA43C14" data="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"/>
    </extobj>
    <extobj name="ECB019B1-382A-4266-B25C-5B523AA43C14-2">
      <extobjdata type="ECB019B1-382A-4266-B25C-5B523AA43C14" data="ewoJIkZpbGVJZCIgOiAiMjAyMjQzOTk1NTkxIiwKCSJHcm91cElkIiA6ICI2ODA5NjgzODYiLAoJIkltYWdlIiA6ICJpVkJPUncwS0dnb0FBQUFOU1VoRVVnQUFCQ1FBQUFDV0NBWUFBQUFHMjFsa0FBQUFDWEJJV1hNQUFBc1RBQUFMRXdFQW1wd1lBQUFnQUVsRVFWUjRuT3pkZDFRVTEvcy84RGRMa1NMVkNBcGkrVUJVQkJIRUVzUW9haXhnVk1Bb05rVEZqd1hSV1BoWVFLTUVJN0Znc0FWRk1WZ2hOT05YRWhzb1lsQ3hCRkFSaUNKMlhFR0NLQ0RMbHQ4Zi9IYkNzaFdrS2MvckhNOEpjKy9NM00yWnV6dnp6TDNQQlF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66</Pages>
  <Words>39189</Words>
  <Characters>45189</Characters>
  <Lines>13</Lines>
  <Paragraphs>3</Paragraphs>
  <TotalTime>1</TotalTime>
  <ScaleCrop>false</ScaleCrop>
  <LinksUpToDate>false</LinksUpToDate>
  <CharactersWithSpaces>45421</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XxxYang</cp:lastModifiedBy>
  <cp:lastPrinted>2020-12-29T02:43:00Z</cp:lastPrinted>
  <dcterms:modified xsi:type="dcterms:W3CDTF">2022-12-30T09:11:09Z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84023303130140708B5FECD343ED5BF0</vt:lpwstr>
  </property>
</Properties>
</file>