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880" w:firstLineChars="200"/>
        <w:jc w:val="center"/>
        <w:rPr>
          <w:rFonts w:hint="eastAsia" w:ascii="宋体" w:hAnsi="宋体" w:eastAsia="宋体" w:cs="宋体"/>
          <w:sz w:val="44"/>
          <w:szCs w:val="44"/>
        </w:rPr>
      </w:pPr>
      <w:r>
        <w:rPr>
          <w:rFonts w:hint="eastAsia" w:ascii="宋体" w:hAnsi="宋体" w:eastAsia="宋体" w:cs="宋体"/>
          <w:i w:val="0"/>
          <w:iCs w:val="0"/>
          <w:caps w:val="0"/>
          <w:color w:val="555555"/>
          <w:spacing w:val="0"/>
          <w:sz w:val="44"/>
          <w:szCs w:val="44"/>
          <w:bdr w:val="none" w:color="auto" w:sz="0" w:space="0"/>
        </w:rPr>
        <w:t>湘阴高新技术产业开发区赋权工作</w:t>
      </w:r>
      <w:r>
        <w:rPr>
          <w:rFonts w:hint="eastAsia" w:ascii="宋体" w:hAnsi="宋体" w:eastAsia="宋体" w:cs="宋体"/>
          <w:i w:val="0"/>
          <w:iCs w:val="0"/>
          <w:caps w:val="0"/>
          <w:color w:val="000000"/>
          <w:spacing w:val="0"/>
          <w:sz w:val="44"/>
          <w:szCs w:val="44"/>
          <w:bdr w:val="none" w:color="auto" w:sz="0" w:space="0"/>
          <w:shd w:val="clear" w:fill="FFFFFF"/>
        </w:rPr>
        <w:t>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为提高园区行政审批效率，增强园区发展动力活力，引领全县高质量转型发展，根据《湖南省人民政府办公厅关于印发〈湖南省园区赋权指导目录〉的通知》（湘政办发〔2020〕49号）要求，结合我县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以习近平新时代中国特色社会主义思想为指导，全面落实国家和省市关于园区赋权工作创新发展的部署要求，以实现“园区事园区办”“一件事一次办”为目标，坚持“一园一策，应放尽放”，通过开展行政审批制度改革，将湘阴高新技术产业开发区（以下简称“高新区”）赋权事项依法依规赋予到位，持续打造便捷、高效的营商环境，不断推动全县经济社会高质量转型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二、赋权原则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一）坚持应赋尽赋。坚持“应赋尽赋”原则，坚持把赋权作为支持高新区建设发展的重要举措，原则上法律法规未禁止、国家部委未限制，《湖南省园区赋权指导目录》内的行政职权均应主动赋予，把高新区管理发展迫切需要，且能有效承接的各项行政审批及管理权限赋足赋到位，在县级权限内给予高新区最大限度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二）确保应领尽领。按照“应领尽领”原则，高新区主动认领赋权事项，科学制定承接方案，认真做好认领事项的各项承接工作，确保赋权事项接得住、做得好，实现“园区事园区办”；对确实因条件不具备、无法承接或承接后难以保障正常运转的，原则上应采取服务前移的方式转移到高新区或设立“园区审批服务绿色通道”“园区帮代办窗口”，实现“园区事集中办”“园区事帮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三、赋权方式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根据《湖南省园区赋权指导目录》，结合我县实际，此次向高新区赋权139项，分别采取直接赋权、委托行使、服务前移、审批直报四种形式进行。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（一）直接赋权事项。此次赋权高新区直接审批事项8项，由高新区管委会按目录接收，承担审批职责，直接使用“行政审批服务专用章”办理，对外发生法律效力，审批事项按月转业务主管部门备案。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二）委托行使事项。此次委托高新区的审批事项共57项，对委托行使事项，高新区管委会根据相关职能部门委托承担审批职责，使用“行政审批服务专用章”办理，审批事项按月转业务主管部门备案。相关职能部门要充分认可高新区管委会作出的审批服务决定，原则上不再作任何实质性的审查审核，采取“见章盖章”方式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（三）服务前移事项。此次服务前移审批事项63项，涉及部门指定专人负责“园区审批服务绿色通道”事项办理工作，采取高新区牵头领办、政务服务中心协调流转、职能部门专人办理的行政审批运行模式。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（四）审批直报事项。此次赋权审批直报事项11项，由高新区负责直报事项受理并使用“行政审批服务专用章”审核，相关职能部门积极配合高新区工作，“见章盖章”后向省市主管部门报批。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四、主要任务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具体赋权事宜由县行政审批制度改革领导小组办公室（以下简称“县审改办”）牵头开展，县直各相关部门负责具体落实。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一）严格进行赋权。各相关赋权部门对照《湘阴高新技术产业开发区赋权事项目录清单》（附件1），按照“成熟一个、赋权一个”的原则，完善赋权方案，制定赋权措施，认真做好赋权工作，不得以任何理由截留，确保依法依规赋权到位，并与高新区签订赋权事项交接书（附件2）。今后，高新区对赋权清单未覆盖的事项提出赋权需求时，坚持全链条闭环审批服务理念，分类进行梳理，明确赋权方式，作为特色赋权事项报县人民政府同意后，方可赋予，同时报县审改办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二）优化审批流程。高新区围绕“一件事一次办”的目标，按照“减环节、减材料、减时限、减费用”的要求，全面开展审批事项的流程再造、减证便民，逐项编制审批服务流程图和办事指南，推进事项线下和线上同质办理。线下，所有赋权事项进驻窗口实现“一窗受理、集成服务”；线上，所有赋权事项进入“互联网＋政务服务”一体化平台实行“一网通办”。同时，坚决做到政务服务“好差评”事项全覆盖、评价对象全覆盖、服务渠道全覆盖，不断完善窗口办、网上办、自助办、一次办、就近办、帮代办等多元化办事格局，切实提高市场主体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三）加强指导服务。县直有关部门负责加强对赋权事项运行的指导服务，帮助高新区做好事项的承接运行，对专业性强，承接条件要求高的事项，主动做好业务指导培训，及时解决赋权工作中出现的困难和问题，确保赋权工作如期顺利进行；高新区依法依规承担承接事项职责，主动接受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四）完善配套举措。坚持“谁审批、谁负责，谁主管、谁监管，谁行权、谁担责”的原则，对直接赋权的事项，高新区可使用“行政审批服务专用章”办理，对外发生法律效力；对委托行使事项，由高新区先审批把关盖章，其他县直单位采取“见章盖章”方式行使权力，原则上不再作任何实质性的审查审核。同时，积极探索推行高新区相对集中行政许可权改革和综合行政执法改革，设立企业服务中心和综合执法大队，实现一枚公章管审批、一支队伍管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五）明确责任划分。根据权责一致、审管分离的原则，高新区负责审批的项目由高新区管委会承担相应的法律责任和行政责任，实时提供审批事项的相关信息。各部门对高新区审批事项承担监管责任，并提供法律法规政策依据和技术服务等综合支撑，严格按照审批结果及时开展事中事后监管。部门与高新区签订的赋权事项交接书，进一步明确各方权利与责任，确保不缺位、不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五、组织保障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一）加强组织领导。组织集中开展向高新区赋权工作是深化“放管服”“一件事一次办”改革的重要要求，是助推高新区转型升级和高质量发展的重要举措，时间紧、任务重。各有关部门要切实提高认识，强化责任担当，主要领导要亲自抓，分管领导具体抓，明确人员专门抓，确保工作及时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二）明确赋权责任。各赋权职能部门按照赋权事项和赋权形式与高新区做好工作对接，在端口开放、系统对接、人员培训、审管联动和事中事后监管执法等方面做到有效衔接，并加强业务指导和监管，确保赋权事项依法依规审批。高新区管委会要安排专人负责承接赋权事项，既要保证其有序运行，又要承担起相关的法律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三）强化监督考核。县审改办要对赋权工作的承接和运行进行重点跟踪。高新区管委会要强化社会监督，公开权力事项、行权依据、行权标准、承诺期限、收费依据等信息，并适时公开办理过程和结果，主动接受社会监督。县政府督查室要会同有关部门加强对赋权事项行政审批工作的监督检查，对审批过程中出现的不履行法定职责、滥用职权、徇私舞弊等行为，及时移交县纪委监委依法依纪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附件：1．湘阴高新技术产业开发区赋权事项目录清单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2．赋权事项交接书（样本）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3．湘阴县XXX局赋予高新区管委会行使县级有关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权限事项清单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i w:val="0"/>
          <w:iCs w:val="0"/>
          <w:caps w:val="0"/>
          <w:color w:val="555555"/>
          <w:spacing w:val="0"/>
          <w:sz w:val="32"/>
          <w:szCs w:val="32"/>
          <w:bdr w:val="none" w:color="auto" w:sz="0" w:space="0"/>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湘阴高新技术产业开发区赋权事项目录清单</w:t>
      </w:r>
    </w:p>
    <w:tbl>
      <w:tblPr>
        <w:tblStyle w:val="3"/>
        <w:tblpPr w:leftFromText="180" w:rightFromText="180" w:vertAnchor="text" w:horzAnchor="page" w:tblpX="1409" w:tblpY="564"/>
        <w:tblOverlap w:val="neve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387"/>
        <w:gridCol w:w="5770"/>
        <w:gridCol w:w="3517"/>
        <w:gridCol w:w="989"/>
        <w:gridCol w:w="1145"/>
        <w:gridCol w:w="532"/>
        <w:gridCol w:w="532"/>
        <w:gridCol w:w="114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bookmarkStart w:id="0" w:name="_GoBack"/>
            <w:bookmarkEnd w:id="0"/>
            <w:r>
              <w:rPr>
                <w:sz w:val="18"/>
                <w:szCs w:val="18"/>
              </w:rPr>
              <w:t>序号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事项名称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事项编码</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事项类型</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赋权部门</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赋权对象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赋权方式</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监管部门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临时占用城市绿化用地审批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000117025000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临时占用街道两侧和公共场地许可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430117059W00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城镇污水排入排水管网许可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000117015000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城市建筑垃圾处置核准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000117014000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建筑工地围挡广告设置审批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000117017000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市政设施建设类审批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000117020000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城市道路照明拆迁审批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431017194W00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工程建设项目附属绿化工程设计方案审查及竣工验收</w:t>
            </w:r>
          </w:p>
        </w:tc>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431017001W00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因工程建设需要拆除、改动、迁移供水、排水与污水处理设施审核</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000117016000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权限内占用城市绿地审批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431017228W00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砍伐城市树木审批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000117027000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城管执法局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公章刻制业特种行业许可证核发</w:t>
            </w:r>
          </w:p>
        </w:tc>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000109026000</w:t>
            </w:r>
          </w:p>
        </w:tc>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公安局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公安局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户口登记、注销、迁移</w:t>
            </w:r>
          </w:p>
        </w:tc>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00070910500Y</w:t>
            </w:r>
          </w:p>
        </w:tc>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公安局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公安局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企业设立、变更、注销登记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000131003000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个体工商户设立、变更、注销登记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000131004000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农民专业合作社设立、变更、注销登记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000131005000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食品（含保健食品）经营许可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000131024000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小餐饮经营许可证</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430131056W00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药品零售企业许可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000172005000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20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企业（包括个体工商户、农民专业合作社）自主申报名称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431031082W00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21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企业经营异常名录的列入、移出、异议的处理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431031085W00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22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营业执照遗失补领、换发申请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431031090W01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23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申请增加、减少营业执照副本</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431031090W02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24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权限内备案事项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431031091W00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25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股权出质的设立</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000731002000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26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特种设备使用登记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000131011000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市场监管局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27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建设项目使用林地及在森林和野生动物类型国家级自然保护区建设审批（核）</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00016413900Y</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林业局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审批直报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林业局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28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临时使用林地审批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000164116000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林业局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林业局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29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迁移古树名木审批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000117028000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林业局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林业局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30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公共场所卫生许可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000123020000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卫健局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卫健局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31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建设项目用地预审与选址意见书核发</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000115012000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32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建设用地（含临时用地）规划许可证核发</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000115013000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33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建设用地供地审查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000115057000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直接赋权</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34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建设工程规划类许可证核发</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000117011000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35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临时用地审批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000115003000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36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国有建设用地使用权出让后土地使用权分割转让批准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000115001000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直接赋权</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37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划拨土地使用权和地上建筑物及附着物所有权转让、出租、抵押审批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000115002000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直接赋权</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38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闲置土地处置</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431015072W00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直接赋权</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39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出让土地使用权按现状转让</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431015042W00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直接赋权</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收回国有土地使用权审核</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431015043W00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直接赋权</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建设工程规划核验（验收）</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000715002000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抵押权登记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000715001014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自然资源局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农作物种子生产经营许可证核发</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000120202000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农业农村局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审批直报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农业农村局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企业印制发票审批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000130001000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审批直报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对纳税人延期缴纳税款的核准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000130002000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审批直报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对纳税人延期申报的核准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000130003000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对纳税人变更纳税定额的核准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000130004000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增值税专用发票（增值税税控系统）最高开票限额审批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000130005000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对采取实际利润额预缴以外的其他企业所得税预缴方式的核定</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000130006000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50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纳税信用复评</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000730013000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51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纳税信用补评</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000730014000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52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纳税信用修复</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000730016000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53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中国税收居民身份证明的开具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000730001000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税务局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54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企业实行不定时工作制和综合计算工时工作制审批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00011400700Y</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55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人力资源服务许可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00011400600Y</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56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职业培训补贴申领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002014008003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57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技能提升补贴申领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002014008010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58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创业补贴申领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002014105001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59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创业担保贷款申请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002014105002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60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职业培训补贴申领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002014201001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61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生活费补贴申领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002014201002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62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职业技能鉴定补贴</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00201420200Y</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63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申报职业技能鉴定</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002014205001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64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遗失技能人员职业资格证书补发申请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002014205002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65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国家和省海外高层次人才服务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002014207005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66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申报职业技能等级认定服务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432014202W00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67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申报专项职业能力考核</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432014203W00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68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单位参保证明查询打印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002014005001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69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个人权益记录查询打印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002014005002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70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单位（项目）基本信息变更</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002014002001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71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个人基本信息变更</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002014002002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72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养老保险待遇发放账户维护申请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002014002003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73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工伤保险待遇发放账户维护申请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002014002004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74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失业保险待遇发放账户维护申请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002014002005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75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企业社会保险登记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002014001001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76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工程建设项目办理工伤保险参保登记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002014001003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77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参保单位注销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002014001004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78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职工参保登记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002014001005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79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城乡居民养老保险参保登记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002014001006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80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缴费人员增减申报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002014003001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81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社会保险缴费申报与变更</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002014003002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82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社会保险费延缴申请</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002014003003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83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社会保险费断缴补缴申报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002014003004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84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社会保险费欠费补缴申报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002014003005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85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工资集体协商协议审查备案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002014301002（主项：集体合同审查）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人社局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86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基本医疗保险关系转移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432036007W0Y</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医保局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医保局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87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权限内政府投资项目审批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431004129W00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88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政府投资项目建议书审批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431004110W00（主项：权限内政府投资项目概算审查）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89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政府投资项目可行性研究报告审批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无</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90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政府投资项目初步设计概算审批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431004110W00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91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企业投资项目备案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432004404W00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92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政府投资项目代建单位招标文件、代建合同备案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432004403W00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93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电力设施保护区内作业审批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430107019W00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94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境外投资项目核准和备案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000104003000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审批直报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95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鼓励类外商投资项目进口设备免税确认事项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000704001000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审批直报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发改局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96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新建、扩建、改建建设工程避免危害气象探测环境审批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000154004000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气象局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审批直报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气象局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97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雷电防护装置设计审核</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000154001000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气象局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气象局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98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雷电防护装置竣工验收</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000154009000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气象局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气象局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99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建设工程文物保护和考古许可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430168003W00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文旅广体局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审批直报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文旅广体局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互联网上网服务营业场所经营单位设立审批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000122011000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文旅广体局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文旅广体局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101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从事经营性互联网文化活动审批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000122010000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文旅广体局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审批直报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文旅广体局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102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公众聚集场所投入使用、营业前消防安全检查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000125049000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消防大队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消防大队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103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火灾事故调查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000725007000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消防大队</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消防大队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104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建设项目环境影响评价审批（海洋工程、核与辐射类除外）</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000116055000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生态环境局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生态环境局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105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贮存危险废物超过一年的批准</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000116057000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生态环境局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生态环境局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106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危险废物管理计划备案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431016005W00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生态环境局</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生态环境局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107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政府投资项目初步设计审批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430117080W00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直接赋权</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108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建设工程消防设计审查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000117052000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109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超限高层建筑工程抗震设防审批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000117010000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审批直报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110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建筑工程施工许可证核发</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000117006000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111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建设工程消防验收</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000117051000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112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由于工程施工、设备维修等原因确需停止供水的审批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000117023000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113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施工图审查情况备案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001017007000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直接赋权</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114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最高投标限价（招标控制价）及其成果文件备案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431017369W00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115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施工、监理等招标文件告知性备案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431017357W00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116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建设工程招标投标情况书面报告</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431017281W00（主项：中标通知书备案）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117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建设工程城建档案验收</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431017325W00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118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建筑工程（含房屋建筑工程、市政基础设施工程、燃气设施工程和城镇排水与污水处理设施工程等）竣工验收备案（含档案验收）</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001017006000（主项：房屋建筑和市政基础设施工程竣工验收备案）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119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建设工程竣工结算备案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431017367W00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120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工程质量以及施工现场进行检查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430617042W0Y</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行政检查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121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建筑业企业资质核准（总承包特级、一级、部分二级及部分专业承包一级、二级除外）</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00117054002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审批直报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省住建厅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122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公租房承租资格确认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000717009000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123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建筑起重机械使用登记</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000117057000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124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临时性建筑物搭建、堆放物料、占道施工审批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000117022000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125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房屋安全鉴定备案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431017368W00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126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物业专项维修资金使用审核、备案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431017346W00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127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公租房租金收缴</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001017009000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其他行政权力</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128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白蚁防治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432017406W00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公共服务</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委托行使</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129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对施工中违反安全生产要求检查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430617009W00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行政检查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130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城市地下空间开发利用中人民防空防护事项的设计审查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430199009W08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131</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新建民用建筑防空地下室的设计审查</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430199012W0D</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132</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新建民用建筑防空地下室的报建审批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430199012W0B</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133</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新建民用建筑防空地下室易地建设审批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430199017W00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134</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城市地下空间开发利用中人民防空防护事项的审批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430199009W0Y</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135</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拆除、改造、报废人防工程及通信设施审批</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430199023W00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136</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权限内单独修建人防工程的设计审查、开工报告批准、竣工验收备案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430199001W0Y</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137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新建民用建筑防空地下室的竣工验收备案</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430199012W0A</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138</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城市地下空间开发利用人防工程竣工验收</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430199009W07</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行政许可</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139</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人防工程认定</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430799009W00</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行政确认</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高新区</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服务前移</w:t>
            </w:r>
          </w:p>
        </w:tc>
        <w:tc>
          <w:tcPr>
            <w:tcW w:w="0" w:type="auto"/>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360" w:firstLineChars="200"/>
              <w:jc w:val="both"/>
              <w:rPr>
                <w:sz w:val="18"/>
                <w:szCs w:val="18"/>
              </w:rPr>
            </w:pPr>
            <w:r>
              <w:rPr>
                <w:sz w:val="18"/>
                <w:szCs w:val="18"/>
              </w:rPr>
              <w:t>（人防办）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gridSpan w:val="8"/>
            <w:tcBorders>
              <w:top w:val="outset" w:color="000000" w:sz="6" w:space="0"/>
              <w:left w:val="outset" w:color="000000" w:sz="6" w:space="0"/>
              <w:bottom w:val="outset" w:color="000000" w:sz="6" w:space="0"/>
              <w:right w:val="outset" w:color="000000" w:sz="6" w:space="0"/>
            </w:tcBorders>
            <w:shd w:val="clear" w:color="auto" w:fill="auto"/>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sz w:val="18"/>
                <w:szCs w:val="18"/>
              </w:rPr>
            </w:pPr>
            <w:r>
              <w:rPr>
                <w:sz w:val="18"/>
                <w:szCs w:val="18"/>
              </w:rPr>
              <w:t>备注：直接赋权8项，委托行使57项，服务前移63项，审批直报11项</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default" w:ascii="鐎瑰锟斤拷?" w:hAnsi="鐎瑰锟斤拷?" w:eastAsia="鐎瑰锟斤拷?" w:cs="鐎瑰锟斤拷?"/>
          <w:i w:val="0"/>
          <w:iCs w:val="0"/>
          <w:caps w:val="0"/>
          <w:color w:val="555555"/>
          <w:spacing w:val="0"/>
          <w:sz w:val="21"/>
          <w:szCs w:val="21"/>
          <w:bdr w:val="none" w:color="auto" w:sz="0" w:space="0"/>
        </w:rPr>
        <w:sectPr>
          <w:pgSz w:w="16838" w:h="11906" w:orient="landscape"/>
          <w:pgMar w:top="1803" w:right="1440" w:bottom="1803" w:left="1440" w:header="851" w:footer="992" w:gutter="0"/>
          <w:paperSrc/>
          <w:cols w:space="0" w:num="1"/>
          <w:rtlGutter w:val="0"/>
          <w:docGrid w:type="lines" w:linePitch="319"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赋权事项交接书（样本）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赋权机关：湘阴县XXX局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法定代表人：XXX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被赋权机关：湘阴高新技术产业开发区管理委员会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法定代表人：XXX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赋权范围及赋权事项：见附件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赋权权限：见附件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其他需要说明的事项：无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双方权利义务：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赋权机关权利义务：根据湘阴XX发〔XX〕XX号文件，湘阴县XXX局认真做好有关赋权资料交接和业务指导工作，将县本级有关权限事项顺利赋予高新区管委会。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被赋权机关权利义务：根据湘阴XX发〔XX〕XX号文件，高新区管委会主动加强衔接沟通，顺利承接好湘阴县XXX局赋予的县本级有关权限事项。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双方法律责任：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赋权机关责任：本交接书自签字盖章之日起生效。对直接赋权事项，湘阴县XXX局不再承担该直接赋权事项产生的法律责任以及有关复议答辩、行政应诉、信访件办理等事务。对委托下放事项，湘阴县XXX局就高新区管委会在权限内实施的行政审批行为后果承担名义上的行政和法律责任，实际责任由高新区管委会承担；高新区管委会行使超出委托权限的事项，由高新区管委会承担名义和实际上法律责任。对服务前移事项，湘阴县XXX局可采取设立分站或窗口形式行使权限。对审批直报事项，省级部门需湘阴县XXX局加盖印章的，湘阴县XXX局不承担由此产生的法律责任。过渡期（20XX年XX月XX日至XX月XX日，下同）内发生的损害市场主体和群众利益的违纪违规审批行为，由责任方承担相应责任；过渡期结束后，高新区管委会对其行政审批行为、审批结果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被赋权机关责任：本交接书自签字盖章之日起生效。对直接赋权事项，由高新区管委会承担该直接赋权事项产生的法律责任以及有关复议答辩、行政应诉、信访件办理等事务；对委托下放事项，高新区管委会实际承担在湘阴县XXX局权限内实施的行政审批行为后果的行政和法律责任；对服务前移事项，高新区管委会应为湘阴县XXX局设立分支提供便利；高新区管委会行使超出湘阴县XXX局委托权限的事项，由高新区管委会承担名义和实际上法律责任；对审批直报事项，由高新区管委会审核后直接向省级部门报送，同时报湘阴县XXX局备案。省级部门需湘阴县XXX局加盖印章的，湘阴县XXX局应无条件加盖印章，但法律责任由高新区管委会承担。过渡期内发生的损害市场主体和群众利益的违纪违规审批行为，由责任方承担相应责任；过渡期结束后，高新区管委会对其行政审批行为、审批结果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本交接书一式五份，自双方法定代表人签章之日起生效。本委托书委托方、受托方各持一份，相关管理部门各持一份，本级审改部门存一份。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赋权机关（盖章）        被赋权机关（盖章）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法定代表人：            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附件：湘阴县XXX局赋予高新区管委会行使县级有关权限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555555"/>
          <w:spacing w:val="0"/>
          <w:sz w:val="32"/>
          <w:szCs w:val="32"/>
          <w:bdr w:val="none" w:color="auto" w:sz="0" w:space="0"/>
        </w:rPr>
        <w:t>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default" w:ascii="鐎瑰锟斤拷?" w:hAnsi="鐎瑰锟斤拷?" w:eastAsia="鐎瑰锟斤拷?" w:cs="鐎瑰锟斤拷?"/>
          <w:i w:val="0"/>
          <w:iCs w:val="0"/>
          <w:caps w:val="0"/>
          <w:color w:val="555555"/>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default" w:ascii="鐎瑰锟斤拷?" w:hAnsi="鐎瑰锟斤拷?" w:eastAsia="鐎瑰锟斤拷?" w:cs="鐎瑰锟斤拷?"/>
          <w:i w:val="0"/>
          <w:iCs w:val="0"/>
          <w:caps w:val="0"/>
          <w:color w:val="555555"/>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default" w:ascii="鐎瑰锟斤拷?" w:hAnsi="鐎瑰锟斤拷?" w:eastAsia="鐎瑰锟斤拷?" w:cs="鐎瑰锟斤拷?"/>
          <w:i w:val="0"/>
          <w:iCs w:val="0"/>
          <w:caps w:val="0"/>
          <w:color w:val="555555"/>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640" w:firstLineChars="200"/>
        <w:jc w:val="both"/>
        <w:rPr>
          <w:rFonts w:hint="default" w:ascii="鐎瑰锟斤拷?" w:hAnsi="鐎瑰锟斤拷?" w:eastAsia="鐎瑰锟斤拷?" w:cs="鐎瑰锟斤拷?"/>
          <w:i w:val="0"/>
          <w:iCs w:val="0"/>
          <w:caps w:val="0"/>
          <w:color w:val="555555"/>
          <w:spacing w:val="0"/>
          <w:sz w:val="32"/>
          <w:szCs w:val="32"/>
        </w:rPr>
      </w:pPr>
      <w:r>
        <w:rPr>
          <w:rFonts w:hint="default" w:ascii="鐎瑰锟斤拷?" w:hAnsi="鐎瑰锟斤拷?" w:eastAsia="鐎瑰锟斤拷?" w:cs="鐎瑰锟斤拷?"/>
          <w:i w:val="0"/>
          <w:iCs w:val="0"/>
          <w:caps w:val="0"/>
          <w:color w:val="555555"/>
          <w:spacing w:val="0"/>
          <w:sz w:val="32"/>
          <w:szCs w:val="32"/>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default" w:ascii="鐎瑰锟斤拷?" w:hAnsi="鐎瑰锟斤拷?" w:eastAsia="鐎瑰锟斤拷?" w:cs="鐎瑰锟斤拷?"/>
          <w:i w:val="0"/>
          <w:iCs w:val="0"/>
          <w:caps w:val="0"/>
          <w:color w:val="555555"/>
          <w:spacing w:val="0"/>
          <w:sz w:val="21"/>
          <w:szCs w:val="21"/>
        </w:rPr>
      </w:pPr>
      <w:r>
        <w:rPr>
          <w:rFonts w:hint="default" w:ascii="鐎瑰锟斤拷?" w:hAnsi="鐎瑰锟斤拷?" w:eastAsia="鐎瑰锟斤拷?" w:cs="鐎瑰锟斤拷?"/>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default" w:ascii="鐎瑰锟斤拷?" w:hAnsi="鐎瑰锟斤拷?" w:eastAsia="鐎瑰锟斤拷?" w:cs="鐎瑰锟斤拷?"/>
          <w:i w:val="0"/>
          <w:iCs w:val="0"/>
          <w:caps w:val="0"/>
          <w:color w:val="555555"/>
          <w:spacing w:val="0"/>
          <w:sz w:val="21"/>
          <w:szCs w:val="21"/>
        </w:rPr>
      </w:pPr>
      <w:r>
        <w:rPr>
          <w:rFonts w:hint="default" w:ascii="鐎瑰锟斤拷?" w:hAnsi="鐎瑰锟斤拷?" w:eastAsia="鐎瑰锟斤拷?" w:cs="鐎瑰锟斤拷?"/>
          <w:i w:val="0"/>
          <w:iCs w:val="0"/>
          <w:caps w:val="0"/>
          <w:color w:val="555555"/>
          <w:spacing w:val="0"/>
          <w:sz w:val="21"/>
          <w:szCs w:val="21"/>
          <w:bdr w:val="none" w:color="auto" w:sz="0" w:space="0"/>
        </w:rPr>
        <w:t>湘阴县XXX局赋予高新区管委会行使县级有关权限事项清单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default" w:ascii="鐎瑰锟斤拷?" w:hAnsi="鐎瑰锟斤拷?" w:eastAsia="鐎瑰锟斤拷?" w:cs="鐎瑰锟斤拷?"/>
          <w:i w:val="0"/>
          <w:iCs w:val="0"/>
          <w:caps w:val="0"/>
          <w:color w:val="555555"/>
          <w:spacing w:val="0"/>
          <w:sz w:val="21"/>
          <w:szCs w:val="21"/>
        </w:rPr>
      </w:pPr>
      <w:r>
        <w:rPr>
          <w:rFonts w:hint="default" w:ascii="鐎瑰锟斤拷?" w:hAnsi="鐎瑰锟斤拷?" w:eastAsia="鐎瑰锟斤拷?" w:cs="鐎瑰锟斤拷?"/>
          <w:i w:val="0"/>
          <w:iCs w:val="0"/>
          <w:caps w:val="0"/>
          <w:color w:val="555555"/>
          <w:spacing w:val="0"/>
          <w:sz w:val="21"/>
          <w:szCs w:val="21"/>
          <w:bdr w:val="none" w:color="auto" w:sz="0" w:space="0"/>
        </w:rPr>
        <w:t> </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10"/>
        <w:gridCol w:w="1637"/>
        <w:gridCol w:w="809"/>
        <w:gridCol w:w="729"/>
        <w:gridCol w:w="639"/>
        <w:gridCol w:w="656"/>
        <w:gridCol w:w="695"/>
        <w:gridCol w:w="1275"/>
        <w:gridCol w:w="11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序号</w:t>
            </w:r>
          </w:p>
        </w:tc>
        <w:tc>
          <w:tcPr>
            <w:tcW w:w="38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事项名称</w:t>
            </w:r>
          </w:p>
        </w:tc>
        <w:tc>
          <w:tcPr>
            <w:tcW w:w="16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事项编码</w:t>
            </w:r>
          </w:p>
        </w:tc>
        <w:tc>
          <w:tcPr>
            <w:tcW w:w="14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事项类型</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赋权部门</w:t>
            </w:r>
          </w:p>
        </w:tc>
        <w:tc>
          <w:tcPr>
            <w:tcW w:w="12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赋权对象</w:t>
            </w:r>
          </w:p>
        </w:tc>
        <w:tc>
          <w:tcPr>
            <w:tcW w:w="13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赋权方式</w:t>
            </w:r>
          </w:p>
        </w:tc>
        <w:tc>
          <w:tcPr>
            <w:tcW w:w="127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监管部门</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10" w:type="dxa"/>
            <w:tcBorders>
              <w:top w:val="outset" w:color="000000" w:sz="6" w:space="0"/>
              <w:left w:val="outset" w:color="000000" w:sz="6" w:space="0"/>
              <w:bottom w:val="outset" w:color="000000" w:sz="6" w:space="0"/>
              <w:right w:val="outset" w:color="000000"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38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6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3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10" w:type="dxa"/>
            <w:tcBorders>
              <w:top w:val="outset" w:color="000000" w:sz="6" w:space="0"/>
              <w:left w:val="outset" w:color="000000" w:sz="6" w:space="0"/>
              <w:bottom w:val="outset" w:color="000000" w:sz="6" w:space="0"/>
              <w:right w:val="outset" w:color="000000"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38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6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3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10" w:type="dxa"/>
            <w:tcBorders>
              <w:top w:val="outset" w:color="000000" w:sz="6" w:space="0"/>
              <w:left w:val="outset" w:color="000000" w:sz="6" w:space="0"/>
              <w:bottom w:val="outset" w:color="000000" w:sz="6" w:space="0"/>
              <w:right w:val="outset" w:color="000000"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38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6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3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10" w:type="dxa"/>
            <w:tcBorders>
              <w:top w:val="outset" w:color="000000" w:sz="6" w:space="0"/>
              <w:left w:val="outset" w:color="000000" w:sz="6" w:space="0"/>
              <w:bottom w:val="outset" w:color="000000" w:sz="6" w:space="0"/>
              <w:right w:val="outset" w:color="000000"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38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6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39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c>
          <w:tcPr>
            <w:tcW w:w="1110" w:type="dxa"/>
            <w:tcBorders>
              <w:top w:val="outset" w:color="000000" w:sz="6" w:space="0"/>
              <w:left w:val="outset" w:color="000000" w:sz="6" w:space="0"/>
              <w:bottom w:val="outset" w:color="000000" w:sz="6" w:space="0"/>
              <w:right w:val="outset" w:color="000000"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default" w:ascii="鐎瑰锟斤拷?" w:hAnsi="鐎瑰锟斤拷?" w:eastAsia="鐎瑰锟斤拷?" w:cs="鐎瑰锟斤拷?"/>
                <w:i w:val="0"/>
                <w:iCs w:val="0"/>
                <w:caps w:val="0"/>
                <w:color w:val="555555"/>
                <w:spacing w:val="0"/>
                <w:sz w:val="21"/>
                <w:szCs w:val="21"/>
                <w:bdr w:val="none" w:color="auto" w:sz="0" w:space="0"/>
              </w:rPr>
              <w:t> </w:t>
            </w:r>
          </w:p>
        </w:tc>
      </w:tr>
    </w:tbl>
    <w:p>
      <w:pPr>
        <w:keepNext w:val="0"/>
        <w:keepLines w:val="0"/>
        <w:widowControl/>
        <w:suppressLineNumbers w:val="0"/>
        <w:jc w:val="left"/>
      </w:pP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鐎瑰锟斤拷?">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TYzNjdmNWNmZDM1Y2FjMTNjNTc0NWNhYWQ0YjkifQ=="/>
  </w:docVars>
  <w:rsids>
    <w:rsidRoot w:val="195A339F"/>
    <w:rsid w:val="195A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2023-01-29T05:47:00Z</dcterms:created>
  <dc:creator>程振宇</dc:creator>
  <cp:lastModifiedBy>程振宇</cp:lastModifiedBy>
  <dcterms:modified xsi:type="dcterms:W3CDTF">2023-01-29T05:52:38Z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AEECF6AF347E4846A3BE6E299F98CCC1</vt:lpwstr>
  </property>
</Properties>
</file>